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F6BC" w14:textId="77777777" w:rsidR="003B38E1" w:rsidRDefault="003B38E1" w:rsidP="003B38E1">
      <w:pPr>
        <w:autoSpaceDE w:val="0"/>
        <w:autoSpaceDN w:val="0"/>
        <w:adjustRightInd w:val="0"/>
        <w:rPr>
          <w:rFonts w:ascii="Arial" w:hAnsi="Arial" w:cs="Arial"/>
          <w:sz w:val="20"/>
          <w:szCs w:val="20"/>
        </w:rPr>
      </w:pPr>
    </w:p>
    <w:p w14:paraId="76D939E0" w14:textId="77777777" w:rsidR="003B38E1" w:rsidRPr="009557BE" w:rsidRDefault="003B38E1" w:rsidP="009557BE">
      <w:pPr>
        <w:pStyle w:val="Title"/>
        <w:jc w:val="center"/>
        <w:rPr>
          <w:color w:val="2F5496" w:themeColor="accent1" w:themeShade="BF"/>
        </w:rPr>
      </w:pPr>
    </w:p>
    <w:p w14:paraId="7D5FA551" w14:textId="77777777" w:rsidR="009557BE" w:rsidRDefault="009557BE" w:rsidP="009557BE">
      <w:pPr>
        <w:pStyle w:val="Title"/>
        <w:jc w:val="center"/>
        <w:rPr>
          <w:color w:val="2F5496" w:themeColor="accent1" w:themeShade="BF"/>
        </w:rPr>
      </w:pPr>
    </w:p>
    <w:p w14:paraId="5420704E" w14:textId="77777777" w:rsidR="009557BE" w:rsidRDefault="009557BE" w:rsidP="009557BE">
      <w:pPr>
        <w:pStyle w:val="Title"/>
        <w:jc w:val="center"/>
        <w:rPr>
          <w:color w:val="2F5496" w:themeColor="accent1" w:themeShade="BF"/>
        </w:rPr>
      </w:pPr>
    </w:p>
    <w:p w14:paraId="274E45C6" w14:textId="77777777" w:rsidR="009557BE" w:rsidRDefault="009557BE" w:rsidP="009557BE">
      <w:pPr>
        <w:pStyle w:val="Title"/>
        <w:jc w:val="center"/>
        <w:rPr>
          <w:color w:val="2F5496" w:themeColor="accent1" w:themeShade="BF"/>
        </w:rPr>
      </w:pPr>
    </w:p>
    <w:p w14:paraId="17EE762E" w14:textId="7592BF6B" w:rsidR="00A42C94" w:rsidRPr="009557BE" w:rsidRDefault="009557BE" w:rsidP="00A42C94">
      <w:pPr>
        <w:pStyle w:val="Title"/>
        <w:jc w:val="center"/>
        <w:rPr>
          <w:color w:val="2F5496" w:themeColor="accent1" w:themeShade="BF"/>
        </w:rPr>
      </w:pPr>
      <w:r w:rsidRPr="009557BE">
        <w:rPr>
          <w:color w:val="2F5496" w:themeColor="accent1" w:themeShade="BF"/>
        </w:rPr>
        <w:t xml:space="preserve">Australia-World Bank Growth and Prosperity in the Philippines </w:t>
      </w:r>
      <w:r w:rsidR="00A42C94" w:rsidRPr="009557BE">
        <w:rPr>
          <w:color w:val="2F5496" w:themeColor="accent1" w:themeShade="BF"/>
        </w:rPr>
        <w:t>(</w:t>
      </w:r>
      <w:proofErr w:type="spellStart"/>
      <w:r w:rsidR="007628AF">
        <w:rPr>
          <w:color w:val="2F5496" w:themeColor="accent1" w:themeShade="BF"/>
        </w:rPr>
        <w:t>AGaP</w:t>
      </w:r>
      <w:proofErr w:type="spellEnd"/>
      <w:r w:rsidR="00A42C94" w:rsidRPr="009557BE">
        <w:rPr>
          <w:color w:val="2F5496" w:themeColor="accent1" w:themeShade="BF"/>
        </w:rPr>
        <w:t>)</w:t>
      </w:r>
    </w:p>
    <w:p w14:paraId="068E2D55" w14:textId="0AD63327" w:rsidR="004F1D23" w:rsidRDefault="009557BE" w:rsidP="009557BE">
      <w:pPr>
        <w:pStyle w:val="Title"/>
        <w:jc w:val="center"/>
        <w:rPr>
          <w:color w:val="2F5496" w:themeColor="accent1" w:themeShade="BF"/>
        </w:rPr>
      </w:pPr>
      <w:r w:rsidRPr="009557BE">
        <w:rPr>
          <w:color w:val="2F5496" w:themeColor="accent1" w:themeShade="BF"/>
        </w:rPr>
        <w:t>Trust Fund</w:t>
      </w:r>
      <w:r w:rsidR="009C2EF4">
        <w:rPr>
          <w:color w:val="2F5496" w:themeColor="accent1" w:themeShade="BF"/>
        </w:rPr>
        <w:t xml:space="preserve"> </w:t>
      </w:r>
      <w:r w:rsidRPr="009557BE">
        <w:rPr>
          <w:color w:val="2F5496" w:themeColor="accent1" w:themeShade="BF"/>
        </w:rPr>
        <w:t>Independent</w:t>
      </w:r>
      <w:r w:rsidR="009C2EF4">
        <w:rPr>
          <w:color w:val="2F5496" w:themeColor="accent1" w:themeShade="BF"/>
        </w:rPr>
        <w:br/>
      </w:r>
      <w:r w:rsidR="004F1D23" w:rsidRPr="009557BE">
        <w:rPr>
          <w:color w:val="2F5496" w:themeColor="accent1" w:themeShade="BF"/>
        </w:rPr>
        <w:t>Mid</w:t>
      </w:r>
      <w:r w:rsidR="000F4EA9">
        <w:rPr>
          <w:color w:val="2F5496" w:themeColor="accent1" w:themeShade="BF"/>
        </w:rPr>
        <w:t>t</w:t>
      </w:r>
      <w:r w:rsidR="004F1D23" w:rsidRPr="009557BE">
        <w:rPr>
          <w:color w:val="2F5496" w:themeColor="accent1" w:themeShade="BF"/>
        </w:rPr>
        <w:t xml:space="preserve">erm </w:t>
      </w:r>
      <w:r w:rsidR="00C15250">
        <w:rPr>
          <w:color w:val="2F5496" w:themeColor="accent1" w:themeShade="BF"/>
        </w:rPr>
        <w:t>Review</w:t>
      </w:r>
    </w:p>
    <w:p w14:paraId="763D27A2" w14:textId="6E8AA188" w:rsidR="00EB7572" w:rsidRDefault="00EB7572" w:rsidP="00EB7572">
      <w:pPr>
        <w:rPr>
          <w:lang w:eastAsia="en-US"/>
        </w:rPr>
      </w:pPr>
      <w:r>
        <w:rPr>
          <w:lang w:eastAsia="en-US"/>
        </w:rPr>
        <w:tab/>
      </w:r>
      <w:r>
        <w:rPr>
          <w:lang w:eastAsia="en-US"/>
        </w:rPr>
        <w:tab/>
      </w:r>
      <w:r>
        <w:rPr>
          <w:lang w:eastAsia="en-US"/>
        </w:rPr>
        <w:tab/>
      </w:r>
    </w:p>
    <w:p w14:paraId="189D2B9C" w14:textId="77777777" w:rsidR="00EB7572" w:rsidRDefault="00EB7572" w:rsidP="00EB7572">
      <w:pPr>
        <w:pStyle w:val="Subtitle"/>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5763DBD6" w14:textId="348CCCE5" w:rsidR="00EB7572" w:rsidRPr="00EB7572" w:rsidRDefault="00EB7572" w:rsidP="006F738B">
      <w:pPr>
        <w:pStyle w:val="Subtitle"/>
        <w:ind w:left="6480"/>
        <w:rPr>
          <w:sz w:val="28"/>
          <w:szCs w:val="28"/>
          <w:lang w:eastAsia="en-US"/>
        </w:rPr>
      </w:pPr>
      <w:r w:rsidRPr="00EB7572">
        <w:rPr>
          <w:sz w:val="28"/>
          <w:szCs w:val="28"/>
          <w:lang w:eastAsia="en-US"/>
        </w:rPr>
        <w:t>December 2022</w:t>
      </w:r>
    </w:p>
    <w:p w14:paraId="649B5078" w14:textId="356AECA1" w:rsidR="009557BE" w:rsidRDefault="009557BE" w:rsidP="009557BE"/>
    <w:p w14:paraId="0D564467" w14:textId="77777777" w:rsidR="006B29C1" w:rsidRDefault="006B29C1" w:rsidP="009557BE"/>
    <w:p w14:paraId="22699841" w14:textId="77777777" w:rsidR="00B86C1E" w:rsidRDefault="00B86C1E" w:rsidP="009557BE"/>
    <w:p w14:paraId="298AE41D" w14:textId="62661A82" w:rsidR="00B86C1E" w:rsidRDefault="00B86C1E" w:rsidP="009557BE"/>
    <w:p w14:paraId="0213DE86" w14:textId="4F4C605E" w:rsidR="00063619" w:rsidRDefault="00063619" w:rsidP="009557BE"/>
    <w:p w14:paraId="4019DE00" w14:textId="3B668D67" w:rsidR="00063619" w:rsidRDefault="00063619" w:rsidP="009557BE"/>
    <w:p w14:paraId="39AFA689" w14:textId="77777777" w:rsidR="00157795" w:rsidRDefault="00157795">
      <w:pPr>
        <w:spacing w:before="0"/>
        <w:rPr>
          <w:sz w:val="24"/>
        </w:rPr>
      </w:pPr>
      <w:r>
        <w:rPr>
          <w:sz w:val="24"/>
        </w:rPr>
        <w:br w:type="page"/>
      </w:r>
    </w:p>
    <w:p w14:paraId="638B3B2A" w14:textId="77777777" w:rsidR="002A5164" w:rsidRDefault="002A5164"/>
    <w:p w14:paraId="38C8C908" w14:textId="77777777" w:rsidR="002A5164" w:rsidRDefault="002A5164"/>
    <w:p w14:paraId="4F053353" w14:textId="77777777" w:rsidR="002A5164" w:rsidRDefault="002A5164"/>
    <w:p w14:paraId="235ECD2A" w14:textId="77777777" w:rsidR="002A5164" w:rsidRDefault="002A5164"/>
    <w:p w14:paraId="0489ECE8" w14:textId="77777777" w:rsidR="002A5164" w:rsidRDefault="002A5164"/>
    <w:p w14:paraId="06C2ABEE" w14:textId="77777777" w:rsidR="002A5164" w:rsidRDefault="002A5164"/>
    <w:p w14:paraId="30D28FCF" w14:textId="77777777" w:rsidR="002A5164" w:rsidRDefault="002A5164"/>
    <w:p w14:paraId="33420579" w14:textId="77777777" w:rsidR="002A5164" w:rsidRDefault="002A5164"/>
    <w:p w14:paraId="681BBE6B" w14:textId="77777777" w:rsidR="002A5164" w:rsidRDefault="002A5164"/>
    <w:p w14:paraId="75CB74DB" w14:textId="77777777" w:rsidR="002A5164" w:rsidRDefault="002A5164"/>
    <w:p w14:paraId="39192D63" w14:textId="77777777" w:rsidR="002A5164" w:rsidRDefault="002A5164"/>
    <w:p w14:paraId="5CB56543" w14:textId="77777777" w:rsidR="002A5164" w:rsidRDefault="002A5164"/>
    <w:p w14:paraId="2F99059E" w14:textId="77777777" w:rsidR="002A5164" w:rsidRDefault="002A5164"/>
    <w:p w14:paraId="2E3663C7" w14:textId="7CA70C8A" w:rsidR="002A5164" w:rsidRDefault="002A5164">
      <w:r>
        <w:t>© 2022 The World Bank</w:t>
      </w:r>
    </w:p>
    <w:p w14:paraId="086FBA13" w14:textId="72C595EC" w:rsidR="002A5164" w:rsidRDefault="002A5164">
      <w:r>
        <w:t>1818 H Street NW, Washington DC 20433</w:t>
      </w:r>
    </w:p>
    <w:p w14:paraId="784BCD9D" w14:textId="77777777" w:rsidR="002A5164" w:rsidRDefault="002A5164">
      <w:r>
        <w:t xml:space="preserve">Telephone: 202-473-1000; Internet: www.worldbank.org </w:t>
      </w:r>
    </w:p>
    <w:p w14:paraId="56B8C564" w14:textId="77777777" w:rsidR="002A5164" w:rsidRDefault="002A5164"/>
    <w:p w14:paraId="27CA8508" w14:textId="77777777" w:rsidR="002A5164" w:rsidRDefault="002A5164">
      <w:r>
        <w:t xml:space="preserve">Some rights reserved </w:t>
      </w:r>
    </w:p>
    <w:p w14:paraId="24C045EC" w14:textId="65B4C9FE" w:rsidR="002A5164" w:rsidRDefault="002A5164">
      <w:r>
        <w:t>This work is a product of</w:t>
      </w:r>
      <w:r w:rsidR="00DB03A2">
        <w:t xml:space="preserve"> independent external evaluators</w:t>
      </w:r>
      <w:r>
        <w:t xml:space="preserve">. The findings, interpretations, and conclusions expressed in this work do not necessarily reflect the views of the Executive Directors of The World Bank or the governments they represent. The World Bank does not guarantee the accuracy of the data included in this work. The boundaries, </w:t>
      </w:r>
      <w:proofErr w:type="spellStart"/>
      <w:r>
        <w:t>colors</w:t>
      </w:r>
      <w:proofErr w:type="spellEnd"/>
      <w:r>
        <w:t xml:space="preserve">, denominations, and other information shown on any map in this work do not imply any judgment on the part of The World Bank concerning the legal status of any territory or the endorsement or acceptance of such boundaries. </w:t>
      </w:r>
    </w:p>
    <w:p w14:paraId="35FE7B36" w14:textId="77777777" w:rsidR="002A5164" w:rsidRDefault="002A5164"/>
    <w:p w14:paraId="1400CC23" w14:textId="77777777" w:rsidR="002A5164" w:rsidRDefault="002A5164">
      <w:r>
        <w:t xml:space="preserve">Rights and Permissions </w:t>
      </w:r>
    </w:p>
    <w:p w14:paraId="06CAC263" w14:textId="77777777" w:rsidR="002A5164" w:rsidRDefault="002A5164">
      <w:r>
        <w:t xml:space="preserve">The material in this work is subject to copyright. Because the World Bank encourages dissemination of its knowledge, this work may be reproduced, in whole or in part, for non-commercial purposes </w:t>
      </w:r>
      <w:proofErr w:type="gramStart"/>
      <w:r>
        <w:t>as long as</w:t>
      </w:r>
      <w:proofErr w:type="gramEnd"/>
      <w:r>
        <w:t xml:space="preserve"> full attribution to this work is given. </w:t>
      </w:r>
    </w:p>
    <w:p w14:paraId="2DB5131C" w14:textId="4B362CCE" w:rsidR="002A5164" w:rsidRDefault="002A5164">
      <w:r>
        <w:t>Attribution—Please cite the work as follows: “</w:t>
      </w:r>
      <w:r w:rsidRPr="002A5164">
        <w:t>Australia-World Bank Growth and Prosperity in the Philippines (</w:t>
      </w:r>
      <w:proofErr w:type="spellStart"/>
      <w:r w:rsidR="007628AF">
        <w:t>AGaP</w:t>
      </w:r>
      <w:proofErr w:type="spellEnd"/>
      <w:r w:rsidRPr="002A5164">
        <w:t>)</w:t>
      </w:r>
      <w:r>
        <w:t xml:space="preserve"> </w:t>
      </w:r>
      <w:r w:rsidRPr="002A5164">
        <w:t>Trust Fund</w:t>
      </w:r>
      <w:r>
        <w:t xml:space="preserve">: </w:t>
      </w:r>
      <w:r w:rsidRPr="002A5164">
        <w:t>Independent</w:t>
      </w:r>
      <w:r>
        <w:t xml:space="preserve"> </w:t>
      </w:r>
      <w:r w:rsidRPr="002A5164">
        <w:t>Midterm Review</w:t>
      </w:r>
      <w:r>
        <w:t xml:space="preserve">, 2022. © World Bank.” </w:t>
      </w:r>
    </w:p>
    <w:p w14:paraId="2F03EB33" w14:textId="709560F2" w:rsidR="00EB7572" w:rsidRDefault="002A5164">
      <w:pPr>
        <w:rPr>
          <w:sz w:val="24"/>
        </w:rPr>
      </w:pPr>
      <w:r>
        <w:t>All queries on rights and licenses, including subsidiary rights, should be addressed to World Bank Publications, The World Bank Group, 1818 H Street NW, Washington, DC 20433, USA; fax: 202-522- 2625; e-mail: pubrights@worldbank.org.</w:t>
      </w:r>
    </w:p>
    <w:p w14:paraId="15DB22C1" w14:textId="30F0BD63" w:rsidR="00EB7572" w:rsidRDefault="00EB7572">
      <w:pPr>
        <w:rPr>
          <w:sz w:val="24"/>
        </w:rPr>
      </w:pPr>
    </w:p>
    <w:p w14:paraId="1E9E4327" w14:textId="4110A315" w:rsidR="00EB7572" w:rsidRDefault="00EB7572">
      <w:pPr>
        <w:rPr>
          <w:sz w:val="24"/>
        </w:rPr>
      </w:pPr>
    </w:p>
    <w:p w14:paraId="364D3AF7" w14:textId="5EFA88CE" w:rsidR="00EB7572" w:rsidRDefault="00EB7572">
      <w:pPr>
        <w:rPr>
          <w:sz w:val="24"/>
        </w:rPr>
      </w:pPr>
    </w:p>
    <w:p w14:paraId="64FE0024" w14:textId="77777777" w:rsidR="00EB7572" w:rsidRDefault="00EB7572">
      <w:pPr>
        <w:rPr>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0"/>
      </w:tblGrid>
      <w:tr w:rsidR="008C4A4F" w14:paraId="23329E3E" w14:textId="77777777" w:rsidTr="006F738B">
        <w:tc>
          <w:tcPr>
            <w:tcW w:w="8650" w:type="dxa"/>
          </w:tcPr>
          <w:p w14:paraId="53CE0F6D" w14:textId="793D9CE0" w:rsidR="008C4A4F" w:rsidRPr="00C42E2E" w:rsidRDefault="008C4A4F" w:rsidP="008C4A4F">
            <w:pPr>
              <w:pStyle w:val="Heading1"/>
              <w:rPr>
                <w:sz w:val="24"/>
              </w:rPr>
            </w:pPr>
            <w:bookmarkStart w:id="0" w:name="_Toc125559990"/>
            <w:bookmarkStart w:id="1" w:name="_Toc499850217"/>
            <w:r w:rsidRPr="00C42E2E">
              <w:lastRenderedPageBreak/>
              <w:t>Aid Activity Summary</w:t>
            </w:r>
            <w:bookmarkEnd w:id="0"/>
          </w:p>
        </w:tc>
      </w:tr>
      <w:bookmarkEnd w:id="1"/>
    </w:tbl>
    <w:p w14:paraId="3402A60C" w14:textId="77777777" w:rsidR="003119FF" w:rsidRDefault="003119FF">
      <w:pPr>
        <w:rPr>
          <w:sz w:val="24"/>
        </w:rPr>
      </w:pPr>
    </w:p>
    <w:tbl>
      <w:tblPr>
        <w:tblStyle w:val="TableGrid"/>
        <w:tblW w:w="0" w:type="auto"/>
        <w:tblLook w:val="04A0" w:firstRow="1" w:lastRow="0" w:firstColumn="1" w:lastColumn="0" w:noHBand="0" w:noVBand="1"/>
      </w:tblPr>
      <w:tblGrid>
        <w:gridCol w:w="4248"/>
        <w:gridCol w:w="4402"/>
      </w:tblGrid>
      <w:tr w:rsidR="00804A46" w:rsidRPr="00454257" w14:paraId="6FC8A7C5" w14:textId="77777777" w:rsidTr="5FF6AE82">
        <w:tc>
          <w:tcPr>
            <w:tcW w:w="4248" w:type="dxa"/>
            <w:shd w:val="clear" w:color="auto" w:fill="BDD6EE" w:themeFill="accent5" w:themeFillTint="66"/>
          </w:tcPr>
          <w:p w14:paraId="2CDE7CFA" w14:textId="5BCD895F" w:rsidR="00804A46" w:rsidRPr="006F738B" w:rsidRDefault="00C13FE7">
            <w:pPr>
              <w:rPr>
                <w:rFonts w:ascii="Calibri" w:hAnsi="Calibri" w:cs="Calibri"/>
                <w:b/>
                <w:bCs/>
                <w:szCs w:val="22"/>
              </w:rPr>
            </w:pPr>
            <w:r>
              <w:rPr>
                <w:rFonts w:ascii="Calibri" w:hAnsi="Calibri" w:cs="Calibri"/>
                <w:b/>
                <w:bCs/>
                <w:szCs w:val="22"/>
              </w:rPr>
              <w:t>Concept</w:t>
            </w:r>
          </w:p>
        </w:tc>
        <w:tc>
          <w:tcPr>
            <w:tcW w:w="4402" w:type="dxa"/>
          </w:tcPr>
          <w:p w14:paraId="6E6D3CF6" w14:textId="601A2059" w:rsidR="00804A46" w:rsidRPr="000A0032" w:rsidRDefault="00C13FE7">
            <w:pPr>
              <w:rPr>
                <w:szCs w:val="22"/>
              </w:rPr>
            </w:pPr>
            <w:r>
              <w:rPr>
                <w:szCs w:val="22"/>
              </w:rPr>
              <w:t>Details</w:t>
            </w:r>
          </w:p>
        </w:tc>
      </w:tr>
      <w:tr w:rsidR="008C4A4F" w:rsidRPr="00454257" w14:paraId="206AC17F" w14:textId="77777777" w:rsidTr="5FF6AE82">
        <w:tc>
          <w:tcPr>
            <w:tcW w:w="4248" w:type="dxa"/>
            <w:shd w:val="clear" w:color="auto" w:fill="BDD6EE" w:themeFill="accent5" w:themeFillTint="66"/>
          </w:tcPr>
          <w:p w14:paraId="1044A54E" w14:textId="4C8C592E" w:rsidR="008C4A4F" w:rsidRPr="006F738B" w:rsidRDefault="008C4A4F">
            <w:pPr>
              <w:rPr>
                <w:b/>
                <w:bCs/>
                <w:szCs w:val="22"/>
              </w:rPr>
            </w:pPr>
            <w:r w:rsidRPr="006F738B">
              <w:rPr>
                <w:rFonts w:ascii="Calibri" w:hAnsi="Calibri" w:cs="Calibri"/>
                <w:b/>
                <w:bCs/>
                <w:szCs w:val="22"/>
              </w:rPr>
              <w:t>Aid Investment Name</w:t>
            </w:r>
          </w:p>
        </w:tc>
        <w:tc>
          <w:tcPr>
            <w:tcW w:w="4402" w:type="dxa"/>
          </w:tcPr>
          <w:p w14:paraId="348654AA" w14:textId="47236850" w:rsidR="008C4A4F" w:rsidRPr="006F738B" w:rsidRDefault="000A0032">
            <w:pPr>
              <w:rPr>
                <w:szCs w:val="22"/>
              </w:rPr>
            </w:pPr>
            <w:r w:rsidRPr="000A0032">
              <w:rPr>
                <w:szCs w:val="22"/>
              </w:rPr>
              <w:t xml:space="preserve">Australia World Bank Growth and Prosperity in the Philippines </w:t>
            </w:r>
            <w:r w:rsidR="00821C3C">
              <w:rPr>
                <w:szCs w:val="22"/>
              </w:rPr>
              <w:t>(</w:t>
            </w:r>
            <w:proofErr w:type="spellStart"/>
            <w:r w:rsidR="00821C3C">
              <w:rPr>
                <w:szCs w:val="22"/>
              </w:rPr>
              <w:t>AGaP</w:t>
            </w:r>
            <w:proofErr w:type="spellEnd"/>
            <w:r w:rsidR="00821C3C">
              <w:rPr>
                <w:szCs w:val="22"/>
              </w:rPr>
              <w:t xml:space="preserve">) </w:t>
            </w:r>
            <w:r w:rsidRPr="000A0032">
              <w:rPr>
                <w:szCs w:val="22"/>
              </w:rPr>
              <w:t xml:space="preserve">Single-Donor Trust Fund </w:t>
            </w:r>
          </w:p>
        </w:tc>
      </w:tr>
      <w:tr w:rsidR="00A37738" w:rsidRPr="00454257" w14:paraId="2D487982" w14:textId="77777777" w:rsidTr="00804A46">
        <w:tc>
          <w:tcPr>
            <w:tcW w:w="4248" w:type="dxa"/>
            <w:shd w:val="clear" w:color="auto" w:fill="BDD6EE" w:themeFill="accent5" w:themeFillTint="66"/>
          </w:tcPr>
          <w:p w14:paraId="6523EC7D" w14:textId="21C6AA0C" w:rsidR="00A37738" w:rsidRPr="00804A46" w:rsidRDefault="005950A0">
            <w:pPr>
              <w:rPr>
                <w:b/>
                <w:bCs/>
                <w:szCs w:val="22"/>
              </w:rPr>
            </w:pPr>
            <w:r w:rsidRPr="006F738B">
              <w:rPr>
                <w:rFonts w:ascii="Calibri" w:hAnsi="Calibri" w:cs="Calibri"/>
                <w:b/>
                <w:bCs/>
                <w:szCs w:val="22"/>
              </w:rPr>
              <w:t>Commencement date</w:t>
            </w:r>
          </w:p>
        </w:tc>
        <w:tc>
          <w:tcPr>
            <w:tcW w:w="4402" w:type="dxa"/>
            <w:shd w:val="clear" w:color="auto" w:fill="auto"/>
          </w:tcPr>
          <w:p w14:paraId="4BC3B01F" w14:textId="1173C7DA" w:rsidR="00A37738" w:rsidRPr="006F738B" w:rsidRDefault="00804A46" w:rsidP="00804A46">
            <w:pPr>
              <w:rPr>
                <w:szCs w:val="22"/>
              </w:rPr>
            </w:pPr>
            <w:r>
              <w:rPr>
                <w:szCs w:val="22"/>
              </w:rPr>
              <w:t>26</w:t>
            </w:r>
            <w:r w:rsidRPr="00996398">
              <w:rPr>
                <w:szCs w:val="22"/>
                <w:vertAlign w:val="superscript"/>
              </w:rPr>
              <w:t>th</w:t>
            </w:r>
            <w:r>
              <w:rPr>
                <w:szCs w:val="22"/>
              </w:rPr>
              <w:t xml:space="preserve"> </w:t>
            </w:r>
            <w:r w:rsidRPr="00996398">
              <w:rPr>
                <w:szCs w:val="22"/>
              </w:rPr>
              <w:t>March 2019</w:t>
            </w:r>
          </w:p>
        </w:tc>
      </w:tr>
      <w:tr w:rsidR="00804A46" w:rsidRPr="00454257" w14:paraId="0E15FE58" w14:textId="77777777" w:rsidTr="00804A46">
        <w:tc>
          <w:tcPr>
            <w:tcW w:w="4248" w:type="dxa"/>
            <w:shd w:val="clear" w:color="auto" w:fill="BDD6EE" w:themeFill="accent5" w:themeFillTint="66"/>
          </w:tcPr>
          <w:p w14:paraId="6B827D78" w14:textId="21DC909E" w:rsidR="00804A46" w:rsidRPr="00804A46" w:rsidRDefault="00804A46">
            <w:pPr>
              <w:rPr>
                <w:b/>
                <w:bCs/>
                <w:szCs w:val="22"/>
              </w:rPr>
            </w:pPr>
            <w:r w:rsidRPr="006F738B">
              <w:rPr>
                <w:b/>
                <w:bCs/>
                <w:szCs w:val="22"/>
              </w:rPr>
              <w:t>Completion date</w:t>
            </w:r>
          </w:p>
        </w:tc>
        <w:tc>
          <w:tcPr>
            <w:tcW w:w="4402" w:type="dxa"/>
            <w:shd w:val="clear" w:color="auto" w:fill="auto"/>
          </w:tcPr>
          <w:p w14:paraId="08144E8C" w14:textId="25A4D225" w:rsidR="00804A46" w:rsidRPr="006F738B" w:rsidRDefault="00804A46">
            <w:pPr>
              <w:rPr>
                <w:b/>
                <w:bCs/>
                <w:szCs w:val="22"/>
              </w:rPr>
            </w:pPr>
            <w:r w:rsidRPr="00996398">
              <w:rPr>
                <w:szCs w:val="22"/>
              </w:rPr>
              <w:t>June 30</w:t>
            </w:r>
            <w:r w:rsidRPr="00996398">
              <w:rPr>
                <w:szCs w:val="22"/>
                <w:vertAlign w:val="superscript"/>
              </w:rPr>
              <w:t>th</w:t>
            </w:r>
            <w:r w:rsidRPr="00996398">
              <w:rPr>
                <w:szCs w:val="22"/>
              </w:rPr>
              <w:t xml:space="preserve"> 2024</w:t>
            </w:r>
          </w:p>
        </w:tc>
      </w:tr>
      <w:tr w:rsidR="008C4A4F" w:rsidRPr="00454257" w14:paraId="6A7D518E" w14:textId="77777777" w:rsidTr="5FF6AE82">
        <w:tc>
          <w:tcPr>
            <w:tcW w:w="4248" w:type="dxa"/>
            <w:shd w:val="clear" w:color="auto" w:fill="BDD6EE" w:themeFill="accent5" w:themeFillTint="66"/>
          </w:tcPr>
          <w:p w14:paraId="506A3C21" w14:textId="78D41C1E" w:rsidR="008C4A4F" w:rsidRPr="006F738B" w:rsidRDefault="008C4A4F">
            <w:pPr>
              <w:rPr>
                <w:b/>
                <w:bCs/>
                <w:szCs w:val="22"/>
              </w:rPr>
            </w:pPr>
            <w:r w:rsidRPr="006F738B">
              <w:rPr>
                <w:rFonts w:ascii="Calibri" w:hAnsi="Calibri" w:cs="Calibri"/>
                <w:b/>
                <w:bCs/>
                <w:szCs w:val="22"/>
              </w:rPr>
              <w:t>Total Australian dollars</w:t>
            </w:r>
          </w:p>
        </w:tc>
        <w:tc>
          <w:tcPr>
            <w:tcW w:w="4402" w:type="dxa"/>
          </w:tcPr>
          <w:p w14:paraId="169197E8" w14:textId="597E5A20" w:rsidR="00172203" w:rsidRPr="006F738B" w:rsidRDefault="5FF6AE82">
            <w:r>
              <w:t xml:space="preserve">10,550,000.00 (USD) </w:t>
            </w:r>
          </w:p>
        </w:tc>
      </w:tr>
      <w:tr w:rsidR="008C4A4F" w:rsidRPr="00454257" w14:paraId="4ACE9AAA" w14:textId="77777777" w:rsidTr="5FF6AE82">
        <w:tc>
          <w:tcPr>
            <w:tcW w:w="4248" w:type="dxa"/>
            <w:shd w:val="clear" w:color="auto" w:fill="BDD6EE" w:themeFill="accent5" w:themeFillTint="66"/>
          </w:tcPr>
          <w:p w14:paraId="7C23772C" w14:textId="7997318A" w:rsidR="008C4A4F" w:rsidRPr="006F738B" w:rsidRDefault="008C4A4F" w:rsidP="006F738B">
            <w:pPr>
              <w:tabs>
                <w:tab w:val="left" w:pos="1529"/>
              </w:tabs>
              <w:rPr>
                <w:b/>
                <w:bCs/>
                <w:szCs w:val="22"/>
              </w:rPr>
            </w:pPr>
            <w:r w:rsidRPr="006F738B">
              <w:rPr>
                <w:rFonts w:ascii="Calibri" w:hAnsi="Calibri" w:cs="Calibri"/>
                <w:b/>
                <w:bCs/>
                <w:szCs w:val="22"/>
              </w:rPr>
              <w:t>Delivery organisation</w:t>
            </w:r>
          </w:p>
        </w:tc>
        <w:tc>
          <w:tcPr>
            <w:tcW w:w="4402" w:type="dxa"/>
          </w:tcPr>
          <w:p w14:paraId="779FDC2D" w14:textId="6C8B44B6" w:rsidR="008C4A4F" w:rsidRPr="006F738B" w:rsidRDefault="00454257">
            <w:pPr>
              <w:rPr>
                <w:szCs w:val="22"/>
              </w:rPr>
            </w:pPr>
            <w:r>
              <w:rPr>
                <w:szCs w:val="22"/>
              </w:rPr>
              <w:t>World Bank</w:t>
            </w:r>
            <w:r w:rsidR="0053277D">
              <w:rPr>
                <w:szCs w:val="22"/>
              </w:rPr>
              <w:t xml:space="preserve">, </w:t>
            </w:r>
            <w:r>
              <w:rPr>
                <w:szCs w:val="22"/>
              </w:rPr>
              <w:t>Philippines</w:t>
            </w:r>
          </w:p>
        </w:tc>
      </w:tr>
      <w:tr w:rsidR="008C4A4F" w:rsidRPr="00454257" w14:paraId="3DA50295" w14:textId="77777777" w:rsidTr="5FF6AE82">
        <w:tc>
          <w:tcPr>
            <w:tcW w:w="4248" w:type="dxa"/>
            <w:shd w:val="clear" w:color="auto" w:fill="BDD6EE" w:themeFill="accent5" w:themeFillTint="66"/>
          </w:tcPr>
          <w:p w14:paraId="2FEBFC88" w14:textId="5BEDDA37" w:rsidR="008C4A4F" w:rsidRPr="006F738B" w:rsidRDefault="008C4A4F">
            <w:pPr>
              <w:rPr>
                <w:b/>
                <w:bCs/>
                <w:szCs w:val="22"/>
              </w:rPr>
            </w:pPr>
            <w:r w:rsidRPr="006F738B">
              <w:rPr>
                <w:rFonts w:ascii="Calibri" w:hAnsi="Calibri" w:cs="Calibri"/>
                <w:b/>
                <w:bCs/>
                <w:szCs w:val="22"/>
              </w:rPr>
              <w:t>Country/Region</w:t>
            </w:r>
          </w:p>
        </w:tc>
        <w:tc>
          <w:tcPr>
            <w:tcW w:w="4402" w:type="dxa"/>
          </w:tcPr>
          <w:p w14:paraId="0B43A887" w14:textId="7A3A1565" w:rsidR="008C4A4F" w:rsidRPr="006F738B" w:rsidRDefault="00852881">
            <w:pPr>
              <w:rPr>
                <w:szCs w:val="22"/>
              </w:rPr>
            </w:pPr>
            <w:r>
              <w:rPr>
                <w:szCs w:val="22"/>
              </w:rPr>
              <w:t>Philippines</w:t>
            </w:r>
          </w:p>
        </w:tc>
      </w:tr>
      <w:tr w:rsidR="008C4A4F" w:rsidRPr="00454257" w14:paraId="6FBF5859" w14:textId="77777777" w:rsidTr="5FF6AE82">
        <w:tc>
          <w:tcPr>
            <w:tcW w:w="4248" w:type="dxa"/>
            <w:shd w:val="clear" w:color="auto" w:fill="BDD6EE" w:themeFill="accent5" w:themeFillTint="66"/>
          </w:tcPr>
          <w:p w14:paraId="00D713F5" w14:textId="2C962653" w:rsidR="008C4A4F" w:rsidRPr="006F738B" w:rsidRDefault="008C4A4F">
            <w:pPr>
              <w:rPr>
                <w:rFonts w:ascii="Calibri" w:hAnsi="Calibri" w:cs="Calibri"/>
                <w:b/>
                <w:bCs/>
                <w:szCs w:val="22"/>
              </w:rPr>
            </w:pPr>
            <w:r w:rsidRPr="006F738B">
              <w:rPr>
                <w:rFonts w:ascii="Calibri" w:hAnsi="Calibri" w:cs="Calibri"/>
                <w:b/>
                <w:bCs/>
                <w:szCs w:val="22"/>
              </w:rPr>
              <w:t>Primary Sector</w:t>
            </w:r>
          </w:p>
        </w:tc>
        <w:tc>
          <w:tcPr>
            <w:tcW w:w="4402" w:type="dxa"/>
          </w:tcPr>
          <w:p w14:paraId="56254B1C" w14:textId="6748AD40" w:rsidR="008C4A4F" w:rsidRPr="006F738B" w:rsidRDefault="00762256">
            <w:pPr>
              <w:rPr>
                <w:szCs w:val="22"/>
              </w:rPr>
            </w:pPr>
            <w:r>
              <w:rPr>
                <w:szCs w:val="22"/>
              </w:rPr>
              <w:t>I</w:t>
            </w:r>
            <w:r w:rsidR="000579BD" w:rsidRPr="000579BD">
              <w:rPr>
                <w:szCs w:val="22"/>
              </w:rPr>
              <w:t>nclusive economic growth</w:t>
            </w:r>
          </w:p>
        </w:tc>
      </w:tr>
    </w:tbl>
    <w:p w14:paraId="34C0EB79" w14:textId="1E54A38A" w:rsidR="00825D57" w:rsidRDefault="00825D57" w:rsidP="000377F8">
      <w:bookmarkStart w:id="2" w:name="_Toc523464589"/>
    </w:p>
    <w:bookmarkEnd w:id="2"/>
    <w:p w14:paraId="0F62F0C7" w14:textId="2D2DEE00" w:rsidR="00825D57" w:rsidRPr="00FF0039" w:rsidRDefault="00825D57" w:rsidP="00FF0039">
      <w:pPr>
        <w:spacing w:before="0"/>
        <w:rPr>
          <w:rFonts w:asciiTheme="majorHAnsi" w:eastAsiaTheme="majorEastAsia" w:hAnsiTheme="majorHAnsi" w:cstheme="majorBidi"/>
          <w:b/>
          <w:bCs/>
          <w:color w:val="2F5496" w:themeColor="accent1" w:themeShade="BF"/>
          <w:sz w:val="32"/>
          <w:szCs w:val="32"/>
          <w:lang w:eastAsia="en-US"/>
        </w:rPr>
      </w:pPr>
    </w:p>
    <w:p w14:paraId="2EAB8B54" w14:textId="16FED57B" w:rsidR="00825D57" w:rsidRDefault="00825D57" w:rsidP="006C245E">
      <w:pPr>
        <w:rPr>
          <w:lang w:eastAsia="en-US"/>
        </w:rPr>
      </w:pPr>
    </w:p>
    <w:p w14:paraId="49509CA2" w14:textId="135D5858" w:rsidR="00825D57" w:rsidRDefault="00825D57" w:rsidP="006C245E">
      <w:pPr>
        <w:rPr>
          <w:lang w:eastAsia="en-US"/>
        </w:rPr>
      </w:pPr>
    </w:p>
    <w:p w14:paraId="7F12EBA0" w14:textId="77777777" w:rsidR="00825D57" w:rsidRDefault="00825D57" w:rsidP="006C245E">
      <w:pPr>
        <w:rPr>
          <w:lang w:eastAsia="en-US"/>
        </w:rPr>
      </w:pPr>
    </w:p>
    <w:p w14:paraId="22C3FF6C" w14:textId="5A089CE3" w:rsidR="004F1D23" w:rsidRDefault="004F1D23">
      <w:pPr>
        <w:rPr>
          <w:sz w:val="24"/>
        </w:rPr>
      </w:pPr>
    </w:p>
    <w:p w14:paraId="1F5F520F" w14:textId="4F51C60C" w:rsidR="00825D57" w:rsidRDefault="00825D57">
      <w:pPr>
        <w:rPr>
          <w:sz w:val="24"/>
        </w:rPr>
      </w:pPr>
    </w:p>
    <w:p w14:paraId="3CE4BAA1" w14:textId="17779F49" w:rsidR="009B5C52" w:rsidRPr="009B5C52" w:rsidRDefault="009B5C52" w:rsidP="006F738B">
      <w:pPr>
        <w:pStyle w:val="Heading2"/>
      </w:pPr>
      <w:bookmarkStart w:id="3" w:name="_Toc125559991"/>
      <w:r w:rsidRPr="009B5C52">
        <w:t>Acknowledgments</w:t>
      </w:r>
      <w:bookmarkEnd w:id="3"/>
    </w:p>
    <w:p w14:paraId="6899DB89" w14:textId="56D8242A" w:rsidR="00825D57" w:rsidRDefault="009B5C52" w:rsidP="009B5C52">
      <w:pPr>
        <w:rPr>
          <w:sz w:val="24"/>
        </w:rPr>
      </w:pPr>
      <w:r w:rsidRPr="009B5C52">
        <w:rPr>
          <w:sz w:val="24"/>
        </w:rPr>
        <w:t>The evaluators would like to thank all respondents for taking the time to participate in interviews and for sharing their views and insights</w:t>
      </w:r>
      <w:r w:rsidR="00765241">
        <w:rPr>
          <w:sz w:val="24"/>
        </w:rPr>
        <w:t>,</w:t>
      </w:r>
      <w:r w:rsidRPr="009B5C52">
        <w:rPr>
          <w:sz w:val="24"/>
        </w:rPr>
        <w:t xml:space="preserve"> including Philippine </w:t>
      </w:r>
      <w:r w:rsidR="00765241">
        <w:rPr>
          <w:sz w:val="24"/>
        </w:rPr>
        <w:t>g</w:t>
      </w:r>
      <w:r w:rsidRPr="009B5C52">
        <w:rPr>
          <w:sz w:val="24"/>
        </w:rPr>
        <w:t>overnment officials, DFAT and WB officers, and representatives from donors and development partners. The evaluator</w:t>
      </w:r>
      <w:r w:rsidR="00D53854">
        <w:rPr>
          <w:sz w:val="24"/>
        </w:rPr>
        <w:t>s</w:t>
      </w:r>
      <w:r w:rsidRPr="009B5C52">
        <w:rPr>
          <w:sz w:val="24"/>
        </w:rPr>
        <w:t xml:space="preserve"> would particularly like to thank </w:t>
      </w:r>
      <w:r w:rsidR="00D60CBF">
        <w:rPr>
          <w:sz w:val="24"/>
        </w:rPr>
        <w:t xml:space="preserve">the </w:t>
      </w:r>
      <w:proofErr w:type="spellStart"/>
      <w:r w:rsidR="00676ECA">
        <w:rPr>
          <w:sz w:val="24"/>
        </w:rPr>
        <w:t>AGaP</w:t>
      </w:r>
      <w:proofErr w:type="spellEnd"/>
      <w:r w:rsidR="00676ECA">
        <w:rPr>
          <w:sz w:val="24"/>
        </w:rPr>
        <w:t xml:space="preserve"> Secretariat in the </w:t>
      </w:r>
      <w:r w:rsidR="00D60CBF">
        <w:rPr>
          <w:sz w:val="24"/>
        </w:rPr>
        <w:t>World Bank and DFA</w:t>
      </w:r>
      <w:r w:rsidR="00676ECA">
        <w:rPr>
          <w:sz w:val="24"/>
        </w:rPr>
        <w:t>T</w:t>
      </w:r>
      <w:r w:rsidR="00D60CBF">
        <w:rPr>
          <w:sz w:val="24"/>
        </w:rPr>
        <w:t xml:space="preserve"> </w:t>
      </w:r>
      <w:r w:rsidRPr="009B5C52">
        <w:rPr>
          <w:sz w:val="24"/>
        </w:rPr>
        <w:t xml:space="preserve">for their efforts in facilitating access to information and </w:t>
      </w:r>
      <w:r w:rsidR="003A6ABA">
        <w:rPr>
          <w:sz w:val="24"/>
        </w:rPr>
        <w:t>key respondents</w:t>
      </w:r>
      <w:r w:rsidR="00EB7894">
        <w:rPr>
          <w:color w:val="000000" w:themeColor="text1"/>
          <w:sz w:val="24"/>
        </w:rPr>
        <w:t>.</w:t>
      </w:r>
    </w:p>
    <w:p w14:paraId="0CE34043" w14:textId="70C1B80E" w:rsidR="00825D57" w:rsidRDefault="00825D57">
      <w:pPr>
        <w:rPr>
          <w:sz w:val="24"/>
        </w:rPr>
      </w:pPr>
    </w:p>
    <w:p w14:paraId="453EB9FA" w14:textId="77777777" w:rsidR="00972C02" w:rsidRDefault="00972C02" w:rsidP="00774767">
      <w:pPr>
        <w:rPr>
          <w:sz w:val="24"/>
          <w:lang w:val="en-US"/>
        </w:rPr>
      </w:pPr>
    </w:p>
    <w:p w14:paraId="2832B54B" w14:textId="77777777" w:rsidR="00972C02" w:rsidRDefault="00972C02" w:rsidP="00774767">
      <w:pPr>
        <w:rPr>
          <w:sz w:val="24"/>
          <w:lang w:val="en-US"/>
        </w:rPr>
      </w:pPr>
    </w:p>
    <w:p w14:paraId="39A67DF9" w14:textId="771BDDAC" w:rsidR="00825D57" w:rsidRPr="00C13FE7" w:rsidRDefault="00774767">
      <w:pPr>
        <w:rPr>
          <w:sz w:val="24"/>
          <w:lang w:val="en-US"/>
        </w:rPr>
      </w:pPr>
      <w:r w:rsidRPr="00774767">
        <w:rPr>
          <w:sz w:val="24"/>
          <w:lang w:val="en-US"/>
        </w:rPr>
        <w:t xml:space="preserve">The Mid Term Review was led by Beth Elson, an independent evaluator, supported by </w:t>
      </w:r>
      <w:r>
        <w:rPr>
          <w:sz w:val="24"/>
          <w:lang w:val="en-US"/>
        </w:rPr>
        <w:t xml:space="preserve">Moira </w:t>
      </w:r>
      <w:proofErr w:type="spellStart"/>
      <w:r w:rsidR="00001639">
        <w:rPr>
          <w:sz w:val="24"/>
          <w:lang w:val="en-US"/>
        </w:rPr>
        <w:t>Enerva</w:t>
      </w:r>
      <w:proofErr w:type="spellEnd"/>
      <w:r w:rsidR="006534DF">
        <w:rPr>
          <w:sz w:val="24"/>
          <w:lang w:val="en-US"/>
        </w:rPr>
        <w:t xml:space="preserve"> </w:t>
      </w:r>
      <w:r w:rsidRPr="00774767">
        <w:rPr>
          <w:sz w:val="24"/>
          <w:lang w:val="en-US"/>
        </w:rPr>
        <w:t>a</w:t>
      </w:r>
      <w:r w:rsidR="00933148">
        <w:rPr>
          <w:sz w:val="24"/>
          <w:lang w:val="en-US"/>
        </w:rPr>
        <w:t>s co-evaluator</w:t>
      </w:r>
      <w:r w:rsidRPr="00774767">
        <w:rPr>
          <w:sz w:val="24"/>
          <w:lang w:val="en-US"/>
        </w:rPr>
        <w:t>. As such, the views presented reflect the professional judgement of the evaluation team and do not necessarily represent the views of DFAT or the World Bank Group, nor bind them to action.</w:t>
      </w:r>
    </w:p>
    <w:p w14:paraId="0C19DD37" w14:textId="4F10F78F" w:rsidR="00825D57" w:rsidRPr="006F738B" w:rsidRDefault="00825D57" w:rsidP="006F738B">
      <w:pPr>
        <w:spacing w:before="0"/>
        <w:rPr>
          <w:sz w:val="24"/>
        </w:rPr>
      </w:pPr>
      <w:r>
        <w:rPr>
          <w:sz w:val="24"/>
        </w:rPr>
        <w:br w:type="page"/>
      </w:r>
    </w:p>
    <w:p w14:paraId="176DB92C" w14:textId="422611D2" w:rsidR="004F1D23" w:rsidRPr="00157345" w:rsidRDefault="003B38E1" w:rsidP="00E3206A">
      <w:pPr>
        <w:rPr>
          <w:rFonts w:cstheme="minorHAnsi"/>
        </w:rPr>
      </w:pPr>
      <w:r w:rsidRPr="00E3206A">
        <w:rPr>
          <w:rFonts w:cstheme="minorHAnsi"/>
          <w:sz w:val="32"/>
          <w:szCs w:val="32"/>
        </w:rPr>
        <w:lastRenderedPageBreak/>
        <w:t>Table of Contents</w:t>
      </w:r>
    </w:p>
    <w:p w14:paraId="4E83EC0F" w14:textId="1C65F877" w:rsidR="00C42E2E" w:rsidRDefault="006655DD">
      <w:pPr>
        <w:pStyle w:val="TOC1"/>
        <w:rPr>
          <w:rFonts w:eastAsiaTheme="minorEastAsia"/>
          <w:noProof/>
          <w:color w:val="auto"/>
          <w:sz w:val="24"/>
          <w:szCs w:val="24"/>
          <w:lang w:eastAsia="en-GB"/>
        </w:rPr>
      </w:pPr>
      <w:r>
        <w:fldChar w:fldCharType="begin"/>
      </w:r>
      <w:r>
        <w:instrText xml:space="preserve"> TOC \o "1-3" \h \z \u </w:instrText>
      </w:r>
      <w:r>
        <w:fldChar w:fldCharType="separate"/>
      </w:r>
      <w:hyperlink w:anchor="_Toc125559990" w:history="1">
        <w:r w:rsidR="00C42E2E" w:rsidRPr="001C04B0">
          <w:rPr>
            <w:rStyle w:val="Hyperlink"/>
            <w:noProof/>
          </w:rPr>
          <w:t>Aid Activity Summary</w:t>
        </w:r>
        <w:r w:rsidR="00C42E2E">
          <w:rPr>
            <w:noProof/>
            <w:webHidden/>
          </w:rPr>
          <w:tab/>
        </w:r>
        <w:r w:rsidR="00C42E2E">
          <w:rPr>
            <w:noProof/>
            <w:webHidden/>
          </w:rPr>
          <w:fldChar w:fldCharType="begin"/>
        </w:r>
        <w:r w:rsidR="00C42E2E">
          <w:rPr>
            <w:noProof/>
            <w:webHidden/>
          </w:rPr>
          <w:instrText xml:space="preserve"> PAGEREF _Toc125559990 \h </w:instrText>
        </w:r>
        <w:r w:rsidR="00C42E2E">
          <w:rPr>
            <w:noProof/>
            <w:webHidden/>
          </w:rPr>
        </w:r>
        <w:r w:rsidR="00C42E2E">
          <w:rPr>
            <w:noProof/>
            <w:webHidden/>
          </w:rPr>
          <w:fldChar w:fldCharType="separate"/>
        </w:r>
        <w:r w:rsidR="005300E4">
          <w:rPr>
            <w:noProof/>
            <w:webHidden/>
          </w:rPr>
          <w:t>3</w:t>
        </w:r>
        <w:r w:rsidR="00C42E2E">
          <w:rPr>
            <w:noProof/>
            <w:webHidden/>
          </w:rPr>
          <w:fldChar w:fldCharType="end"/>
        </w:r>
      </w:hyperlink>
    </w:p>
    <w:p w14:paraId="3603CEFF" w14:textId="100B2560" w:rsidR="00C42E2E" w:rsidRDefault="00000000">
      <w:pPr>
        <w:pStyle w:val="TOC2"/>
        <w:tabs>
          <w:tab w:val="right" w:leader="dot" w:pos="8650"/>
        </w:tabs>
        <w:rPr>
          <w:rFonts w:eastAsiaTheme="minorEastAsia"/>
          <w:noProof/>
          <w:color w:val="auto"/>
          <w:sz w:val="24"/>
          <w:szCs w:val="24"/>
          <w:lang w:eastAsia="en-GB"/>
        </w:rPr>
      </w:pPr>
      <w:hyperlink w:anchor="_Toc125559991" w:history="1">
        <w:r w:rsidR="00C42E2E" w:rsidRPr="001C04B0">
          <w:rPr>
            <w:rStyle w:val="Hyperlink"/>
            <w:noProof/>
          </w:rPr>
          <w:t>Acknowledgments</w:t>
        </w:r>
        <w:r w:rsidR="00C42E2E">
          <w:rPr>
            <w:noProof/>
            <w:webHidden/>
          </w:rPr>
          <w:tab/>
        </w:r>
        <w:r w:rsidR="00C42E2E">
          <w:rPr>
            <w:noProof/>
            <w:webHidden/>
          </w:rPr>
          <w:fldChar w:fldCharType="begin"/>
        </w:r>
        <w:r w:rsidR="00C42E2E">
          <w:rPr>
            <w:noProof/>
            <w:webHidden/>
          </w:rPr>
          <w:instrText xml:space="preserve"> PAGEREF _Toc125559991 \h </w:instrText>
        </w:r>
        <w:r w:rsidR="00C42E2E">
          <w:rPr>
            <w:noProof/>
            <w:webHidden/>
          </w:rPr>
        </w:r>
        <w:r w:rsidR="00C42E2E">
          <w:rPr>
            <w:noProof/>
            <w:webHidden/>
          </w:rPr>
          <w:fldChar w:fldCharType="separate"/>
        </w:r>
        <w:r w:rsidR="005300E4">
          <w:rPr>
            <w:noProof/>
            <w:webHidden/>
          </w:rPr>
          <w:t>3</w:t>
        </w:r>
        <w:r w:rsidR="00C42E2E">
          <w:rPr>
            <w:noProof/>
            <w:webHidden/>
          </w:rPr>
          <w:fldChar w:fldCharType="end"/>
        </w:r>
      </w:hyperlink>
    </w:p>
    <w:p w14:paraId="4B28D46B" w14:textId="6A2ED7DF" w:rsidR="00C42E2E" w:rsidRDefault="00000000">
      <w:pPr>
        <w:pStyle w:val="TOC1"/>
        <w:rPr>
          <w:rFonts w:eastAsiaTheme="minorEastAsia"/>
          <w:noProof/>
          <w:color w:val="auto"/>
          <w:sz w:val="24"/>
          <w:szCs w:val="24"/>
          <w:lang w:eastAsia="en-GB"/>
        </w:rPr>
      </w:pPr>
      <w:hyperlink w:anchor="_Toc125559992" w:history="1">
        <w:r w:rsidR="00C42E2E" w:rsidRPr="001C04B0">
          <w:rPr>
            <w:rStyle w:val="Hyperlink"/>
            <w:noProof/>
          </w:rPr>
          <w:t>Abbreviations</w:t>
        </w:r>
        <w:r w:rsidR="00C42E2E">
          <w:rPr>
            <w:noProof/>
            <w:webHidden/>
          </w:rPr>
          <w:tab/>
        </w:r>
        <w:r w:rsidR="00C42E2E">
          <w:rPr>
            <w:noProof/>
            <w:webHidden/>
          </w:rPr>
          <w:fldChar w:fldCharType="begin"/>
        </w:r>
        <w:r w:rsidR="00C42E2E">
          <w:rPr>
            <w:noProof/>
            <w:webHidden/>
          </w:rPr>
          <w:instrText xml:space="preserve"> PAGEREF _Toc125559992 \h </w:instrText>
        </w:r>
        <w:r w:rsidR="00C42E2E">
          <w:rPr>
            <w:noProof/>
            <w:webHidden/>
          </w:rPr>
        </w:r>
        <w:r w:rsidR="00C42E2E">
          <w:rPr>
            <w:noProof/>
            <w:webHidden/>
          </w:rPr>
          <w:fldChar w:fldCharType="separate"/>
        </w:r>
        <w:r w:rsidR="005300E4">
          <w:rPr>
            <w:noProof/>
            <w:webHidden/>
          </w:rPr>
          <w:t>6</w:t>
        </w:r>
        <w:r w:rsidR="00C42E2E">
          <w:rPr>
            <w:noProof/>
            <w:webHidden/>
          </w:rPr>
          <w:fldChar w:fldCharType="end"/>
        </w:r>
      </w:hyperlink>
    </w:p>
    <w:p w14:paraId="7869E728" w14:textId="368A54E0" w:rsidR="00C42E2E" w:rsidRDefault="00000000">
      <w:pPr>
        <w:pStyle w:val="TOC1"/>
        <w:rPr>
          <w:rFonts w:eastAsiaTheme="minorEastAsia"/>
          <w:noProof/>
          <w:color w:val="auto"/>
          <w:sz w:val="24"/>
          <w:szCs w:val="24"/>
          <w:lang w:eastAsia="en-GB"/>
        </w:rPr>
      </w:pPr>
      <w:hyperlink w:anchor="_Toc125559993" w:history="1">
        <w:r w:rsidR="00C42E2E" w:rsidRPr="001C04B0">
          <w:rPr>
            <w:rStyle w:val="Hyperlink"/>
            <w:noProof/>
          </w:rPr>
          <w:t>Executive Summary and Recommendations</w:t>
        </w:r>
        <w:r w:rsidR="00C42E2E">
          <w:rPr>
            <w:noProof/>
            <w:webHidden/>
          </w:rPr>
          <w:tab/>
        </w:r>
        <w:r w:rsidR="00C42E2E">
          <w:rPr>
            <w:noProof/>
            <w:webHidden/>
          </w:rPr>
          <w:fldChar w:fldCharType="begin"/>
        </w:r>
        <w:r w:rsidR="00C42E2E">
          <w:rPr>
            <w:noProof/>
            <w:webHidden/>
          </w:rPr>
          <w:instrText xml:space="preserve"> PAGEREF _Toc125559993 \h </w:instrText>
        </w:r>
        <w:r w:rsidR="00C42E2E">
          <w:rPr>
            <w:noProof/>
            <w:webHidden/>
          </w:rPr>
        </w:r>
        <w:r w:rsidR="00C42E2E">
          <w:rPr>
            <w:noProof/>
            <w:webHidden/>
          </w:rPr>
          <w:fldChar w:fldCharType="separate"/>
        </w:r>
        <w:r w:rsidR="005300E4">
          <w:rPr>
            <w:noProof/>
            <w:webHidden/>
          </w:rPr>
          <w:t>7</w:t>
        </w:r>
        <w:r w:rsidR="00C42E2E">
          <w:rPr>
            <w:noProof/>
            <w:webHidden/>
          </w:rPr>
          <w:fldChar w:fldCharType="end"/>
        </w:r>
      </w:hyperlink>
    </w:p>
    <w:p w14:paraId="11D5E504" w14:textId="7CA20C17" w:rsidR="00C42E2E" w:rsidRDefault="00000000">
      <w:pPr>
        <w:pStyle w:val="TOC1"/>
        <w:rPr>
          <w:rFonts w:eastAsiaTheme="minorEastAsia"/>
          <w:noProof/>
          <w:color w:val="auto"/>
          <w:sz w:val="24"/>
          <w:szCs w:val="24"/>
          <w:lang w:eastAsia="en-GB"/>
        </w:rPr>
      </w:pPr>
      <w:hyperlink w:anchor="_Toc125559994" w:history="1">
        <w:r w:rsidR="00C42E2E" w:rsidRPr="001C04B0">
          <w:rPr>
            <w:rStyle w:val="Hyperlink"/>
            <w:noProof/>
          </w:rPr>
          <w:t>Introduction</w:t>
        </w:r>
        <w:r w:rsidR="00C42E2E">
          <w:rPr>
            <w:noProof/>
            <w:webHidden/>
          </w:rPr>
          <w:tab/>
        </w:r>
        <w:r w:rsidR="00C42E2E">
          <w:rPr>
            <w:noProof/>
            <w:webHidden/>
          </w:rPr>
          <w:fldChar w:fldCharType="begin"/>
        </w:r>
        <w:r w:rsidR="00C42E2E">
          <w:rPr>
            <w:noProof/>
            <w:webHidden/>
          </w:rPr>
          <w:instrText xml:space="preserve"> PAGEREF _Toc125559994 \h </w:instrText>
        </w:r>
        <w:r w:rsidR="00C42E2E">
          <w:rPr>
            <w:noProof/>
            <w:webHidden/>
          </w:rPr>
        </w:r>
        <w:r w:rsidR="00C42E2E">
          <w:rPr>
            <w:noProof/>
            <w:webHidden/>
          </w:rPr>
          <w:fldChar w:fldCharType="separate"/>
        </w:r>
        <w:r w:rsidR="005300E4">
          <w:rPr>
            <w:noProof/>
            <w:webHidden/>
          </w:rPr>
          <w:t>11</w:t>
        </w:r>
        <w:r w:rsidR="00C42E2E">
          <w:rPr>
            <w:noProof/>
            <w:webHidden/>
          </w:rPr>
          <w:fldChar w:fldCharType="end"/>
        </w:r>
      </w:hyperlink>
    </w:p>
    <w:p w14:paraId="55BF8B1E" w14:textId="5227E0D1" w:rsidR="00C42E2E" w:rsidRDefault="00000000">
      <w:pPr>
        <w:pStyle w:val="TOC2"/>
        <w:tabs>
          <w:tab w:val="right" w:leader="dot" w:pos="8650"/>
        </w:tabs>
        <w:rPr>
          <w:rFonts w:eastAsiaTheme="minorEastAsia"/>
          <w:noProof/>
          <w:color w:val="auto"/>
          <w:sz w:val="24"/>
          <w:szCs w:val="24"/>
          <w:lang w:eastAsia="en-GB"/>
        </w:rPr>
      </w:pPr>
      <w:hyperlink w:anchor="_Toc125559995" w:history="1">
        <w:r w:rsidR="00C42E2E" w:rsidRPr="001C04B0">
          <w:rPr>
            <w:rStyle w:val="Hyperlink"/>
            <w:noProof/>
          </w:rPr>
          <w:t>Strategic Context</w:t>
        </w:r>
        <w:r w:rsidR="00C42E2E">
          <w:rPr>
            <w:noProof/>
            <w:webHidden/>
          </w:rPr>
          <w:tab/>
        </w:r>
        <w:r w:rsidR="00C42E2E">
          <w:rPr>
            <w:noProof/>
            <w:webHidden/>
          </w:rPr>
          <w:fldChar w:fldCharType="begin"/>
        </w:r>
        <w:r w:rsidR="00C42E2E">
          <w:rPr>
            <w:noProof/>
            <w:webHidden/>
          </w:rPr>
          <w:instrText xml:space="preserve"> PAGEREF _Toc125559995 \h </w:instrText>
        </w:r>
        <w:r w:rsidR="00C42E2E">
          <w:rPr>
            <w:noProof/>
            <w:webHidden/>
          </w:rPr>
        </w:r>
        <w:r w:rsidR="00C42E2E">
          <w:rPr>
            <w:noProof/>
            <w:webHidden/>
          </w:rPr>
          <w:fldChar w:fldCharType="separate"/>
        </w:r>
        <w:r w:rsidR="005300E4">
          <w:rPr>
            <w:noProof/>
            <w:webHidden/>
          </w:rPr>
          <w:t>12</w:t>
        </w:r>
        <w:r w:rsidR="00C42E2E">
          <w:rPr>
            <w:noProof/>
            <w:webHidden/>
          </w:rPr>
          <w:fldChar w:fldCharType="end"/>
        </w:r>
      </w:hyperlink>
    </w:p>
    <w:p w14:paraId="3048CE5F" w14:textId="1CA254B8" w:rsidR="00C42E2E" w:rsidRDefault="00000000">
      <w:pPr>
        <w:pStyle w:val="TOC1"/>
        <w:rPr>
          <w:rFonts w:eastAsiaTheme="minorEastAsia"/>
          <w:noProof/>
          <w:color w:val="auto"/>
          <w:sz w:val="24"/>
          <w:szCs w:val="24"/>
          <w:lang w:eastAsia="en-GB"/>
        </w:rPr>
      </w:pPr>
      <w:hyperlink w:anchor="_Toc125559996" w:history="1">
        <w:r w:rsidR="00C42E2E" w:rsidRPr="001C04B0">
          <w:rPr>
            <w:rStyle w:val="Hyperlink"/>
            <w:noProof/>
          </w:rPr>
          <w:t>Evaluation Objectives and Methodology</w:t>
        </w:r>
        <w:r w:rsidR="00C42E2E">
          <w:rPr>
            <w:noProof/>
            <w:webHidden/>
          </w:rPr>
          <w:tab/>
        </w:r>
        <w:r w:rsidR="00C42E2E">
          <w:rPr>
            <w:noProof/>
            <w:webHidden/>
          </w:rPr>
          <w:fldChar w:fldCharType="begin"/>
        </w:r>
        <w:r w:rsidR="00C42E2E">
          <w:rPr>
            <w:noProof/>
            <w:webHidden/>
          </w:rPr>
          <w:instrText xml:space="preserve"> PAGEREF _Toc125559996 \h </w:instrText>
        </w:r>
        <w:r w:rsidR="00C42E2E">
          <w:rPr>
            <w:noProof/>
            <w:webHidden/>
          </w:rPr>
        </w:r>
        <w:r w:rsidR="00C42E2E">
          <w:rPr>
            <w:noProof/>
            <w:webHidden/>
          </w:rPr>
          <w:fldChar w:fldCharType="separate"/>
        </w:r>
        <w:r w:rsidR="005300E4">
          <w:rPr>
            <w:noProof/>
            <w:webHidden/>
          </w:rPr>
          <w:t>13</w:t>
        </w:r>
        <w:r w:rsidR="00C42E2E">
          <w:rPr>
            <w:noProof/>
            <w:webHidden/>
          </w:rPr>
          <w:fldChar w:fldCharType="end"/>
        </w:r>
      </w:hyperlink>
    </w:p>
    <w:p w14:paraId="7421EF7F" w14:textId="750EE102" w:rsidR="00C42E2E" w:rsidRDefault="00000000">
      <w:pPr>
        <w:pStyle w:val="TOC1"/>
        <w:rPr>
          <w:rFonts w:eastAsiaTheme="minorEastAsia"/>
          <w:noProof/>
          <w:color w:val="auto"/>
          <w:sz w:val="24"/>
          <w:szCs w:val="24"/>
          <w:lang w:eastAsia="en-GB"/>
        </w:rPr>
      </w:pPr>
      <w:hyperlink w:anchor="_Toc125559997" w:history="1">
        <w:r w:rsidR="00C42E2E" w:rsidRPr="001C04B0">
          <w:rPr>
            <w:rStyle w:val="Hyperlink"/>
            <w:noProof/>
          </w:rPr>
          <w:t>Overall Findings</w:t>
        </w:r>
        <w:r w:rsidR="00C42E2E">
          <w:rPr>
            <w:noProof/>
            <w:webHidden/>
          </w:rPr>
          <w:tab/>
        </w:r>
        <w:r w:rsidR="00C42E2E">
          <w:rPr>
            <w:noProof/>
            <w:webHidden/>
          </w:rPr>
          <w:fldChar w:fldCharType="begin"/>
        </w:r>
        <w:r w:rsidR="00C42E2E">
          <w:rPr>
            <w:noProof/>
            <w:webHidden/>
          </w:rPr>
          <w:instrText xml:space="preserve"> PAGEREF _Toc125559997 \h </w:instrText>
        </w:r>
        <w:r w:rsidR="00C42E2E">
          <w:rPr>
            <w:noProof/>
            <w:webHidden/>
          </w:rPr>
        </w:r>
        <w:r w:rsidR="00C42E2E">
          <w:rPr>
            <w:noProof/>
            <w:webHidden/>
          </w:rPr>
          <w:fldChar w:fldCharType="separate"/>
        </w:r>
        <w:r w:rsidR="005300E4">
          <w:rPr>
            <w:noProof/>
            <w:webHidden/>
          </w:rPr>
          <w:t>14</w:t>
        </w:r>
        <w:r w:rsidR="00C42E2E">
          <w:rPr>
            <w:noProof/>
            <w:webHidden/>
          </w:rPr>
          <w:fldChar w:fldCharType="end"/>
        </w:r>
      </w:hyperlink>
    </w:p>
    <w:p w14:paraId="54EDC4EF" w14:textId="28642BE3" w:rsidR="00C42E2E" w:rsidRDefault="00000000">
      <w:pPr>
        <w:pStyle w:val="TOC1"/>
        <w:rPr>
          <w:rFonts w:eastAsiaTheme="minorEastAsia"/>
          <w:noProof/>
          <w:color w:val="auto"/>
          <w:sz w:val="24"/>
          <w:szCs w:val="24"/>
          <w:lang w:eastAsia="en-GB"/>
        </w:rPr>
      </w:pPr>
      <w:hyperlink w:anchor="_Toc125559998" w:history="1">
        <w:r w:rsidR="00C42E2E" w:rsidRPr="001C04B0">
          <w:rPr>
            <w:rStyle w:val="Hyperlink"/>
            <w:noProof/>
          </w:rPr>
          <w:t>Assessment and Findings</w:t>
        </w:r>
        <w:r w:rsidR="00C42E2E">
          <w:rPr>
            <w:noProof/>
            <w:webHidden/>
          </w:rPr>
          <w:tab/>
        </w:r>
        <w:r w:rsidR="00C42E2E">
          <w:rPr>
            <w:noProof/>
            <w:webHidden/>
          </w:rPr>
          <w:fldChar w:fldCharType="begin"/>
        </w:r>
        <w:r w:rsidR="00C42E2E">
          <w:rPr>
            <w:noProof/>
            <w:webHidden/>
          </w:rPr>
          <w:instrText xml:space="preserve"> PAGEREF _Toc125559998 \h </w:instrText>
        </w:r>
        <w:r w:rsidR="00C42E2E">
          <w:rPr>
            <w:noProof/>
            <w:webHidden/>
          </w:rPr>
        </w:r>
        <w:r w:rsidR="00C42E2E">
          <w:rPr>
            <w:noProof/>
            <w:webHidden/>
          </w:rPr>
          <w:fldChar w:fldCharType="separate"/>
        </w:r>
        <w:r w:rsidR="005300E4">
          <w:rPr>
            <w:noProof/>
            <w:webHidden/>
          </w:rPr>
          <w:t>17</w:t>
        </w:r>
        <w:r w:rsidR="00C42E2E">
          <w:rPr>
            <w:noProof/>
            <w:webHidden/>
          </w:rPr>
          <w:fldChar w:fldCharType="end"/>
        </w:r>
      </w:hyperlink>
    </w:p>
    <w:p w14:paraId="40A8F0F2" w14:textId="2D47643A" w:rsidR="00C42E2E" w:rsidRDefault="00000000">
      <w:pPr>
        <w:pStyle w:val="TOC2"/>
        <w:tabs>
          <w:tab w:val="right" w:leader="dot" w:pos="8650"/>
        </w:tabs>
        <w:rPr>
          <w:rFonts w:eastAsiaTheme="minorEastAsia"/>
          <w:noProof/>
          <w:color w:val="auto"/>
          <w:sz w:val="24"/>
          <w:szCs w:val="24"/>
          <w:lang w:eastAsia="en-GB"/>
        </w:rPr>
      </w:pPr>
      <w:hyperlink w:anchor="_Toc125559999" w:history="1">
        <w:r w:rsidR="00C42E2E" w:rsidRPr="001C04B0">
          <w:rPr>
            <w:rStyle w:val="Hyperlink"/>
            <w:noProof/>
          </w:rPr>
          <w:t>Relevance</w:t>
        </w:r>
        <w:r w:rsidR="00C42E2E">
          <w:rPr>
            <w:noProof/>
            <w:webHidden/>
          </w:rPr>
          <w:tab/>
        </w:r>
        <w:r w:rsidR="00C42E2E">
          <w:rPr>
            <w:noProof/>
            <w:webHidden/>
          </w:rPr>
          <w:fldChar w:fldCharType="begin"/>
        </w:r>
        <w:r w:rsidR="00C42E2E">
          <w:rPr>
            <w:noProof/>
            <w:webHidden/>
          </w:rPr>
          <w:instrText xml:space="preserve"> PAGEREF _Toc125559999 \h </w:instrText>
        </w:r>
        <w:r w:rsidR="00C42E2E">
          <w:rPr>
            <w:noProof/>
            <w:webHidden/>
          </w:rPr>
        </w:r>
        <w:r w:rsidR="00C42E2E">
          <w:rPr>
            <w:noProof/>
            <w:webHidden/>
          </w:rPr>
          <w:fldChar w:fldCharType="separate"/>
        </w:r>
        <w:r w:rsidR="005300E4">
          <w:rPr>
            <w:noProof/>
            <w:webHidden/>
          </w:rPr>
          <w:t>17</w:t>
        </w:r>
        <w:r w:rsidR="00C42E2E">
          <w:rPr>
            <w:noProof/>
            <w:webHidden/>
          </w:rPr>
          <w:fldChar w:fldCharType="end"/>
        </w:r>
      </w:hyperlink>
    </w:p>
    <w:p w14:paraId="2C3051E0" w14:textId="02018697" w:rsidR="00C42E2E" w:rsidRDefault="00000000">
      <w:pPr>
        <w:pStyle w:val="TOC2"/>
        <w:tabs>
          <w:tab w:val="right" w:leader="dot" w:pos="8650"/>
        </w:tabs>
        <w:rPr>
          <w:rFonts w:eastAsiaTheme="minorEastAsia"/>
          <w:noProof/>
          <w:color w:val="auto"/>
          <w:sz w:val="24"/>
          <w:szCs w:val="24"/>
          <w:lang w:eastAsia="en-GB"/>
        </w:rPr>
      </w:pPr>
      <w:hyperlink w:anchor="_Toc125560000" w:history="1">
        <w:r w:rsidR="00C42E2E" w:rsidRPr="001C04B0">
          <w:rPr>
            <w:rStyle w:val="Hyperlink"/>
            <w:noProof/>
          </w:rPr>
          <w:t>Efficiency</w:t>
        </w:r>
        <w:r w:rsidR="00C42E2E">
          <w:rPr>
            <w:noProof/>
            <w:webHidden/>
          </w:rPr>
          <w:tab/>
        </w:r>
        <w:r w:rsidR="00C42E2E">
          <w:rPr>
            <w:noProof/>
            <w:webHidden/>
          </w:rPr>
          <w:fldChar w:fldCharType="begin"/>
        </w:r>
        <w:r w:rsidR="00C42E2E">
          <w:rPr>
            <w:noProof/>
            <w:webHidden/>
          </w:rPr>
          <w:instrText xml:space="preserve"> PAGEREF _Toc125560000 \h </w:instrText>
        </w:r>
        <w:r w:rsidR="00C42E2E">
          <w:rPr>
            <w:noProof/>
            <w:webHidden/>
          </w:rPr>
        </w:r>
        <w:r w:rsidR="00C42E2E">
          <w:rPr>
            <w:noProof/>
            <w:webHidden/>
          </w:rPr>
          <w:fldChar w:fldCharType="separate"/>
        </w:r>
        <w:r w:rsidR="005300E4">
          <w:rPr>
            <w:noProof/>
            <w:webHidden/>
          </w:rPr>
          <w:t>19</w:t>
        </w:r>
        <w:r w:rsidR="00C42E2E">
          <w:rPr>
            <w:noProof/>
            <w:webHidden/>
          </w:rPr>
          <w:fldChar w:fldCharType="end"/>
        </w:r>
      </w:hyperlink>
    </w:p>
    <w:p w14:paraId="54C1CFAC" w14:textId="5FD84776" w:rsidR="00C42E2E" w:rsidRDefault="00000000">
      <w:pPr>
        <w:pStyle w:val="TOC2"/>
        <w:tabs>
          <w:tab w:val="right" w:leader="dot" w:pos="8650"/>
        </w:tabs>
        <w:rPr>
          <w:rFonts w:eastAsiaTheme="minorEastAsia"/>
          <w:noProof/>
          <w:color w:val="auto"/>
          <w:sz w:val="24"/>
          <w:szCs w:val="24"/>
          <w:lang w:eastAsia="en-GB"/>
        </w:rPr>
      </w:pPr>
      <w:hyperlink w:anchor="_Toc125560001" w:history="1">
        <w:r w:rsidR="00C42E2E" w:rsidRPr="001C04B0">
          <w:rPr>
            <w:rStyle w:val="Hyperlink"/>
            <w:noProof/>
          </w:rPr>
          <w:t>Effectiveness</w:t>
        </w:r>
        <w:r w:rsidR="00C42E2E">
          <w:rPr>
            <w:noProof/>
            <w:webHidden/>
          </w:rPr>
          <w:tab/>
        </w:r>
        <w:r w:rsidR="00C42E2E">
          <w:rPr>
            <w:noProof/>
            <w:webHidden/>
          </w:rPr>
          <w:fldChar w:fldCharType="begin"/>
        </w:r>
        <w:r w:rsidR="00C42E2E">
          <w:rPr>
            <w:noProof/>
            <w:webHidden/>
          </w:rPr>
          <w:instrText xml:space="preserve"> PAGEREF _Toc125560001 \h </w:instrText>
        </w:r>
        <w:r w:rsidR="00C42E2E">
          <w:rPr>
            <w:noProof/>
            <w:webHidden/>
          </w:rPr>
        </w:r>
        <w:r w:rsidR="00C42E2E">
          <w:rPr>
            <w:noProof/>
            <w:webHidden/>
          </w:rPr>
          <w:fldChar w:fldCharType="separate"/>
        </w:r>
        <w:r w:rsidR="005300E4">
          <w:rPr>
            <w:noProof/>
            <w:webHidden/>
          </w:rPr>
          <w:t>22</w:t>
        </w:r>
        <w:r w:rsidR="00C42E2E">
          <w:rPr>
            <w:noProof/>
            <w:webHidden/>
          </w:rPr>
          <w:fldChar w:fldCharType="end"/>
        </w:r>
      </w:hyperlink>
    </w:p>
    <w:p w14:paraId="2A48D666" w14:textId="652B4718" w:rsidR="00C42E2E" w:rsidRDefault="00000000">
      <w:pPr>
        <w:pStyle w:val="TOC3"/>
        <w:tabs>
          <w:tab w:val="right" w:leader="dot" w:pos="8650"/>
        </w:tabs>
        <w:rPr>
          <w:rFonts w:eastAsiaTheme="minorEastAsia"/>
          <w:noProof/>
          <w:color w:val="auto"/>
          <w:sz w:val="24"/>
          <w:szCs w:val="24"/>
          <w:lang w:eastAsia="en-GB"/>
        </w:rPr>
      </w:pPr>
      <w:hyperlink w:anchor="_Toc125560002" w:history="1">
        <w:r w:rsidR="00C42E2E" w:rsidRPr="001C04B0">
          <w:rPr>
            <w:rStyle w:val="Hyperlink"/>
            <w:noProof/>
            <w:lang w:val="en"/>
          </w:rPr>
          <w:t>Technical Assistance for Development Policy Loan (DPL) Reforms</w:t>
        </w:r>
        <w:r w:rsidR="00C42E2E">
          <w:rPr>
            <w:noProof/>
            <w:webHidden/>
          </w:rPr>
          <w:tab/>
        </w:r>
        <w:r w:rsidR="00C42E2E">
          <w:rPr>
            <w:noProof/>
            <w:webHidden/>
          </w:rPr>
          <w:fldChar w:fldCharType="begin"/>
        </w:r>
        <w:r w:rsidR="00C42E2E">
          <w:rPr>
            <w:noProof/>
            <w:webHidden/>
          </w:rPr>
          <w:instrText xml:space="preserve"> PAGEREF _Toc125560002 \h </w:instrText>
        </w:r>
        <w:r w:rsidR="00C42E2E">
          <w:rPr>
            <w:noProof/>
            <w:webHidden/>
          </w:rPr>
        </w:r>
        <w:r w:rsidR="00C42E2E">
          <w:rPr>
            <w:noProof/>
            <w:webHidden/>
          </w:rPr>
          <w:fldChar w:fldCharType="separate"/>
        </w:r>
        <w:r w:rsidR="005300E4">
          <w:rPr>
            <w:noProof/>
            <w:webHidden/>
          </w:rPr>
          <w:t>22</w:t>
        </w:r>
        <w:r w:rsidR="00C42E2E">
          <w:rPr>
            <w:noProof/>
            <w:webHidden/>
          </w:rPr>
          <w:fldChar w:fldCharType="end"/>
        </w:r>
      </w:hyperlink>
    </w:p>
    <w:p w14:paraId="4755C386" w14:textId="3FD7414E" w:rsidR="00C42E2E" w:rsidRDefault="00000000">
      <w:pPr>
        <w:pStyle w:val="TOC3"/>
        <w:tabs>
          <w:tab w:val="right" w:leader="dot" w:pos="8650"/>
        </w:tabs>
        <w:rPr>
          <w:rFonts w:eastAsiaTheme="minorEastAsia"/>
          <w:noProof/>
          <w:color w:val="auto"/>
          <w:sz w:val="24"/>
          <w:szCs w:val="24"/>
          <w:lang w:eastAsia="en-GB"/>
        </w:rPr>
      </w:pPr>
      <w:hyperlink w:anchor="_Toc125560003" w:history="1">
        <w:r w:rsidR="00C42E2E" w:rsidRPr="001C04B0">
          <w:rPr>
            <w:rStyle w:val="Hyperlink"/>
            <w:noProof/>
            <w:lang w:val="en"/>
          </w:rPr>
          <w:t>Strengthening Support for the Pantawid Program and Philippine Social Protection Systems</w:t>
        </w:r>
        <w:r w:rsidR="00C42E2E">
          <w:rPr>
            <w:noProof/>
            <w:webHidden/>
          </w:rPr>
          <w:tab/>
        </w:r>
        <w:r w:rsidR="00C42E2E">
          <w:rPr>
            <w:noProof/>
            <w:webHidden/>
          </w:rPr>
          <w:fldChar w:fldCharType="begin"/>
        </w:r>
        <w:r w:rsidR="00C42E2E">
          <w:rPr>
            <w:noProof/>
            <w:webHidden/>
          </w:rPr>
          <w:instrText xml:space="preserve"> PAGEREF _Toc125560003 \h </w:instrText>
        </w:r>
        <w:r w:rsidR="00C42E2E">
          <w:rPr>
            <w:noProof/>
            <w:webHidden/>
          </w:rPr>
        </w:r>
        <w:r w:rsidR="00C42E2E">
          <w:rPr>
            <w:noProof/>
            <w:webHidden/>
          </w:rPr>
          <w:fldChar w:fldCharType="separate"/>
        </w:r>
        <w:r w:rsidR="005300E4">
          <w:rPr>
            <w:noProof/>
            <w:webHidden/>
          </w:rPr>
          <w:t>26</w:t>
        </w:r>
        <w:r w:rsidR="00C42E2E">
          <w:rPr>
            <w:noProof/>
            <w:webHidden/>
          </w:rPr>
          <w:fldChar w:fldCharType="end"/>
        </w:r>
      </w:hyperlink>
    </w:p>
    <w:p w14:paraId="403AB58F" w14:textId="23616509" w:rsidR="00C42E2E" w:rsidRDefault="00000000">
      <w:pPr>
        <w:pStyle w:val="TOC3"/>
        <w:tabs>
          <w:tab w:val="right" w:leader="dot" w:pos="8650"/>
        </w:tabs>
        <w:rPr>
          <w:rFonts w:eastAsiaTheme="minorEastAsia"/>
          <w:noProof/>
          <w:color w:val="auto"/>
          <w:sz w:val="24"/>
          <w:szCs w:val="24"/>
          <w:lang w:eastAsia="en-GB"/>
        </w:rPr>
      </w:pPr>
      <w:hyperlink w:anchor="_Toc125560004" w:history="1">
        <w:r w:rsidR="00C42E2E" w:rsidRPr="001C04B0">
          <w:rPr>
            <w:rStyle w:val="Hyperlink"/>
            <w:noProof/>
            <w:lang w:val="en"/>
          </w:rPr>
          <w:t>Supporting Subnational Finance and Decentralization in the Context of the Mandanas Ruling</w:t>
        </w:r>
        <w:r w:rsidR="00C42E2E">
          <w:rPr>
            <w:noProof/>
            <w:webHidden/>
          </w:rPr>
          <w:tab/>
        </w:r>
        <w:r w:rsidR="00C42E2E">
          <w:rPr>
            <w:noProof/>
            <w:webHidden/>
          </w:rPr>
          <w:fldChar w:fldCharType="begin"/>
        </w:r>
        <w:r w:rsidR="00C42E2E">
          <w:rPr>
            <w:noProof/>
            <w:webHidden/>
          </w:rPr>
          <w:instrText xml:space="preserve"> PAGEREF _Toc125560004 \h </w:instrText>
        </w:r>
        <w:r w:rsidR="00C42E2E">
          <w:rPr>
            <w:noProof/>
            <w:webHidden/>
          </w:rPr>
        </w:r>
        <w:r w:rsidR="00C42E2E">
          <w:rPr>
            <w:noProof/>
            <w:webHidden/>
          </w:rPr>
          <w:fldChar w:fldCharType="separate"/>
        </w:r>
        <w:r w:rsidR="005300E4">
          <w:rPr>
            <w:noProof/>
            <w:webHidden/>
          </w:rPr>
          <w:t>27</w:t>
        </w:r>
        <w:r w:rsidR="00C42E2E">
          <w:rPr>
            <w:noProof/>
            <w:webHidden/>
          </w:rPr>
          <w:fldChar w:fldCharType="end"/>
        </w:r>
      </w:hyperlink>
    </w:p>
    <w:p w14:paraId="27540C89" w14:textId="134269F4" w:rsidR="00C42E2E" w:rsidRDefault="00000000">
      <w:pPr>
        <w:pStyle w:val="TOC3"/>
        <w:tabs>
          <w:tab w:val="right" w:leader="dot" w:pos="8650"/>
        </w:tabs>
        <w:rPr>
          <w:rFonts w:eastAsiaTheme="minorEastAsia"/>
          <w:noProof/>
          <w:color w:val="auto"/>
          <w:sz w:val="24"/>
          <w:szCs w:val="24"/>
          <w:lang w:eastAsia="en-GB"/>
        </w:rPr>
      </w:pPr>
      <w:hyperlink w:anchor="_Toc125560005" w:history="1">
        <w:r w:rsidR="00C42E2E" w:rsidRPr="001C04B0">
          <w:rPr>
            <w:rStyle w:val="Hyperlink"/>
            <w:noProof/>
            <w:lang w:val="en"/>
          </w:rPr>
          <w:t>Women’s Economic Empowerment Program</w:t>
        </w:r>
        <w:r w:rsidR="00C42E2E">
          <w:rPr>
            <w:noProof/>
            <w:webHidden/>
          </w:rPr>
          <w:tab/>
        </w:r>
        <w:r w:rsidR="00C42E2E">
          <w:rPr>
            <w:noProof/>
            <w:webHidden/>
          </w:rPr>
          <w:fldChar w:fldCharType="begin"/>
        </w:r>
        <w:r w:rsidR="00C42E2E">
          <w:rPr>
            <w:noProof/>
            <w:webHidden/>
          </w:rPr>
          <w:instrText xml:space="preserve"> PAGEREF _Toc125560005 \h </w:instrText>
        </w:r>
        <w:r w:rsidR="00C42E2E">
          <w:rPr>
            <w:noProof/>
            <w:webHidden/>
          </w:rPr>
        </w:r>
        <w:r w:rsidR="00C42E2E">
          <w:rPr>
            <w:noProof/>
            <w:webHidden/>
          </w:rPr>
          <w:fldChar w:fldCharType="separate"/>
        </w:r>
        <w:r w:rsidR="005300E4">
          <w:rPr>
            <w:noProof/>
            <w:webHidden/>
          </w:rPr>
          <w:t>28</w:t>
        </w:r>
        <w:r w:rsidR="00C42E2E">
          <w:rPr>
            <w:noProof/>
            <w:webHidden/>
          </w:rPr>
          <w:fldChar w:fldCharType="end"/>
        </w:r>
      </w:hyperlink>
    </w:p>
    <w:p w14:paraId="5E71B896" w14:textId="49E0B3C2" w:rsidR="00C42E2E" w:rsidRDefault="00000000">
      <w:pPr>
        <w:pStyle w:val="TOC3"/>
        <w:tabs>
          <w:tab w:val="right" w:leader="dot" w:pos="8650"/>
        </w:tabs>
        <w:rPr>
          <w:rFonts w:eastAsiaTheme="minorEastAsia"/>
          <w:noProof/>
          <w:color w:val="auto"/>
          <w:sz w:val="24"/>
          <w:szCs w:val="24"/>
          <w:lang w:eastAsia="en-GB"/>
        </w:rPr>
      </w:pPr>
      <w:hyperlink w:anchor="_Toc125560006" w:history="1">
        <w:r w:rsidR="00C42E2E" w:rsidRPr="001C04B0">
          <w:rPr>
            <w:rStyle w:val="Hyperlink"/>
            <w:noProof/>
            <w:lang w:val="en"/>
          </w:rPr>
          <w:t>Real Time Monitoring of COVID-19 Impacts in the Philippines</w:t>
        </w:r>
        <w:r w:rsidR="00C42E2E">
          <w:rPr>
            <w:noProof/>
            <w:webHidden/>
          </w:rPr>
          <w:tab/>
        </w:r>
        <w:r w:rsidR="00C42E2E">
          <w:rPr>
            <w:noProof/>
            <w:webHidden/>
          </w:rPr>
          <w:fldChar w:fldCharType="begin"/>
        </w:r>
        <w:r w:rsidR="00C42E2E">
          <w:rPr>
            <w:noProof/>
            <w:webHidden/>
          </w:rPr>
          <w:instrText xml:space="preserve"> PAGEREF _Toc125560006 \h </w:instrText>
        </w:r>
        <w:r w:rsidR="00C42E2E">
          <w:rPr>
            <w:noProof/>
            <w:webHidden/>
          </w:rPr>
        </w:r>
        <w:r w:rsidR="00C42E2E">
          <w:rPr>
            <w:noProof/>
            <w:webHidden/>
          </w:rPr>
          <w:fldChar w:fldCharType="separate"/>
        </w:r>
        <w:r w:rsidR="005300E4">
          <w:rPr>
            <w:noProof/>
            <w:webHidden/>
          </w:rPr>
          <w:t>30</w:t>
        </w:r>
        <w:r w:rsidR="00C42E2E">
          <w:rPr>
            <w:noProof/>
            <w:webHidden/>
          </w:rPr>
          <w:fldChar w:fldCharType="end"/>
        </w:r>
      </w:hyperlink>
    </w:p>
    <w:p w14:paraId="4BC34402" w14:textId="27B81C07" w:rsidR="00C42E2E" w:rsidRDefault="00000000">
      <w:pPr>
        <w:pStyle w:val="TOC3"/>
        <w:tabs>
          <w:tab w:val="right" w:leader="dot" w:pos="8650"/>
        </w:tabs>
        <w:rPr>
          <w:rFonts w:eastAsiaTheme="minorEastAsia"/>
          <w:noProof/>
          <w:color w:val="auto"/>
          <w:sz w:val="24"/>
          <w:szCs w:val="24"/>
          <w:lang w:eastAsia="en-GB"/>
        </w:rPr>
      </w:pPr>
      <w:hyperlink w:anchor="_Toc125560007" w:history="1">
        <w:r w:rsidR="00C42E2E" w:rsidRPr="001C04B0">
          <w:rPr>
            <w:rStyle w:val="Hyperlink"/>
            <w:noProof/>
            <w:lang w:val="en"/>
          </w:rPr>
          <w:t>Strengthening Implementation Support for the Philippines COVID-19 Response Project </w:t>
        </w:r>
        <w:r w:rsidR="00C42E2E">
          <w:rPr>
            <w:noProof/>
            <w:webHidden/>
          </w:rPr>
          <w:tab/>
        </w:r>
        <w:r w:rsidR="00C42E2E">
          <w:rPr>
            <w:noProof/>
            <w:webHidden/>
          </w:rPr>
          <w:fldChar w:fldCharType="begin"/>
        </w:r>
        <w:r w:rsidR="00C42E2E">
          <w:rPr>
            <w:noProof/>
            <w:webHidden/>
          </w:rPr>
          <w:instrText xml:space="preserve"> PAGEREF _Toc125560007 \h </w:instrText>
        </w:r>
        <w:r w:rsidR="00C42E2E">
          <w:rPr>
            <w:noProof/>
            <w:webHidden/>
          </w:rPr>
        </w:r>
        <w:r w:rsidR="00C42E2E">
          <w:rPr>
            <w:noProof/>
            <w:webHidden/>
          </w:rPr>
          <w:fldChar w:fldCharType="separate"/>
        </w:r>
        <w:r w:rsidR="005300E4">
          <w:rPr>
            <w:noProof/>
            <w:webHidden/>
          </w:rPr>
          <w:t>31</w:t>
        </w:r>
        <w:r w:rsidR="00C42E2E">
          <w:rPr>
            <w:noProof/>
            <w:webHidden/>
          </w:rPr>
          <w:fldChar w:fldCharType="end"/>
        </w:r>
      </w:hyperlink>
    </w:p>
    <w:p w14:paraId="1D14E1B0" w14:textId="7BC5F677" w:rsidR="00C42E2E" w:rsidRDefault="00000000">
      <w:pPr>
        <w:pStyle w:val="TOC3"/>
        <w:tabs>
          <w:tab w:val="right" w:leader="dot" w:pos="8650"/>
        </w:tabs>
        <w:rPr>
          <w:rFonts w:eastAsiaTheme="minorEastAsia"/>
          <w:noProof/>
          <w:color w:val="auto"/>
          <w:sz w:val="24"/>
          <w:szCs w:val="24"/>
          <w:lang w:eastAsia="en-GB"/>
        </w:rPr>
      </w:pPr>
      <w:hyperlink w:anchor="_Toc125560008" w:history="1">
        <w:r w:rsidR="00C42E2E" w:rsidRPr="001C04B0">
          <w:rPr>
            <w:rStyle w:val="Hyperlink"/>
            <w:noProof/>
            <w:lang w:val="en"/>
          </w:rPr>
          <w:t>Support for Post COVID-19 Active Transport Development in Metro Manila</w:t>
        </w:r>
        <w:r w:rsidR="00C42E2E">
          <w:rPr>
            <w:noProof/>
            <w:webHidden/>
          </w:rPr>
          <w:tab/>
        </w:r>
        <w:r w:rsidR="00C42E2E">
          <w:rPr>
            <w:noProof/>
            <w:webHidden/>
          </w:rPr>
          <w:fldChar w:fldCharType="begin"/>
        </w:r>
        <w:r w:rsidR="00C42E2E">
          <w:rPr>
            <w:noProof/>
            <w:webHidden/>
          </w:rPr>
          <w:instrText xml:space="preserve"> PAGEREF _Toc125560008 \h </w:instrText>
        </w:r>
        <w:r w:rsidR="00C42E2E">
          <w:rPr>
            <w:noProof/>
            <w:webHidden/>
          </w:rPr>
        </w:r>
        <w:r w:rsidR="00C42E2E">
          <w:rPr>
            <w:noProof/>
            <w:webHidden/>
          </w:rPr>
          <w:fldChar w:fldCharType="separate"/>
        </w:r>
        <w:r w:rsidR="005300E4">
          <w:rPr>
            <w:noProof/>
            <w:webHidden/>
          </w:rPr>
          <w:t>32</w:t>
        </w:r>
        <w:r w:rsidR="00C42E2E">
          <w:rPr>
            <w:noProof/>
            <w:webHidden/>
          </w:rPr>
          <w:fldChar w:fldCharType="end"/>
        </w:r>
      </w:hyperlink>
    </w:p>
    <w:p w14:paraId="4522D210" w14:textId="673783DD" w:rsidR="00C42E2E" w:rsidRDefault="00000000">
      <w:pPr>
        <w:pStyle w:val="TOC2"/>
        <w:tabs>
          <w:tab w:val="right" w:leader="dot" w:pos="8650"/>
        </w:tabs>
        <w:rPr>
          <w:rFonts w:eastAsiaTheme="minorEastAsia"/>
          <w:noProof/>
          <w:color w:val="auto"/>
          <w:sz w:val="24"/>
          <w:szCs w:val="24"/>
          <w:lang w:eastAsia="en-GB"/>
        </w:rPr>
      </w:pPr>
      <w:hyperlink w:anchor="_Toc125560009" w:history="1">
        <w:r w:rsidR="00C42E2E" w:rsidRPr="001C04B0">
          <w:rPr>
            <w:rStyle w:val="Hyperlink"/>
            <w:noProof/>
          </w:rPr>
          <w:t>Gender equality</w:t>
        </w:r>
        <w:r w:rsidR="00C42E2E">
          <w:rPr>
            <w:noProof/>
            <w:webHidden/>
          </w:rPr>
          <w:tab/>
        </w:r>
        <w:r w:rsidR="00C42E2E">
          <w:rPr>
            <w:noProof/>
            <w:webHidden/>
          </w:rPr>
          <w:fldChar w:fldCharType="begin"/>
        </w:r>
        <w:r w:rsidR="00C42E2E">
          <w:rPr>
            <w:noProof/>
            <w:webHidden/>
          </w:rPr>
          <w:instrText xml:space="preserve"> PAGEREF _Toc125560009 \h </w:instrText>
        </w:r>
        <w:r w:rsidR="00C42E2E">
          <w:rPr>
            <w:noProof/>
            <w:webHidden/>
          </w:rPr>
        </w:r>
        <w:r w:rsidR="00C42E2E">
          <w:rPr>
            <w:noProof/>
            <w:webHidden/>
          </w:rPr>
          <w:fldChar w:fldCharType="separate"/>
        </w:r>
        <w:r w:rsidR="005300E4">
          <w:rPr>
            <w:noProof/>
            <w:webHidden/>
          </w:rPr>
          <w:t>34</w:t>
        </w:r>
        <w:r w:rsidR="00C42E2E">
          <w:rPr>
            <w:noProof/>
            <w:webHidden/>
          </w:rPr>
          <w:fldChar w:fldCharType="end"/>
        </w:r>
      </w:hyperlink>
    </w:p>
    <w:p w14:paraId="63E18155" w14:textId="139EF0BF" w:rsidR="00C42E2E" w:rsidRDefault="00000000">
      <w:pPr>
        <w:pStyle w:val="TOC2"/>
        <w:tabs>
          <w:tab w:val="right" w:leader="dot" w:pos="8650"/>
        </w:tabs>
        <w:rPr>
          <w:rFonts w:eastAsiaTheme="minorEastAsia"/>
          <w:noProof/>
          <w:color w:val="auto"/>
          <w:sz w:val="24"/>
          <w:szCs w:val="24"/>
          <w:lang w:eastAsia="en-GB"/>
        </w:rPr>
      </w:pPr>
      <w:hyperlink w:anchor="_Toc125560010" w:history="1">
        <w:r w:rsidR="00C42E2E" w:rsidRPr="001C04B0">
          <w:rPr>
            <w:rStyle w:val="Hyperlink"/>
            <w:noProof/>
          </w:rPr>
          <w:t>Disability</w:t>
        </w:r>
        <w:r w:rsidR="00C42E2E">
          <w:rPr>
            <w:noProof/>
            <w:webHidden/>
          </w:rPr>
          <w:tab/>
        </w:r>
        <w:r w:rsidR="00C42E2E">
          <w:rPr>
            <w:noProof/>
            <w:webHidden/>
          </w:rPr>
          <w:fldChar w:fldCharType="begin"/>
        </w:r>
        <w:r w:rsidR="00C42E2E">
          <w:rPr>
            <w:noProof/>
            <w:webHidden/>
          </w:rPr>
          <w:instrText xml:space="preserve"> PAGEREF _Toc125560010 \h </w:instrText>
        </w:r>
        <w:r w:rsidR="00C42E2E">
          <w:rPr>
            <w:noProof/>
            <w:webHidden/>
          </w:rPr>
        </w:r>
        <w:r w:rsidR="00C42E2E">
          <w:rPr>
            <w:noProof/>
            <w:webHidden/>
          </w:rPr>
          <w:fldChar w:fldCharType="separate"/>
        </w:r>
        <w:r w:rsidR="005300E4">
          <w:rPr>
            <w:noProof/>
            <w:webHidden/>
          </w:rPr>
          <w:t>35</w:t>
        </w:r>
        <w:r w:rsidR="00C42E2E">
          <w:rPr>
            <w:noProof/>
            <w:webHidden/>
          </w:rPr>
          <w:fldChar w:fldCharType="end"/>
        </w:r>
      </w:hyperlink>
    </w:p>
    <w:p w14:paraId="5D2B8BB2" w14:textId="690F78B3" w:rsidR="00C42E2E" w:rsidRDefault="00000000">
      <w:pPr>
        <w:pStyle w:val="TOC2"/>
        <w:tabs>
          <w:tab w:val="right" w:leader="dot" w:pos="8650"/>
        </w:tabs>
        <w:rPr>
          <w:rFonts w:eastAsiaTheme="minorEastAsia"/>
          <w:noProof/>
          <w:color w:val="auto"/>
          <w:sz w:val="24"/>
          <w:szCs w:val="24"/>
          <w:lang w:eastAsia="en-GB"/>
        </w:rPr>
      </w:pPr>
      <w:hyperlink w:anchor="_Toc125560011" w:history="1">
        <w:r w:rsidR="00C42E2E" w:rsidRPr="001C04B0">
          <w:rPr>
            <w:rStyle w:val="Hyperlink"/>
            <w:noProof/>
          </w:rPr>
          <w:t>Monitoring, evaluation and reporting</w:t>
        </w:r>
        <w:r w:rsidR="00C42E2E">
          <w:rPr>
            <w:noProof/>
            <w:webHidden/>
          </w:rPr>
          <w:tab/>
        </w:r>
        <w:r w:rsidR="00C42E2E">
          <w:rPr>
            <w:noProof/>
            <w:webHidden/>
          </w:rPr>
          <w:fldChar w:fldCharType="begin"/>
        </w:r>
        <w:r w:rsidR="00C42E2E">
          <w:rPr>
            <w:noProof/>
            <w:webHidden/>
          </w:rPr>
          <w:instrText xml:space="preserve"> PAGEREF _Toc125560011 \h </w:instrText>
        </w:r>
        <w:r w:rsidR="00C42E2E">
          <w:rPr>
            <w:noProof/>
            <w:webHidden/>
          </w:rPr>
        </w:r>
        <w:r w:rsidR="00C42E2E">
          <w:rPr>
            <w:noProof/>
            <w:webHidden/>
          </w:rPr>
          <w:fldChar w:fldCharType="separate"/>
        </w:r>
        <w:r w:rsidR="005300E4">
          <w:rPr>
            <w:noProof/>
            <w:webHidden/>
          </w:rPr>
          <w:t>37</w:t>
        </w:r>
        <w:r w:rsidR="00C42E2E">
          <w:rPr>
            <w:noProof/>
            <w:webHidden/>
          </w:rPr>
          <w:fldChar w:fldCharType="end"/>
        </w:r>
      </w:hyperlink>
    </w:p>
    <w:p w14:paraId="6A9B0221" w14:textId="4E35BACD" w:rsidR="00C42E2E" w:rsidRDefault="00000000">
      <w:pPr>
        <w:pStyle w:val="TOC1"/>
        <w:rPr>
          <w:rFonts w:eastAsiaTheme="minorEastAsia"/>
          <w:noProof/>
          <w:color w:val="auto"/>
          <w:sz w:val="24"/>
          <w:szCs w:val="24"/>
          <w:lang w:eastAsia="en-GB"/>
        </w:rPr>
      </w:pPr>
      <w:hyperlink w:anchor="_Toc125560012" w:history="1">
        <w:r w:rsidR="00C42E2E" w:rsidRPr="001C04B0">
          <w:rPr>
            <w:rStyle w:val="Hyperlink"/>
            <w:noProof/>
          </w:rPr>
          <w:t>Risk Management</w:t>
        </w:r>
        <w:r w:rsidR="00C42E2E">
          <w:rPr>
            <w:noProof/>
            <w:webHidden/>
          </w:rPr>
          <w:tab/>
        </w:r>
        <w:r w:rsidR="00C42E2E">
          <w:rPr>
            <w:noProof/>
            <w:webHidden/>
          </w:rPr>
          <w:fldChar w:fldCharType="begin"/>
        </w:r>
        <w:r w:rsidR="00C42E2E">
          <w:rPr>
            <w:noProof/>
            <w:webHidden/>
          </w:rPr>
          <w:instrText xml:space="preserve"> PAGEREF _Toc125560012 \h </w:instrText>
        </w:r>
        <w:r w:rsidR="00C42E2E">
          <w:rPr>
            <w:noProof/>
            <w:webHidden/>
          </w:rPr>
        </w:r>
        <w:r w:rsidR="00C42E2E">
          <w:rPr>
            <w:noProof/>
            <w:webHidden/>
          </w:rPr>
          <w:fldChar w:fldCharType="separate"/>
        </w:r>
        <w:r w:rsidR="005300E4">
          <w:rPr>
            <w:noProof/>
            <w:webHidden/>
          </w:rPr>
          <w:t>40</w:t>
        </w:r>
        <w:r w:rsidR="00C42E2E">
          <w:rPr>
            <w:noProof/>
            <w:webHidden/>
          </w:rPr>
          <w:fldChar w:fldCharType="end"/>
        </w:r>
      </w:hyperlink>
    </w:p>
    <w:p w14:paraId="57AD9D5B" w14:textId="4AA99C45" w:rsidR="00C42E2E" w:rsidRDefault="00000000">
      <w:pPr>
        <w:pStyle w:val="TOC2"/>
        <w:tabs>
          <w:tab w:val="right" w:leader="dot" w:pos="8650"/>
        </w:tabs>
        <w:rPr>
          <w:rFonts w:eastAsiaTheme="minorEastAsia"/>
          <w:noProof/>
          <w:color w:val="auto"/>
          <w:sz w:val="24"/>
          <w:szCs w:val="24"/>
          <w:lang w:eastAsia="en-GB"/>
        </w:rPr>
      </w:pPr>
      <w:hyperlink w:anchor="_Toc125560013" w:history="1">
        <w:r w:rsidR="00C42E2E" w:rsidRPr="001C04B0">
          <w:rPr>
            <w:rStyle w:val="Hyperlink"/>
            <w:noProof/>
          </w:rPr>
          <w:t>Sustainability</w:t>
        </w:r>
        <w:r w:rsidR="00C42E2E">
          <w:rPr>
            <w:noProof/>
            <w:webHidden/>
          </w:rPr>
          <w:tab/>
        </w:r>
        <w:r w:rsidR="00C42E2E">
          <w:rPr>
            <w:noProof/>
            <w:webHidden/>
          </w:rPr>
          <w:fldChar w:fldCharType="begin"/>
        </w:r>
        <w:r w:rsidR="00C42E2E">
          <w:rPr>
            <w:noProof/>
            <w:webHidden/>
          </w:rPr>
          <w:instrText xml:space="preserve"> PAGEREF _Toc125560013 \h </w:instrText>
        </w:r>
        <w:r w:rsidR="00C42E2E">
          <w:rPr>
            <w:noProof/>
            <w:webHidden/>
          </w:rPr>
        </w:r>
        <w:r w:rsidR="00C42E2E">
          <w:rPr>
            <w:noProof/>
            <w:webHidden/>
          </w:rPr>
          <w:fldChar w:fldCharType="separate"/>
        </w:r>
        <w:r w:rsidR="005300E4">
          <w:rPr>
            <w:noProof/>
            <w:webHidden/>
          </w:rPr>
          <w:t>41</w:t>
        </w:r>
        <w:r w:rsidR="00C42E2E">
          <w:rPr>
            <w:noProof/>
            <w:webHidden/>
          </w:rPr>
          <w:fldChar w:fldCharType="end"/>
        </w:r>
      </w:hyperlink>
    </w:p>
    <w:p w14:paraId="3A7A7F14" w14:textId="1CE01B4E" w:rsidR="00C42E2E" w:rsidRDefault="00000000">
      <w:pPr>
        <w:pStyle w:val="TOC2"/>
        <w:tabs>
          <w:tab w:val="right" w:leader="dot" w:pos="8650"/>
        </w:tabs>
        <w:rPr>
          <w:rFonts w:eastAsiaTheme="minorEastAsia"/>
          <w:noProof/>
          <w:color w:val="auto"/>
          <w:sz w:val="24"/>
          <w:szCs w:val="24"/>
          <w:lang w:eastAsia="en-GB"/>
        </w:rPr>
      </w:pPr>
      <w:hyperlink w:anchor="_Toc125560014" w:history="1">
        <w:r w:rsidR="00C42E2E" w:rsidRPr="001C04B0">
          <w:rPr>
            <w:rStyle w:val="Hyperlink"/>
            <w:noProof/>
          </w:rPr>
          <w:t>Program management</w:t>
        </w:r>
        <w:r w:rsidR="00C42E2E">
          <w:rPr>
            <w:noProof/>
            <w:webHidden/>
          </w:rPr>
          <w:tab/>
        </w:r>
        <w:r w:rsidR="00C42E2E">
          <w:rPr>
            <w:noProof/>
            <w:webHidden/>
          </w:rPr>
          <w:fldChar w:fldCharType="begin"/>
        </w:r>
        <w:r w:rsidR="00C42E2E">
          <w:rPr>
            <w:noProof/>
            <w:webHidden/>
          </w:rPr>
          <w:instrText xml:space="preserve"> PAGEREF _Toc125560014 \h </w:instrText>
        </w:r>
        <w:r w:rsidR="00C42E2E">
          <w:rPr>
            <w:noProof/>
            <w:webHidden/>
          </w:rPr>
        </w:r>
        <w:r w:rsidR="00C42E2E">
          <w:rPr>
            <w:noProof/>
            <w:webHidden/>
          </w:rPr>
          <w:fldChar w:fldCharType="separate"/>
        </w:r>
        <w:r w:rsidR="005300E4">
          <w:rPr>
            <w:noProof/>
            <w:webHidden/>
          </w:rPr>
          <w:t>42</w:t>
        </w:r>
        <w:r w:rsidR="00C42E2E">
          <w:rPr>
            <w:noProof/>
            <w:webHidden/>
          </w:rPr>
          <w:fldChar w:fldCharType="end"/>
        </w:r>
      </w:hyperlink>
    </w:p>
    <w:p w14:paraId="086A0600" w14:textId="56DD6463" w:rsidR="00C42E2E" w:rsidRDefault="00000000">
      <w:pPr>
        <w:pStyle w:val="TOC3"/>
        <w:tabs>
          <w:tab w:val="right" w:leader="dot" w:pos="8650"/>
        </w:tabs>
        <w:rPr>
          <w:rFonts w:eastAsiaTheme="minorEastAsia"/>
          <w:noProof/>
          <w:color w:val="auto"/>
          <w:sz w:val="24"/>
          <w:szCs w:val="24"/>
          <w:lang w:eastAsia="en-GB"/>
        </w:rPr>
      </w:pPr>
      <w:hyperlink w:anchor="_Toc125560015" w:history="1">
        <w:r w:rsidR="00C42E2E" w:rsidRPr="001C04B0">
          <w:rPr>
            <w:rStyle w:val="Hyperlink"/>
            <w:noProof/>
          </w:rPr>
          <w:t>Program governance arrangements</w:t>
        </w:r>
        <w:r w:rsidR="00C42E2E">
          <w:rPr>
            <w:noProof/>
            <w:webHidden/>
          </w:rPr>
          <w:tab/>
        </w:r>
        <w:r w:rsidR="00C42E2E">
          <w:rPr>
            <w:noProof/>
            <w:webHidden/>
          </w:rPr>
          <w:fldChar w:fldCharType="begin"/>
        </w:r>
        <w:r w:rsidR="00C42E2E">
          <w:rPr>
            <w:noProof/>
            <w:webHidden/>
          </w:rPr>
          <w:instrText xml:space="preserve"> PAGEREF _Toc125560015 \h </w:instrText>
        </w:r>
        <w:r w:rsidR="00C42E2E">
          <w:rPr>
            <w:noProof/>
            <w:webHidden/>
          </w:rPr>
        </w:r>
        <w:r w:rsidR="00C42E2E">
          <w:rPr>
            <w:noProof/>
            <w:webHidden/>
          </w:rPr>
          <w:fldChar w:fldCharType="separate"/>
        </w:r>
        <w:r w:rsidR="005300E4">
          <w:rPr>
            <w:noProof/>
            <w:webHidden/>
          </w:rPr>
          <w:t>42</w:t>
        </w:r>
        <w:r w:rsidR="00C42E2E">
          <w:rPr>
            <w:noProof/>
            <w:webHidden/>
          </w:rPr>
          <w:fldChar w:fldCharType="end"/>
        </w:r>
      </w:hyperlink>
    </w:p>
    <w:p w14:paraId="6674D868" w14:textId="56739E1F" w:rsidR="00C42E2E" w:rsidRDefault="00000000">
      <w:pPr>
        <w:pStyle w:val="TOC3"/>
        <w:tabs>
          <w:tab w:val="right" w:leader="dot" w:pos="8650"/>
        </w:tabs>
        <w:rPr>
          <w:rFonts w:eastAsiaTheme="minorEastAsia"/>
          <w:noProof/>
          <w:color w:val="auto"/>
          <w:sz w:val="24"/>
          <w:szCs w:val="24"/>
          <w:lang w:eastAsia="en-GB"/>
        </w:rPr>
      </w:pPr>
      <w:hyperlink w:anchor="_Toc125560016" w:history="1">
        <w:r w:rsidR="00C42E2E" w:rsidRPr="001C04B0">
          <w:rPr>
            <w:rStyle w:val="Hyperlink"/>
            <w:noProof/>
          </w:rPr>
          <w:t>The Partnership between DFAT and World Bank</w:t>
        </w:r>
        <w:r w:rsidR="00C42E2E">
          <w:rPr>
            <w:noProof/>
            <w:webHidden/>
          </w:rPr>
          <w:tab/>
        </w:r>
        <w:r w:rsidR="00C42E2E">
          <w:rPr>
            <w:noProof/>
            <w:webHidden/>
          </w:rPr>
          <w:fldChar w:fldCharType="begin"/>
        </w:r>
        <w:r w:rsidR="00C42E2E">
          <w:rPr>
            <w:noProof/>
            <w:webHidden/>
          </w:rPr>
          <w:instrText xml:space="preserve"> PAGEREF _Toc125560016 \h </w:instrText>
        </w:r>
        <w:r w:rsidR="00C42E2E">
          <w:rPr>
            <w:noProof/>
            <w:webHidden/>
          </w:rPr>
        </w:r>
        <w:r w:rsidR="00C42E2E">
          <w:rPr>
            <w:noProof/>
            <w:webHidden/>
          </w:rPr>
          <w:fldChar w:fldCharType="separate"/>
        </w:r>
        <w:r w:rsidR="005300E4">
          <w:rPr>
            <w:noProof/>
            <w:webHidden/>
          </w:rPr>
          <w:t>43</w:t>
        </w:r>
        <w:r w:rsidR="00C42E2E">
          <w:rPr>
            <w:noProof/>
            <w:webHidden/>
          </w:rPr>
          <w:fldChar w:fldCharType="end"/>
        </w:r>
      </w:hyperlink>
    </w:p>
    <w:p w14:paraId="2B9F06A4" w14:textId="2B397F83" w:rsidR="00C42E2E" w:rsidRDefault="00000000">
      <w:pPr>
        <w:pStyle w:val="TOC3"/>
        <w:tabs>
          <w:tab w:val="right" w:leader="dot" w:pos="8650"/>
        </w:tabs>
        <w:rPr>
          <w:rFonts w:eastAsiaTheme="minorEastAsia"/>
          <w:noProof/>
          <w:color w:val="auto"/>
          <w:sz w:val="24"/>
          <w:szCs w:val="24"/>
          <w:lang w:eastAsia="en-GB"/>
        </w:rPr>
      </w:pPr>
      <w:hyperlink w:anchor="_Toc125560017" w:history="1">
        <w:r w:rsidR="00C42E2E" w:rsidRPr="001C04B0">
          <w:rPr>
            <w:rStyle w:val="Hyperlink"/>
            <w:noProof/>
          </w:rPr>
          <w:t>Communication and Visibility</w:t>
        </w:r>
        <w:r w:rsidR="00C42E2E">
          <w:rPr>
            <w:noProof/>
            <w:webHidden/>
          </w:rPr>
          <w:tab/>
        </w:r>
        <w:r w:rsidR="00C42E2E">
          <w:rPr>
            <w:noProof/>
            <w:webHidden/>
          </w:rPr>
          <w:fldChar w:fldCharType="begin"/>
        </w:r>
        <w:r w:rsidR="00C42E2E">
          <w:rPr>
            <w:noProof/>
            <w:webHidden/>
          </w:rPr>
          <w:instrText xml:space="preserve"> PAGEREF _Toc125560017 \h </w:instrText>
        </w:r>
        <w:r w:rsidR="00C42E2E">
          <w:rPr>
            <w:noProof/>
            <w:webHidden/>
          </w:rPr>
        </w:r>
        <w:r w:rsidR="00C42E2E">
          <w:rPr>
            <w:noProof/>
            <w:webHidden/>
          </w:rPr>
          <w:fldChar w:fldCharType="separate"/>
        </w:r>
        <w:r w:rsidR="005300E4">
          <w:rPr>
            <w:noProof/>
            <w:webHidden/>
          </w:rPr>
          <w:t>45</w:t>
        </w:r>
        <w:r w:rsidR="00C42E2E">
          <w:rPr>
            <w:noProof/>
            <w:webHidden/>
          </w:rPr>
          <w:fldChar w:fldCharType="end"/>
        </w:r>
      </w:hyperlink>
    </w:p>
    <w:p w14:paraId="0ECE9AE5" w14:textId="67CF64C6" w:rsidR="00C42E2E" w:rsidRDefault="00000000">
      <w:pPr>
        <w:pStyle w:val="TOC2"/>
        <w:tabs>
          <w:tab w:val="right" w:leader="dot" w:pos="8650"/>
        </w:tabs>
        <w:rPr>
          <w:rFonts w:eastAsiaTheme="minorEastAsia"/>
          <w:noProof/>
          <w:color w:val="auto"/>
          <w:sz w:val="24"/>
          <w:szCs w:val="24"/>
          <w:lang w:eastAsia="en-GB"/>
        </w:rPr>
      </w:pPr>
      <w:hyperlink w:anchor="_Toc125560018" w:history="1">
        <w:r w:rsidR="00C42E2E" w:rsidRPr="001C04B0">
          <w:rPr>
            <w:rStyle w:val="Hyperlink"/>
            <w:noProof/>
          </w:rPr>
          <w:t>Conclusions</w:t>
        </w:r>
        <w:r w:rsidR="00C42E2E">
          <w:rPr>
            <w:noProof/>
            <w:webHidden/>
          </w:rPr>
          <w:tab/>
        </w:r>
        <w:r w:rsidR="00C42E2E">
          <w:rPr>
            <w:noProof/>
            <w:webHidden/>
          </w:rPr>
          <w:fldChar w:fldCharType="begin"/>
        </w:r>
        <w:r w:rsidR="00C42E2E">
          <w:rPr>
            <w:noProof/>
            <w:webHidden/>
          </w:rPr>
          <w:instrText xml:space="preserve"> PAGEREF _Toc125560018 \h </w:instrText>
        </w:r>
        <w:r w:rsidR="00C42E2E">
          <w:rPr>
            <w:noProof/>
            <w:webHidden/>
          </w:rPr>
        </w:r>
        <w:r w:rsidR="00C42E2E">
          <w:rPr>
            <w:noProof/>
            <w:webHidden/>
          </w:rPr>
          <w:fldChar w:fldCharType="separate"/>
        </w:r>
        <w:r w:rsidR="005300E4">
          <w:rPr>
            <w:noProof/>
            <w:webHidden/>
          </w:rPr>
          <w:t>46</w:t>
        </w:r>
        <w:r w:rsidR="00C42E2E">
          <w:rPr>
            <w:noProof/>
            <w:webHidden/>
          </w:rPr>
          <w:fldChar w:fldCharType="end"/>
        </w:r>
      </w:hyperlink>
    </w:p>
    <w:p w14:paraId="27190A73" w14:textId="08AA36B3" w:rsidR="00C42E2E" w:rsidRDefault="00000000">
      <w:pPr>
        <w:pStyle w:val="TOC1"/>
        <w:tabs>
          <w:tab w:val="left" w:pos="1200"/>
        </w:tabs>
        <w:rPr>
          <w:rFonts w:eastAsiaTheme="minorEastAsia"/>
          <w:noProof/>
          <w:color w:val="auto"/>
          <w:sz w:val="24"/>
          <w:szCs w:val="24"/>
          <w:lang w:eastAsia="en-GB"/>
        </w:rPr>
      </w:pPr>
      <w:hyperlink w:anchor="_Toc125560019" w:history="1">
        <w:r w:rsidR="00C42E2E" w:rsidRPr="001C04B0">
          <w:rPr>
            <w:rStyle w:val="Hyperlink"/>
            <w:noProof/>
          </w:rPr>
          <w:t>Annex 1</w:t>
        </w:r>
        <w:r w:rsidR="00C42E2E">
          <w:rPr>
            <w:rFonts w:eastAsiaTheme="minorEastAsia"/>
            <w:noProof/>
            <w:color w:val="auto"/>
            <w:sz w:val="24"/>
            <w:szCs w:val="24"/>
            <w:lang w:eastAsia="en-GB"/>
          </w:rPr>
          <w:tab/>
        </w:r>
        <w:r w:rsidR="00C42E2E" w:rsidRPr="001C04B0">
          <w:rPr>
            <w:rStyle w:val="Hyperlink"/>
            <w:noProof/>
          </w:rPr>
          <w:t>Terms of Reference</w:t>
        </w:r>
        <w:r w:rsidR="00C42E2E">
          <w:rPr>
            <w:noProof/>
            <w:webHidden/>
          </w:rPr>
          <w:tab/>
        </w:r>
        <w:r w:rsidR="00C42E2E">
          <w:rPr>
            <w:noProof/>
            <w:webHidden/>
          </w:rPr>
          <w:fldChar w:fldCharType="begin"/>
        </w:r>
        <w:r w:rsidR="00C42E2E">
          <w:rPr>
            <w:noProof/>
            <w:webHidden/>
          </w:rPr>
          <w:instrText xml:space="preserve"> PAGEREF _Toc125560019 \h </w:instrText>
        </w:r>
        <w:r w:rsidR="00C42E2E">
          <w:rPr>
            <w:noProof/>
            <w:webHidden/>
          </w:rPr>
        </w:r>
        <w:r w:rsidR="00C42E2E">
          <w:rPr>
            <w:noProof/>
            <w:webHidden/>
          </w:rPr>
          <w:fldChar w:fldCharType="separate"/>
        </w:r>
        <w:r w:rsidR="005300E4">
          <w:rPr>
            <w:noProof/>
            <w:webHidden/>
          </w:rPr>
          <w:t>48</w:t>
        </w:r>
        <w:r w:rsidR="00C42E2E">
          <w:rPr>
            <w:noProof/>
            <w:webHidden/>
          </w:rPr>
          <w:fldChar w:fldCharType="end"/>
        </w:r>
      </w:hyperlink>
    </w:p>
    <w:p w14:paraId="06B2ADA8" w14:textId="1AD91865" w:rsidR="00C42E2E" w:rsidRDefault="00000000">
      <w:pPr>
        <w:pStyle w:val="TOC1"/>
        <w:tabs>
          <w:tab w:val="left" w:pos="1200"/>
        </w:tabs>
        <w:rPr>
          <w:rFonts w:eastAsiaTheme="minorEastAsia"/>
          <w:noProof/>
          <w:color w:val="auto"/>
          <w:sz w:val="24"/>
          <w:szCs w:val="24"/>
          <w:lang w:eastAsia="en-GB"/>
        </w:rPr>
      </w:pPr>
      <w:hyperlink w:anchor="_Toc125560020" w:history="1">
        <w:r w:rsidR="00C42E2E" w:rsidRPr="001C04B0">
          <w:rPr>
            <w:rStyle w:val="Hyperlink"/>
            <w:noProof/>
          </w:rPr>
          <w:t>Annex 2</w:t>
        </w:r>
        <w:r w:rsidR="00C42E2E">
          <w:rPr>
            <w:rFonts w:eastAsiaTheme="minorEastAsia"/>
            <w:noProof/>
            <w:color w:val="auto"/>
            <w:sz w:val="24"/>
            <w:szCs w:val="24"/>
            <w:lang w:eastAsia="en-GB"/>
          </w:rPr>
          <w:tab/>
        </w:r>
        <w:r w:rsidR="00C42E2E" w:rsidRPr="001C04B0">
          <w:rPr>
            <w:rStyle w:val="Hyperlink"/>
            <w:noProof/>
          </w:rPr>
          <w:t>KEQs, Data Collection Methods, and Evaluation Team Approach</w:t>
        </w:r>
        <w:r w:rsidR="00C42E2E">
          <w:rPr>
            <w:noProof/>
            <w:webHidden/>
          </w:rPr>
          <w:tab/>
        </w:r>
        <w:r w:rsidR="00C42E2E">
          <w:rPr>
            <w:noProof/>
            <w:webHidden/>
          </w:rPr>
          <w:fldChar w:fldCharType="begin"/>
        </w:r>
        <w:r w:rsidR="00C42E2E">
          <w:rPr>
            <w:noProof/>
            <w:webHidden/>
          </w:rPr>
          <w:instrText xml:space="preserve"> PAGEREF _Toc125560020 \h </w:instrText>
        </w:r>
        <w:r w:rsidR="00C42E2E">
          <w:rPr>
            <w:noProof/>
            <w:webHidden/>
          </w:rPr>
        </w:r>
        <w:r w:rsidR="00C42E2E">
          <w:rPr>
            <w:noProof/>
            <w:webHidden/>
          </w:rPr>
          <w:fldChar w:fldCharType="separate"/>
        </w:r>
        <w:r w:rsidR="005300E4">
          <w:rPr>
            <w:noProof/>
            <w:webHidden/>
          </w:rPr>
          <w:t>52</w:t>
        </w:r>
        <w:r w:rsidR="00C42E2E">
          <w:rPr>
            <w:noProof/>
            <w:webHidden/>
          </w:rPr>
          <w:fldChar w:fldCharType="end"/>
        </w:r>
      </w:hyperlink>
    </w:p>
    <w:p w14:paraId="0FBCAB46" w14:textId="5CBD6FA6" w:rsidR="00C42E2E" w:rsidRDefault="00000000">
      <w:pPr>
        <w:pStyle w:val="TOC1"/>
        <w:tabs>
          <w:tab w:val="left" w:pos="1200"/>
        </w:tabs>
        <w:rPr>
          <w:rFonts w:eastAsiaTheme="minorEastAsia"/>
          <w:noProof/>
          <w:color w:val="auto"/>
          <w:sz w:val="24"/>
          <w:szCs w:val="24"/>
          <w:lang w:eastAsia="en-GB"/>
        </w:rPr>
      </w:pPr>
      <w:hyperlink w:anchor="_Toc125560021" w:history="1">
        <w:r w:rsidR="00C42E2E" w:rsidRPr="001C04B0">
          <w:rPr>
            <w:rStyle w:val="Hyperlink"/>
            <w:noProof/>
          </w:rPr>
          <w:t>Annex 3</w:t>
        </w:r>
        <w:r w:rsidR="00C42E2E">
          <w:rPr>
            <w:rFonts w:eastAsiaTheme="minorEastAsia"/>
            <w:noProof/>
            <w:color w:val="auto"/>
            <w:sz w:val="24"/>
            <w:szCs w:val="24"/>
            <w:lang w:eastAsia="en-GB"/>
          </w:rPr>
          <w:tab/>
        </w:r>
        <w:r w:rsidR="00C42E2E" w:rsidRPr="001C04B0">
          <w:rPr>
            <w:rStyle w:val="Hyperlink"/>
            <w:noProof/>
          </w:rPr>
          <w:t>AGaP Results Chain and End of Program Outcomes</w:t>
        </w:r>
        <w:r w:rsidR="00C42E2E">
          <w:rPr>
            <w:noProof/>
            <w:webHidden/>
          </w:rPr>
          <w:tab/>
        </w:r>
        <w:r w:rsidR="00C42E2E">
          <w:rPr>
            <w:noProof/>
            <w:webHidden/>
          </w:rPr>
          <w:fldChar w:fldCharType="begin"/>
        </w:r>
        <w:r w:rsidR="00C42E2E">
          <w:rPr>
            <w:noProof/>
            <w:webHidden/>
          </w:rPr>
          <w:instrText xml:space="preserve"> PAGEREF _Toc125560021 \h </w:instrText>
        </w:r>
        <w:r w:rsidR="00C42E2E">
          <w:rPr>
            <w:noProof/>
            <w:webHidden/>
          </w:rPr>
        </w:r>
        <w:r w:rsidR="00C42E2E">
          <w:rPr>
            <w:noProof/>
            <w:webHidden/>
          </w:rPr>
          <w:fldChar w:fldCharType="separate"/>
        </w:r>
        <w:r w:rsidR="005300E4">
          <w:rPr>
            <w:noProof/>
            <w:webHidden/>
          </w:rPr>
          <w:t>57</w:t>
        </w:r>
        <w:r w:rsidR="00C42E2E">
          <w:rPr>
            <w:noProof/>
            <w:webHidden/>
          </w:rPr>
          <w:fldChar w:fldCharType="end"/>
        </w:r>
      </w:hyperlink>
    </w:p>
    <w:p w14:paraId="54035A78" w14:textId="105C7BBC" w:rsidR="00C42E2E" w:rsidRDefault="00000000">
      <w:pPr>
        <w:pStyle w:val="TOC1"/>
        <w:tabs>
          <w:tab w:val="left" w:pos="1200"/>
        </w:tabs>
        <w:rPr>
          <w:rFonts w:eastAsiaTheme="minorEastAsia"/>
          <w:noProof/>
          <w:color w:val="auto"/>
          <w:sz w:val="24"/>
          <w:szCs w:val="24"/>
          <w:lang w:eastAsia="en-GB"/>
        </w:rPr>
      </w:pPr>
      <w:hyperlink w:anchor="_Toc125560022" w:history="1">
        <w:r w:rsidR="00C42E2E" w:rsidRPr="001C04B0">
          <w:rPr>
            <w:rStyle w:val="Hyperlink"/>
            <w:noProof/>
          </w:rPr>
          <w:t>Annex 4</w:t>
        </w:r>
        <w:r w:rsidR="00C42E2E">
          <w:rPr>
            <w:rFonts w:eastAsiaTheme="minorEastAsia"/>
            <w:noProof/>
            <w:color w:val="auto"/>
            <w:sz w:val="24"/>
            <w:szCs w:val="24"/>
            <w:lang w:eastAsia="en-GB"/>
          </w:rPr>
          <w:tab/>
        </w:r>
        <w:r w:rsidR="00C42E2E" w:rsidRPr="001C04B0">
          <w:rPr>
            <w:rStyle w:val="Hyperlink"/>
            <w:noProof/>
          </w:rPr>
          <w:t>Detailed disbursements</w:t>
        </w:r>
        <w:r w:rsidR="00C42E2E">
          <w:rPr>
            <w:noProof/>
            <w:webHidden/>
          </w:rPr>
          <w:tab/>
        </w:r>
        <w:r w:rsidR="00C42E2E">
          <w:rPr>
            <w:noProof/>
            <w:webHidden/>
          </w:rPr>
          <w:fldChar w:fldCharType="begin"/>
        </w:r>
        <w:r w:rsidR="00C42E2E">
          <w:rPr>
            <w:noProof/>
            <w:webHidden/>
          </w:rPr>
          <w:instrText xml:space="preserve"> PAGEREF _Toc125560022 \h </w:instrText>
        </w:r>
        <w:r w:rsidR="00C42E2E">
          <w:rPr>
            <w:noProof/>
            <w:webHidden/>
          </w:rPr>
        </w:r>
        <w:r w:rsidR="00C42E2E">
          <w:rPr>
            <w:noProof/>
            <w:webHidden/>
          </w:rPr>
          <w:fldChar w:fldCharType="separate"/>
        </w:r>
        <w:r w:rsidR="005300E4">
          <w:rPr>
            <w:noProof/>
            <w:webHidden/>
          </w:rPr>
          <w:t>59</w:t>
        </w:r>
        <w:r w:rsidR="00C42E2E">
          <w:rPr>
            <w:noProof/>
            <w:webHidden/>
          </w:rPr>
          <w:fldChar w:fldCharType="end"/>
        </w:r>
      </w:hyperlink>
    </w:p>
    <w:p w14:paraId="1FB296B8" w14:textId="6EF64EAF" w:rsidR="00C42E2E" w:rsidRDefault="00000000">
      <w:pPr>
        <w:pStyle w:val="TOC1"/>
        <w:tabs>
          <w:tab w:val="left" w:pos="1200"/>
        </w:tabs>
        <w:rPr>
          <w:rFonts w:eastAsiaTheme="minorEastAsia"/>
          <w:noProof/>
          <w:color w:val="auto"/>
          <w:sz w:val="24"/>
          <w:szCs w:val="24"/>
          <w:lang w:eastAsia="en-GB"/>
        </w:rPr>
      </w:pPr>
      <w:hyperlink w:anchor="_Toc125560023" w:history="1">
        <w:r w:rsidR="00C42E2E" w:rsidRPr="001C04B0">
          <w:rPr>
            <w:rStyle w:val="Hyperlink"/>
            <w:noProof/>
          </w:rPr>
          <w:t>Annex 5</w:t>
        </w:r>
        <w:r w:rsidR="00C42E2E">
          <w:rPr>
            <w:rFonts w:eastAsiaTheme="minorEastAsia"/>
            <w:noProof/>
            <w:color w:val="auto"/>
            <w:sz w:val="24"/>
            <w:szCs w:val="24"/>
            <w:lang w:eastAsia="en-GB"/>
          </w:rPr>
          <w:tab/>
        </w:r>
        <w:r w:rsidR="00C42E2E" w:rsidRPr="001C04B0">
          <w:rPr>
            <w:rStyle w:val="Hyperlink"/>
            <w:noProof/>
          </w:rPr>
          <w:t>List of AGaP Completed Outputs</w:t>
        </w:r>
        <w:r w:rsidR="00C42E2E">
          <w:rPr>
            <w:noProof/>
            <w:webHidden/>
          </w:rPr>
          <w:tab/>
        </w:r>
        <w:r w:rsidR="00C42E2E">
          <w:rPr>
            <w:noProof/>
            <w:webHidden/>
          </w:rPr>
          <w:fldChar w:fldCharType="begin"/>
        </w:r>
        <w:r w:rsidR="00C42E2E">
          <w:rPr>
            <w:noProof/>
            <w:webHidden/>
          </w:rPr>
          <w:instrText xml:space="preserve"> PAGEREF _Toc125560023 \h </w:instrText>
        </w:r>
        <w:r w:rsidR="00C42E2E">
          <w:rPr>
            <w:noProof/>
            <w:webHidden/>
          </w:rPr>
        </w:r>
        <w:r w:rsidR="00C42E2E">
          <w:rPr>
            <w:noProof/>
            <w:webHidden/>
          </w:rPr>
          <w:fldChar w:fldCharType="separate"/>
        </w:r>
        <w:r w:rsidR="005300E4">
          <w:rPr>
            <w:noProof/>
            <w:webHidden/>
          </w:rPr>
          <w:t>60</w:t>
        </w:r>
        <w:r w:rsidR="00C42E2E">
          <w:rPr>
            <w:noProof/>
            <w:webHidden/>
          </w:rPr>
          <w:fldChar w:fldCharType="end"/>
        </w:r>
      </w:hyperlink>
    </w:p>
    <w:p w14:paraId="214CE49E" w14:textId="734F9D3F" w:rsidR="00C42E2E" w:rsidRDefault="00000000">
      <w:pPr>
        <w:pStyle w:val="TOC1"/>
        <w:tabs>
          <w:tab w:val="left" w:pos="1200"/>
        </w:tabs>
        <w:rPr>
          <w:rFonts w:eastAsiaTheme="minorEastAsia"/>
          <w:noProof/>
          <w:color w:val="auto"/>
          <w:sz w:val="24"/>
          <w:szCs w:val="24"/>
          <w:lang w:eastAsia="en-GB"/>
        </w:rPr>
      </w:pPr>
      <w:hyperlink w:anchor="_Toc125560024" w:history="1">
        <w:r w:rsidR="00C42E2E" w:rsidRPr="001C04B0">
          <w:rPr>
            <w:rStyle w:val="Hyperlink"/>
            <w:noProof/>
          </w:rPr>
          <w:t>Annex 6</w:t>
        </w:r>
        <w:r w:rsidR="00C42E2E">
          <w:rPr>
            <w:rFonts w:eastAsiaTheme="minorEastAsia"/>
            <w:noProof/>
            <w:color w:val="auto"/>
            <w:sz w:val="24"/>
            <w:szCs w:val="24"/>
            <w:lang w:eastAsia="en-GB"/>
          </w:rPr>
          <w:tab/>
        </w:r>
        <w:r w:rsidR="00C42E2E" w:rsidRPr="001C04B0">
          <w:rPr>
            <w:rStyle w:val="Hyperlink"/>
            <w:noProof/>
          </w:rPr>
          <w:t>List of Persons Consulted and Schedule of Meetings</w:t>
        </w:r>
        <w:r w:rsidR="00C42E2E">
          <w:rPr>
            <w:noProof/>
            <w:webHidden/>
          </w:rPr>
          <w:tab/>
        </w:r>
        <w:r w:rsidR="00C42E2E">
          <w:rPr>
            <w:noProof/>
            <w:webHidden/>
          </w:rPr>
          <w:fldChar w:fldCharType="begin"/>
        </w:r>
        <w:r w:rsidR="00C42E2E">
          <w:rPr>
            <w:noProof/>
            <w:webHidden/>
          </w:rPr>
          <w:instrText xml:space="preserve"> PAGEREF _Toc125560024 \h </w:instrText>
        </w:r>
        <w:r w:rsidR="00C42E2E">
          <w:rPr>
            <w:noProof/>
            <w:webHidden/>
          </w:rPr>
        </w:r>
        <w:r w:rsidR="00C42E2E">
          <w:rPr>
            <w:noProof/>
            <w:webHidden/>
          </w:rPr>
          <w:fldChar w:fldCharType="separate"/>
        </w:r>
        <w:r w:rsidR="005300E4">
          <w:rPr>
            <w:noProof/>
            <w:webHidden/>
          </w:rPr>
          <w:t>66</w:t>
        </w:r>
        <w:r w:rsidR="00C42E2E">
          <w:rPr>
            <w:noProof/>
            <w:webHidden/>
          </w:rPr>
          <w:fldChar w:fldCharType="end"/>
        </w:r>
      </w:hyperlink>
    </w:p>
    <w:p w14:paraId="1DEB37B9" w14:textId="368BC297" w:rsidR="00C42E2E" w:rsidRDefault="00000000">
      <w:pPr>
        <w:pStyle w:val="TOC1"/>
        <w:tabs>
          <w:tab w:val="left" w:pos="1200"/>
        </w:tabs>
        <w:rPr>
          <w:rFonts w:eastAsiaTheme="minorEastAsia"/>
          <w:noProof/>
          <w:color w:val="auto"/>
          <w:sz w:val="24"/>
          <w:szCs w:val="24"/>
          <w:lang w:eastAsia="en-GB"/>
        </w:rPr>
      </w:pPr>
      <w:hyperlink w:anchor="_Toc125560025" w:history="1">
        <w:r w:rsidR="00C42E2E" w:rsidRPr="001C04B0">
          <w:rPr>
            <w:rStyle w:val="Hyperlink"/>
            <w:noProof/>
          </w:rPr>
          <w:t>Annex 7</w:t>
        </w:r>
        <w:r w:rsidR="00C42E2E">
          <w:rPr>
            <w:rFonts w:eastAsiaTheme="minorEastAsia"/>
            <w:noProof/>
            <w:color w:val="auto"/>
            <w:sz w:val="24"/>
            <w:szCs w:val="24"/>
            <w:lang w:eastAsia="en-GB"/>
          </w:rPr>
          <w:tab/>
        </w:r>
        <w:r w:rsidR="00C42E2E" w:rsidRPr="001C04B0">
          <w:rPr>
            <w:rStyle w:val="Hyperlink"/>
            <w:noProof/>
          </w:rPr>
          <w:t>Australia’s Gender Guidance Note (ABP2)</w:t>
        </w:r>
        <w:r w:rsidR="00C42E2E">
          <w:rPr>
            <w:noProof/>
            <w:webHidden/>
          </w:rPr>
          <w:tab/>
        </w:r>
        <w:r w:rsidR="00C42E2E">
          <w:rPr>
            <w:noProof/>
            <w:webHidden/>
          </w:rPr>
          <w:fldChar w:fldCharType="begin"/>
        </w:r>
        <w:r w:rsidR="00C42E2E">
          <w:rPr>
            <w:noProof/>
            <w:webHidden/>
          </w:rPr>
          <w:instrText xml:space="preserve"> PAGEREF _Toc125560025 \h </w:instrText>
        </w:r>
        <w:r w:rsidR="00C42E2E">
          <w:rPr>
            <w:noProof/>
            <w:webHidden/>
          </w:rPr>
        </w:r>
        <w:r w:rsidR="00C42E2E">
          <w:rPr>
            <w:noProof/>
            <w:webHidden/>
          </w:rPr>
          <w:fldChar w:fldCharType="separate"/>
        </w:r>
        <w:r w:rsidR="005300E4">
          <w:rPr>
            <w:noProof/>
            <w:webHidden/>
          </w:rPr>
          <w:t>68</w:t>
        </w:r>
        <w:r w:rsidR="00C42E2E">
          <w:rPr>
            <w:noProof/>
            <w:webHidden/>
          </w:rPr>
          <w:fldChar w:fldCharType="end"/>
        </w:r>
      </w:hyperlink>
    </w:p>
    <w:p w14:paraId="63C58221" w14:textId="7BD13A2F" w:rsidR="00C42E2E" w:rsidRDefault="00000000">
      <w:pPr>
        <w:pStyle w:val="TOC1"/>
        <w:tabs>
          <w:tab w:val="left" w:pos="1200"/>
        </w:tabs>
        <w:rPr>
          <w:rFonts w:eastAsiaTheme="minorEastAsia"/>
          <w:noProof/>
          <w:color w:val="auto"/>
          <w:sz w:val="24"/>
          <w:szCs w:val="24"/>
          <w:lang w:eastAsia="en-GB"/>
        </w:rPr>
      </w:pPr>
      <w:hyperlink w:anchor="_Toc125560026" w:history="1">
        <w:r w:rsidR="00C42E2E" w:rsidRPr="001C04B0">
          <w:rPr>
            <w:rStyle w:val="Hyperlink"/>
            <w:noProof/>
          </w:rPr>
          <w:t xml:space="preserve">Annex 8 </w:t>
        </w:r>
        <w:r w:rsidR="00C42E2E">
          <w:rPr>
            <w:rFonts w:eastAsiaTheme="minorEastAsia"/>
            <w:noProof/>
            <w:color w:val="auto"/>
            <w:sz w:val="24"/>
            <w:szCs w:val="24"/>
            <w:lang w:eastAsia="en-GB"/>
          </w:rPr>
          <w:tab/>
        </w:r>
        <w:r w:rsidR="00C42E2E" w:rsidRPr="001C04B0">
          <w:rPr>
            <w:rStyle w:val="Hyperlink"/>
            <w:noProof/>
          </w:rPr>
          <w:t>Women’s Economic Empowerment grant: Gender-tagged projects</w:t>
        </w:r>
        <w:r w:rsidR="00C42E2E">
          <w:rPr>
            <w:noProof/>
            <w:webHidden/>
          </w:rPr>
          <w:tab/>
        </w:r>
        <w:r w:rsidR="00C42E2E">
          <w:rPr>
            <w:noProof/>
            <w:webHidden/>
          </w:rPr>
          <w:fldChar w:fldCharType="begin"/>
        </w:r>
        <w:r w:rsidR="00C42E2E">
          <w:rPr>
            <w:noProof/>
            <w:webHidden/>
          </w:rPr>
          <w:instrText xml:space="preserve"> PAGEREF _Toc125560026 \h </w:instrText>
        </w:r>
        <w:r w:rsidR="00C42E2E">
          <w:rPr>
            <w:noProof/>
            <w:webHidden/>
          </w:rPr>
        </w:r>
        <w:r w:rsidR="00C42E2E">
          <w:rPr>
            <w:noProof/>
            <w:webHidden/>
          </w:rPr>
          <w:fldChar w:fldCharType="separate"/>
        </w:r>
        <w:r w:rsidR="005300E4">
          <w:rPr>
            <w:noProof/>
            <w:webHidden/>
          </w:rPr>
          <w:t>70</w:t>
        </w:r>
        <w:r w:rsidR="00C42E2E">
          <w:rPr>
            <w:noProof/>
            <w:webHidden/>
          </w:rPr>
          <w:fldChar w:fldCharType="end"/>
        </w:r>
      </w:hyperlink>
    </w:p>
    <w:p w14:paraId="2B1E2898" w14:textId="615ECFD9" w:rsidR="00C42E2E" w:rsidRDefault="00000000">
      <w:pPr>
        <w:pStyle w:val="TOC1"/>
        <w:tabs>
          <w:tab w:val="left" w:pos="1200"/>
        </w:tabs>
        <w:rPr>
          <w:rFonts w:eastAsiaTheme="minorEastAsia"/>
          <w:noProof/>
          <w:color w:val="auto"/>
          <w:sz w:val="24"/>
          <w:szCs w:val="24"/>
          <w:lang w:eastAsia="en-GB"/>
        </w:rPr>
      </w:pPr>
      <w:hyperlink w:anchor="_Toc125560027" w:history="1">
        <w:r w:rsidR="00C42E2E" w:rsidRPr="001C04B0">
          <w:rPr>
            <w:rStyle w:val="Hyperlink"/>
            <w:noProof/>
          </w:rPr>
          <w:t>Annex 9</w:t>
        </w:r>
        <w:r w:rsidR="00C42E2E">
          <w:rPr>
            <w:rFonts w:eastAsiaTheme="minorEastAsia"/>
            <w:noProof/>
            <w:color w:val="auto"/>
            <w:sz w:val="24"/>
            <w:szCs w:val="24"/>
            <w:lang w:eastAsia="en-GB"/>
          </w:rPr>
          <w:tab/>
        </w:r>
        <w:r w:rsidR="00C42E2E" w:rsidRPr="001C04B0">
          <w:rPr>
            <w:rStyle w:val="Hyperlink"/>
            <w:noProof/>
          </w:rPr>
          <w:t>DPL Implied Results Framework and Prior Actions</w:t>
        </w:r>
        <w:r w:rsidR="00C42E2E">
          <w:rPr>
            <w:noProof/>
            <w:webHidden/>
          </w:rPr>
          <w:tab/>
        </w:r>
        <w:r w:rsidR="00C42E2E">
          <w:rPr>
            <w:noProof/>
            <w:webHidden/>
          </w:rPr>
          <w:fldChar w:fldCharType="begin"/>
        </w:r>
        <w:r w:rsidR="00C42E2E">
          <w:rPr>
            <w:noProof/>
            <w:webHidden/>
          </w:rPr>
          <w:instrText xml:space="preserve"> PAGEREF _Toc125560027 \h </w:instrText>
        </w:r>
        <w:r w:rsidR="00C42E2E">
          <w:rPr>
            <w:noProof/>
            <w:webHidden/>
          </w:rPr>
        </w:r>
        <w:r w:rsidR="00C42E2E">
          <w:rPr>
            <w:noProof/>
            <w:webHidden/>
          </w:rPr>
          <w:fldChar w:fldCharType="separate"/>
        </w:r>
        <w:r w:rsidR="005300E4">
          <w:rPr>
            <w:noProof/>
            <w:webHidden/>
          </w:rPr>
          <w:t>73</w:t>
        </w:r>
        <w:r w:rsidR="00C42E2E">
          <w:rPr>
            <w:noProof/>
            <w:webHidden/>
          </w:rPr>
          <w:fldChar w:fldCharType="end"/>
        </w:r>
      </w:hyperlink>
    </w:p>
    <w:p w14:paraId="38C0056C" w14:textId="3F082BAE" w:rsidR="00BB47DD" w:rsidRDefault="006655DD">
      <w:pPr>
        <w:sectPr w:rsidR="00BB47DD" w:rsidSect="006F738B">
          <w:headerReference w:type="default" r:id="rId8"/>
          <w:footerReference w:type="even" r:id="rId9"/>
          <w:footerReference w:type="default" r:id="rId10"/>
          <w:pgSz w:w="11900" w:h="16820" w:code="1"/>
          <w:pgMar w:top="1800" w:right="1440" w:bottom="1440" w:left="1800" w:header="397" w:footer="720" w:gutter="0"/>
          <w:cols w:space="720"/>
          <w:docGrid w:linePitch="360"/>
        </w:sectPr>
      </w:pPr>
      <w:r>
        <w:rPr>
          <w:rFonts w:eastAsiaTheme="minorHAnsi" w:cstheme="minorBidi"/>
          <w:color w:val="44546A" w:themeColor="text2"/>
          <w:szCs w:val="22"/>
          <w:lang w:eastAsia="en-US"/>
        </w:rPr>
        <w:fldChar w:fldCharType="end"/>
      </w:r>
      <w:r w:rsidR="004F1D23">
        <w:br w:type="page"/>
      </w:r>
    </w:p>
    <w:p w14:paraId="608FD3EB" w14:textId="119B29AD" w:rsidR="001003A6" w:rsidRPr="00E03DD0" w:rsidRDefault="00451D17" w:rsidP="00E03DD0">
      <w:pPr>
        <w:pStyle w:val="Heading1"/>
      </w:pPr>
      <w:bookmarkStart w:id="4" w:name="_Toc125559992"/>
      <w:r w:rsidRPr="00E03DD0">
        <w:lastRenderedPageBreak/>
        <w:t>Abbreviations</w:t>
      </w:r>
      <w:bookmarkEnd w:id="4"/>
    </w:p>
    <w:p w14:paraId="5BB01F8A" w14:textId="6C324BB8" w:rsidR="00694644" w:rsidRPr="00D14094" w:rsidRDefault="00694644" w:rsidP="008F1A76">
      <w:pPr>
        <w:tabs>
          <w:tab w:val="left" w:pos="3085"/>
        </w:tabs>
        <w:rPr>
          <w:sz w:val="20"/>
          <w:szCs w:val="20"/>
        </w:rPr>
      </w:pPr>
      <w:r w:rsidRPr="00D14094">
        <w:rPr>
          <w:b/>
          <w:bCs/>
          <w:sz w:val="20"/>
          <w:szCs w:val="20"/>
        </w:rPr>
        <w:t>4Ps</w:t>
      </w:r>
      <w:r w:rsidRPr="00D14094">
        <w:rPr>
          <w:sz w:val="20"/>
          <w:szCs w:val="20"/>
        </w:rPr>
        <w:t xml:space="preserve"> - </w:t>
      </w:r>
      <w:proofErr w:type="spellStart"/>
      <w:r w:rsidRPr="00D14094">
        <w:rPr>
          <w:sz w:val="20"/>
          <w:szCs w:val="20"/>
        </w:rPr>
        <w:t>Pantawid</w:t>
      </w:r>
      <w:proofErr w:type="spellEnd"/>
      <w:r w:rsidRPr="00D14094">
        <w:rPr>
          <w:sz w:val="20"/>
          <w:szCs w:val="20"/>
        </w:rPr>
        <w:t xml:space="preserve"> </w:t>
      </w:r>
      <w:proofErr w:type="spellStart"/>
      <w:r w:rsidRPr="00D14094">
        <w:rPr>
          <w:sz w:val="20"/>
          <w:szCs w:val="20"/>
        </w:rPr>
        <w:t>Pamilyang</w:t>
      </w:r>
      <w:proofErr w:type="spellEnd"/>
      <w:r w:rsidRPr="00D14094">
        <w:rPr>
          <w:sz w:val="20"/>
          <w:szCs w:val="20"/>
        </w:rPr>
        <w:t xml:space="preserve"> Pilipino Program; also, </w:t>
      </w:r>
      <w:proofErr w:type="spellStart"/>
      <w:r w:rsidRPr="00D14094">
        <w:rPr>
          <w:sz w:val="20"/>
          <w:szCs w:val="20"/>
        </w:rPr>
        <w:t>Pantawid</w:t>
      </w:r>
      <w:proofErr w:type="spellEnd"/>
    </w:p>
    <w:p w14:paraId="0EB6D444" w14:textId="77777777" w:rsidR="00694644" w:rsidRPr="00D14094" w:rsidRDefault="00694644" w:rsidP="00BC66AF">
      <w:pPr>
        <w:tabs>
          <w:tab w:val="left" w:pos="3085"/>
        </w:tabs>
        <w:rPr>
          <w:sz w:val="20"/>
          <w:szCs w:val="20"/>
        </w:rPr>
      </w:pPr>
      <w:r w:rsidRPr="00D14094">
        <w:rPr>
          <w:b/>
          <w:bCs/>
          <w:sz w:val="20"/>
          <w:szCs w:val="20"/>
        </w:rPr>
        <w:t>ADB</w:t>
      </w:r>
      <w:r w:rsidRPr="00D14094">
        <w:rPr>
          <w:sz w:val="20"/>
          <w:szCs w:val="20"/>
        </w:rPr>
        <w:t xml:space="preserve"> – Asian Development Bank</w:t>
      </w:r>
    </w:p>
    <w:p w14:paraId="16F9F418" w14:textId="2168A6BD" w:rsidR="00694644" w:rsidRPr="00D14094" w:rsidRDefault="007628AF" w:rsidP="00BC66AF">
      <w:pPr>
        <w:tabs>
          <w:tab w:val="left" w:pos="3085"/>
        </w:tabs>
        <w:rPr>
          <w:sz w:val="20"/>
          <w:szCs w:val="20"/>
        </w:rPr>
      </w:pPr>
      <w:proofErr w:type="spellStart"/>
      <w:r>
        <w:rPr>
          <w:b/>
          <w:bCs/>
          <w:sz w:val="20"/>
          <w:szCs w:val="20"/>
        </w:rPr>
        <w:t>AGaP</w:t>
      </w:r>
      <w:proofErr w:type="spellEnd"/>
      <w:r w:rsidR="00694644" w:rsidRPr="00D14094">
        <w:rPr>
          <w:sz w:val="20"/>
          <w:szCs w:val="20"/>
        </w:rPr>
        <w:t xml:space="preserve"> - Australia-World Bank Growth and Prosperity in the Philippines Trust Fund</w:t>
      </w:r>
    </w:p>
    <w:p w14:paraId="0E1609D3" w14:textId="77777777" w:rsidR="00694644" w:rsidRPr="00D14094" w:rsidRDefault="00694644" w:rsidP="00BC66AF">
      <w:pPr>
        <w:tabs>
          <w:tab w:val="left" w:pos="3085"/>
        </w:tabs>
        <w:rPr>
          <w:sz w:val="20"/>
          <w:szCs w:val="20"/>
        </w:rPr>
      </w:pPr>
      <w:r w:rsidRPr="00D14094">
        <w:rPr>
          <w:b/>
          <w:bCs/>
          <w:sz w:val="20"/>
          <w:szCs w:val="20"/>
        </w:rPr>
        <w:t>AMPED</w:t>
      </w:r>
      <w:r w:rsidRPr="00D14094">
        <w:rPr>
          <w:sz w:val="20"/>
          <w:szCs w:val="20"/>
        </w:rPr>
        <w:t xml:space="preserve"> - Advancing Multilateral Partnerships for Economic Development</w:t>
      </w:r>
    </w:p>
    <w:p w14:paraId="7E83939A" w14:textId="77777777" w:rsidR="00694644" w:rsidRPr="00D14094" w:rsidRDefault="00694644" w:rsidP="00BC66AF">
      <w:pPr>
        <w:tabs>
          <w:tab w:val="left" w:pos="3085"/>
        </w:tabs>
        <w:rPr>
          <w:sz w:val="20"/>
          <w:szCs w:val="20"/>
        </w:rPr>
      </w:pPr>
      <w:r w:rsidRPr="00D14094">
        <w:rPr>
          <w:b/>
          <w:bCs/>
          <w:sz w:val="20"/>
          <w:szCs w:val="20"/>
        </w:rPr>
        <w:t>ASEAN</w:t>
      </w:r>
      <w:r w:rsidRPr="00D14094">
        <w:rPr>
          <w:sz w:val="20"/>
          <w:szCs w:val="20"/>
        </w:rPr>
        <w:t xml:space="preserve"> - Association of Southeast Asian Nations</w:t>
      </w:r>
    </w:p>
    <w:p w14:paraId="18C284BE" w14:textId="77777777" w:rsidR="00694644" w:rsidRPr="00D14094" w:rsidRDefault="00694644" w:rsidP="00BC66AF">
      <w:pPr>
        <w:tabs>
          <w:tab w:val="left" w:pos="3085"/>
        </w:tabs>
        <w:rPr>
          <w:sz w:val="20"/>
          <w:szCs w:val="20"/>
        </w:rPr>
      </w:pPr>
      <w:r w:rsidRPr="00D14094">
        <w:rPr>
          <w:b/>
          <w:bCs/>
          <w:sz w:val="20"/>
          <w:szCs w:val="20"/>
        </w:rPr>
        <w:t>BARMM</w:t>
      </w:r>
      <w:r w:rsidRPr="00D14094">
        <w:rPr>
          <w:sz w:val="20"/>
          <w:szCs w:val="20"/>
        </w:rPr>
        <w:t xml:space="preserve"> - Bangsamoro Autonomous Region in Muslim Mindanao</w:t>
      </w:r>
    </w:p>
    <w:p w14:paraId="796B21FF" w14:textId="77777777" w:rsidR="00694644" w:rsidRPr="00D14094" w:rsidRDefault="00694644" w:rsidP="00BC66AF">
      <w:pPr>
        <w:tabs>
          <w:tab w:val="left" w:pos="3085"/>
        </w:tabs>
        <w:rPr>
          <w:sz w:val="20"/>
          <w:szCs w:val="20"/>
        </w:rPr>
      </w:pPr>
      <w:r w:rsidRPr="00D14094">
        <w:rPr>
          <w:b/>
          <w:bCs/>
          <w:sz w:val="20"/>
          <w:szCs w:val="20"/>
        </w:rPr>
        <w:t>COVID-19</w:t>
      </w:r>
      <w:r w:rsidRPr="00D14094">
        <w:rPr>
          <w:sz w:val="20"/>
          <w:szCs w:val="20"/>
        </w:rPr>
        <w:t xml:space="preserve"> - corona virus disease</w:t>
      </w:r>
    </w:p>
    <w:p w14:paraId="1E041D96" w14:textId="77777777" w:rsidR="00694644" w:rsidRPr="00D14094" w:rsidRDefault="00694644" w:rsidP="00BC66AF">
      <w:pPr>
        <w:tabs>
          <w:tab w:val="left" w:pos="3085"/>
        </w:tabs>
        <w:rPr>
          <w:sz w:val="20"/>
          <w:szCs w:val="20"/>
        </w:rPr>
      </w:pPr>
      <w:r w:rsidRPr="00D14094">
        <w:rPr>
          <w:b/>
          <w:bCs/>
          <w:sz w:val="20"/>
          <w:szCs w:val="20"/>
        </w:rPr>
        <w:t>CPF</w:t>
      </w:r>
      <w:r w:rsidRPr="00D14094">
        <w:rPr>
          <w:sz w:val="20"/>
          <w:szCs w:val="20"/>
        </w:rPr>
        <w:t xml:space="preserve"> - country partnership strategy</w:t>
      </w:r>
    </w:p>
    <w:p w14:paraId="1EEFD757" w14:textId="77777777" w:rsidR="00694644" w:rsidRPr="00D14094" w:rsidRDefault="00694644" w:rsidP="00BC66AF">
      <w:pPr>
        <w:tabs>
          <w:tab w:val="left" w:pos="3085"/>
        </w:tabs>
        <w:rPr>
          <w:sz w:val="20"/>
          <w:szCs w:val="20"/>
        </w:rPr>
      </w:pPr>
      <w:r w:rsidRPr="00D14094">
        <w:rPr>
          <w:b/>
          <w:bCs/>
          <w:sz w:val="20"/>
          <w:szCs w:val="20"/>
        </w:rPr>
        <w:t>DFAT</w:t>
      </w:r>
      <w:r w:rsidRPr="00D14094">
        <w:rPr>
          <w:sz w:val="20"/>
          <w:szCs w:val="20"/>
        </w:rPr>
        <w:t xml:space="preserve"> - Department of Foreign Affairs and Trade</w:t>
      </w:r>
    </w:p>
    <w:p w14:paraId="633DE334" w14:textId="7C26BF78" w:rsidR="00963052" w:rsidRDefault="00694644" w:rsidP="00BC66AF">
      <w:pPr>
        <w:tabs>
          <w:tab w:val="left" w:pos="3085"/>
        </w:tabs>
        <w:rPr>
          <w:b/>
          <w:bCs/>
          <w:sz w:val="20"/>
          <w:szCs w:val="20"/>
        </w:rPr>
      </w:pPr>
      <w:r w:rsidRPr="00D14094">
        <w:rPr>
          <w:b/>
          <w:bCs/>
          <w:sz w:val="20"/>
          <w:szCs w:val="20"/>
        </w:rPr>
        <w:t>DOH</w:t>
      </w:r>
      <w:r w:rsidRPr="00D14094">
        <w:rPr>
          <w:sz w:val="20"/>
          <w:szCs w:val="20"/>
        </w:rPr>
        <w:t xml:space="preserve"> - Department of Health</w:t>
      </w:r>
      <w:r w:rsidRPr="00D14094">
        <w:rPr>
          <w:sz w:val="20"/>
          <w:szCs w:val="20"/>
        </w:rPr>
        <w:tab/>
      </w:r>
    </w:p>
    <w:p w14:paraId="0BFAFE5D" w14:textId="6968597C" w:rsidR="00694644" w:rsidRPr="00D14094" w:rsidRDefault="00694644" w:rsidP="00BC66AF">
      <w:pPr>
        <w:tabs>
          <w:tab w:val="left" w:pos="3085"/>
        </w:tabs>
        <w:rPr>
          <w:sz w:val="20"/>
          <w:szCs w:val="20"/>
        </w:rPr>
      </w:pPr>
      <w:proofErr w:type="spellStart"/>
      <w:r w:rsidRPr="00D14094">
        <w:rPr>
          <w:b/>
          <w:bCs/>
          <w:sz w:val="20"/>
          <w:szCs w:val="20"/>
        </w:rPr>
        <w:t>DOTr</w:t>
      </w:r>
      <w:proofErr w:type="spellEnd"/>
      <w:r w:rsidRPr="00D14094">
        <w:rPr>
          <w:sz w:val="20"/>
          <w:szCs w:val="20"/>
        </w:rPr>
        <w:t xml:space="preserve"> – Department of Transportation</w:t>
      </w:r>
    </w:p>
    <w:p w14:paraId="36FCE61D" w14:textId="77777777" w:rsidR="00694644" w:rsidRPr="00D14094" w:rsidRDefault="00694644" w:rsidP="00BC66AF">
      <w:pPr>
        <w:tabs>
          <w:tab w:val="left" w:pos="3085"/>
        </w:tabs>
        <w:rPr>
          <w:sz w:val="20"/>
          <w:szCs w:val="20"/>
        </w:rPr>
      </w:pPr>
      <w:r w:rsidRPr="00D14094">
        <w:rPr>
          <w:b/>
          <w:bCs/>
          <w:sz w:val="20"/>
          <w:szCs w:val="20"/>
        </w:rPr>
        <w:t>DP</w:t>
      </w:r>
      <w:r w:rsidRPr="00D14094">
        <w:rPr>
          <w:sz w:val="20"/>
          <w:szCs w:val="20"/>
        </w:rPr>
        <w:t xml:space="preserve"> – development partner</w:t>
      </w:r>
    </w:p>
    <w:p w14:paraId="1F14C672" w14:textId="77777777" w:rsidR="00694644" w:rsidRPr="00D14094" w:rsidRDefault="00694644" w:rsidP="00BC66AF">
      <w:pPr>
        <w:tabs>
          <w:tab w:val="left" w:pos="3085"/>
        </w:tabs>
        <w:rPr>
          <w:sz w:val="20"/>
          <w:szCs w:val="20"/>
        </w:rPr>
      </w:pPr>
      <w:r w:rsidRPr="00D14094">
        <w:rPr>
          <w:b/>
          <w:bCs/>
          <w:sz w:val="20"/>
          <w:szCs w:val="20"/>
        </w:rPr>
        <w:t>DPL</w:t>
      </w:r>
      <w:r w:rsidRPr="00D14094">
        <w:rPr>
          <w:sz w:val="20"/>
          <w:szCs w:val="20"/>
        </w:rPr>
        <w:t xml:space="preserve"> - development policy loan</w:t>
      </w:r>
    </w:p>
    <w:p w14:paraId="7B0DCA11" w14:textId="77777777" w:rsidR="00694644" w:rsidRPr="00D14094" w:rsidRDefault="00694644" w:rsidP="00BC66AF">
      <w:pPr>
        <w:tabs>
          <w:tab w:val="left" w:pos="3085"/>
        </w:tabs>
        <w:rPr>
          <w:sz w:val="20"/>
          <w:szCs w:val="20"/>
        </w:rPr>
      </w:pPr>
      <w:r w:rsidRPr="00D14094">
        <w:rPr>
          <w:b/>
          <w:bCs/>
          <w:sz w:val="20"/>
          <w:szCs w:val="20"/>
        </w:rPr>
        <w:t>DPWH</w:t>
      </w:r>
      <w:r w:rsidRPr="00D14094">
        <w:rPr>
          <w:sz w:val="20"/>
          <w:szCs w:val="20"/>
        </w:rPr>
        <w:t xml:space="preserve"> – Department of Public Works and Highways</w:t>
      </w:r>
    </w:p>
    <w:p w14:paraId="5B0DF964" w14:textId="77777777" w:rsidR="00694644" w:rsidRPr="00D14094" w:rsidRDefault="00694644" w:rsidP="00BC66AF">
      <w:pPr>
        <w:tabs>
          <w:tab w:val="left" w:pos="3085"/>
        </w:tabs>
        <w:rPr>
          <w:sz w:val="20"/>
          <w:szCs w:val="20"/>
        </w:rPr>
      </w:pPr>
      <w:r w:rsidRPr="00D14094">
        <w:rPr>
          <w:b/>
          <w:bCs/>
          <w:sz w:val="20"/>
          <w:szCs w:val="20"/>
        </w:rPr>
        <w:t>DSWD</w:t>
      </w:r>
      <w:r w:rsidRPr="00D14094">
        <w:rPr>
          <w:sz w:val="20"/>
          <w:szCs w:val="20"/>
        </w:rPr>
        <w:t xml:space="preserve"> – Department of Social Welfare and Development</w:t>
      </w:r>
    </w:p>
    <w:p w14:paraId="42255E0D" w14:textId="77777777" w:rsidR="00694644" w:rsidRPr="00D14094" w:rsidRDefault="00694644" w:rsidP="00BC66AF">
      <w:pPr>
        <w:tabs>
          <w:tab w:val="left" w:pos="3085"/>
        </w:tabs>
        <w:rPr>
          <w:sz w:val="20"/>
          <w:szCs w:val="20"/>
        </w:rPr>
      </w:pPr>
      <w:r w:rsidRPr="00D14094">
        <w:rPr>
          <w:b/>
          <w:bCs/>
          <w:sz w:val="20"/>
          <w:szCs w:val="20"/>
        </w:rPr>
        <w:t>EOPO</w:t>
      </w:r>
      <w:r w:rsidRPr="00D14094">
        <w:rPr>
          <w:sz w:val="20"/>
          <w:szCs w:val="20"/>
        </w:rPr>
        <w:t xml:space="preserve"> – end of program outcome</w:t>
      </w:r>
    </w:p>
    <w:p w14:paraId="2E95E1B4" w14:textId="77777777" w:rsidR="00694644" w:rsidRPr="00D14094" w:rsidRDefault="00694644" w:rsidP="00BC66AF">
      <w:pPr>
        <w:tabs>
          <w:tab w:val="left" w:pos="3085"/>
        </w:tabs>
        <w:rPr>
          <w:sz w:val="20"/>
          <w:szCs w:val="20"/>
        </w:rPr>
      </w:pPr>
      <w:r w:rsidRPr="00D14094">
        <w:rPr>
          <w:b/>
          <w:bCs/>
          <w:sz w:val="20"/>
          <w:szCs w:val="20"/>
        </w:rPr>
        <w:t xml:space="preserve">GDP </w:t>
      </w:r>
      <w:r w:rsidRPr="00D14094">
        <w:rPr>
          <w:sz w:val="20"/>
          <w:szCs w:val="20"/>
        </w:rPr>
        <w:t>- gross domestic product</w:t>
      </w:r>
    </w:p>
    <w:p w14:paraId="47008D15" w14:textId="397EAD74" w:rsidR="00694644" w:rsidRPr="00D14094" w:rsidRDefault="00694644" w:rsidP="00BC66AF">
      <w:pPr>
        <w:tabs>
          <w:tab w:val="left" w:pos="3085"/>
        </w:tabs>
        <w:rPr>
          <w:sz w:val="20"/>
          <w:szCs w:val="20"/>
        </w:rPr>
      </w:pPr>
      <w:r w:rsidRPr="00D14094">
        <w:rPr>
          <w:b/>
          <w:bCs/>
          <w:sz w:val="20"/>
          <w:szCs w:val="20"/>
        </w:rPr>
        <w:t xml:space="preserve">GEDSI </w:t>
      </w:r>
      <w:r w:rsidRPr="00D14094">
        <w:rPr>
          <w:sz w:val="20"/>
          <w:szCs w:val="20"/>
        </w:rPr>
        <w:t xml:space="preserve">- gender equality, </w:t>
      </w:r>
      <w:r w:rsidR="00034065" w:rsidRPr="00D14094">
        <w:rPr>
          <w:sz w:val="20"/>
          <w:szCs w:val="20"/>
        </w:rPr>
        <w:t>disability,</w:t>
      </w:r>
      <w:r w:rsidRPr="00D14094">
        <w:rPr>
          <w:sz w:val="20"/>
          <w:szCs w:val="20"/>
        </w:rPr>
        <w:t xml:space="preserve"> and social inclusion</w:t>
      </w:r>
    </w:p>
    <w:p w14:paraId="7B313E89" w14:textId="77777777" w:rsidR="00694644" w:rsidRPr="00D14094" w:rsidRDefault="00694644" w:rsidP="00BC66AF">
      <w:pPr>
        <w:tabs>
          <w:tab w:val="left" w:pos="3085"/>
        </w:tabs>
        <w:rPr>
          <w:sz w:val="20"/>
          <w:szCs w:val="20"/>
        </w:rPr>
      </w:pPr>
      <w:r w:rsidRPr="00D14094">
        <w:rPr>
          <w:b/>
          <w:bCs/>
          <w:sz w:val="20"/>
          <w:szCs w:val="20"/>
        </w:rPr>
        <w:t xml:space="preserve">GESI </w:t>
      </w:r>
      <w:r w:rsidRPr="00D14094">
        <w:rPr>
          <w:sz w:val="20"/>
          <w:szCs w:val="20"/>
        </w:rPr>
        <w:t>- gender equality and social inclusion</w:t>
      </w:r>
    </w:p>
    <w:p w14:paraId="2B38FACB" w14:textId="77777777" w:rsidR="00694644" w:rsidRPr="00D14094" w:rsidRDefault="00694644" w:rsidP="00BC66AF">
      <w:pPr>
        <w:tabs>
          <w:tab w:val="left" w:pos="3085"/>
        </w:tabs>
        <w:rPr>
          <w:sz w:val="20"/>
          <w:szCs w:val="20"/>
        </w:rPr>
      </w:pPr>
      <w:r w:rsidRPr="00D14094">
        <w:rPr>
          <w:b/>
          <w:bCs/>
          <w:sz w:val="20"/>
          <w:szCs w:val="20"/>
        </w:rPr>
        <w:t>GOA</w:t>
      </w:r>
      <w:r w:rsidRPr="00D14094">
        <w:rPr>
          <w:sz w:val="20"/>
          <w:szCs w:val="20"/>
        </w:rPr>
        <w:t xml:space="preserve"> – Government of Australia</w:t>
      </w:r>
    </w:p>
    <w:p w14:paraId="43F9FC50" w14:textId="5E2A50C5" w:rsidR="00694644" w:rsidRPr="00D14094" w:rsidRDefault="00694644" w:rsidP="00BC66AF">
      <w:pPr>
        <w:tabs>
          <w:tab w:val="left" w:pos="3085"/>
        </w:tabs>
        <w:rPr>
          <w:sz w:val="20"/>
          <w:szCs w:val="20"/>
        </w:rPr>
      </w:pPr>
      <w:r w:rsidRPr="00D14094">
        <w:rPr>
          <w:b/>
          <w:bCs/>
          <w:sz w:val="20"/>
          <w:szCs w:val="20"/>
        </w:rPr>
        <w:t xml:space="preserve">GOCC - </w:t>
      </w:r>
      <w:r w:rsidRPr="00D14094">
        <w:rPr>
          <w:sz w:val="20"/>
          <w:szCs w:val="20"/>
        </w:rPr>
        <w:t xml:space="preserve">government-owned </w:t>
      </w:r>
      <w:r w:rsidR="00963052">
        <w:rPr>
          <w:sz w:val="20"/>
          <w:szCs w:val="20"/>
        </w:rPr>
        <w:t>or</w:t>
      </w:r>
      <w:r w:rsidR="00963052" w:rsidRPr="00D14094">
        <w:rPr>
          <w:sz w:val="20"/>
          <w:szCs w:val="20"/>
        </w:rPr>
        <w:t xml:space="preserve"> </w:t>
      </w:r>
      <w:r w:rsidRPr="00D14094">
        <w:rPr>
          <w:sz w:val="20"/>
          <w:szCs w:val="20"/>
        </w:rPr>
        <w:t>controlled corporation</w:t>
      </w:r>
    </w:p>
    <w:p w14:paraId="6851563D" w14:textId="77777777" w:rsidR="00694644" w:rsidRPr="00D14094" w:rsidRDefault="00694644" w:rsidP="00BC66AF">
      <w:pPr>
        <w:tabs>
          <w:tab w:val="left" w:pos="3085"/>
        </w:tabs>
        <w:rPr>
          <w:sz w:val="20"/>
          <w:szCs w:val="20"/>
        </w:rPr>
      </w:pPr>
      <w:proofErr w:type="spellStart"/>
      <w:r w:rsidRPr="00D14094">
        <w:rPr>
          <w:b/>
          <w:bCs/>
          <w:sz w:val="20"/>
          <w:szCs w:val="20"/>
        </w:rPr>
        <w:t>GoP</w:t>
      </w:r>
      <w:proofErr w:type="spellEnd"/>
      <w:r w:rsidRPr="00D14094">
        <w:rPr>
          <w:sz w:val="20"/>
          <w:szCs w:val="20"/>
        </w:rPr>
        <w:t xml:space="preserve"> - Government of the Philippines</w:t>
      </w:r>
    </w:p>
    <w:p w14:paraId="13663F73" w14:textId="77777777" w:rsidR="00694644" w:rsidRPr="00D14094" w:rsidRDefault="00694644" w:rsidP="00BC66AF">
      <w:pPr>
        <w:tabs>
          <w:tab w:val="left" w:pos="3085"/>
        </w:tabs>
        <w:rPr>
          <w:sz w:val="20"/>
          <w:szCs w:val="20"/>
        </w:rPr>
      </w:pPr>
      <w:r w:rsidRPr="00D14094">
        <w:rPr>
          <w:b/>
          <w:bCs/>
          <w:sz w:val="20"/>
          <w:szCs w:val="20"/>
        </w:rPr>
        <w:t>G-to-G</w:t>
      </w:r>
      <w:r w:rsidRPr="00D14094">
        <w:rPr>
          <w:sz w:val="20"/>
          <w:szCs w:val="20"/>
        </w:rPr>
        <w:t xml:space="preserve"> - government-to-government</w:t>
      </w:r>
    </w:p>
    <w:p w14:paraId="549CD7B9" w14:textId="77777777" w:rsidR="00694644" w:rsidRPr="00D14094" w:rsidRDefault="00694644" w:rsidP="00BC66AF">
      <w:pPr>
        <w:tabs>
          <w:tab w:val="left" w:pos="3085"/>
        </w:tabs>
        <w:rPr>
          <w:sz w:val="20"/>
          <w:szCs w:val="20"/>
        </w:rPr>
      </w:pPr>
      <w:r w:rsidRPr="00D14094">
        <w:rPr>
          <w:b/>
          <w:bCs/>
          <w:sz w:val="20"/>
          <w:szCs w:val="20"/>
        </w:rPr>
        <w:t>IBRD</w:t>
      </w:r>
      <w:r w:rsidRPr="00D14094">
        <w:rPr>
          <w:sz w:val="20"/>
          <w:szCs w:val="20"/>
        </w:rPr>
        <w:t xml:space="preserve"> – International Bank for Reconstruction and Development; also, World Bank</w:t>
      </w:r>
    </w:p>
    <w:p w14:paraId="200CAFD9" w14:textId="77777777" w:rsidR="00694644" w:rsidRPr="00D14094" w:rsidRDefault="00694644" w:rsidP="00BC66AF">
      <w:pPr>
        <w:tabs>
          <w:tab w:val="left" w:pos="3085"/>
        </w:tabs>
        <w:rPr>
          <w:sz w:val="20"/>
          <w:szCs w:val="20"/>
        </w:rPr>
      </w:pPr>
      <w:r w:rsidRPr="00D14094">
        <w:rPr>
          <w:b/>
          <w:bCs/>
          <w:sz w:val="20"/>
          <w:szCs w:val="20"/>
        </w:rPr>
        <w:t>ICT</w:t>
      </w:r>
      <w:r w:rsidRPr="00D14094">
        <w:rPr>
          <w:sz w:val="20"/>
          <w:szCs w:val="20"/>
        </w:rPr>
        <w:t xml:space="preserve"> – information and communications technology</w:t>
      </w:r>
    </w:p>
    <w:p w14:paraId="21C2D0EE" w14:textId="77777777" w:rsidR="00694644" w:rsidRDefault="00694644" w:rsidP="00BC66AF">
      <w:pPr>
        <w:tabs>
          <w:tab w:val="left" w:pos="3085"/>
        </w:tabs>
        <w:rPr>
          <w:sz w:val="20"/>
          <w:szCs w:val="20"/>
        </w:rPr>
      </w:pPr>
      <w:r w:rsidRPr="00D14094">
        <w:rPr>
          <w:b/>
          <w:bCs/>
          <w:sz w:val="20"/>
          <w:szCs w:val="20"/>
        </w:rPr>
        <w:t>IMF</w:t>
      </w:r>
      <w:r w:rsidRPr="00D14094">
        <w:rPr>
          <w:sz w:val="20"/>
          <w:szCs w:val="20"/>
        </w:rPr>
        <w:t xml:space="preserve"> - International Monetary Fund</w:t>
      </w:r>
    </w:p>
    <w:p w14:paraId="2AFA620F" w14:textId="772B4778" w:rsidR="00D62E3D" w:rsidRDefault="00D62E3D" w:rsidP="00BC66AF">
      <w:pPr>
        <w:tabs>
          <w:tab w:val="left" w:pos="3085"/>
        </w:tabs>
        <w:rPr>
          <w:sz w:val="20"/>
          <w:szCs w:val="20"/>
        </w:rPr>
      </w:pPr>
      <w:r w:rsidRPr="00D62E3D">
        <w:rPr>
          <w:b/>
          <w:bCs/>
          <w:sz w:val="20"/>
          <w:szCs w:val="20"/>
        </w:rPr>
        <w:t>INGO</w:t>
      </w:r>
      <w:r>
        <w:rPr>
          <w:sz w:val="20"/>
          <w:szCs w:val="20"/>
        </w:rPr>
        <w:t xml:space="preserve"> – international nongovernment organisation</w:t>
      </w:r>
    </w:p>
    <w:p w14:paraId="4E44D9EA" w14:textId="57D7D904" w:rsidR="00A26947" w:rsidRPr="00A26947" w:rsidRDefault="00A26947" w:rsidP="00BC66AF">
      <w:pPr>
        <w:tabs>
          <w:tab w:val="left" w:pos="3085"/>
        </w:tabs>
        <w:rPr>
          <w:sz w:val="20"/>
          <w:szCs w:val="20"/>
        </w:rPr>
      </w:pPr>
      <w:r>
        <w:rPr>
          <w:b/>
          <w:bCs/>
          <w:sz w:val="20"/>
          <w:szCs w:val="20"/>
        </w:rPr>
        <w:t xml:space="preserve">LGU </w:t>
      </w:r>
      <w:r>
        <w:rPr>
          <w:sz w:val="20"/>
          <w:szCs w:val="20"/>
        </w:rPr>
        <w:t>– local government unit</w:t>
      </w:r>
    </w:p>
    <w:p w14:paraId="49D5FDAC" w14:textId="77777777" w:rsidR="00694644" w:rsidRPr="00D14094" w:rsidRDefault="00694644" w:rsidP="00BC66AF">
      <w:pPr>
        <w:tabs>
          <w:tab w:val="left" w:pos="3085"/>
        </w:tabs>
        <w:rPr>
          <w:sz w:val="20"/>
          <w:szCs w:val="20"/>
        </w:rPr>
      </w:pPr>
      <w:r w:rsidRPr="00D14094">
        <w:rPr>
          <w:b/>
          <w:bCs/>
          <w:sz w:val="20"/>
          <w:szCs w:val="20"/>
        </w:rPr>
        <w:t>M&amp;E</w:t>
      </w:r>
      <w:r w:rsidRPr="00D14094">
        <w:rPr>
          <w:sz w:val="20"/>
          <w:szCs w:val="20"/>
        </w:rPr>
        <w:t xml:space="preserve"> – monitoring and evaluation</w:t>
      </w:r>
    </w:p>
    <w:p w14:paraId="3ADBBC4F" w14:textId="77777777" w:rsidR="00B657E4" w:rsidRDefault="00B657E4" w:rsidP="00BC66AF">
      <w:pPr>
        <w:tabs>
          <w:tab w:val="left" w:pos="3085"/>
        </w:tabs>
        <w:rPr>
          <w:b/>
          <w:bCs/>
          <w:sz w:val="20"/>
          <w:szCs w:val="20"/>
        </w:rPr>
      </w:pPr>
    </w:p>
    <w:p w14:paraId="52BCBE18" w14:textId="77777777" w:rsidR="00B657E4" w:rsidRDefault="00B657E4" w:rsidP="00BC66AF">
      <w:pPr>
        <w:tabs>
          <w:tab w:val="left" w:pos="3085"/>
        </w:tabs>
        <w:rPr>
          <w:b/>
          <w:bCs/>
          <w:sz w:val="20"/>
          <w:szCs w:val="20"/>
        </w:rPr>
      </w:pPr>
    </w:p>
    <w:p w14:paraId="4C1EBED6" w14:textId="0D6048CF" w:rsidR="00BC66AF" w:rsidRDefault="00694644" w:rsidP="00B657E4">
      <w:pPr>
        <w:tabs>
          <w:tab w:val="left" w:pos="3085"/>
        </w:tabs>
        <w:rPr>
          <w:b/>
          <w:bCs/>
          <w:sz w:val="20"/>
          <w:szCs w:val="20"/>
        </w:rPr>
      </w:pPr>
      <w:r w:rsidRPr="00D14094">
        <w:rPr>
          <w:b/>
          <w:bCs/>
          <w:sz w:val="20"/>
          <w:szCs w:val="20"/>
        </w:rPr>
        <w:t>MMBRT</w:t>
      </w:r>
      <w:r w:rsidRPr="00D14094">
        <w:rPr>
          <w:sz w:val="20"/>
          <w:szCs w:val="20"/>
        </w:rPr>
        <w:t xml:space="preserve"> - Metro Manila Bus Rapid Transit</w:t>
      </w:r>
    </w:p>
    <w:p w14:paraId="6B496B59" w14:textId="1BEC1CEF" w:rsidR="00694644" w:rsidRPr="00D14094" w:rsidRDefault="00694644" w:rsidP="00B657E4">
      <w:pPr>
        <w:tabs>
          <w:tab w:val="left" w:pos="3085"/>
        </w:tabs>
        <w:rPr>
          <w:sz w:val="20"/>
          <w:szCs w:val="20"/>
        </w:rPr>
      </w:pPr>
      <w:r w:rsidRPr="00D14094">
        <w:rPr>
          <w:b/>
          <w:bCs/>
          <w:sz w:val="20"/>
          <w:szCs w:val="20"/>
        </w:rPr>
        <w:t>MTR</w:t>
      </w:r>
      <w:r w:rsidRPr="00D14094">
        <w:rPr>
          <w:sz w:val="20"/>
          <w:szCs w:val="20"/>
        </w:rPr>
        <w:t xml:space="preserve"> - midterm review</w:t>
      </w:r>
    </w:p>
    <w:p w14:paraId="7AA82BDE" w14:textId="77777777" w:rsidR="00694644" w:rsidRPr="00D14094" w:rsidRDefault="00694644" w:rsidP="00B657E4">
      <w:pPr>
        <w:tabs>
          <w:tab w:val="left" w:pos="3085"/>
        </w:tabs>
        <w:rPr>
          <w:b/>
          <w:bCs/>
          <w:sz w:val="20"/>
          <w:szCs w:val="20"/>
        </w:rPr>
      </w:pPr>
      <w:r w:rsidRPr="00D14094">
        <w:rPr>
          <w:b/>
          <w:bCs/>
          <w:sz w:val="20"/>
          <w:szCs w:val="20"/>
        </w:rPr>
        <w:t>NA</w:t>
      </w:r>
      <w:r w:rsidRPr="00D14094">
        <w:rPr>
          <w:sz w:val="20"/>
          <w:szCs w:val="20"/>
        </w:rPr>
        <w:t xml:space="preserve"> - not applicable</w:t>
      </w:r>
    </w:p>
    <w:p w14:paraId="20A7CB47" w14:textId="77777777" w:rsidR="00694644" w:rsidRDefault="00694644" w:rsidP="00B657E4">
      <w:pPr>
        <w:tabs>
          <w:tab w:val="left" w:pos="3085"/>
        </w:tabs>
        <w:rPr>
          <w:sz w:val="20"/>
          <w:szCs w:val="20"/>
        </w:rPr>
      </w:pPr>
      <w:r w:rsidRPr="00D14094">
        <w:rPr>
          <w:b/>
          <w:bCs/>
          <w:sz w:val="20"/>
          <w:szCs w:val="20"/>
        </w:rPr>
        <w:t>NCR</w:t>
      </w:r>
      <w:r w:rsidRPr="00D14094">
        <w:rPr>
          <w:sz w:val="20"/>
          <w:szCs w:val="20"/>
        </w:rPr>
        <w:t xml:space="preserve"> - National Capital Region</w:t>
      </w:r>
    </w:p>
    <w:p w14:paraId="09D28BEE" w14:textId="51835A6E" w:rsidR="00D62E3D" w:rsidRPr="00D62E3D" w:rsidRDefault="00D62E3D" w:rsidP="00B657E4">
      <w:pPr>
        <w:tabs>
          <w:tab w:val="left" w:pos="3085"/>
        </w:tabs>
        <w:rPr>
          <w:sz w:val="20"/>
          <w:szCs w:val="20"/>
        </w:rPr>
      </w:pPr>
      <w:r w:rsidRPr="00D62E3D">
        <w:rPr>
          <w:b/>
          <w:bCs/>
          <w:sz w:val="20"/>
          <w:szCs w:val="20"/>
        </w:rPr>
        <w:t>NGO</w:t>
      </w:r>
      <w:r>
        <w:rPr>
          <w:sz w:val="20"/>
          <w:szCs w:val="20"/>
        </w:rPr>
        <w:t xml:space="preserve"> – nongovernment organisation</w:t>
      </w:r>
    </w:p>
    <w:p w14:paraId="602E1E5C" w14:textId="77777777" w:rsidR="00694644" w:rsidRPr="00D14094" w:rsidRDefault="00694644" w:rsidP="00B657E4">
      <w:pPr>
        <w:tabs>
          <w:tab w:val="left" w:pos="3085"/>
        </w:tabs>
        <w:rPr>
          <w:sz w:val="20"/>
          <w:szCs w:val="20"/>
        </w:rPr>
      </w:pPr>
      <w:r w:rsidRPr="00D14094">
        <w:rPr>
          <w:b/>
          <w:bCs/>
          <w:sz w:val="20"/>
          <w:szCs w:val="20"/>
        </w:rPr>
        <w:t>NTFC</w:t>
      </w:r>
      <w:r w:rsidRPr="00D14094">
        <w:rPr>
          <w:sz w:val="20"/>
          <w:szCs w:val="20"/>
        </w:rPr>
        <w:t xml:space="preserve"> - National Trade Facilitation Committee</w:t>
      </w:r>
    </w:p>
    <w:p w14:paraId="644F98C5" w14:textId="77777777" w:rsidR="00694644" w:rsidRPr="00D14094" w:rsidRDefault="00694644" w:rsidP="00B657E4">
      <w:pPr>
        <w:tabs>
          <w:tab w:val="left" w:pos="3085"/>
        </w:tabs>
        <w:rPr>
          <w:sz w:val="20"/>
          <w:szCs w:val="20"/>
        </w:rPr>
      </w:pPr>
      <w:r w:rsidRPr="00D14094">
        <w:rPr>
          <w:b/>
          <w:bCs/>
          <w:sz w:val="20"/>
          <w:szCs w:val="20"/>
        </w:rPr>
        <w:t>ODA</w:t>
      </w:r>
      <w:r w:rsidRPr="00D14094">
        <w:rPr>
          <w:sz w:val="20"/>
          <w:szCs w:val="20"/>
        </w:rPr>
        <w:t xml:space="preserve"> – official development assistance</w:t>
      </w:r>
    </w:p>
    <w:p w14:paraId="5CA4A63D" w14:textId="77777777" w:rsidR="00694644" w:rsidRPr="00D14094" w:rsidRDefault="00694644" w:rsidP="00B657E4">
      <w:pPr>
        <w:tabs>
          <w:tab w:val="left" w:pos="3085"/>
        </w:tabs>
        <w:rPr>
          <w:sz w:val="20"/>
          <w:szCs w:val="20"/>
        </w:rPr>
      </w:pPr>
      <w:r w:rsidRPr="00D14094">
        <w:rPr>
          <w:b/>
          <w:bCs/>
          <w:sz w:val="20"/>
          <w:szCs w:val="20"/>
        </w:rPr>
        <w:t>P4I</w:t>
      </w:r>
      <w:r w:rsidRPr="00D14094">
        <w:rPr>
          <w:sz w:val="20"/>
          <w:szCs w:val="20"/>
        </w:rPr>
        <w:t xml:space="preserve"> - Partnerships for Infrastructure</w:t>
      </w:r>
    </w:p>
    <w:p w14:paraId="338A68D9" w14:textId="77777777" w:rsidR="00694644" w:rsidRPr="00D14094" w:rsidRDefault="00694644" w:rsidP="00B657E4">
      <w:pPr>
        <w:tabs>
          <w:tab w:val="left" w:pos="3085"/>
        </w:tabs>
        <w:rPr>
          <w:sz w:val="20"/>
          <w:szCs w:val="20"/>
        </w:rPr>
      </w:pPr>
      <w:r w:rsidRPr="00D14094">
        <w:rPr>
          <w:b/>
          <w:bCs/>
          <w:sz w:val="20"/>
          <w:szCs w:val="20"/>
        </w:rPr>
        <w:t>PDP</w:t>
      </w:r>
      <w:r w:rsidRPr="00D14094">
        <w:rPr>
          <w:sz w:val="20"/>
          <w:szCs w:val="20"/>
        </w:rPr>
        <w:t xml:space="preserve"> - Philippine Development Plan</w:t>
      </w:r>
    </w:p>
    <w:p w14:paraId="5FE51BE1" w14:textId="77777777" w:rsidR="00694644" w:rsidRPr="00D14094" w:rsidRDefault="00694644" w:rsidP="00B657E4">
      <w:pPr>
        <w:tabs>
          <w:tab w:val="left" w:pos="3085"/>
        </w:tabs>
        <w:rPr>
          <w:sz w:val="20"/>
          <w:szCs w:val="20"/>
        </w:rPr>
      </w:pPr>
      <w:proofErr w:type="spellStart"/>
      <w:r w:rsidRPr="00D14094">
        <w:rPr>
          <w:b/>
          <w:bCs/>
          <w:sz w:val="20"/>
          <w:szCs w:val="20"/>
        </w:rPr>
        <w:t>PhilSys</w:t>
      </w:r>
      <w:proofErr w:type="spellEnd"/>
      <w:r w:rsidRPr="00D14094">
        <w:rPr>
          <w:sz w:val="20"/>
          <w:szCs w:val="20"/>
        </w:rPr>
        <w:t xml:space="preserve"> - Philippine Identification System (national ID)</w:t>
      </w:r>
    </w:p>
    <w:p w14:paraId="736B78C7" w14:textId="77777777" w:rsidR="00694644" w:rsidRPr="00D14094" w:rsidRDefault="00694644" w:rsidP="00B657E4">
      <w:pPr>
        <w:tabs>
          <w:tab w:val="left" w:pos="3085"/>
        </w:tabs>
        <w:rPr>
          <w:sz w:val="20"/>
          <w:szCs w:val="20"/>
        </w:rPr>
      </w:pPr>
      <w:r w:rsidRPr="00D14094">
        <w:rPr>
          <w:b/>
          <w:bCs/>
          <w:sz w:val="20"/>
          <w:szCs w:val="20"/>
        </w:rPr>
        <w:t xml:space="preserve">PWD </w:t>
      </w:r>
      <w:r w:rsidRPr="00D14094">
        <w:rPr>
          <w:sz w:val="20"/>
          <w:szCs w:val="20"/>
        </w:rPr>
        <w:t>- persons with disabilities</w:t>
      </w:r>
    </w:p>
    <w:p w14:paraId="7D0555A9" w14:textId="77777777" w:rsidR="00694644" w:rsidRPr="00D14094" w:rsidRDefault="00694644" w:rsidP="00B657E4">
      <w:pPr>
        <w:tabs>
          <w:tab w:val="left" w:pos="3085"/>
        </w:tabs>
        <w:rPr>
          <w:sz w:val="20"/>
          <w:szCs w:val="20"/>
        </w:rPr>
      </w:pPr>
      <w:r w:rsidRPr="00D14094">
        <w:rPr>
          <w:b/>
          <w:bCs/>
          <w:sz w:val="20"/>
          <w:szCs w:val="20"/>
        </w:rPr>
        <w:t>RCEF</w:t>
      </w:r>
      <w:r w:rsidRPr="00D14094">
        <w:rPr>
          <w:sz w:val="20"/>
          <w:szCs w:val="20"/>
        </w:rPr>
        <w:t xml:space="preserve"> - Rice Competitiveness Enhancement Fund</w:t>
      </w:r>
    </w:p>
    <w:p w14:paraId="2E32B69A" w14:textId="7DC7A23A" w:rsidR="005548FA" w:rsidRPr="00D14094" w:rsidRDefault="005548FA" w:rsidP="00B657E4">
      <w:pPr>
        <w:tabs>
          <w:tab w:val="left" w:pos="3085"/>
        </w:tabs>
        <w:rPr>
          <w:sz w:val="20"/>
          <w:szCs w:val="20"/>
          <w:lang w:val="en-PH"/>
        </w:rPr>
      </w:pPr>
      <w:r w:rsidRPr="00D14094">
        <w:rPr>
          <w:b/>
          <w:bCs/>
          <w:sz w:val="20"/>
          <w:szCs w:val="20"/>
        </w:rPr>
        <w:t xml:space="preserve">SC </w:t>
      </w:r>
      <w:r w:rsidRPr="00D14094">
        <w:rPr>
          <w:sz w:val="20"/>
          <w:szCs w:val="20"/>
        </w:rPr>
        <w:t>–</w:t>
      </w:r>
      <w:r w:rsidRPr="00D14094">
        <w:rPr>
          <w:b/>
          <w:bCs/>
          <w:sz w:val="20"/>
          <w:szCs w:val="20"/>
        </w:rPr>
        <w:t xml:space="preserve"> </w:t>
      </w:r>
      <w:r w:rsidRPr="00D14094">
        <w:rPr>
          <w:sz w:val="20"/>
          <w:szCs w:val="20"/>
        </w:rPr>
        <w:t>Steering Committee</w:t>
      </w:r>
    </w:p>
    <w:p w14:paraId="50B43FD6" w14:textId="77777777" w:rsidR="00694644" w:rsidRPr="00D14094" w:rsidRDefault="00694644" w:rsidP="00B657E4">
      <w:pPr>
        <w:tabs>
          <w:tab w:val="left" w:pos="3085"/>
        </w:tabs>
        <w:rPr>
          <w:sz w:val="20"/>
          <w:szCs w:val="20"/>
        </w:rPr>
      </w:pPr>
      <w:r w:rsidRPr="00D14094">
        <w:rPr>
          <w:b/>
          <w:bCs/>
          <w:sz w:val="20"/>
          <w:szCs w:val="20"/>
        </w:rPr>
        <w:t>SPC</w:t>
      </w:r>
      <w:r w:rsidRPr="00D14094">
        <w:rPr>
          <w:sz w:val="20"/>
          <w:szCs w:val="20"/>
        </w:rPr>
        <w:t xml:space="preserve"> – significant policy change</w:t>
      </w:r>
    </w:p>
    <w:p w14:paraId="2E01CFEE" w14:textId="77777777" w:rsidR="00694644" w:rsidRPr="00D14094" w:rsidRDefault="00694644" w:rsidP="00B657E4">
      <w:pPr>
        <w:tabs>
          <w:tab w:val="left" w:pos="3085"/>
        </w:tabs>
        <w:rPr>
          <w:sz w:val="20"/>
          <w:szCs w:val="20"/>
        </w:rPr>
      </w:pPr>
      <w:r w:rsidRPr="00D14094">
        <w:rPr>
          <w:b/>
          <w:bCs/>
          <w:sz w:val="20"/>
          <w:szCs w:val="20"/>
        </w:rPr>
        <w:t>TA</w:t>
      </w:r>
      <w:r w:rsidRPr="00D14094">
        <w:rPr>
          <w:sz w:val="20"/>
          <w:szCs w:val="20"/>
        </w:rPr>
        <w:t xml:space="preserve"> - technical assistance</w:t>
      </w:r>
    </w:p>
    <w:p w14:paraId="1692B97A" w14:textId="77777777" w:rsidR="00694644" w:rsidRPr="00D14094" w:rsidRDefault="00694644" w:rsidP="00B657E4">
      <w:pPr>
        <w:tabs>
          <w:tab w:val="left" w:pos="3085"/>
        </w:tabs>
        <w:rPr>
          <w:sz w:val="20"/>
          <w:szCs w:val="20"/>
        </w:rPr>
      </w:pPr>
      <w:r w:rsidRPr="00D14094">
        <w:rPr>
          <w:b/>
          <w:bCs/>
          <w:sz w:val="20"/>
          <w:szCs w:val="20"/>
        </w:rPr>
        <w:t>TF</w:t>
      </w:r>
      <w:r w:rsidRPr="00D14094">
        <w:rPr>
          <w:sz w:val="20"/>
          <w:szCs w:val="20"/>
        </w:rPr>
        <w:t xml:space="preserve"> - trust fund</w:t>
      </w:r>
    </w:p>
    <w:p w14:paraId="15E232E6" w14:textId="77777777" w:rsidR="00694644" w:rsidRPr="00D14094" w:rsidRDefault="00694644" w:rsidP="00B657E4">
      <w:pPr>
        <w:tabs>
          <w:tab w:val="left" w:pos="3085"/>
        </w:tabs>
        <w:rPr>
          <w:sz w:val="20"/>
          <w:szCs w:val="20"/>
        </w:rPr>
      </w:pPr>
      <w:r w:rsidRPr="00D14094">
        <w:rPr>
          <w:b/>
          <w:bCs/>
          <w:sz w:val="20"/>
          <w:szCs w:val="20"/>
        </w:rPr>
        <w:t>TTL</w:t>
      </w:r>
      <w:r w:rsidRPr="00D14094">
        <w:rPr>
          <w:sz w:val="20"/>
          <w:szCs w:val="20"/>
        </w:rPr>
        <w:t xml:space="preserve"> – task team lead</w:t>
      </w:r>
    </w:p>
    <w:p w14:paraId="21C7502A" w14:textId="77777777" w:rsidR="00694644" w:rsidRPr="00D14094" w:rsidRDefault="00694644" w:rsidP="00B657E4">
      <w:pPr>
        <w:tabs>
          <w:tab w:val="left" w:pos="3085"/>
        </w:tabs>
        <w:rPr>
          <w:sz w:val="20"/>
          <w:szCs w:val="20"/>
        </w:rPr>
      </w:pPr>
      <w:r w:rsidRPr="00D14094">
        <w:rPr>
          <w:b/>
          <w:bCs/>
          <w:sz w:val="20"/>
          <w:szCs w:val="20"/>
        </w:rPr>
        <w:t xml:space="preserve">UN </w:t>
      </w:r>
      <w:r w:rsidRPr="00D14094">
        <w:rPr>
          <w:sz w:val="20"/>
          <w:szCs w:val="20"/>
        </w:rPr>
        <w:t>– United Nations</w:t>
      </w:r>
    </w:p>
    <w:p w14:paraId="765B0DFB" w14:textId="77777777" w:rsidR="00694644" w:rsidRPr="00D14094" w:rsidRDefault="00694644" w:rsidP="00B657E4">
      <w:pPr>
        <w:tabs>
          <w:tab w:val="left" w:pos="3085"/>
        </w:tabs>
        <w:rPr>
          <w:sz w:val="20"/>
          <w:szCs w:val="20"/>
        </w:rPr>
      </w:pPr>
      <w:r w:rsidRPr="00D14094">
        <w:rPr>
          <w:b/>
          <w:bCs/>
          <w:sz w:val="20"/>
          <w:szCs w:val="20"/>
        </w:rPr>
        <w:t>UNICEF</w:t>
      </w:r>
      <w:r w:rsidRPr="00D14094">
        <w:rPr>
          <w:sz w:val="20"/>
          <w:szCs w:val="20"/>
        </w:rPr>
        <w:t xml:space="preserve"> - United Nations Children's Fund</w:t>
      </w:r>
    </w:p>
    <w:p w14:paraId="1E345544" w14:textId="77777777" w:rsidR="00694644" w:rsidRPr="00D14094" w:rsidRDefault="00694644" w:rsidP="00B657E4">
      <w:pPr>
        <w:tabs>
          <w:tab w:val="left" w:pos="3085"/>
        </w:tabs>
        <w:rPr>
          <w:sz w:val="20"/>
          <w:szCs w:val="20"/>
        </w:rPr>
      </w:pPr>
      <w:r w:rsidRPr="00D14094">
        <w:rPr>
          <w:b/>
          <w:bCs/>
          <w:sz w:val="20"/>
          <w:szCs w:val="20"/>
        </w:rPr>
        <w:t>WB</w:t>
      </w:r>
      <w:r w:rsidRPr="00D14094">
        <w:rPr>
          <w:sz w:val="20"/>
          <w:szCs w:val="20"/>
        </w:rPr>
        <w:t xml:space="preserve"> - World Bank; also, Bank</w:t>
      </w:r>
    </w:p>
    <w:p w14:paraId="58B7C793" w14:textId="77777777" w:rsidR="00694644" w:rsidRPr="00D14094" w:rsidRDefault="00694644" w:rsidP="00B657E4">
      <w:pPr>
        <w:tabs>
          <w:tab w:val="left" w:pos="3085"/>
        </w:tabs>
        <w:rPr>
          <w:sz w:val="20"/>
          <w:szCs w:val="20"/>
        </w:rPr>
      </w:pPr>
      <w:r w:rsidRPr="00D14094">
        <w:rPr>
          <w:b/>
          <w:bCs/>
          <w:sz w:val="20"/>
          <w:szCs w:val="20"/>
        </w:rPr>
        <w:t>WEE</w:t>
      </w:r>
      <w:r w:rsidRPr="00D14094">
        <w:rPr>
          <w:sz w:val="20"/>
          <w:szCs w:val="20"/>
        </w:rPr>
        <w:t xml:space="preserve"> – Women’s Economic Empowerment</w:t>
      </w:r>
    </w:p>
    <w:p w14:paraId="7E81EB1F" w14:textId="77777777" w:rsidR="00E6251A" w:rsidRPr="00D14094" w:rsidRDefault="00E6251A" w:rsidP="00ED5F38">
      <w:pPr>
        <w:tabs>
          <w:tab w:val="left" w:pos="3085"/>
        </w:tabs>
        <w:ind w:left="113"/>
        <w:rPr>
          <w:b/>
          <w:bCs/>
          <w:sz w:val="20"/>
          <w:szCs w:val="20"/>
        </w:rPr>
      </w:pPr>
    </w:p>
    <w:p w14:paraId="1A1F2F23" w14:textId="09F1060E" w:rsidR="00A30955" w:rsidRPr="00D14094" w:rsidRDefault="00AF4E99" w:rsidP="00ED5F38">
      <w:pPr>
        <w:tabs>
          <w:tab w:val="left" w:pos="3085"/>
        </w:tabs>
        <w:ind w:left="113"/>
        <w:rPr>
          <w:sz w:val="20"/>
          <w:szCs w:val="20"/>
        </w:rPr>
      </w:pPr>
      <w:r w:rsidRPr="00D14094">
        <w:rPr>
          <w:b/>
          <w:bCs/>
          <w:sz w:val="20"/>
          <w:szCs w:val="20"/>
        </w:rPr>
        <w:t>Note</w:t>
      </w:r>
      <w:r w:rsidRPr="00D14094">
        <w:rPr>
          <w:sz w:val="20"/>
          <w:szCs w:val="20"/>
        </w:rPr>
        <w:t xml:space="preserve">: All financial information </w:t>
      </w:r>
      <w:proofErr w:type="gramStart"/>
      <w:r w:rsidRPr="00D14094">
        <w:rPr>
          <w:sz w:val="20"/>
          <w:szCs w:val="20"/>
        </w:rPr>
        <w:t>are</w:t>
      </w:r>
      <w:proofErr w:type="gramEnd"/>
      <w:r w:rsidRPr="00D14094">
        <w:rPr>
          <w:sz w:val="20"/>
          <w:szCs w:val="20"/>
        </w:rPr>
        <w:t xml:space="preserve"> stated in US dollars, unless otherwise indicated.</w:t>
      </w:r>
    </w:p>
    <w:p w14:paraId="167DC5FD" w14:textId="77777777" w:rsidR="00B61698" w:rsidRPr="00D14094" w:rsidRDefault="00B61698" w:rsidP="005D7F61">
      <w:pPr>
        <w:tabs>
          <w:tab w:val="left" w:pos="3085"/>
        </w:tabs>
        <w:ind w:left="113"/>
        <w:rPr>
          <w:sz w:val="20"/>
          <w:szCs w:val="20"/>
        </w:rPr>
      </w:pPr>
    </w:p>
    <w:p w14:paraId="0FFF5E4A" w14:textId="068147A7" w:rsidR="00253F1D" w:rsidRDefault="00253F1D" w:rsidP="005D7F61">
      <w:pPr>
        <w:sectPr w:rsidR="00253F1D" w:rsidSect="00FC7246">
          <w:pgSz w:w="11900" w:h="16820" w:code="1"/>
          <w:pgMar w:top="1800" w:right="1440" w:bottom="1440" w:left="1800" w:header="360" w:footer="720" w:gutter="0"/>
          <w:cols w:num="2" w:space="720"/>
          <w:docGrid w:linePitch="360"/>
        </w:sectPr>
      </w:pPr>
    </w:p>
    <w:p w14:paraId="3F2B7BF1" w14:textId="19921C66" w:rsidR="004F1D23" w:rsidRDefault="003B38E1" w:rsidP="00E03DD0">
      <w:pPr>
        <w:pStyle w:val="Heading1"/>
      </w:pPr>
      <w:bookmarkStart w:id="5" w:name="_Toc125559993"/>
      <w:r>
        <w:lastRenderedPageBreak/>
        <w:t>Executive Summary and Recommendations</w:t>
      </w:r>
      <w:bookmarkEnd w:id="5"/>
    </w:p>
    <w:p w14:paraId="3EAD4F39" w14:textId="695BBFF3" w:rsidR="00662EBA" w:rsidRDefault="00662EBA" w:rsidP="00662EBA">
      <w:r>
        <w:t xml:space="preserve">The </w:t>
      </w:r>
      <w:r w:rsidRPr="005449FE">
        <w:t xml:space="preserve">Australia-World Bank Growth and Prosperity in the Philippines </w:t>
      </w:r>
      <w:r>
        <w:t>(</w:t>
      </w:r>
      <w:proofErr w:type="spellStart"/>
      <w:r w:rsidR="007628AF">
        <w:t>AGaP</w:t>
      </w:r>
      <w:proofErr w:type="spellEnd"/>
      <w:r>
        <w:t xml:space="preserve">) </w:t>
      </w:r>
      <w:r w:rsidRPr="005449FE">
        <w:t>Trust Fund</w:t>
      </w:r>
      <w:r>
        <w:t xml:space="preserve"> is a strategic partnership between the Government of Australia, represented by the Department of Foreign Affairs and Trade (DFAT) and the World Bank (WB). It provides funds and technical expertise to generate and share knowledge and assist the Government of the Philippines (</w:t>
      </w:r>
      <w:proofErr w:type="spellStart"/>
      <w:r>
        <w:t>GoP</w:t>
      </w:r>
      <w:proofErr w:type="spellEnd"/>
      <w:r>
        <w:t>) in the design and implementation of critical policy reforms and programs</w:t>
      </w:r>
      <w:r w:rsidDel="007E66C7">
        <w:t>.</w:t>
      </w:r>
      <w:r w:rsidRPr="0099603B">
        <w:t xml:space="preserve"> </w:t>
      </w:r>
      <w:r>
        <w:t xml:space="preserve">To achieve this, </w:t>
      </w:r>
      <w:proofErr w:type="spellStart"/>
      <w:r w:rsidR="007628AF">
        <w:t>AGaP</w:t>
      </w:r>
      <w:proofErr w:type="spellEnd"/>
      <w:r>
        <w:t xml:space="preserve"> provides support in four outcome areas: (1) </w:t>
      </w:r>
      <w:r w:rsidR="00012CA2">
        <w:t xml:space="preserve">project development, preparation, and implementation support; (2) policy reform and dialogue; (3) public debate and awareness; and (4) partnerships and implementation platforms. </w:t>
      </w:r>
    </w:p>
    <w:p w14:paraId="03F7409C" w14:textId="3F7660F6" w:rsidR="006534DF" w:rsidRPr="006534DF" w:rsidRDefault="00662EBA" w:rsidP="006534DF">
      <w:r>
        <w:t xml:space="preserve">This midterm review (MTR) captures </w:t>
      </w:r>
      <w:proofErr w:type="spellStart"/>
      <w:r w:rsidR="007628AF">
        <w:t>AGaP</w:t>
      </w:r>
      <w:proofErr w:type="spellEnd"/>
      <w:r>
        <w:t xml:space="preserve"> implementation and results achieved from March 2019 through December 2021. Seven </w:t>
      </w:r>
      <w:proofErr w:type="spellStart"/>
      <w:r w:rsidR="007628AF">
        <w:t>AGaP</w:t>
      </w:r>
      <w:proofErr w:type="spellEnd"/>
      <w:r>
        <w:t xml:space="preserve">-funded projects were reviewed for relevance, </w:t>
      </w:r>
      <w:r w:rsidRPr="00D84AA0">
        <w:rPr>
          <w:rFonts w:eastAsiaTheme="majorEastAsia"/>
        </w:rPr>
        <w:t>effectiveness</w:t>
      </w:r>
      <w:r>
        <w:rPr>
          <w:rFonts w:eastAsiaTheme="majorEastAsia"/>
        </w:rPr>
        <w:t xml:space="preserve">, </w:t>
      </w:r>
      <w:r w:rsidRPr="00D84AA0">
        <w:rPr>
          <w:rFonts w:eastAsiaTheme="majorEastAsia"/>
        </w:rPr>
        <w:t xml:space="preserve">efficiency, </w:t>
      </w:r>
      <w:r>
        <w:rPr>
          <w:rFonts w:eastAsiaTheme="majorEastAsia"/>
        </w:rPr>
        <w:t xml:space="preserve">and sustainability, with recommendations for program improvement based on findings and analysis of the program's changing context. The seven projects reviewed were: </w:t>
      </w:r>
      <w:r>
        <w:t xml:space="preserve">(1) Technical Assistance for Development Policy Loan (DPL) Reforms; (2) Strengthening Support for the </w:t>
      </w:r>
      <w:proofErr w:type="spellStart"/>
      <w:r>
        <w:t>Pantawid</w:t>
      </w:r>
      <w:proofErr w:type="spellEnd"/>
      <w:r>
        <w:t xml:space="preserve"> Program and Philippine Social Protection Systems; (3) Supporting Subnational Finance and Decentralization in the Context of the </w:t>
      </w:r>
      <w:proofErr w:type="spellStart"/>
      <w:r>
        <w:t>Mandanas</w:t>
      </w:r>
      <w:proofErr w:type="spellEnd"/>
      <w:r>
        <w:t xml:space="preserve"> Ruling; (4) Women’s Economic Empowerment Program; (5) Real Time Monitoring of COVID-19 Impacts in the Philippines; (6) Strengthening Implementation Support for the Philippines COVID-19 Response Project; and (7) Support for Post COVID-19 Active Transport Development in Metro Manila.</w:t>
      </w:r>
    </w:p>
    <w:p w14:paraId="376D5B52" w14:textId="172F12F7" w:rsidR="00662EBA" w:rsidRPr="006534DF" w:rsidRDefault="00662EBA" w:rsidP="006534DF">
      <w:pPr>
        <w:rPr>
          <w:color w:val="2F5496" w:themeColor="accent1" w:themeShade="BF"/>
          <w:sz w:val="28"/>
          <w:szCs w:val="28"/>
        </w:rPr>
      </w:pPr>
      <w:r w:rsidRPr="006534DF">
        <w:rPr>
          <w:color w:val="2F5496" w:themeColor="accent1" w:themeShade="BF"/>
          <w:sz w:val="28"/>
          <w:szCs w:val="28"/>
        </w:rPr>
        <w:t>Key Findings</w:t>
      </w:r>
    </w:p>
    <w:p w14:paraId="79551C85" w14:textId="7476AE31" w:rsidR="00662EBA" w:rsidRPr="00D4372E" w:rsidRDefault="00662EBA" w:rsidP="00696C87">
      <w:r w:rsidRPr="00D4372E">
        <w:t>The period covered by the MTR was a challenging operating environment</w:t>
      </w:r>
      <w:r w:rsidR="00C46618">
        <w:t xml:space="preserve">, </w:t>
      </w:r>
      <w:r w:rsidR="00404304">
        <w:t xml:space="preserve">with </w:t>
      </w:r>
      <w:r w:rsidR="00C46618">
        <w:t>t</w:t>
      </w:r>
      <w:r w:rsidR="00C46618" w:rsidRPr="00C46618">
        <w:t>he Philippines one of the countries hit hardest by COVID-19 in the East Asia and Pacific region</w:t>
      </w:r>
      <w:r>
        <w:t xml:space="preserve">. </w:t>
      </w:r>
      <w:r w:rsidR="000D27EF" w:rsidRPr="000D27EF">
        <w:t>During the period covered by the MTR</w:t>
      </w:r>
      <w:r w:rsidR="00FF3771">
        <w:t xml:space="preserve">, </w:t>
      </w:r>
      <w:proofErr w:type="spellStart"/>
      <w:r w:rsidR="007628AF">
        <w:t>AGaP</w:t>
      </w:r>
      <w:r w:rsidR="00A908A1" w:rsidRPr="003C29E6">
        <w:t>’s</w:t>
      </w:r>
      <w:proofErr w:type="spellEnd"/>
      <w:r w:rsidR="00A908A1" w:rsidRPr="003C29E6">
        <w:t xml:space="preserve"> activities significantly contributed to </w:t>
      </w:r>
      <w:proofErr w:type="spellStart"/>
      <w:r w:rsidR="007628AF">
        <w:t>AGaP</w:t>
      </w:r>
      <w:r w:rsidR="00A908A1" w:rsidRPr="00965B8C">
        <w:t>’s</w:t>
      </w:r>
      <w:proofErr w:type="spellEnd"/>
      <w:r w:rsidR="00A908A1" w:rsidRPr="00965B8C">
        <w:t xml:space="preserve"> overall objective of facilitating knowledge exchange and assisting the Government of the Philippines in the design and implementation of policy reforms and programs. </w:t>
      </w:r>
      <w:r w:rsidR="000100DF" w:rsidRPr="00BD6F32">
        <w:t>The</w:t>
      </w:r>
      <w:r w:rsidR="00805FCE">
        <w:t xml:space="preserve"> MTR found</w:t>
      </w:r>
      <w:r w:rsidR="00C91DBC">
        <w:t xml:space="preserve"> evidence of</w:t>
      </w:r>
      <w:r w:rsidR="000100DF" w:rsidRPr="00BD6F32">
        <w:t xml:space="preserve"> </w:t>
      </w:r>
      <w:proofErr w:type="spellStart"/>
      <w:r w:rsidR="007628AF">
        <w:t>AGaP</w:t>
      </w:r>
      <w:proofErr w:type="spellEnd"/>
      <w:r w:rsidR="000100DF" w:rsidRPr="00BD6F32">
        <w:t xml:space="preserve"> </w:t>
      </w:r>
      <w:r w:rsidR="00283916">
        <w:t xml:space="preserve">effectively operationalising its </w:t>
      </w:r>
      <w:r w:rsidR="000100DF" w:rsidRPr="00BD6F32">
        <w:t xml:space="preserve">strategy </w:t>
      </w:r>
      <w:r w:rsidR="00283916">
        <w:t xml:space="preserve">of being a program that </w:t>
      </w:r>
      <w:r w:rsidR="000100DF" w:rsidRPr="00BD6F32">
        <w:t xml:space="preserve">emphasises agility and speed of response, being proactive in analysing needs, and shaping technical assistance to support policy reform. </w:t>
      </w:r>
      <w:r w:rsidR="00A908A1" w:rsidRPr="003C29E6">
        <w:t>In particular</w:t>
      </w:r>
      <w:r w:rsidR="00A908A1" w:rsidRPr="00547DC5">
        <w:t xml:space="preserve">, the flexibility </w:t>
      </w:r>
      <w:r w:rsidR="00D5740F">
        <w:t xml:space="preserve">built into </w:t>
      </w:r>
      <w:r w:rsidR="00A908A1" w:rsidRPr="00547DC5">
        <w:t xml:space="preserve">the </w:t>
      </w:r>
      <w:r w:rsidR="00D5740F">
        <w:t xml:space="preserve">design of the </w:t>
      </w:r>
      <w:proofErr w:type="spellStart"/>
      <w:r w:rsidR="007628AF">
        <w:t>AGaP</w:t>
      </w:r>
      <w:proofErr w:type="spellEnd"/>
      <w:r w:rsidR="00A908A1" w:rsidRPr="00547DC5">
        <w:t xml:space="preserve"> Trust Fund, which builds on a long and successful partnership in the Philippines between the Government of Australia and the World Bank, proved valuable under COVID-19</w:t>
      </w:r>
      <w:r w:rsidR="00A908A1">
        <w:t>. T</w:t>
      </w:r>
      <w:r w:rsidR="00A908A1" w:rsidRPr="00547DC5">
        <w:t xml:space="preserve">he </w:t>
      </w:r>
      <w:r w:rsidR="000D0318">
        <w:t xml:space="preserve">single-donor trust fund </w:t>
      </w:r>
      <w:r w:rsidR="00A908A1" w:rsidRPr="00547DC5">
        <w:t xml:space="preserve">mechanism enabled DFAT and WB to move quickly to support </w:t>
      </w:r>
      <w:proofErr w:type="spellStart"/>
      <w:r w:rsidR="00A908A1" w:rsidRPr="00547DC5">
        <w:t>GoP</w:t>
      </w:r>
      <w:proofErr w:type="spellEnd"/>
      <w:r w:rsidR="00A908A1" w:rsidRPr="00547DC5">
        <w:t xml:space="preserve">. </w:t>
      </w:r>
      <w:r w:rsidR="008334C6">
        <w:t xml:space="preserve"> </w:t>
      </w:r>
      <w:r>
        <w:t>In this context, t</w:t>
      </w:r>
      <w:r w:rsidRPr="00D4372E">
        <w:t xml:space="preserve">he </w:t>
      </w:r>
      <w:r w:rsidR="001D0D25">
        <w:t>MTR team</w:t>
      </w:r>
      <w:r w:rsidRPr="00D4372E">
        <w:t xml:space="preserve"> assesses </w:t>
      </w:r>
      <w:proofErr w:type="spellStart"/>
      <w:r w:rsidR="007628AF">
        <w:t>AGaP</w:t>
      </w:r>
      <w:proofErr w:type="spellEnd"/>
      <w:r w:rsidRPr="00D4372E">
        <w:t xml:space="preserve"> to be on track in terms of progress towards achieving its objectives</w:t>
      </w:r>
      <w:r>
        <w:t>.</w:t>
      </w:r>
    </w:p>
    <w:p w14:paraId="5134224F" w14:textId="74FB54C6" w:rsidR="00662EBA" w:rsidRDefault="00662EBA" w:rsidP="00662EBA">
      <w:r w:rsidRPr="006A140E">
        <w:rPr>
          <w:b/>
          <w:bCs/>
        </w:rPr>
        <w:t>Relevance</w:t>
      </w:r>
      <w:r>
        <w:t xml:space="preserve">. </w:t>
      </w:r>
      <w:proofErr w:type="spellStart"/>
      <w:r w:rsidR="007628AF">
        <w:t>AGaP</w:t>
      </w:r>
      <w:proofErr w:type="spellEnd"/>
      <w:r w:rsidRPr="007F0E53">
        <w:t xml:space="preserve"> </w:t>
      </w:r>
      <w:r>
        <w:t xml:space="preserve">demonstrated strong alignment of its </w:t>
      </w:r>
      <w:r w:rsidRPr="007F0E53">
        <w:t>objectives and priorities</w:t>
      </w:r>
      <w:r>
        <w:t xml:space="preserve"> with those of </w:t>
      </w:r>
      <w:proofErr w:type="spellStart"/>
      <w:r>
        <w:t>GoP</w:t>
      </w:r>
      <w:proofErr w:type="spellEnd"/>
      <w:r>
        <w:t xml:space="preserve">, WB, and DFAT. It </w:t>
      </w:r>
      <w:r w:rsidRPr="00895326">
        <w:t>has been highly responsive to the challenges presented by changes in the operating envir</w:t>
      </w:r>
      <w:r w:rsidRPr="00E82918">
        <w:t xml:space="preserve">onment, which included the COVID-19 pandemic starting early in the program, followed by national elections and the change in </w:t>
      </w:r>
      <w:proofErr w:type="spellStart"/>
      <w:r w:rsidRPr="00E82918">
        <w:t>GoP</w:t>
      </w:r>
      <w:proofErr w:type="spellEnd"/>
      <w:r w:rsidRPr="00E82918">
        <w:t xml:space="preserve"> administration. The flexible nature of the Trust Fund enabled both DFAT and WB to move quickly to support changes in </w:t>
      </w:r>
      <w:proofErr w:type="spellStart"/>
      <w:r w:rsidRPr="00E82918">
        <w:t>GoP</w:t>
      </w:r>
      <w:proofErr w:type="spellEnd"/>
      <w:r w:rsidRPr="00E82918">
        <w:t xml:space="preserve"> priorities, which involved balancing being responsive to the needs of </w:t>
      </w:r>
      <w:proofErr w:type="spellStart"/>
      <w:r w:rsidRPr="00E82918">
        <w:t>GoP</w:t>
      </w:r>
      <w:proofErr w:type="spellEnd"/>
      <w:r w:rsidRPr="00E82918">
        <w:t xml:space="preserve"> while managing established sectoral projects under </w:t>
      </w:r>
      <w:proofErr w:type="spellStart"/>
      <w:r w:rsidR="007628AF">
        <w:t>AGaP</w:t>
      </w:r>
      <w:proofErr w:type="spellEnd"/>
      <w:r w:rsidRPr="00E82918">
        <w:t xml:space="preserve">. The same flexibility allowed DFAT and WB to respond to requests </w:t>
      </w:r>
      <w:r w:rsidR="00951B9A">
        <w:t xml:space="preserve">for technical assistance </w:t>
      </w:r>
      <w:r w:rsidRPr="00E82918">
        <w:t xml:space="preserve">from </w:t>
      </w:r>
      <w:proofErr w:type="spellStart"/>
      <w:r w:rsidRPr="00E82918">
        <w:t>GoP</w:t>
      </w:r>
      <w:proofErr w:type="spellEnd"/>
      <w:r w:rsidRPr="00E82918">
        <w:t xml:space="preserve"> following significant changes in the legal and regulatory environment. Finally, the MTR notes </w:t>
      </w:r>
      <w:r w:rsidRPr="006A140E">
        <w:rPr>
          <w:rFonts w:eastAsiaTheme="minorHAnsi" w:cstheme="minorBidi"/>
          <w:szCs w:val="22"/>
          <w:lang w:eastAsia="en-US"/>
        </w:rPr>
        <w:t xml:space="preserve">the </w:t>
      </w:r>
      <w:r w:rsidRPr="00E82918">
        <w:t xml:space="preserve">strong alignment in the strategic priorities of DFAT and WB in the Philippines, and these are consistent with </w:t>
      </w:r>
      <w:proofErr w:type="spellStart"/>
      <w:r w:rsidRPr="00E82918">
        <w:t>GoP’s</w:t>
      </w:r>
      <w:proofErr w:type="spellEnd"/>
      <w:r w:rsidRPr="00E82918">
        <w:t xml:space="preserve"> own development vision. </w:t>
      </w:r>
    </w:p>
    <w:p w14:paraId="5815249D" w14:textId="5E8DBB76" w:rsidR="00662EBA" w:rsidRDefault="00662EBA" w:rsidP="00662EBA">
      <w:r w:rsidRPr="006A140E">
        <w:rPr>
          <w:b/>
          <w:bCs/>
        </w:rPr>
        <w:t>Efficiency</w:t>
      </w:r>
      <w:r>
        <w:rPr>
          <w:b/>
          <w:bCs/>
        </w:rPr>
        <w:t xml:space="preserve">. </w:t>
      </w:r>
      <w:proofErr w:type="spellStart"/>
      <w:r w:rsidR="007628AF">
        <w:t>AGaP</w:t>
      </w:r>
      <w:proofErr w:type="spellEnd"/>
      <w:r>
        <w:t xml:space="preserve"> grants have served to supplement existing World Bank resources, meaning a relatively small fund for technical assistance is amplified through its association with the WB’s loan portfolio. The rationale for the </w:t>
      </w:r>
      <w:r w:rsidR="001B2091">
        <w:t>Trust Fund</w:t>
      </w:r>
      <w:r>
        <w:t xml:space="preserve"> is that it should be an efficient mod</w:t>
      </w:r>
      <w:r w:rsidR="007028D5">
        <w:t>el</w:t>
      </w:r>
      <w:r>
        <w:t xml:space="preserve"> for implementation, reducing administration and overheads, and promoting flexibility and </w:t>
      </w:r>
      <w:r>
        <w:lastRenderedPageBreak/>
        <w:t>responsiveness. Th</w:t>
      </w:r>
      <w:r w:rsidR="001A732E">
        <w:t xml:space="preserve">e MTR found </w:t>
      </w:r>
      <w:r w:rsidR="003E720F">
        <w:t xml:space="preserve">that </w:t>
      </w:r>
      <w:r w:rsidR="001A732E">
        <w:t>this</w:t>
      </w:r>
      <w:r>
        <w:t xml:space="preserve"> has enabled </w:t>
      </w:r>
      <w:proofErr w:type="spellStart"/>
      <w:r w:rsidR="007628AF">
        <w:t>AGaP</w:t>
      </w:r>
      <w:proofErr w:type="spellEnd"/>
      <w:r>
        <w:t xml:space="preserve"> to respond quickly to emerging opportunities. By end of April 2022, </w:t>
      </w:r>
      <w:r w:rsidR="00876721" w:rsidRPr="00876721">
        <w:t>81</w:t>
      </w:r>
      <w:r w:rsidRPr="00876721">
        <w:t xml:space="preserve"> percent of the total trust fund allocation of $5 million had been approved and 64 percent disbursed or committed</w:t>
      </w:r>
      <w:r w:rsidR="00876721" w:rsidRPr="00876721">
        <w:t xml:space="preserve"> expenditure</w:t>
      </w:r>
      <w:r>
        <w:t xml:space="preserve">. As the program was over halfway through at this point, the pro rata disbursement target (assuming a linear expenditure pathway) would be approximately 60 percent, and data show that indeed this is what has been achieved. </w:t>
      </w:r>
    </w:p>
    <w:p w14:paraId="3E2A74CD" w14:textId="7E5D99A5" w:rsidR="00662EBA" w:rsidRDefault="00662EBA" w:rsidP="00662EBA">
      <w:r w:rsidRPr="006A140E">
        <w:rPr>
          <w:b/>
          <w:bCs/>
        </w:rPr>
        <w:t>Effectiveness.</w:t>
      </w:r>
      <w:r>
        <w:t xml:space="preserve"> </w:t>
      </w:r>
      <w:proofErr w:type="spellStart"/>
      <w:r w:rsidR="007628AF">
        <w:t>AGaP</w:t>
      </w:r>
      <w:proofErr w:type="spellEnd"/>
      <w:r>
        <w:t xml:space="preserve"> enabled r</w:t>
      </w:r>
      <w:r w:rsidRPr="007F0E53">
        <w:t xml:space="preserve">apid and practical </w:t>
      </w:r>
      <w:r>
        <w:t xml:space="preserve">governance </w:t>
      </w:r>
      <w:r w:rsidRPr="007F0E53">
        <w:t xml:space="preserve">support to </w:t>
      </w:r>
      <w:proofErr w:type="spellStart"/>
      <w:r w:rsidRPr="007F0E53">
        <w:t>GoP</w:t>
      </w:r>
      <w:proofErr w:type="spellEnd"/>
      <w:r>
        <w:t xml:space="preserve">, with </w:t>
      </w:r>
      <w:r w:rsidRPr="007F0E53">
        <w:t xml:space="preserve">highly targeted technical assistance around specific areas of implementation of economic reforms. </w:t>
      </w:r>
      <w:r>
        <w:t>H</w:t>
      </w:r>
      <w:r w:rsidRPr="007F0E53">
        <w:t>igh-quality analytical wor</w:t>
      </w:r>
      <w:r>
        <w:t xml:space="preserve">k </w:t>
      </w:r>
      <w:r w:rsidR="007028D5">
        <w:t>was</w:t>
      </w:r>
      <w:r>
        <w:t xml:space="preserve"> delivered, including on gender inclusion, and these informed WB's and DFAT's management of their respective development portfolio, enhanced staff knowledge, and contributed to </w:t>
      </w:r>
      <w:r w:rsidRPr="007F0E53">
        <w:t>public discourse and policy dialogue</w:t>
      </w:r>
      <w:r>
        <w:t xml:space="preserve">s. The technical briefings provided to </w:t>
      </w:r>
      <w:proofErr w:type="spellStart"/>
      <w:r>
        <w:t>GoP</w:t>
      </w:r>
      <w:proofErr w:type="spellEnd"/>
      <w:r>
        <w:t xml:space="preserve"> were used extensively in the formulation and implementation of COVID-19 </w:t>
      </w:r>
      <w:r w:rsidRPr="007F0E53">
        <w:t>response programs</w:t>
      </w:r>
      <w:r>
        <w:t xml:space="preserve">, </w:t>
      </w:r>
      <w:r w:rsidRPr="007F0E53">
        <w:t xml:space="preserve">especially those targeting vulnerable groups. </w:t>
      </w:r>
      <w:r>
        <w:t xml:space="preserve">The challenges in optimizing DFAT's role in influencing policy reforms, mainstreaming gender in operations, broadening stakeholder engagement, and ensuring timely disclosure and dissemination of knowledge products </w:t>
      </w:r>
      <w:r w:rsidR="001A732E">
        <w:t>are</w:t>
      </w:r>
      <w:r>
        <w:t xml:space="preserve"> noted</w:t>
      </w:r>
      <w:r w:rsidR="001A732E">
        <w:t xml:space="preserve"> in the MTR</w:t>
      </w:r>
      <w:r>
        <w:t xml:space="preserve">, with both partners committing to address them at both strategic and operational levels. </w:t>
      </w:r>
    </w:p>
    <w:p w14:paraId="7DCFA72C" w14:textId="57D06083" w:rsidR="00662EBA" w:rsidRPr="006A140E" w:rsidRDefault="00662EBA" w:rsidP="00662EBA">
      <w:r w:rsidRPr="006A140E">
        <w:rPr>
          <w:b/>
          <w:bCs/>
        </w:rPr>
        <w:t>Gender equality</w:t>
      </w:r>
      <w:r w:rsidRPr="006A140E">
        <w:t xml:space="preserve">. </w:t>
      </w:r>
      <w:proofErr w:type="spellStart"/>
      <w:r w:rsidR="007628AF">
        <w:t>AGaP</w:t>
      </w:r>
      <w:proofErr w:type="spellEnd"/>
      <w:r w:rsidRPr="006A140E">
        <w:t xml:space="preserve"> funding enabled more support to be provided to WB task teams to ensure </w:t>
      </w:r>
      <w:r>
        <w:t xml:space="preserve">that </w:t>
      </w:r>
      <w:r w:rsidRPr="006A140E">
        <w:t xml:space="preserve">new operations addressed gender through the internal WB process of gender tagging. Sharing of good practices across DFAT-funded World Bank </w:t>
      </w:r>
      <w:r>
        <w:t>trust funds</w:t>
      </w:r>
      <w:r w:rsidRPr="006A140E">
        <w:t xml:space="preserve"> contributed to </w:t>
      </w:r>
      <w:proofErr w:type="spellStart"/>
      <w:r w:rsidR="007628AF">
        <w:t>AGaP</w:t>
      </w:r>
      <w:proofErr w:type="spellEnd"/>
      <w:r w:rsidRPr="006A140E">
        <w:t xml:space="preserve"> having a dedicated gender grant. However, the evidence of effective gender mainstreaming across the </w:t>
      </w:r>
      <w:proofErr w:type="spellStart"/>
      <w:r w:rsidR="007628AF">
        <w:t>AGaP</w:t>
      </w:r>
      <w:proofErr w:type="spellEnd"/>
      <w:r w:rsidRPr="006A140E">
        <w:t xml:space="preserve"> grants is mixed</w:t>
      </w:r>
      <w:r w:rsidR="00A10927">
        <w:t xml:space="preserve"> </w:t>
      </w:r>
      <w:r w:rsidR="00D3038D" w:rsidRPr="00D3038D">
        <w:t>and DFAT has consistently raised this as an area of the program to be strengthened.</w:t>
      </w:r>
      <w:r w:rsidR="00D3038D">
        <w:t xml:space="preserve"> </w:t>
      </w:r>
      <w:proofErr w:type="spellStart"/>
      <w:r w:rsidR="007628AF">
        <w:t>AGaP</w:t>
      </w:r>
      <w:proofErr w:type="spellEnd"/>
      <w:r w:rsidRPr="006A140E">
        <w:t xml:space="preserve"> has demonstrated that in some sectors gender equality themes can be integrated quite easily (for example</w:t>
      </w:r>
      <w:r w:rsidR="00DD7991">
        <w:t>,</w:t>
      </w:r>
      <w:r w:rsidRPr="006A140E">
        <w:t xml:space="preserve"> COVID-19 recovery), but integration into other sectors requires deeper understanding of how gender issues influence economic growth, human capital, and productivity. The report produced by the </w:t>
      </w:r>
      <w:r w:rsidR="00AC3E17">
        <w:t>W</w:t>
      </w:r>
      <w:r w:rsidRPr="006A140E">
        <w:t xml:space="preserve">omen’s </w:t>
      </w:r>
      <w:r w:rsidR="00AC3E17">
        <w:t>E</w:t>
      </w:r>
      <w:r w:rsidRPr="006A140E">
        <w:t xml:space="preserve">conomic </w:t>
      </w:r>
      <w:r w:rsidR="00AC3E17">
        <w:t>E</w:t>
      </w:r>
      <w:r w:rsidRPr="006A140E">
        <w:t>mpowerment grant is an excellent example of how data and insights can indicate new entry points for advancing gender equality.</w:t>
      </w:r>
    </w:p>
    <w:p w14:paraId="224D46DC" w14:textId="022F1B68" w:rsidR="00662EBA" w:rsidRPr="00516B8A" w:rsidRDefault="00662EBA" w:rsidP="00662EBA">
      <w:pPr>
        <w:rPr>
          <w:lang w:val="en"/>
        </w:rPr>
      </w:pPr>
      <w:r w:rsidRPr="006A140E">
        <w:rPr>
          <w:b/>
          <w:bCs/>
        </w:rPr>
        <w:t>Disability</w:t>
      </w:r>
      <w:r>
        <w:rPr>
          <w:b/>
          <w:bCs/>
        </w:rPr>
        <w:t xml:space="preserve">. </w:t>
      </w:r>
      <w:r w:rsidRPr="00BB07E0">
        <w:rPr>
          <w:rFonts w:cstheme="minorHAnsi"/>
          <w:szCs w:val="22"/>
        </w:rPr>
        <w:t xml:space="preserve">There are some good examples of </w:t>
      </w:r>
      <w:proofErr w:type="spellStart"/>
      <w:r w:rsidR="007628AF">
        <w:rPr>
          <w:rFonts w:cstheme="minorHAnsi"/>
          <w:szCs w:val="22"/>
        </w:rPr>
        <w:t>AGaP</w:t>
      </w:r>
      <w:proofErr w:type="spellEnd"/>
      <w:r w:rsidRPr="00BB07E0">
        <w:rPr>
          <w:rFonts w:cstheme="minorHAnsi"/>
          <w:szCs w:val="22"/>
        </w:rPr>
        <w:t xml:space="preserve"> activities </w:t>
      </w:r>
      <w:r w:rsidR="002154DE">
        <w:rPr>
          <w:rFonts w:cstheme="minorHAnsi"/>
          <w:szCs w:val="22"/>
        </w:rPr>
        <w:t xml:space="preserve">that considered </w:t>
      </w:r>
      <w:r w:rsidRPr="00BB07E0">
        <w:rPr>
          <w:rFonts w:cstheme="minorHAnsi"/>
          <w:szCs w:val="22"/>
        </w:rPr>
        <w:t>the needs of people living with disability</w:t>
      </w:r>
      <w:r>
        <w:rPr>
          <w:rFonts w:cstheme="minorHAnsi"/>
          <w:szCs w:val="22"/>
        </w:rPr>
        <w:t>,</w:t>
      </w:r>
      <w:r w:rsidRPr="00BB07E0">
        <w:rPr>
          <w:rFonts w:cstheme="minorHAnsi"/>
          <w:szCs w:val="22"/>
        </w:rPr>
        <w:t xml:space="preserve"> with the majority of these being part of the COVID-19 response efforts. </w:t>
      </w:r>
      <w:r>
        <w:rPr>
          <w:rFonts w:cstheme="minorHAnsi"/>
          <w:szCs w:val="22"/>
        </w:rPr>
        <w:t xml:space="preserve">Certain </w:t>
      </w:r>
      <w:r w:rsidRPr="00BB07E0">
        <w:rPr>
          <w:rFonts w:cstheme="minorHAnsi"/>
          <w:szCs w:val="22"/>
        </w:rPr>
        <w:t xml:space="preserve">grants included a clear objective of inclusiveness and a diversity </w:t>
      </w:r>
      <w:r w:rsidRPr="00CA2522">
        <w:rPr>
          <w:rFonts w:cstheme="minorHAnsi"/>
          <w:szCs w:val="22"/>
        </w:rPr>
        <w:t>of stakeholder</w:t>
      </w:r>
      <w:r w:rsidRPr="00BB07E0">
        <w:rPr>
          <w:rFonts w:cstheme="minorHAnsi"/>
          <w:szCs w:val="22"/>
        </w:rPr>
        <w:t xml:space="preserve"> engagement with women, </w:t>
      </w:r>
      <w:r>
        <w:rPr>
          <w:rFonts w:cstheme="minorHAnsi"/>
          <w:szCs w:val="22"/>
        </w:rPr>
        <w:t>I</w:t>
      </w:r>
      <w:r w:rsidRPr="00BB07E0">
        <w:rPr>
          <w:rFonts w:cstheme="minorHAnsi"/>
          <w:szCs w:val="22"/>
        </w:rPr>
        <w:t xml:space="preserve">ndigenous </w:t>
      </w:r>
      <w:r>
        <w:rPr>
          <w:rFonts w:cstheme="minorHAnsi"/>
          <w:szCs w:val="22"/>
        </w:rPr>
        <w:t>P</w:t>
      </w:r>
      <w:r w:rsidRPr="00BB07E0">
        <w:rPr>
          <w:rFonts w:cstheme="minorHAnsi"/>
          <w:szCs w:val="22"/>
        </w:rPr>
        <w:t>eoples, and persons with disabilities</w:t>
      </w:r>
      <w:r w:rsidRPr="00AB712F">
        <w:rPr>
          <w:rFonts w:cstheme="minorHAnsi"/>
          <w:szCs w:val="22"/>
        </w:rPr>
        <w:t>. The virtual nature of stakeholder engagement under COVID-19 restrictions reduced some accessibility issues and resulted in increased and more diverse participation</w:t>
      </w:r>
      <w:r>
        <w:rPr>
          <w:rFonts w:cstheme="minorHAnsi"/>
          <w:szCs w:val="22"/>
        </w:rPr>
        <w:t xml:space="preserve">. Nevertheless, </w:t>
      </w:r>
      <w:r>
        <w:rPr>
          <w:lang w:val="en"/>
        </w:rPr>
        <w:t>t</w:t>
      </w:r>
      <w:r w:rsidRPr="00F07461">
        <w:rPr>
          <w:lang w:val="en"/>
        </w:rPr>
        <w:t xml:space="preserve">he evidence of effective disability inclusion across the </w:t>
      </w:r>
      <w:proofErr w:type="spellStart"/>
      <w:r w:rsidR="007628AF">
        <w:rPr>
          <w:lang w:val="en"/>
        </w:rPr>
        <w:t>AGaP</w:t>
      </w:r>
      <w:proofErr w:type="spellEnd"/>
      <w:r w:rsidRPr="00F07461">
        <w:rPr>
          <w:lang w:val="en"/>
        </w:rPr>
        <w:t xml:space="preserve"> grants is mixed</w:t>
      </w:r>
      <w:r>
        <w:rPr>
          <w:lang w:val="en"/>
        </w:rPr>
        <w:t>, and this is an area that both partners can strengthen.</w:t>
      </w:r>
    </w:p>
    <w:p w14:paraId="09A433C7" w14:textId="524EC408" w:rsidR="00662EBA" w:rsidRDefault="00662EBA" w:rsidP="00662EBA">
      <w:pPr>
        <w:suppressAutoHyphens/>
        <w:spacing w:before="120" w:after="60" w:line="260" w:lineRule="atLeast"/>
      </w:pPr>
      <w:r w:rsidRPr="006A140E">
        <w:rPr>
          <w:b/>
          <w:bCs/>
        </w:rPr>
        <w:t>Monitoring and evaluation</w:t>
      </w:r>
      <w:r>
        <w:rPr>
          <w:b/>
          <w:bCs/>
        </w:rPr>
        <w:t xml:space="preserve">. </w:t>
      </w:r>
      <w:r>
        <w:t>A results</w:t>
      </w:r>
      <w:r w:rsidRPr="005951BD">
        <w:t xml:space="preserve"> framework guided </w:t>
      </w:r>
      <w:proofErr w:type="spellStart"/>
      <w:r w:rsidR="007628AF">
        <w:t>AGaP</w:t>
      </w:r>
      <w:r w:rsidRPr="005951BD">
        <w:t>’s</w:t>
      </w:r>
      <w:proofErr w:type="spellEnd"/>
      <w:r w:rsidRPr="005951BD">
        <w:t xml:space="preserve"> M&amp;E activities, including the preparation of project reporting templates for WB task teams, and use of its M&amp;E process to monitor </w:t>
      </w:r>
      <w:proofErr w:type="spellStart"/>
      <w:r w:rsidR="007628AF">
        <w:t>AGaP</w:t>
      </w:r>
      <w:r w:rsidRPr="005951BD">
        <w:t>’s</w:t>
      </w:r>
      <w:proofErr w:type="spellEnd"/>
      <w:r w:rsidRPr="005951BD">
        <w:t xml:space="preserve"> implementation (e.g.</w:t>
      </w:r>
      <w:r>
        <w:t>,</w:t>
      </w:r>
      <w:r w:rsidRPr="005951BD">
        <w:t xml:space="preserve"> through WB’s Annual Progress Review). </w:t>
      </w:r>
      <w:r w:rsidRPr="00F07461">
        <w:t>Reporting on grant activities and results was mostly diligent</w:t>
      </w:r>
      <w:r w:rsidR="00FE68F3">
        <w:t>, although there is</w:t>
      </w:r>
      <w:r w:rsidRPr="00F07461">
        <w:t xml:space="preserve"> </w:t>
      </w:r>
      <w:r w:rsidR="00FE68F3" w:rsidRPr="00FE68F3">
        <w:t xml:space="preserve">inconsistent reporting across the life of some grants, as well as against the </w:t>
      </w:r>
      <w:proofErr w:type="spellStart"/>
      <w:r w:rsidR="007628AF">
        <w:t>AGaP</w:t>
      </w:r>
      <w:proofErr w:type="spellEnd"/>
      <w:r w:rsidR="00FE68F3" w:rsidRPr="00FE68F3">
        <w:t xml:space="preserve"> </w:t>
      </w:r>
      <w:r w:rsidR="00B53A91">
        <w:t>r</w:t>
      </w:r>
      <w:r w:rsidR="00FE68F3" w:rsidRPr="00FE68F3">
        <w:t xml:space="preserve">esults </w:t>
      </w:r>
      <w:r w:rsidR="00B53A91">
        <w:t>f</w:t>
      </w:r>
      <w:r w:rsidR="00FE68F3" w:rsidRPr="00FE68F3">
        <w:t xml:space="preserve">ramework. </w:t>
      </w:r>
      <w:r w:rsidR="00FE68F3">
        <w:t>M</w:t>
      </w:r>
      <w:r>
        <w:t xml:space="preserve">ore </w:t>
      </w:r>
      <w:r w:rsidRPr="00F07461">
        <w:t xml:space="preserve">attention </w:t>
      </w:r>
      <w:r>
        <w:t xml:space="preserve">is needed </w:t>
      </w:r>
      <w:r w:rsidR="007028D5">
        <w:t>to describe how</w:t>
      </w:r>
      <w:r>
        <w:t xml:space="preserve"> </w:t>
      </w:r>
      <w:r w:rsidR="007028D5">
        <w:t>grant</w:t>
      </w:r>
      <w:r w:rsidRPr="00F07461">
        <w:t xml:space="preserve"> outputs and outcomes </w:t>
      </w:r>
      <w:r w:rsidR="007028D5">
        <w:t xml:space="preserve">relate </w:t>
      </w:r>
      <w:r w:rsidRPr="00F07461">
        <w:t xml:space="preserve">to </w:t>
      </w:r>
      <w:r w:rsidR="007028D5">
        <w:t>this</w:t>
      </w:r>
      <w:r w:rsidRPr="00F07461">
        <w:t xml:space="preserve"> framework.</w:t>
      </w:r>
      <w:r>
        <w:t xml:space="preserve"> </w:t>
      </w:r>
      <w:r w:rsidRPr="00F07461">
        <w:t xml:space="preserve">There is </w:t>
      </w:r>
      <w:r>
        <w:t xml:space="preserve">a need to </w:t>
      </w:r>
      <w:r w:rsidR="001B2091">
        <w:t>utilise</w:t>
      </w:r>
      <w:r>
        <w:t xml:space="preserve"> </w:t>
      </w:r>
      <w:r w:rsidRPr="00F07461">
        <w:t xml:space="preserve">M&amp;E </w:t>
      </w:r>
      <w:r>
        <w:t xml:space="preserve">further to </w:t>
      </w:r>
      <w:r w:rsidRPr="00F07461">
        <w:t>stimulate</w:t>
      </w:r>
      <w:r>
        <w:t xml:space="preserve"> </w:t>
      </w:r>
      <w:r w:rsidRPr="00F07461">
        <w:t>a process of reflection, adaptation, and learning to inform strategic decisions</w:t>
      </w:r>
      <w:r w:rsidRPr="00F07461" w:rsidDel="007E66C7">
        <w:t xml:space="preserve">. </w:t>
      </w:r>
    </w:p>
    <w:p w14:paraId="7B630233" w14:textId="02B539BC" w:rsidR="00662EBA" w:rsidRDefault="00662EBA" w:rsidP="00662EBA">
      <w:r w:rsidRPr="006A140E">
        <w:rPr>
          <w:b/>
          <w:bCs/>
        </w:rPr>
        <w:t xml:space="preserve">Risk </w:t>
      </w:r>
      <w:r w:rsidR="00B53A91">
        <w:rPr>
          <w:b/>
          <w:bCs/>
        </w:rPr>
        <w:t>m</w:t>
      </w:r>
      <w:r w:rsidRPr="006A140E">
        <w:rPr>
          <w:b/>
          <w:bCs/>
        </w:rPr>
        <w:t>anagement.</w:t>
      </w:r>
      <w:r>
        <w:t xml:space="preserve"> </w:t>
      </w:r>
      <w:proofErr w:type="spellStart"/>
      <w:r w:rsidR="007628AF">
        <w:t>AGaP</w:t>
      </w:r>
      <w:proofErr w:type="spellEnd"/>
      <w:r w:rsidRPr="00EC75B7">
        <w:t xml:space="preserve"> effectively managed multiple staff transitions on both the DFAT and WB side with minimal disruption to the program. This has also taken place in the context of a global pandemic</w:t>
      </w:r>
      <w:r w:rsidR="007028D5">
        <w:t xml:space="preserve">, </w:t>
      </w:r>
      <w:r w:rsidRPr="00EC75B7">
        <w:t xml:space="preserve">which was </w:t>
      </w:r>
      <w:r w:rsidR="007028D5">
        <w:t>understandably not anticipated by the initial</w:t>
      </w:r>
      <w:r w:rsidRPr="00EC75B7">
        <w:t xml:space="preserve"> risk register</w:t>
      </w:r>
      <w:r w:rsidRPr="00EC75B7" w:rsidDel="007E66C7">
        <w:t xml:space="preserve">. </w:t>
      </w:r>
      <w:r>
        <w:t xml:space="preserve">Outside of the formal meetings in the </w:t>
      </w:r>
      <w:proofErr w:type="spellStart"/>
      <w:r w:rsidR="007628AF">
        <w:t>AGaP</w:t>
      </w:r>
      <w:proofErr w:type="spellEnd"/>
      <w:r>
        <w:t xml:space="preserve"> governance structure, discussions between WB and DFAT </w:t>
      </w:r>
      <w:r>
        <w:lastRenderedPageBreak/>
        <w:t xml:space="preserve">task teams were useful in managing sector </w:t>
      </w:r>
      <w:r w:rsidR="00073311">
        <w:t>issues and</w:t>
      </w:r>
      <w:r>
        <w:t xml:space="preserve"> is </w:t>
      </w:r>
      <w:r w:rsidR="007028D5">
        <w:t>a</w:t>
      </w:r>
      <w:r>
        <w:t xml:space="preserve"> practice that should be encouraged across other projects. The rapidly evolving situation during the height of the pandemic brought on </w:t>
      </w:r>
      <w:proofErr w:type="spellStart"/>
      <w:r>
        <w:t>GoP</w:t>
      </w:r>
      <w:proofErr w:type="spellEnd"/>
      <w:r>
        <w:t xml:space="preserve"> requests that had implications on the activities as originally conceived for </w:t>
      </w:r>
      <w:proofErr w:type="spellStart"/>
      <w:r w:rsidR="007628AF">
        <w:t>AGaP</w:t>
      </w:r>
      <w:proofErr w:type="spellEnd"/>
      <w:r>
        <w:t xml:space="preserve">-supported projects. The responsibility and flexibility given to WB staff in managing projects helped them manage risks in </w:t>
      </w:r>
      <w:proofErr w:type="spellStart"/>
      <w:r w:rsidR="007628AF">
        <w:t>AGaP</w:t>
      </w:r>
      <w:proofErr w:type="spellEnd"/>
      <w:r>
        <w:t xml:space="preserve">-supported projects. Moreover, risk management is adequately covered especially because </w:t>
      </w:r>
      <w:proofErr w:type="spellStart"/>
      <w:r w:rsidR="007628AF">
        <w:t>AGaP</w:t>
      </w:r>
      <w:proofErr w:type="spellEnd"/>
      <w:r>
        <w:t xml:space="preserve"> benefits from the risk management capacity and resources embedded in the WB projects that it supports. </w:t>
      </w:r>
    </w:p>
    <w:p w14:paraId="2058657A" w14:textId="0BB8312E" w:rsidR="00662EBA" w:rsidRPr="00F07461" w:rsidRDefault="00662EBA" w:rsidP="00662EBA">
      <w:r w:rsidRPr="006A140E">
        <w:rPr>
          <w:b/>
          <w:bCs/>
        </w:rPr>
        <w:t>Sustainability</w:t>
      </w:r>
      <w:r>
        <w:rPr>
          <w:b/>
          <w:bCs/>
        </w:rPr>
        <w:t xml:space="preserve">. </w:t>
      </w:r>
      <w:r w:rsidRPr="00A76B57">
        <w:t xml:space="preserve">The sustainability of </w:t>
      </w:r>
      <w:proofErr w:type="spellStart"/>
      <w:r w:rsidR="007628AF">
        <w:t>AGaP</w:t>
      </w:r>
      <w:proofErr w:type="spellEnd"/>
      <w:r w:rsidRPr="00A76B57">
        <w:t>-supported projects is likely</w:t>
      </w:r>
      <w:r>
        <w:t>,</w:t>
      </w:r>
      <w:r w:rsidRPr="00A76B57">
        <w:t xml:space="preserve"> given that they are embedded in investment lending, policy loans, and broader technical assistance and analytical work whose implementation precedes or extends beyond the grants</w:t>
      </w:r>
      <w:r w:rsidR="00C00B0F">
        <w:t>’</w:t>
      </w:r>
      <w:r w:rsidRPr="00A76B57">
        <w:t xml:space="preserve"> effective date. Moreover, they are underpinned by laws and policies and have strong government ownership. </w:t>
      </w:r>
      <w:r w:rsidRPr="00643C06">
        <w:t>The governance structure has worked well overall, especially during the height of the crisis.</w:t>
      </w:r>
      <w:r>
        <w:t xml:space="preserve"> </w:t>
      </w:r>
      <w:r w:rsidRPr="000A4EA6">
        <w:t xml:space="preserve">There are some good examples of </w:t>
      </w:r>
      <w:proofErr w:type="spellStart"/>
      <w:r w:rsidR="007628AF">
        <w:t>AGaP</w:t>
      </w:r>
      <w:proofErr w:type="spellEnd"/>
      <w:r w:rsidRPr="000A4EA6">
        <w:t xml:space="preserve"> enabling a constructive partnership. For example, through encouraging an exchange of ideas and not just acting as a delegated trust fund</w:t>
      </w:r>
      <w:r>
        <w:t xml:space="preserve">. </w:t>
      </w:r>
      <w:r w:rsidRPr="000A4EA6">
        <w:t>Finding fertile common ground in other areas will require a new approach to collaboration and facilitation</w:t>
      </w:r>
      <w:r w:rsidRPr="000A4EA6" w:rsidDel="007E66C7">
        <w:t>.</w:t>
      </w:r>
      <w:r w:rsidRPr="000A4EA6">
        <w:t xml:space="preserve"> </w:t>
      </w:r>
      <w:r>
        <w:t xml:space="preserve">Moreover, there is opportunity to use </w:t>
      </w:r>
      <w:proofErr w:type="spellStart"/>
      <w:r w:rsidR="007628AF">
        <w:t>AGaP</w:t>
      </w:r>
      <w:proofErr w:type="spellEnd"/>
      <w:r w:rsidRPr="00F07461">
        <w:t xml:space="preserve"> </w:t>
      </w:r>
      <w:r>
        <w:t xml:space="preserve">more extensively as </w:t>
      </w:r>
      <w:r w:rsidRPr="00F07461">
        <w:t xml:space="preserve">a vehicle </w:t>
      </w:r>
      <w:r>
        <w:t xml:space="preserve">for </w:t>
      </w:r>
      <w:r w:rsidRPr="00F07461">
        <w:t>enhanc</w:t>
      </w:r>
      <w:r>
        <w:t>ing</w:t>
      </w:r>
      <w:r w:rsidRPr="00F07461">
        <w:t xml:space="preserve"> DFAT’s relationship and visibility with </w:t>
      </w:r>
      <w:proofErr w:type="spellStart"/>
      <w:r w:rsidRPr="00F07461">
        <w:t>GoP</w:t>
      </w:r>
      <w:proofErr w:type="spellEnd"/>
      <w:r w:rsidRPr="00F07461">
        <w:t xml:space="preserve"> and facilitat</w:t>
      </w:r>
      <w:r>
        <w:t>ing</w:t>
      </w:r>
      <w:r w:rsidRPr="00F07461">
        <w:t xml:space="preserve"> increased DFAT involvement in policy dialogue around key reform areas.</w:t>
      </w:r>
    </w:p>
    <w:p w14:paraId="7A39B20A" w14:textId="77777777" w:rsidR="00662EBA" w:rsidRPr="006534DF" w:rsidRDefault="00662EBA" w:rsidP="006534DF">
      <w:pPr>
        <w:rPr>
          <w:color w:val="2F5496" w:themeColor="accent1" w:themeShade="BF"/>
          <w:sz w:val="28"/>
          <w:szCs w:val="28"/>
        </w:rPr>
      </w:pPr>
      <w:r w:rsidRPr="006534DF">
        <w:rPr>
          <w:color w:val="2F5496" w:themeColor="accent1" w:themeShade="BF"/>
          <w:sz w:val="28"/>
          <w:szCs w:val="28"/>
        </w:rPr>
        <w:t>Recommendations</w:t>
      </w:r>
    </w:p>
    <w:p w14:paraId="127016BB" w14:textId="5CE422DB" w:rsidR="00662EBA" w:rsidRDefault="00662EBA" w:rsidP="00662EBA">
      <w:r>
        <w:rPr>
          <w:lang w:eastAsia="en-US"/>
        </w:rPr>
        <w:t xml:space="preserve">The evidence of </w:t>
      </w:r>
      <w:proofErr w:type="spellStart"/>
      <w:r w:rsidR="007628AF">
        <w:rPr>
          <w:lang w:eastAsia="en-US"/>
        </w:rPr>
        <w:t>AGaP</w:t>
      </w:r>
      <w:proofErr w:type="spellEnd"/>
      <w:r>
        <w:rPr>
          <w:lang w:eastAsia="en-US"/>
        </w:rPr>
        <w:t xml:space="preserve"> support for policy reforms around </w:t>
      </w:r>
      <w:r w:rsidRPr="000D737F">
        <w:rPr>
          <w:lang w:val="en"/>
        </w:rPr>
        <w:t>inclusive and sustainable economic growth</w:t>
      </w:r>
      <w:r>
        <w:rPr>
          <w:lang w:val="en"/>
        </w:rPr>
        <w:t xml:space="preserve"> </w:t>
      </w:r>
      <w:r w:rsidR="00F81204">
        <w:rPr>
          <w:lang w:val="en"/>
        </w:rPr>
        <w:t>is</w:t>
      </w:r>
      <w:r>
        <w:rPr>
          <w:lang w:val="en"/>
        </w:rPr>
        <w:t xml:space="preserve"> strong, with </w:t>
      </w:r>
      <w:proofErr w:type="spellStart"/>
      <w:r w:rsidR="007628AF">
        <w:rPr>
          <w:lang w:val="en"/>
        </w:rPr>
        <w:t>AGaP</w:t>
      </w:r>
      <w:proofErr w:type="spellEnd"/>
      <w:r>
        <w:rPr>
          <w:lang w:val="en"/>
        </w:rPr>
        <w:t xml:space="preserve"> demonstrating flexibility and responsiveness in a most challenging operating environment of a global </w:t>
      </w:r>
      <w:r w:rsidRPr="00E82918">
        <w:t xml:space="preserve">pandemic </w:t>
      </w:r>
      <w:r>
        <w:t xml:space="preserve">and a </w:t>
      </w:r>
      <w:r w:rsidRPr="00E82918">
        <w:t xml:space="preserve">change in </w:t>
      </w:r>
      <w:proofErr w:type="spellStart"/>
      <w:r w:rsidRPr="00E82918">
        <w:t>GoP</w:t>
      </w:r>
      <w:proofErr w:type="spellEnd"/>
      <w:r w:rsidRPr="00E82918">
        <w:t xml:space="preserve"> administration.</w:t>
      </w:r>
      <w:r>
        <w:t xml:space="preserve"> </w:t>
      </w:r>
      <w:proofErr w:type="spellStart"/>
      <w:r w:rsidR="007628AF">
        <w:rPr>
          <w:lang w:val="en-PH" w:eastAsia="en-US"/>
        </w:rPr>
        <w:t>AGaP</w:t>
      </w:r>
      <w:proofErr w:type="spellEnd"/>
      <w:r w:rsidRPr="001F2441">
        <w:rPr>
          <w:lang w:val="en-PH" w:eastAsia="en-US"/>
        </w:rPr>
        <w:t xml:space="preserve"> will need to maintain momentum behind ongoing reforms in some areas, while </w:t>
      </w:r>
      <w:r>
        <w:rPr>
          <w:lang w:val="en-PH" w:eastAsia="en-US"/>
        </w:rPr>
        <w:t xml:space="preserve">supporting the </w:t>
      </w:r>
      <w:r w:rsidRPr="001F2441">
        <w:rPr>
          <w:lang w:val="en-PH" w:eastAsia="en-US"/>
        </w:rPr>
        <w:t xml:space="preserve">new administration and </w:t>
      </w:r>
      <w:r>
        <w:rPr>
          <w:lang w:val="en-PH" w:eastAsia="en-US"/>
        </w:rPr>
        <w:t xml:space="preserve">its </w:t>
      </w:r>
      <w:r w:rsidRPr="001F2441">
        <w:rPr>
          <w:lang w:val="en-PH" w:eastAsia="en-US"/>
        </w:rPr>
        <w:t xml:space="preserve">priorities. To improve the likelihood of sustainability, </w:t>
      </w:r>
      <w:proofErr w:type="spellStart"/>
      <w:r w:rsidR="007628AF">
        <w:rPr>
          <w:lang w:val="en-PH" w:eastAsia="en-US"/>
        </w:rPr>
        <w:t>AGaP</w:t>
      </w:r>
      <w:proofErr w:type="spellEnd"/>
      <w:r w:rsidRPr="001F2441">
        <w:rPr>
          <w:lang w:val="en-PH" w:eastAsia="en-US"/>
        </w:rPr>
        <w:t xml:space="preserve"> could better </w:t>
      </w:r>
      <w:r w:rsidR="002E4DA0">
        <w:rPr>
          <w:lang w:val="en-PH" w:eastAsia="en-US"/>
        </w:rPr>
        <w:t>utilize p</w:t>
      </w:r>
      <w:r w:rsidR="00C00B0F">
        <w:rPr>
          <w:lang w:val="en-PH" w:eastAsia="en-US"/>
        </w:rPr>
        <w:t>roject</w:t>
      </w:r>
      <w:r w:rsidRPr="001F2441">
        <w:rPr>
          <w:lang w:val="en-PH" w:eastAsia="en-US"/>
        </w:rPr>
        <w:t xml:space="preserve"> resources and diplomacy from the DFAT side of the partnership.</w:t>
      </w:r>
      <w:r>
        <w:rPr>
          <w:lang w:val="en-PH" w:eastAsia="en-US"/>
        </w:rPr>
        <w:t xml:space="preserve"> </w:t>
      </w:r>
      <w:r w:rsidR="00F9373F" w:rsidRPr="007028D5">
        <w:rPr>
          <w:b/>
          <w:bCs/>
          <w:lang w:eastAsia="en-US"/>
        </w:rPr>
        <w:t xml:space="preserve">Based on the performance to date, </w:t>
      </w:r>
      <w:r w:rsidR="003B7904" w:rsidRPr="003B7904">
        <w:rPr>
          <w:b/>
          <w:bCs/>
          <w:lang w:eastAsia="en-US"/>
        </w:rPr>
        <w:t>the development priorities of the Philippine Government, and the country programs of World Bank and DFAT</w:t>
      </w:r>
      <w:r w:rsidR="00281812">
        <w:rPr>
          <w:b/>
          <w:bCs/>
          <w:lang w:eastAsia="en-US"/>
        </w:rPr>
        <w:t>,</w:t>
      </w:r>
      <w:r w:rsidR="003B7904" w:rsidRPr="003B7904">
        <w:rPr>
          <w:b/>
          <w:bCs/>
          <w:lang w:eastAsia="en-US"/>
        </w:rPr>
        <w:t xml:space="preserve"> </w:t>
      </w:r>
      <w:r w:rsidR="00F9373F" w:rsidRPr="007028D5">
        <w:rPr>
          <w:b/>
          <w:bCs/>
          <w:lang w:eastAsia="en-US"/>
        </w:rPr>
        <w:t xml:space="preserve">the MTR recommends that DFAT continue to support </w:t>
      </w:r>
      <w:proofErr w:type="spellStart"/>
      <w:r w:rsidR="007628AF">
        <w:rPr>
          <w:b/>
          <w:bCs/>
          <w:lang w:eastAsia="en-US"/>
        </w:rPr>
        <w:t>AGaP</w:t>
      </w:r>
      <w:proofErr w:type="spellEnd"/>
      <w:r w:rsidR="00F9373F" w:rsidRPr="007028D5">
        <w:rPr>
          <w:b/>
          <w:bCs/>
          <w:lang w:eastAsia="en-US"/>
        </w:rPr>
        <w:t xml:space="preserve"> </w:t>
      </w:r>
      <w:r w:rsidR="004D4E9A" w:rsidRPr="004D4E9A">
        <w:rPr>
          <w:b/>
          <w:bCs/>
          <w:lang w:eastAsia="en-US"/>
        </w:rPr>
        <w:t>beyond its current end date (June 30, 202</w:t>
      </w:r>
      <w:r w:rsidR="00FF0039">
        <w:rPr>
          <w:b/>
          <w:bCs/>
          <w:lang w:eastAsia="en-US"/>
        </w:rPr>
        <w:t>4</w:t>
      </w:r>
      <w:r w:rsidR="004D4E9A" w:rsidRPr="004D4E9A">
        <w:rPr>
          <w:b/>
          <w:bCs/>
          <w:lang w:eastAsia="en-US"/>
        </w:rPr>
        <w:t>)</w:t>
      </w:r>
      <w:r w:rsidR="00F9373F" w:rsidRPr="007028D5">
        <w:rPr>
          <w:b/>
          <w:bCs/>
          <w:lang w:eastAsia="en-US"/>
        </w:rPr>
        <w:t>.</w:t>
      </w:r>
      <w:r w:rsidR="005655A6" w:rsidRPr="005655A6">
        <w:rPr>
          <w:color w:val="000000" w:themeColor="text1"/>
        </w:rPr>
        <w:t xml:space="preserve"> </w:t>
      </w:r>
      <w:proofErr w:type="spellStart"/>
      <w:r w:rsidR="007628AF">
        <w:t>AGaP</w:t>
      </w:r>
      <w:proofErr w:type="spellEnd"/>
      <w:r w:rsidR="005655A6" w:rsidRPr="005655A6">
        <w:t xml:space="preserve"> should continue as a </w:t>
      </w:r>
      <w:r w:rsidR="005655A6" w:rsidRPr="006F738B">
        <w:t>single donor programmatic</w:t>
      </w:r>
      <w:r w:rsidR="005655A6" w:rsidRPr="00176C0F">
        <w:t xml:space="preserve"> instrument</w:t>
      </w:r>
      <w:r w:rsidR="005655A6" w:rsidRPr="005655A6">
        <w:t xml:space="preserve">, a modality </w:t>
      </w:r>
      <w:r w:rsidR="00516D00">
        <w:t>that</w:t>
      </w:r>
      <w:r w:rsidR="005655A6" w:rsidRPr="005655A6">
        <w:t xml:space="preserve"> balances the effectiveness of the Bank’s delivery with the benefits of a bilateral mechanism.</w:t>
      </w:r>
      <w:r w:rsidR="002A05D3">
        <w:t xml:space="preserve"> The </w:t>
      </w:r>
      <w:r w:rsidR="00DE5864">
        <w:t>flexibility</w:t>
      </w:r>
      <w:r w:rsidR="00D06B9E">
        <w:t xml:space="preserve"> of </w:t>
      </w:r>
      <w:proofErr w:type="spellStart"/>
      <w:r w:rsidR="007628AF">
        <w:t>AGaP</w:t>
      </w:r>
      <w:proofErr w:type="spellEnd"/>
      <w:r w:rsidR="008C74C7">
        <w:t>,</w:t>
      </w:r>
      <w:r w:rsidR="00DE5864">
        <w:t xml:space="preserve"> </w:t>
      </w:r>
      <w:r w:rsidR="008C74C7">
        <w:t>purposefully</w:t>
      </w:r>
      <w:r w:rsidR="00DE5864">
        <w:t xml:space="preserve"> built into the design by DFAT and the WB</w:t>
      </w:r>
      <w:r w:rsidR="008C74C7">
        <w:t>,</w:t>
      </w:r>
      <w:r w:rsidR="00970160">
        <w:rPr>
          <w:rStyle w:val="FootnoteReference"/>
        </w:rPr>
        <w:footnoteReference w:id="2"/>
      </w:r>
      <w:r w:rsidR="00DE5864">
        <w:t xml:space="preserve"> should also be </w:t>
      </w:r>
      <w:r w:rsidR="008C74C7">
        <w:t>retained</w:t>
      </w:r>
      <w:r w:rsidR="00BA7779">
        <w:t xml:space="preserve">. </w:t>
      </w:r>
    </w:p>
    <w:p w14:paraId="093E1121" w14:textId="4BA31332" w:rsidR="00FE08B0" w:rsidRPr="00FE08B0" w:rsidRDefault="00FE08B0" w:rsidP="00662EBA">
      <w:pPr>
        <w:rPr>
          <w:lang w:val="en"/>
        </w:rPr>
      </w:pPr>
      <w:r>
        <w:t xml:space="preserve">In considering future priorities, </w:t>
      </w:r>
      <w:proofErr w:type="spellStart"/>
      <w:r w:rsidR="007628AF">
        <w:t>AGaP</w:t>
      </w:r>
      <w:proofErr w:type="spellEnd"/>
      <w:r w:rsidRPr="00FE08B0">
        <w:t xml:space="preserve"> </w:t>
      </w:r>
      <w:r w:rsidRPr="006F738B">
        <w:t xml:space="preserve">should facilitate a deeper examination of the types of economic reforms that can facilitate poverty reduction to improve the quality and resilience of economic growth. This should include agreeing gender-related targets for the next phase of </w:t>
      </w:r>
      <w:proofErr w:type="spellStart"/>
      <w:r w:rsidR="007628AF">
        <w:t>AGaP</w:t>
      </w:r>
      <w:proofErr w:type="spellEnd"/>
      <w:r w:rsidRPr="006F738B">
        <w:t xml:space="preserve"> and examining the correlations between poverty and Indigenous People</w:t>
      </w:r>
      <w:r w:rsidR="00F1150E" w:rsidRPr="006F738B">
        <w:t>s</w:t>
      </w:r>
      <w:r w:rsidRPr="00B110EF">
        <w:t>.</w:t>
      </w:r>
      <w:r>
        <w:rPr>
          <w:lang w:val="en"/>
        </w:rPr>
        <w:t xml:space="preserve"> Furthermore, </w:t>
      </w:r>
      <w:r>
        <w:t>the strategy</w:t>
      </w:r>
      <w:r w:rsidRPr="00FE08B0">
        <w:t xml:space="preserve"> should strengthen considerations of climate change</w:t>
      </w:r>
      <w:r w:rsidR="0018325A">
        <w:t xml:space="preserve"> </w:t>
      </w:r>
      <w:r w:rsidRPr="00FE08B0">
        <w:t>and its integration with disaster resilience</w:t>
      </w:r>
      <w:r w:rsidR="0018325A">
        <w:t xml:space="preserve"> </w:t>
      </w:r>
      <w:r w:rsidRPr="00FE08B0">
        <w:t>in its policy work. For example, infrastructure, energy transition, digitisation, and natural resource stewardship.</w:t>
      </w:r>
    </w:p>
    <w:p w14:paraId="7124C964" w14:textId="57B1DFEF" w:rsidR="00662EBA" w:rsidRDefault="00662EBA" w:rsidP="00662EBA">
      <w:pPr>
        <w:rPr>
          <w:rFonts w:asciiTheme="majorHAnsi" w:eastAsiaTheme="majorEastAsia" w:hAnsiTheme="majorHAnsi" w:cstheme="majorBidi"/>
          <w:color w:val="2F5496" w:themeColor="accent1" w:themeShade="BF"/>
          <w:sz w:val="32"/>
          <w:szCs w:val="32"/>
        </w:rPr>
      </w:pPr>
      <w:r w:rsidRPr="00694948">
        <w:rPr>
          <w:lang w:val="en-PH" w:eastAsia="en-US"/>
        </w:rPr>
        <w:t>Specific actions are needed in program administration, specifically in operational guidelines for gender mainstreaming.</w:t>
      </w:r>
      <w:r>
        <w:rPr>
          <w:lang w:val="en-PH" w:eastAsia="en-US"/>
        </w:rPr>
        <w:t xml:space="preserve"> </w:t>
      </w:r>
      <w:r w:rsidR="007028D5">
        <w:rPr>
          <w:lang w:val="en-PH" w:eastAsia="en-US"/>
        </w:rPr>
        <w:t>T</w:t>
      </w:r>
      <w:r>
        <w:rPr>
          <w:lang w:val="en-PH" w:eastAsia="en-US"/>
        </w:rPr>
        <w:t xml:space="preserve">he results framework will require more verifiable indicators </w:t>
      </w:r>
      <w:r w:rsidRPr="006A140E">
        <w:t xml:space="preserve">that can be used in monitoring and evaluation, including the integration </w:t>
      </w:r>
      <w:r w:rsidR="00284599">
        <w:t>of</w:t>
      </w:r>
      <w:r w:rsidRPr="006A140E">
        <w:t xml:space="preserve"> gender as a cross-cutting theme in the framework. The existing reporting mechanisms such as annual reports need </w:t>
      </w:r>
      <w:r w:rsidR="00073311" w:rsidRPr="006A140E">
        <w:t>to thread</w:t>
      </w:r>
      <w:r w:rsidRPr="006A140E">
        <w:t xml:space="preserve"> the grant outputs together to show how the </w:t>
      </w:r>
      <w:proofErr w:type="spellStart"/>
      <w:r w:rsidR="007628AF">
        <w:t>AGaP</w:t>
      </w:r>
      <w:proofErr w:type="spellEnd"/>
      <w:r w:rsidRPr="006A140E">
        <w:t xml:space="preserve"> approach is leading to changes. On governance, </w:t>
      </w:r>
      <w:r w:rsidRPr="006A140E">
        <w:lastRenderedPageBreak/>
        <w:t>each level in the structure (task teams, Operations Committee, Steering Committee) needs clear parameters and functions, with the Operations Manual updated accordingly.</w:t>
      </w:r>
      <w:r w:rsidRPr="00F07461">
        <w:rPr>
          <w:color w:val="44546A" w:themeColor="text2"/>
        </w:rPr>
        <w:t xml:space="preserve"> </w:t>
      </w:r>
    </w:p>
    <w:p w14:paraId="087749BA" w14:textId="77777777" w:rsidR="00BE445D" w:rsidRPr="00E03DD0" w:rsidRDefault="00BE445D" w:rsidP="006534DF">
      <w:pPr>
        <w:pStyle w:val="Heading5"/>
      </w:pPr>
      <w:r w:rsidRPr="002210C4">
        <w:t>Gender equality</w:t>
      </w:r>
    </w:p>
    <w:p w14:paraId="63542023" w14:textId="77777777" w:rsidR="00BE445D" w:rsidRPr="002210C4" w:rsidRDefault="00BE445D" w:rsidP="00BE445D">
      <w:pPr>
        <w:numPr>
          <w:ilvl w:val="0"/>
          <w:numId w:val="15"/>
        </w:numPr>
        <w:spacing w:before="0"/>
        <w:rPr>
          <w:rFonts w:cstheme="minorHAnsi"/>
          <w:szCs w:val="22"/>
          <w:lang w:val="en"/>
        </w:rPr>
      </w:pPr>
      <w:r w:rsidRPr="002210C4">
        <w:rPr>
          <w:rFonts w:cstheme="minorHAnsi"/>
          <w:szCs w:val="22"/>
          <w:lang w:val="en"/>
        </w:rPr>
        <w:t>Revise the Operations manual to include clearer expectations on gender equality and women’s economic empowerment.</w:t>
      </w:r>
      <w:r w:rsidRPr="002210C4">
        <w:rPr>
          <w:rFonts w:cstheme="minorHAnsi"/>
          <w:szCs w:val="22"/>
          <w:vertAlign w:val="superscript"/>
          <w:lang w:val="en"/>
        </w:rPr>
        <w:footnoteReference w:id="3"/>
      </w:r>
      <w:r w:rsidRPr="002210C4">
        <w:rPr>
          <w:rFonts w:cstheme="minorHAnsi"/>
          <w:szCs w:val="22"/>
          <w:lang w:val="en"/>
        </w:rPr>
        <w:t xml:space="preserve"> </w:t>
      </w:r>
    </w:p>
    <w:p w14:paraId="2D61C811" w14:textId="1D5073BA" w:rsidR="00BE445D" w:rsidRPr="002210C4" w:rsidRDefault="00BE445D" w:rsidP="00BE445D">
      <w:pPr>
        <w:numPr>
          <w:ilvl w:val="0"/>
          <w:numId w:val="15"/>
        </w:numPr>
        <w:spacing w:before="0"/>
        <w:rPr>
          <w:rFonts w:cstheme="minorHAnsi"/>
          <w:szCs w:val="22"/>
          <w:lang w:val="en"/>
        </w:rPr>
      </w:pPr>
      <w:r w:rsidRPr="002210C4">
        <w:rPr>
          <w:rFonts w:cstheme="minorHAnsi"/>
          <w:szCs w:val="22"/>
          <w:lang w:val="en"/>
        </w:rPr>
        <w:t xml:space="preserve">Revise the </w:t>
      </w:r>
      <w:proofErr w:type="spellStart"/>
      <w:r w:rsidR="007628AF">
        <w:rPr>
          <w:rFonts w:cstheme="minorHAnsi"/>
          <w:szCs w:val="22"/>
          <w:lang w:val="en"/>
        </w:rPr>
        <w:t>AGaP</w:t>
      </w:r>
      <w:proofErr w:type="spellEnd"/>
      <w:r w:rsidRPr="002210C4">
        <w:rPr>
          <w:rFonts w:cstheme="minorHAnsi"/>
          <w:szCs w:val="22"/>
          <w:lang w:val="en"/>
        </w:rPr>
        <w:t xml:space="preserve"> results framework to include gender as a cross-cutting theme, consistent with the grant proposals and reporting templates.</w:t>
      </w:r>
    </w:p>
    <w:p w14:paraId="1B44F67D" w14:textId="77777777" w:rsidR="00BE445D" w:rsidRPr="002210C4" w:rsidRDefault="00BE445D" w:rsidP="006534DF">
      <w:pPr>
        <w:pStyle w:val="Heading5"/>
      </w:pPr>
      <w:r w:rsidRPr="002210C4">
        <w:t xml:space="preserve">Disability </w:t>
      </w:r>
    </w:p>
    <w:p w14:paraId="3FB0E9BC" w14:textId="327470D3" w:rsidR="00BE445D" w:rsidRPr="00EE7073" w:rsidRDefault="00BE445D" w:rsidP="00C64AD4">
      <w:pPr>
        <w:pStyle w:val="ListParagraph"/>
        <w:numPr>
          <w:ilvl w:val="0"/>
          <w:numId w:val="54"/>
        </w:numPr>
        <w:rPr>
          <w:rFonts w:cstheme="minorHAnsi"/>
          <w:color w:val="000000" w:themeColor="text1"/>
        </w:rPr>
      </w:pPr>
      <w:r w:rsidRPr="00EE7073">
        <w:rPr>
          <w:rFonts w:cstheme="minorHAnsi"/>
          <w:color w:val="000000" w:themeColor="text1"/>
        </w:rPr>
        <w:t xml:space="preserve">Revise the Operations </w:t>
      </w:r>
      <w:r w:rsidR="00446C02" w:rsidRPr="00EE7073">
        <w:rPr>
          <w:rFonts w:cstheme="minorHAnsi"/>
          <w:color w:val="000000" w:themeColor="text1"/>
        </w:rPr>
        <w:t>M</w:t>
      </w:r>
      <w:r w:rsidRPr="00EE7073">
        <w:rPr>
          <w:rFonts w:cstheme="minorHAnsi"/>
          <w:color w:val="000000" w:themeColor="text1"/>
        </w:rPr>
        <w:t>anual to include clearer expectations on disability</w:t>
      </w:r>
      <w:r w:rsidR="00D17511" w:rsidRPr="00EE7073">
        <w:rPr>
          <w:rFonts w:cstheme="minorHAnsi"/>
          <w:color w:val="000000" w:themeColor="text1"/>
        </w:rPr>
        <w:t xml:space="preserve">, and </w:t>
      </w:r>
      <w:r w:rsidR="00F20941" w:rsidRPr="00EE7073">
        <w:rPr>
          <w:rFonts w:cstheme="minorHAnsi"/>
          <w:color w:val="000000" w:themeColor="text1"/>
        </w:rPr>
        <w:t xml:space="preserve">social </w:t>
      </w:r>
      <w:r w:rsidR="00D17511" w:rsidRPr="00EE7073">
        <w:rPr>
          <w:rFonts w:cstheme="minorHAnsi"/>
          <w:color w:val="000000" w:themeColor="text1"/>
        </w:rPr>
        <w:t xml:space="preserve">inclusion </w:t>
      </w:r>
      <w:r w:rsidR="00F20941" w:rsidRPr="00EE7073">
        <w:rPr>
          <w:rFonts w:cstheme="minorHAnsi"/>
          <w:color w:val="000000" w:themeColor="text1"/>
        </w:rPr>
        <w:t xml:space="preserve">considerations </w:t>
      </w:r>
      <w:r w:rsidR="00D17511" w:rsidRPr="00EE7073">
        <w:rPr>
          <w:rFonts w:cstheme="minorHAnsi"/>
          <w:color w:val="000000" w:themeColor="text1"/>
        </w:rPr>
        <w:t>more broadly.</w:t>
      </w:r>
    </w:p>
    <w:p w14:paraId="0103A05A" w14:textId="77777777" w:rsidR="00BE445D" w:rsidRPr="002210C4" w:rsidRDefault="00BE445D" w:rsidP="006534DF">
      <w:pPr>
        <w:pStyle w:val="Heading5"/>
      </w:pPr>
      <w:r w:rsidRPr="002210C4">
        <w:t xml:space="preserve">Monitoring, </w:t>
      </w:r>
      <w:proofErr w:type="gramStart"/>
      <w:r w:rsidRPr="002210C4">
        <w:t>evaluation</w:t>
      </w:r>
      <w:proofErr w:type="gramEnd"/>
      <w:r w:rsidRPr="002210C4">
        <w:t xml:space="preserve"> and reporting </w:t>
      </w:r>
    </w:p>
    <w:p w14:paraId="18C8DFC6" w14:textId="6B4F9B79" w:rsidR="0013023D" w:rsidRPr="00EE7073" w:rsidRDefault="003E6D56" w:rsidP="0013023D">
      <w:pPr>
        <w:pStyle w:val="ListParagraph"/>
        <w:numPr>
          <w:ilvl w:val="0"/>
          <w:numId w:val="18"/>
        </w:numPr>
        <w:rPr>
          <w:rFonts w:ascii="Arial" w:hAnsi="Arial" w:cs="Arial"/>
          <w:color w:val="000000" w:themeColor="text1"/>
          <w:sz w:val="20"/>
          <w:szCs w:val="20"/>
        </w:rPr>
      </w:pPr>
      <w:r w:rsidRPr="00EE7073">
        <w:rPr>
          <w:rFonts w:cstheme="minorHAnsi"/>
          <w:color w:val="000000" w:themeColor="text1"/>
        </w:rPr>
        <w:t xml:space="preserve">Discuss </w:t>
      </w:r>
      <w:r w:rsidR="004A28B2" w:rsidRPr="00EE7073">
        <w:rPr>
          <w:rFonts w:cstheme="minorHAnsi"/>
          <w:color w:val="000000" w:themeColor="text1"/>
        </w:rPr>
        <w:t xml:space="preserve">and agree </w:t>
      </w:r>
      <w:r w:rsidRPr="00EE7073">
        <w:rPr>
          <w:rFonts w:cstheme="minorHAnsi"/>
          <w:color w:val="000000" w:themeColor="text1"/>
        </w:rPr>
        <w:t>in the Operations Committee</w:t>
      </w:r>
      <w:r w:rsidR="004A28B2" w:rsidRPr="00EE7073">
        <w:rPr>
          <w:rFonts w:cstheme="minorHAnsi"/>
          <w:color w:val="000000" w:themeColor="text1"/>
        </w:rPr>
        <w:t xml:space="preserve"> </w:t>
      </w:r>
      <w:r w:rsidR="004351B9" w:rsidRPr="00EE7073">
        <w:rPr>
          <w:rFonts w:cstheme="minorHAnsi"/>
          <w:color w:val="000000" w:themeColor="text1"/>
        </w:rPr>
        <w:t>a</w:t>
      </w:r>
      <w:r w:rsidR="00BE445D" w:rsidRPr="00EE7073">
        <w:rPr>
          <w:rFonts w:cstheme="minorHAnsi"/>
          <w:color w:val="000000" w:themeColor="text1"/>
        </w:rPr>
        <w:t>llocat</w:t>
      </w:r>
      <w:r w:rsidR="00267013" w:rsidRPr="00EE7073">
        <w:rPr>
          <w:rFonts w:cstheme="minorHAnsi"/>
          <w:color w:val="000000" w:themeColor="text1"/>
        </w:rPr>
        <w:t>ion of</w:t>
      </w:r>
      <w:r w:rsidR="00BE445D" w:rsidRPr="00EE7073">
        <w:rPr>
          <w:rFonts w:cstheme="minorHAnsi"/>
          <w:color w:val="000000" w:themeColor="text1"/>
        </w:rPr>
        <w:t xml:space="preserve"> sufficient </w:t>
      </w:r>
      <w:r w:rsidR="00997C1A" w:rsidRPr="00EE7073">
        <w:rPr>
          <w:rFonts w:cstheme="minorHAnsi"/>
          <w:color w:val="000000" w:themeColor="text1"/>
        </w:rPr>
        <w:t>M&amp;E</w:t>
      </w:r>
      <w:r w:rsidR="00BE445D" w:rsidRPr="00EE7073">
        <w:rPr>
          <w:rFonts w:cstheme="minorHAnsi"/>
          <w:color w:val="000000" w:themeColor="text1"/>
        </w:rPr>
        <w:t xml:space="preserve"> resources </w:t>
      </w:r>
      <w:r w:rsidR="00997C1A" w:rsidRPr="00EE7073">
        <w:rPr>
          <w:rFonts w:cstheme="minorHAnsi"/>
          <w:color w:val="000000" w:themeColor="text1"/>
        </w:rPr>
        <w:t>and costing</w:t>
      </w:r>
      <w:r w:rsidR="0013023D" w:rsidRPr="00EE7073">
        <w:rPr>
          <w:rFonts w:cstheme="minorHAnsi"/>
          <w:color w:val="000000" w:themeColor="text1"/>
        </w:rPr>
        <w:t xml:space="preserve">, including </w:t>
      </w:r>
      <w:r w:rsidR="0013023D" w:rsidRPr="00EE7073">
        <w:rPr>
          <w:rFonts w:ascii="Arial" w:hAnsi="Arial" w:cs="Arial"/>
          <w:color w:val="000000" w:themeColor="text1"/>
          <w:sz w:val="20"/>
          <w:szCs w:val="20"/>
        </w:rPr>
        <w:t>a clear process and frequency for updating the M&amp;E Plan.</w:t>
      </w:r>
      <w:r w:rsidR="00267013" w:rsidRPr="00EE7073">
        <w:rPr>
          <w:rStyle w:val="FootnoteReference"/>
          <w:rFonts w:ascii="Arial" w:hAnsi="Arial" w:cs="Arial"/>
          <w:color w:val="000000" w:themeColor="text1"/>
          <w:sz w:val="20"/>
          <w:szCs w:val="20"/>
        </w:rPr>
        <w:footnoteReference w:id="4"/>
      </w:r>
    </w:p>
    <w:p w14:paraId="759F5EC5" w14:textId="338110F9" w:rsidR="00B414FD" w:rsidRPr="00EE7073" w:rsidRDefault="00452FDF" w:rsidP="006F738B">
      <w:pPr>
        <w:pStyle w:val="ListParagraph"/>
        <w:numPr>
          <w:ilvl w:val="0"/>
          <w:numId w:val="18"/>
        </w:numPr>
        <w:rPr>
          <w:rFonts w:ascii="Arial" w:hAnsi="Arial" w:cs="Arial"/>
          <w:color w:val="000000" w:themeColor="text1"/>
          <w:sz w:val="20"/>
          <w:szCs w:val="20"/>
        </w:rPr>
      </w:pPr>
      <w:r w:rsidRPr="00EE7073">
        <w:rPr>
          <w:rFonts w:cstheme="minorHAnsi"/>
          <w:color w:val="000000" w:themeColor="text1"/>
        </w:rPr>
        <w:t>E</w:t>
      </w:r>
      <w:r w:rsidR="00B414FD" w:rsidRPr="00EE7073">
        <w:rPr>
          <w:rFonts w:cstheme="minorHAnsi"/>
          <w:color w:val="000000" w:themeColor="text1"/>
        </w:rPr>
        <w:t xml:space="preserve">xplore appropriate impact measurement methodologies that </w:t>
      </w:r>
      <w:proofErr w:type="gramStart"/>
      <w:r w:rsidR="00B414FD" w:rsidRPr="00EE7073">
        <w:rPr>
          <w:rFonts w:cstheme="minorHAnsi"/>
          <w:color w:val="000000" w:themeColor="text1"/>
        </w:rPr>
        <w:t>are capable of tracking</w:t>
      </w:r>
      <w:proofErr w:type="gramEnd"/>
      <w:r w:rsidR="00B414FD" w:rsidRPr="00EE7073">
        <w:rPr>
          <w:rFonts w:cstheme="minorHAnsi"/>
          <w:color w:val="000000" w:themeColor="text1"/>
        </w:rPr>
        <w:t xml:space="preserve"> the complex variables inherent in governance reform programs.</w:t>
      </w:r>
      <w:r w:rsidR="00787A67" w:rsidRPr="00EE7073">
        <w:rPr>
          <w:rStyle w:val="FootnoteReference"/>
          <w:rFonts w:cstheme="minorHAnsi"/>
          <w:color w:val="000000" w:themeColor="text1"/>
        </w:rPr>
        <w:footnoteReference w:id="5"/>
      </w:r>
      <w:r w:rsidR="00B414FD" w:rsidRPr="00EE7073">
        <w:rPr>
          <w:rFonts w:cstheme="minorHAnsi"/>
          <w:color w:val="000000" w:themeColor="text1"/>
        </w:rPr>
        <w:t xml:space="preserve"> </w:t>
      </w:r>
    </w:p>
    <w:p w14:paraId="2D90321A" w14:textId="0183CB12" w:rsidR="00BE445D" w:rsidRPr="001E1DED" w:rsidRDefault="00BE445D" w:rsidP="001E1DED">
      <w:pPr>
        <w:numPr>
          <w:ilvl w:val="0"/>
          <w:numId w:val="18"/>
        </w:numPr>
        <w:suppressAutoHyphens/>
        <w:spacing w:before="120" w:after="60" w:line="260" w:lineRule="atLeast"/>
        <w:rPr>
          <w:rFonts w:cstheme="minorHAnsi"/>
          <w:szCs w:val="22"/>
        </w:rPr>
      </w:pPr>
      <w:r w:rsidRPr="002210C4">
        <w:rPr>
          <w:rFonts w:cstheme="minorHAnsi"/>
          <w:szCs w:val="22"/>
        </w:rPr>
        <w:t>Clarify the version of the results framework the program is reporting against and add more detail for objectively verifiable indicators and means of verification</w:t>
      </w:r>
      <w:r w:rsidR="00977D9C">
        <w:rPr>
          <w:rFonts w:cstheme="minorHAnsi"/>
          <w:szCs w:val="22"/>
        </w:rPr>
        <w:t xml:space="preserve">, </w:t>
      </w:r>
      <w:r w:rsidR="001E1DED">
        <w:rPr>
          <w:rFonts w:cstheme="minorHAnsi"/>
          <w:szCs w:val="22"/>
        </w:rPr>
        <w:t>including</w:t>
      </w:r>
      <w:r w:rsidR="00977D9C">
        <w:rPr>
          <w:rFonts w:cstheme="minorHAnsi"/>
          <w:szCs w:val="22"/>
        </w:rPr>
        <w:t xml:space="preserve"> </w:t>
      </w:r>
      <w:r w:rsidR="00977D9C" w:rsidRPr="00977D9C">
        <w:rPr>
          <w:rFonts w:cstheme="minorHAnsi"/>
          <w:szCs w:val="22"/>
        </w:rPr>
        <w:t>ways to measure the degree of influence on policy reform that can be attributed to the activities, and how these outcomes confirm the validity of the program’s theory of change</w:t>
      </w:r>
      <w:r w:rsidR="001E1DED">
        <w:rPr>
          <w:rFonts w:cstheme="minorHAnsi"/>
          <w:szCs w:val="22"/>
        </w:rPr>
        <w:t>.</w:t>
      </w:r>
    </w:p>
    <w:p w14:paraId="0FDED996" w14:textId="62075DB0" w:rsidR="00BE445D" w:rsidRPr="002210C4" w:rsidRDefault="00BE445D" w:rsidP="00BE445D">
      <w:pPr>
        <w:numPr>
          <w:ilvl w:val="0"/>
          <w:numId w:val="18"/>
        </w:numPr>
        <w:suppressAutoHyphens/>
        <w:spacing w:before="120" w:after="60" w:line="260" w:lineRule="atLeast"/>
        <w:rPr>
          <w:rFonts w:cstheme="minorHAnsi"/>
          <w:szCs w:val="22"/>
        </w:rPr>
      </w:pPr>
      <w:r w:rsidRPr="002210C4">
        <w:rPr>
          <w:rFonts w:cstheme="minorHAnsi"/>
          <w:szCs w:val="22"/>
        </w:rPr>
        <w:t xml:space="preserve">Use the annual reports to thread the grant outputs together to show how the </w:t>
      </w:r>
      <w:proofErr w:type="spellStart"/>
      <w:r w:rsidR="007628AF">
        <w:rPr>
          <w:rFonts w:cstheme="minorHAnsi"/>
          <w:szCs w:val="22"/>
        </w:rPr>
        <w:t>AGaP</w:t>
      </w:r>
      <w:proofErr w:type="spellEnd"/>
      <w:r w:rsidRPr="002210C4">
        <w:rPr>
          <w:rFonts w:cstheme="minorHAnsi"/>
          <w:szCs w:val="22"/>
        </w:rPr>
        <w:t xml:space="preserve"> approach is leading to changes, and how these relate to the broader AMPED objectives</w:t>
      </w:r>
    </w:p>
    <w:p w14:paraId="734E1B48" w14:textId="77777777" w:rsidR="00BE445D" w:rsidRPr="002210C4" w:rsidRDefault="00BE445D" w:rsidP="00BE445D">
      <w:pPr>
        <w:numPr>
          <w:ilvl w:val="0"/>
          <w:numId w:val="18"/>
        </w:numPr>
        <w:suppressAutoHyphens/>
        <w:spacing w:before="120" w:after="60" w:line="260" w:lineRule="atLeast"/>
        <w:rPr>
          <w:rFonts w:cstheme="minorHAnsi"/>
          <w:szCs w:val="22"/>
        </w:rPr>
      </w:pPr>
      <w:r w:rsidRPr="002210C4">
        <w:rPr>
          <w:rFonts w:cstheme="minorHAnsi"/>
          <w:szCs w:val="22"/>
        </w:rPr>
        <w:t>Amend the Operations Manual to set out a consistent financial reporting template, with explanation of terms and process for approving transfers between accounts.</w:t>
      </w:r>
    </w:p>
    <w:p w14:paraId="16797BCD" w14:textId="77777777" w:rsidR="00BE445D" w:rsidRPr="002210C4" w:rsidRDefault="00BE445D" w:rsidP="006534DF">
      <w:pPr>
        <w:pStyle w:val="Heading5"/>
      </w:pPr>
      <w:r w:rsidRPr="002210C4">
        <w:t xml:space="preserve">Sustainability </w:t>
      </w:r>
    </w:p>
    <w:p w14:paraId="4D8F333A" w14:textId="612C64E1" w:rsidR="00BE445D" w:rsidRPr="006F738B" w:rsidRDefault="00BE445D" w:rsidP="00C64AD4">
      <w:pPr>
        <w:pStyle w:val="ListParagraph"/>
        <w:numPr>
          <w:ilvl w:val="0"/>
          <w:numId w:val="54"/>
        </w:numPr>
        <w:rPr>
          <w:rFonts w:cstheme="minorHAnsi"/>
          <w:color w:val="auto"/>
        </w:rPr>
      </w:pPr>
      <w:r w:rsidRPr="006F738B">
        <w:rPr>
          <w:rFonts w:cstheme="minorHAnsi"/>
          <w:color w:val="auto"/>
        </w:rPr>
        <w:t xml:space="preserve">The partnership should better utilise resources and diplomacy from DFAT, </w:t>
      </w:r>
      <w:proofErr w:type="gramStart"/>
      <w:r w:rsidRPr="006F738B">
        <w:rPr>
          <w:rFonts w:cstheme="minorHAnsi"/>
          <w:color w:val="auto"/>
        </w:rPr>
        <w:t>in particular the</w:t>
      </w:r>
      <w:proofErr w:type="gramEnd"/>
      <w:r w:rsidRPr="006F738B">
        <w:rPr>
          <w:rFonts w:cstheme="minorHAnsi"/>
          <w:color w:val="auto"/>
        </w:rPr>
        <w:t xml:space="preserve"> Ambassador, to improve the sustainability of </w:t>
      </w:r>
      <w:proofErr w:type="spellStart"/>
      <w:r w:rsidR="007628AF">
        <w:rPr>
          <w:rFonts w:cstheme="minorHAnsi"/>
          <w:color w:val="auto"/>
        </w:rPr>
        <w:t>AGaP</w:t>
      </w:r>
      <w:proofErr w:type="spellEnd"/>
      <w:r w:rsidRPr="006F738B">
        <w:rPr>
          <w:rFonts w:cstheme="minorHAnsi"/>
          <w:color w:val="auto"/>
        </w:rPr>
        <w:t>.</w:t>
      </w:r>
      <w:r w:rsidR="0047588C" w:rsidRPr="006F738B">
        <w:rPr>
          <w:rStyle w:val="FootnoteReference"/>
          <w:rFonts w:cstheme="minorHAnsi"/>
          <w:color w:val="auto"/>
        </w:rPr>
        <w:footnoteReference w:id="6"/>
      </w:r>
    </w:p>
    <w:p w14:paraId="09AD040D" w14:textId="77777777" w:rsidR="00BE445D" w:rsidRPr="002210C4" w:rsidRDefault="00BE445D" w:rsidP="006534DF">
      <w:pPr>
        <w:pStyle w:val="Heading5"/>
      </w:pPr>
      <w:r w:rsidRPr="002210C4">
        <w:t>Program management</w:t>
      </w:r>
    </w:p>
    <w:p w14:paraId="6DE51C0A" w14:textId="4B0B6FD3" w:rsidR="00BE445D" w:rsidRPr="002210C4" w:rsidRDefault="00BE445D" w:rsidP="00BE445D">
      <w:pPr>
        <w:rPr>
          <w:rFonts w:cstheme="minorHAnsi"/>
          <w:szCs w:val="22"/>
        </w:rPr>
      </w:pPr>
      <w:r w:rsidRPr="002210C4">
        <w:rPr>
          <w:rFonts w:cstheme="minorHAnsi"/>
          <w:szCs w:val="22"/>
        </w:rPr>
        <w:t xml:space="preserve">Each level of </w:t>
      </w:r>
      <w:r w:rsidR="001B2091">
        <w:rPr>
          <w:rFonts w:cstheme="minorHAnsi"/>
          <w:szCs w:val="22"/>
        </w:rPr>
        <w:t xml:space="preserve">the </w:t>
      </w:r>
      <w:proofErr w:type="spellStart"/>
      <w:r w:rsidR="007628AF">
        <w:rPr>
          <w:rFonts w:cstheme="minorHAnsi"/>
          <w:szCs w:val="22"/>
        </w:rPr>
        <w:t>AGaP</w:t>
      </w:r>
      <w:proofErr w:type="spellEnd"/>
      <w:r w:rsidRPr="002210C4">
        <w:rPr>
          <w:rFonts w:cstheme="minorHAnsi"/>
          <w:szCs w:val="22"/>
        </w:rPr>
        <w:t xml:space="preserve"> governance structure needs clear parameters and functions, with the Operations Manual updated accordingly. For example:</w:t>
      </w:r>
    </w:p>
    <w:p w14:paraId="0971A7A5" w14:textId="0E1D3D78" w:rsidR="00BE445D" w:rsidRPr="002210C4" w:rsidRDefault="00BE445D" w:rsidP="00BE445D">
      <w:pPr>
        <w:numPr>
          <w:ilvl w:val="0"/>
          <w:numId w:val="13"/>
        </w:numPr>
        <w:spacing w:before="0"/>
        <w:rPr>
          <w:rFonts w:cstheme="minorHAnsi"/>
          <w:szCs w:val="22"/>
        </w:rPr>
      </w:pPr>
      <w:r w:rsidRPr="002210C4">
        <w:rPr>
          <w:rFonts w:cstheme="minorHAnsi"/>
          <w:szCs w:val="22"/>
        </w:rPr>
        <w:t xml:space="preserve">The Operations Committee should discuss the issues raised in this section (Program </w:t>
      </w:r>
      <w:r w:rsidR="001B2091">
        <w:rPr>
          <w:rFonts w:cstheme="minorHAnsi"/>
          <w:szCs w:val="22"/>
        </w:rPr>
        <w:t>G</w:t>
      </w:r>
      <w:r w:rsidRPr="002210C4">
        <w:rPr>
          <w:rFonts w:cstheme="minorHAnsi"/>
          <w:szCs w:val="22"/>
        </w:rPr>
        <w:t xml:space="preserve">overnance </w:t>
      </w:r>
      <w:r w:rsidR="001B2091">
        <w:rPr>
          <w:rFonts w:cstheme="minorHAnsi"/>
          <w:szCs w:val="22"/>
        </w:rPr>
        <w:t>A</w:t>
      </w:r>
      <w:r w:rsidRPr="002210C4">
        <w:rPr>
          <w:rFonts w:cstheme="minorHAnsi"/>
          <w:szCs w:val="22"/>
        </w:rPr>
        <w:t xml:space="preserve">rrangements and Partnership) and agree a new working method including an updated </w:t>
      </w:r>
      <w:r w:rsidRPr="002210C4">
        <w:rPr>
          <w:rFonts w:cstheme="minorHAnsi"/>
          <w:szCs w:val="22"/>
          <w:lang w:val="en"/>
        </w:rPr>
        <w:t>grant proposal workflow, decision points, milestones, and responsibilities across the partnership.</w:t>
      </w:r>
    </w:p>
    <w:p w14:paraId="683909BB" w14:textId="77777777" w:rsidR="00BE445D" w:rsidRPr="002210C4" w:rsidRDefault="00BE445D" w:rsidP="00BE445D">
      <w:pPr>
        <w:numPr>
          <w:ilvl w:val="0"/>
          <w:numId w:val="13"/>
        </w:numPr>
        <w:spacing w:before="0"/>
        <w:rPr>
          <w:rFonts w:cstheme="minorHAnsi"/>
          <w:szCs w:val="22"/>
        </w:rPr>
      </w:pPr>
      <w:r w:rsidRPr="002210C4">
        <w:rPr>
          <w:rFonts w:cstheme="minorHAnsi"/>
          <w:szCs w:val="22"/>
        </w:rPr>
        <w:t xml:space="preserve">The Operations Committee is responsible for detailed discussion of the grant proposals and needs to allocate time and resources to do this effectively. Meeting minutes will be </w:t>
      </w:r>
      <w:r w:rsidRPr="002210C4">
        <w:rPr>
          <w:rFonts w:cstheme="minorHAnsi"/>
          <w:szCs w:val="22"/>
        </w:rPr>
        <w:lastRenderedPageBreak/>
        <w:t>drafted and shared. This committee also decides when a proposal is ready to be submitted to the Steering Committee for approval.</w:t>
      </w:r>
    </w:p>
    <w:p w14:paraId="6F372BE3" w14:textId="77777777" w:rsidR="00BE445D" w:rsidRPr="002210C4" w:rsidRDefault="00BE445D" w:rsidP="00BE445D">
      <w:pPr>
        <w:numPr>
          <w:ilvl w:val="0"/>
          <w:numId w:val="13"/>
        </w:numPr>
        <w:spacing w:before="0"/>
        <w:rPr>
          <w:rFonts w:cstheme="minorHAnsi"/>
          <w:szCs w:val="22"/>
        </w:rPr>
      </w:pPr>
      <w:r w:rsidRPr="002210C4">
        <w:rPr>
          <w:rFonts w:cstheme="minorHAnsi"/>
          <w:szCs w:val="22"/>
        </w:rPr>
        <w:t>The Steering Committee takes a strategic view of the program and approves grants, discussion of which should be confined to how the grant contributes to the strategic goals of the program.</w:t>
      </w:r>
    </w:p>
    <w:p w14:paraId="329BA551" w14:textId="550F99EF" w:rsidR="00BE445D" w:rsidRPr="002210C4" w:rsidRDefault="007628AF" w:rsidP="00BE445D">
      <w:pPr>
        <w:numPr>
          <w:ilvl w:val="0"/>
          <w:numId w:val="13"/>
        </w:numPr>
        <w:spacing w:before="0"/>
        <w:rPr>
          <w:rFonts w:cstheme="minorHAnsi"/>
          <w:szCs w:val="22"/>
        </w:rPr>
      </w:pPr>
      <w:proofErr w:type="spellStart"/>
      <w:r>
        <w:rPr>
          <w:rFonts w:cstheme="minorHAnsi"/>
          <w:szCs w:val="22"/>
        </w:rPr>
        <w:t>AGaP</w:t>
      </w:r>
      <w:proofErr w:type="spellEnd"/>
      <w:r w:rsidR="00BE445D" w:rsidRPr="002210C4">
        <w:rPr>
          <w:rFonts w:cstheme="minorHAnsi"/>
          <w:szCs w:val="22"/>
        </w:rPr>
        <w:t xml:space="preserve"> grant teams (Post and WB) should agree parameters for communication to ensure regular meetings take place. For this to be successful</w:t>
      </w:r>
      <w:r w:rsidR="001B2091">
        <w:rPr>
          <w:rFonts w:cstheme="minorHAnsi"/>
          <w:szCs w:val="22"/>
        </w:rPr>
        <w:t>,</w:t>
      </w:r>
      <w:r w:rsidR="00BE445D" w:rsidRPr="002210C4">
        <w:rPr>
          <w:rFonts w:cstheme="minorHAnsi"/>
          <w:szCs w:val="22"/>
        </w:rPr>
        <w:t xml:space="preserve"> it should include examining why meetings are</w:t>
      </w:r>
      <w:r w:rsidR="001B2091">
        <w:rPr>
          <w:rFonts w:cstheme="minorHAnsi"/>
          <w:szCs w:val="22"/>
        </w:rPr>
        <w:t xml:space="preserve"> </w:t>
      </w:r>
      <w:r w:rsidR="00BE445D" w:rsidRPr="002210C4">
        <w:rPr>
          <w:rFonts w:cstheme="minorHAnsi"/>
          <w:szCs w:val="22"/>
        </w:rPr>
        <w:t>n</w:t>
      </w:r>
      <w:r w:rsidR="001B2091">
        <w:rPr>
          <w:rFonts w:cstheme="minorHAnsi"/>
          <w:szCs w:val="22"/>
        </w:rPr>
        <w:t>o</w:t>
      </w:r>
      <w:r w:rsidR="00BE445D" w:rsidRPr="002210C4">
        <w:rPr>
          <w:rFonts w:cstheme="minorHAnsi"/>
          <w:szCs w:val="22"/>
        </w:rPr>
        <w:t xml:space="preserve">t happening as frequently as in some grants </w:t>
      </w:r>
      <w:r w:rsidR="009007B7">
        <w:rPr>
          <w:rFonts w:cstheme="minorHAnsi"/>
          <w:szCs w:val="22"/>
        </w:rPr>
        <w:t>they used t</w:t>
      </w:r>
      <w:r w:rsidR="001B2091">
        <w:rPr>
          <w:rFonts w:cstheme="minorHAnsi"/>
          <w:szCs w:val="22"/>
        </w:rPr>
        <w:t>o</w:t>
      </w:r>
      <w:r w:rsidR="00BE445D" w:rsidRPr="002210C4">
        <w:rPr>
          <w:rFonts w:cstheme="minorHAnsi"/>
          <w:szCs w:val="22"/>
        </w:rPr>
        <w:t xml:space="preserve">. </w:t>
      </w:r>
    </w:p>
    <w:p w14:paraId="1821E607" w14:textId="77777777" w:rsidR="00BE445D" w:rsidRPr="00BE445D" w:rsidRDefault="00BE445D" w:rsidP="006534DF">
      <w:pPr>
        <w:pStyle w:val="Heading5"/>
      </w:pPr>
      <w:r w:rsidRPr="00BE445D">
        <w:t>Communication and Visibility</w:t>
      </w:r>
    </w:p>
    <w:p w14:paraId="67824699" w14:textId="77777777" w:rsidR="00BE445D" w:rsidRPr="006534DF" w:rsidRDefault="00BE445D" w:rsidP="006534DF">
      <w:pPr>
        <w:pStyle w:val="ListParagraph"/>
        <w:numPr>
          <w:ilvl w:val="0"/>
          <w:numId w:val="54"/>
        </w:numPr>
      </w:pPr>
      <w:r w:rsidRPr="006534DF">
        <w:t>Review the communication guidelines in the Operations Manual for consistency with the level of ambition for visibility of the partnership. Agree ways of working across DFAT and the WB to achieve this ambition.</w:t>
      </w:r>
    </w:p>
    <w:p w14:paraId="0BDB544C" w14:textId="1552232D" w:rsidR="00BE445D" w:rsidRPr="002210C4" w:rsidRDefault="00BE445D" w:rsidP="00C64AD4">
      <w:pPr>
        <w:pStyle w:val="ListParagraph"/>
        <w:numPr>
          <w:ilvl w:val="0"/>
          <w:numId w:val="53"/>
        </w:numPr>
        <w:rPr>
          <w:color w:val="auto"/>
        </w:rPr>
      </w:pPr>
      <w:r w:rsidRPr="002210C4">
        <w:rPr>
          <w:color w:val="auto"/>
        </w:rPr>
        <w:t xml:space="preserve">Review and update the </w:t>
      </w:r>
      <w:r w:rsidR="001B2091">
        <w:rPr>
          <w:color w:val="auto"/>
        </w:rPr>
        <w:t>c</w:t>
      </w:r>
      <w:r w:rsidRPr="002210C4">
        <w:rPr>
          <w:color w:val="auto"/>
        </w:rPr>
        <w:t xml:space="preserve">ommunications </w:t>
      </w:r>
      <w:r w:rsidR="001B2091">
        <w:rPr>
          <w:color w:val="auto"/>
        </w:rPr>
        <w:t>s</w:t>
      </w:r>
      <w:r w:rsidRPr="002210C4">
        <w:rPr>
          <w:color w:val="auto"/>
        </w:rPr>
        <w:t xml:space="preserve">trategy, including </w:t>
      </w:r>
      <w:proofErr w:type="spellStart"/>
      <w:r w:rsidR="007628AF">
        <w:rPr>
          <w:color w:val="auto"/>
        </w:rPr>
        <w:t>AGaP</w:t>
      </w:r>
      <w:r w:rsidRPr="002210C4">
        <w:rPr>
          <w:color w:val="auto"/>
        </w:rPr>
        <w:t>’s</w:t>
      </w:r>
      <w:proofErr w:type="spellEnd"/>
      <w:r w:rsidRPr="002210C4">
        <w:rPr>
          <w:color w:val="auto"/>
        </w:rPr>
        <w:t xml:space="preserve"> key messages, and how to document and disseminate </w:t>
      </w:r>
      <w:proofErr w:type="spellStart"/>
      <w:r w:rsidR="007628AF">
        <w:rPr>
          <w:color w:val="auto"/>
        </w:rPr>
        <w:t>AGaP</w:t>
      </w:r>
      <w:proofErr w:type="spellEnd"/>
      <w:r w:rsidRPr="002210C4">
        <w:rPr>
          <w:color w:val="auto"/>
        </w:rPr>
        <w:t xml:space="preserve"> impact stories.</w:t>
      </w:r>
    </w:p>
    <w:p w14:paraId="688F0E45" w14:textId="31381499" w:rsidR="0047067D" w:rsidRDefault="007628AF" w:rsidP="00C64AD4">
      <w:pPr>
        <w:pStyle w:val="ListParagraph"/>
        <w:numPr>
          <w:ilvl w:val="0"/>
          <w:numId w:val="53"/>
        </w:numPr>
        <w:rPr>
          <w:color w:val="auto"/>
        </w:rPr>
      </w:pPr>
      <w:proofErr w:type="spellStart"/>
      <w:r>
        <w:rPr>
          <w:color w:val="auto"/>
        </w:rPr>
        <w:t>AGaP</w:t>
      </w:r>
      <w:proofErr w:type="spellEnd"/>
      <w:r w:rsidR="00BE445D" w:rsidRPr="002210C4">
        <w:rPr>
          <w:color w:val="auto"/>
        </w:rPr>
        <w:t xml:space="preserve"> Secretariat to draft and share a schedule of upcoming </w:t>
      </w:r>
      <w:proofErr w:type="spellStart"/>
      <w:r>
        <w:rPr>
          <w:color w:val="auto"/>
        </w:rPr>
        <w:t>AGaP</w:t>
      </w:r>
      <w:proofErr w:type="spellEnd"/>
      <w:r w:rsidR="00BE445D" w:rsidRPr="002210C4">
        <w:rPr>
          <w:color w:val="auto"/>
        </w:rPr>
        <w:t xml:space="preserve"> events and meetings so that DFAT can plan its participation accordingly. </w:t>
      </w:r>
      <w:r w:rsidR="00935825" w:rsidRPr="00935825">
        <w:rPr>
          <w:color w:val="auto"/>
        </w:rPr>
        <w:t xml:space="preserve">Include a review of progress (including any issues, risks, </w:t>
      </w:r>
      <w:r w:rsidR="00935825">
        <w:rPr>
          <w:color w:val="auto"/>
        </w:rPr>
        <w:t xml:space="preserve">and </w:t>
      </w:r>
      <w:r w:rsidR="00935825" w:rsidRPr="00935825">
        <w:rPr>
          <w:color w:val="auto"/>
        </w:rPr>
        <w:t>uptake of outputs by the government) as a fixed agenda item in Operations Committee meetings.</w:t>
      </w:r>
    </w:p>
    <w:p w14:paraId="3EB13D10" w14:textId="309DCC00" w:rsidR="003B61F9" w:rsidRDefault="003B61F9" w:rsidP="006534DF">
      <w:pPr>
        <w:pStyle w:val="Heading5"/>
      </w:pPr>
      <w:r>
        <w:t>The future</w:t>
      </w:r>
    </w:p>
    <w:p w14:paraId="4614F8D8" w14:textId="2F178972" w:rsidR="00FA5E14" w:rsidRPr="00FA5E14" w:rsidRDefault="00FA5E14" w:rsidP="00FA5E14">
      <w:pPr>
        <w:numPr>
          <w:ilvl w:val="0"/>
          <w:numId w:val="51"/>
        </w:numPr>
        <w:rPr>
          <w:lang w:eastAsia="en-US"/>
        </w:rPr>
      </w:pPr>
      <w:proofErr w:type="spellStart"/>
      <w:r w:rsidRPr="00FA5E14">
        <w:rPr>
          <w:lang w:eastAsia="en-US"/>
        </w:rPr>
        <w:t>AGaP</w:t>
      </w:r>
      <w:proofErr w:type="spellEnd"/>
      <w:r w:rsidRPr="00FA5E14">
        <w:rPr>
          <w:lang w:eastAsia="en-US"/>
        </w:rPr>
        <w:t xml:space="preserve"> should continue as a single donor programmatic </w:t>
      </w:r>
      <w:r w:rsidR="00A90F96">
        <w:rPr>
          <w:lang w:eastAsia="en-US"/>
        </w:rPr>
        <w:t>Trust Fund beyon</w:t>
      </w:r>
      <w:r w:rsidRPr="00FA5E14">
        <w:rPr>
          <w:lang w:eastAsia="en-US"/>
        </w:rPr>
        <w:t>d its current end date (30 June 2024).</w:t>
      </w:r>
    </w:p>
    <w:p w14:paraId="2D9B3F73" w14:textId="77777777" w:rsidR="00FA5E14" w:rsidRPr="00FA5E14" w:rsidRDefault="00FA5E14" w:rsidP="00FA5E14">
      <w:pPr>
        <w:numPr>
          <w:ilvl w:val="0"/>
          <w:numId w:val="15"/>
        </w:numPr>
        <w:rPr>
          <w:lang w:val="en" w:eastAsia="en-US"/>
        </w:rPr>
      </w:pPr>
      <w:proofErr w:type="spellStart"/>
      <w:r w:rsidRPr="00FA5E14">
        <w:rPr>
          <w:lang w:eastAsia="en-US"/>
        </w:rPr>
        <w:t>AGaP</w:t>
      </w:r>
      <w:proofErr w:type="spellEnd"/>
      <w:r w:rsidRPr="00FA5E14">
        <w:rPr>
          <w:lang w:eastAsia="en-US"/>
        </w:rPr>
        <w:t xml:space="preserve"> should facilitate a deeper examination of the types of economic reforms that can facilitate poverty reduction to improve the quality and resilience of economic growth. This should include agreeing gender-related targets for the next phase of </w:t>
      </w:r>
      <w:proofErr w:type="spellStart"/>
      <w:r w:rsidRPr="00FA5E14">
        <w:rPr>
          <w:lang w:eastAsia="en-US"/>
        </w:rPr>
        <w:t>AGaP</w:t>
      </w:r>
      <w:proofErr w:type="spellEnd"/>
      <w:r w:rsidRPr="00FA5E14">
        <w:rPr>
          <w:lang w:eastAsia="en-US"/>
        </w:rPr>
        <w:t xml:space="preserve"> and examining the correlations between poverty and Indigenous Peoples.</w:t>
      </w:r>
    </w:p>
    <w:p w14:paraId="55695CAB" w14:textId="27682415" w:rsidR="00FA5E14" w:rsidRPr="00A90F96" w:rsidRDefault="00FA5E14" w:rsidP="00FA5E14">
      <w:pPr>
        <w:numPr>
          <w:ilvl w:val="0"/>
          <w:numId w:val="15"/>
        </w:numPr>
        <w:rPr>
          <w:lang w:val="en" w:eastAsia="en-US"/>
        </w:rPr>
      </w:pPr>
      <w:proofErr w:type="spellStart"/>
      <w:r w:rsidRPr="00FA5E14">
        <w:rPr>
          <w:lang w:eastAsia="en-US"/>
        </w:rPr>
        <w:t>AGaP</w:t>
      </w:r>
      <w:proofErr w:type="spellEnd"/>
      <w:r w:rsidRPr="00FA5E14">
        <w:rPr>
          <w:lang w:eastAsia="en-US"/>
        </w:rPr>
        <w:t xml:space="preserve"> should strengthen considerations of climate change, and its integration with disaster resilience, in its policy work. For example, infrastructure, energy transition, digitisation, and natural resource stewardship.</w:t>
      </w:r>
    </w:p>
    <w:p w14:paraId="2806333C" w14:textId="17E2882E" w:rsidR="009557BE" w:rsidRPr="009557BE" w:rsidRDefault="003B38E1" w:rsidP="00E03DD0">
      <w:pPr>
        <w:pStyle w:val="Heading1"/>
      </w:pPr>
      <w:bookmarkStart w:id="6" w:name="_Toc125559994"/>
      <w:r w:rsidRPr="00395513">
        <w:t>Introduction</w:t>
      </w:r>
      <w:bookmarkEnd w:id="6"/>
    </w:p>
    <w:p w14:paraId="14B3DDC2" w14:textId="1A19BEC9" w:rsidR="00D671E4" w:rsidRDefault="007628AF" w:rsidP="00D671E4">
      <w:proofErr w:type="spellStart"/>
      <w:r>
        <w:t>AGaP</w:t>
      </w:r>
      <w:proofErr w:type="spellEnd"/>
      <w:r w:rsidR="00D671E4">
        <w:t xml:space="preserve"> is a strategic partnership between the Government of Australia, represented by the Department of Foreign Affairs and Trade (DFAT), and the World Bank (WB). </w:t>
      </w:r>
      <w:r w:rsidR="002747C6">
        <w:t xml:space="preserve">Commencing </w:t>
      </w:r>
      <w:r w:rsidR="00D671E4">
        <w:t>operation in March 2019</w:t>
      </w:r>
      <w:r w:rsidR="00303879">
        <w:t xml:space="preserve">, </w:t>
      </w:r>
      <w:r>
        <w:t>AGAP</w:t>
      </w:r>
      <w:r w:rsidR="002747C6">
        <w:t xml:space="preserve"> provides </w:t>
      </w:r>
      <w:r w:rsidR="00D671E4">
        <w:t>funds and technical expertise to generate and share knowledge and assist the Government of the Philippines (</w:t>
      </w:r>
      <w:proofErr w:type="spellStart"/>
      <w:r w:rsidR="00D671E4">
        <w:t>G</w:t>
      </w:r>
      <w:r w:rsidR="005D7F61">
        <w:t>o</w:t>
      </w:r>
      <w:r w:rsidR="00D671E4">
        <w:t>P</w:t>
      </w:r>
      <w:proofErr w:type="spellEnd"/>
      <w:r w:rsidR="00D671E4">
        <w:t>) in the design and implementation of critical policy reforms and programs</w:t>
      </w:r>
      <w:r w:rsidR="00D671E4" w:rsidDel="007E66C7">
        <w:t xml:space="preserve">. </w:t>
      </w:r>
    </w:p>
    <w:p w14:paraId="1B8D31D9" w14:textId="300C7A26" w:rsidR="00D671E4" w:rsidRDefault="007628AF" w:rsidP="00D671E4">
      <w:proofErr w:type="spellStart"/>
      <w:r>
        <w:t>AGaP</w:t>
      </w:r>
      <w:proofErr w:type="spellEnd"/>
      <w:r w:rsidR="00D671E4">
        <w:t xml:space="preserve"> forms part of DFAT’s broader economic governance investment in the Philippines</w:t>
      </w:r>
      <w:r w:rsidR="001B2091">
        <w:t xml:space="preserve">, the </w:t>
      </w:r>
      <w:r w:rsidR="00D671E4">
        <w:t>Advancing Multilateral Partnerships for Economic Development (AMPED)</w:t>
      </w:r>
      <w:r w:rsidR="00D671E4" w:rsidDel="007E66C7">
        <w:t xml:space="preserve">. </w:t>
      </w:r>
      <w:r w:rsidR="00D671E4">
        <w:t xml:space="preserve">AMPED aims to contribute to the Philippines’ rapid, sustainable, and inclusive growth by strengthening the ability of the </w:t>
      </w:r>
      <w:r w:rsidR="001B2091">
        <w:t>G</w:t>
      </w:r>
      <w:r w:rsidR="00D671E4">
        <w:t>overnment to manage the economy for growth, with participation of the private sector, and by creating a strong partnership between Australia, the Philippines, and multilateral financial institutions</w:t>
      </w:r>
      <w:r w:rsidR="00D671E4" w:rsidDel="007E66C7">
        <w:t xml:space="preserve">. </w:t>
      </w:r>
    </w:p>
    <w:p w14:paraId="226AD082" w14:textId="305A185F" w:rsidR="00D671E4" w:rsidRDefault="00D671E4" w:rsidP="00D671E4">
      <w:r>
        <w:t xml:space="preserve">Under the AMPED umbrella, </w:t>
      </w:r>
      <w:proofErr w:type="spellStart"/>
      <w:r w:rsidR="007628AF">
        <w:t>AGaP</w:t>
      </w:r>
      <w:proofErr w:type="spellEnd"/>
      <w:r>
        <w:t xml:space="preserve"> </w:t>
      </w:r>
      <w:r w:rsidR="003E6C38">
        <w:t xml:space="preserve">supports </w:t>
      </w:r>
      <w:r w:rsidR="00AF040D">
        <w:t xml:space="preserve">the </w:t>
      </w:r>
      <w:r>
        <w:t>policy reforms and programs</w:t>
      </w:r>
      <w:r w:rsidR="000B3AFD">
        <w:t xml:space="preserve"> </w:t>
      </w:r>
      <w:r>
        <w:t xml:space="preserve">in the Philippine Development Plan and the country’s long-term vision, </w:t>
      </w:r>
      <w:proofErr w:type="spellStart"/>
      <w:r w:rsidRPr="00FA644A">
        <w:rPr>
          <w:i/>
        </w:rPr>
        <w:t>Ambisyon</w:t>
      </w:r>
      <w:proofErr w:type="spellEnd"/>
      <w:r w:rsidRPr="00FA644A">
        <w:rPr>
          <w:i/>
        </w:rPr>
        <w:t xml:space="preserve"> Natin 2040</w:t>
      </w:r>
      <w:r>
        <w:t xml:space="preserve">. </w:t>
      </w:r>
      <w:proofErr w:type="spellStart"/>
      <w:r w:rsidR="007628AF">
        <w:t>AGaP</w:t>
      </w:r>
      <w:proofErr w:type="spellEnd"/>
      <w:r>
        <w:t xml:space="preserve"> is designed to be flexible to respond to emerging needs, and as policy priorities evolve over time, including during changeovers in administration and during crises, such as the COVID-19 pandemic. </w:t>
      </w:r>
    </w:p>
    <w:p w14:paraId="4E590E37" w14:textId="234F1D22" w:rsidR="00D671E4" w:rsidRDefault="00D671E4" w:rsidP="00D671E4">
      <w:r>
        <w:t xml:space="preserve">To achieve this, </w:t>
      </w:r>
      <w:proofErr w:type="spellStart"/>
      <w:r w:rsidR="007628AF">
        <w:t>AGaP</w:t>
      </w:r>
      <w:proofErr w:type="spellEnd"/>
      <w:r>
        <w:t xml:space="preserve"> provides support in four outcome areas</w:t>
      </w:r>
      <w:r w:rsidR="001B2091">
        <w:t>:</w:t>
      </w:r>
    </w:p>
    <w:p w14:paraId="498345CC" w14:textId="43D25E1C" w:rsidR="00D671E4" w:rsidRDefault="00D671E4" w:rsidP="00D671E4">
      <w:r>
        <w:lastRenderedPageBreak/>
        <w:t xml:space="preserve">Outcome Area 1: Project </w:t>
      </w:r>
      <w:r w:rsidR="001B2091">
        <w:t xml:space="preserve">development, preparation, and implementation support </w:t>
      </w:r>
    </w:p>
    <w:p w14:paraId="4C197994" w14:textId="4A4D81D3" w:rsidR="00D671E4" w:rsidRDefault="00D671E4" w:rsidP="00D671E4">
      <w:r>
        <w:t xml:space="preserve">Outcome Area 2: Policy </w:t>
      </w:r>
      <w:r w:rsidR="001B2091">
        <w:t>reform and dialogue</w:t>
      </w:r>
    </w:p>
    <w:p w14:paraId="0859EDC6" w14:textId="62B88E3C" w:rsidR="00D671E4" w:rsidRDefault="00D671E4" w:rsidP="00D671E4">
      <w:r>
        <w:t xml:space="preserve">Outcome Area 3: Public </w:t>
      </w:r>
      <w:r w:rsidR="001B2091">
        <w:t>debate and awareness</w:t>
      </w:r>
    </w:p>
    <w:p w14:paraId="7D037195" w14:textId="6A8460CB" w:rsidR="00D671E4" w:rsidRDefault="00D671E4" w:rsidP="00D671E4">
      <w:r>
        <w:t xml:space="preserve">Outcome Area 4: Partnerships </w:t>
      </w:r>
      <w:r w:rsidR="001B2091">
        <w:t>and implementation platforms</w:t>
      </w:r>
    </w:p>
    <w:p w14:paraId="38033A8E" w14:textId="021BD645" w:rsidR="00D671E4" w:rsidRDefault="00D671E4" w:rsidP="00D671E4">
      <w:r>
        <w:t xml:space="preserve">The </w:t>
      </w:r>
      <w:r w:rsidR="001B2091">
        <w:t>Trust Fund</w:t>
      </w:r>
      <w:r>
        <w:t xml:space="preserve"> began in March 2019</w:t>
      </w:r>
      <w:r w:rsidR="001B2091">
        <w:t>,</w:t>
      </w:r>
      <w:r>
        <w:t xml:space="preserve"> with the expectation that all funds would be disbursed in five years or by </w:t>
      </w:r>
      <w:r w:rsidR="003819D3">
        <w:t xml:space="preserve">30 </w:t>
      </w:r>
      <w:r>
        <w:t>June 2024</w:t>
      </w:r>
      <w:r w:rsidDel="007E66C7">
        <w:t>.</w:t>
      </w:r>
      <w:r w:rsidR="007E66C7">
        <w:t xml:space="preserve"> </w:t>
      </w:r>
      <w:r>
        <w:t xml:space="preserve">The total commitment of Australia to </w:t>
      </w:r>
      <w:proofErr w:type="spellStart"/>
      <w:r w:rsidR="007628AF">
        <w:t>AGaP</w:t>
      </w:r>
      <w:proofErr w:type="spellEnd"/>
      <w:r>
        <w:t xml:space="preserve"> is US$10.55 million: the initial commitment of $5 million in March 2019; and an additional commitment of $5.55 million in March 2022</w:t>
      </w:r>
      <w:r w:rsidR="00FF0039">
        <w:t xml:space="preserve">. The additional commitment includes </w:t>
      </w:r>
      <w:r w:rsidR="00FF0039" w:rsidRPr="00FF0039">
        <w:rPr>
          <w:lang w:val="en-AU"/>
        </w:rPr>
        <w:t xml:space="preserve">circa </w:t>
      </w:r>
      <w:r w:rsidR="00FF0039">
        <w:rPr>
          <w:lang w:val="en-AU"/>
        </w:rPr>
        <w:t>US$</w:t>
      </w:r>
      <w:r w:rsidR="00CE3F87">
        <w:rPr>
          <w:lang w:val="en-AU"/>
        </w:rPr>
        <w:t>2</w:t>
      </w:r>
      <w:r w:rsidR="00FF0039">
        <w:rPr>
          <w:lang w:val="en-AU"/>
        </w:rPr>
        <w:t xml:space="preserve"> </w:t>
      </w:r>
      <w:r w:rsidR="00FF0039" w:rsidRPr="00FF0039">
        <w:rPr>
          <w:lang w:val="en-AU"/>
        </w:rPr>
        <w:t>m</w:t>
      </w:r>
      <w:r w:rsidR="00FF0039">
        <w:rPr>
          <w:lang w:val="en-AU"/>
        </w:rPr>
        <w:t xml:space="preserve">illion from DFAT’s regional </w:t>
      </w:r>
      <w:r w:rsidR="00FF0039" w:rsidRPr="00FF0039">
        <w:rPr>
          <w:lang w:val="en-AU"/>
        </w:rPr>
        <w:t>Partnerships for Infrastructure (P4I</w:t>
      </w:r>
      <w:r w:rsidR="00FF0039">
        <w:rPr>
          <w:lang w:val="en-AU"/>
        </w:rPr>
        <w:t xml:space="preserve">) program </w:t>
      </w:r>
      <w:r w:rsidR="00FF0039" w:rsidRPr="00FF0039">
        <w:rPr>
          <w:lang w:val="en-AU"/>
        </w:rPr>
        <w:t>in support of the Mindanao Transport Connectivity Improvement Project</w:t>
      </w:r>
      <w:r w:rsidR="00CE3F87">
        <w:rPr>
          <w:lang w:val="en-AU"/>
        </w:rPr>
        <w:t xml:space="preserve"> and </w:t>
      </w:r>
      <w:r w:rsidR="00CE3F87" w:rsidRPr="00CE3F87">
        <w:t>Pre-Feasibility Studies for Energy Transition Projects</w:t>
      </w:r>
      <w:r w:rsidR="00CE3F87">
        <w:t>.</w:t>
      </w:r>
    </w:p>
    <w:p w14:paraId="29B54EEB" w14:textId="37C81D86" w:rsidR="00D671E4" w:rsidRDefault="007628AF" w:rsidP="00D671E4">
      <w:proofErr w:type="spellStart"/>
      <w:r>
        <w:t>AGaP</w:t>
      </w:r>
      <w:proofErr w:type="spellEnd"/>
      <w:r w:rsidR="00D671E4">
        <w:t xml:space="preserve"> is a programmatic trust fund that finances activities aligned with the overall development objectives of both partners</w:t>
      </w:r>
      <w:r w:rsidR="001B2091">
        <w:t xml:space="preserve"> as </w:t>
      </w:r>
      <w:r w:rsidR="00D671E4">
        <w:t xml:space="preserve">articulated in framework documents including, but not limited to, the World Bank’s Country Partnership Framework for the Philippines 2019-23 and Australia’s Partnerships for Recovery: Australia’s COVID-19 Development Response. Specific activities funded by </w:t>
      </w:r>
      <w:proofErr w:type="spellStart"/>
      <w:r>
        <w:t>AGaP</w:t>
      </w:r>
      <w:proofErr w:type="spellEnd"/>
      <w:r w:rsidR="00D671E4">
        <w:t xml:space="preserve"> are decided jointly between Australia and the World Bank through the governance mechanisms of the </w:t>
      </w:r>
      <w:r w:rsidR="001B2091">
        <w:t>T</w:t>
      </w:r>
      <w:r w:rsidR="00D671E4">
        <w:t xml:space="preserve">rust </w:t>
      </w:r>
      <w:r w:rsidR="001B2091">
        <w:t>F</w:t>
      </w:r>
      <w:r w:rsidR="00D671E4">
        <w:t>und.</w:t>
      </w:r>
    </w:p>
    <w:p w14:paraId="7BB77A83" w14:textId="56C4DBCD" w:rsidR="004A6A71" w:rsidRPr="006469CA" w:rsidRDefault="00D671E4" w:rsidP="006469CA">
      <w:r>
        <w:t xml:space="preserve">There are seven grants approved and implemented under </w:t>
      </w:r>
      <w:proofErr w:type="spellStart"/>
      <w:r w:rsidR="007628AF">
        <w:t>AGaP</w:t>
      </w:r>
      <w:proofErr w:type="spellEnd"/>
      <w:r w:rsidR="001C429C">
        <w:t xml:space="preserve"> during the review period</w:t>
      </w:r>
      <w:r w:rsidR="008F7D68">
        <w:t xml:space="preserve"> (March 2019 – December 2021)</w:t>
      </w:r>
      <w:r>
        <w:t>:</w:t>
      </w:r>
    </w:p>
    <w:p w14:paraId="7D819898" w14:textId="0D562847" w:rsidR="00F40062" w:rsidRPr="00EE7073" w:rsidRDefault="00F40062" w:rsidP="00F40062">
      <w:pPr>
        <w:pStyle w:val="ListParagraph"/>
        <w:numPr>
          <w:ilvl w:val="0"/>
          <w:numId w:val="19"/>
        </w:numPr>
        <w:rPr>
          <w:color w:val="000000" w:themeColor="text1"/>
        </w:rPr>
      </w:pPr>
      <w:r w:rsidRPr="00EE7073">
        <w:rPr>
          <w:color w:val="000000" w:themeColor="text1"/>
        </w:rPr>
        <w:t>Technical Assistance for Development Policy Loan (DPL) Reforms ($1,350,000; January 2020 – June 2022)</w:t>
      </w:r>
    </w:p>
    <w:p w14:paraId="6FC80590" w14:textId="77777777" w:rsidR="00F40062" w:rsidRPr="00EE7073" w:rsidRDefault="00F40062" w:rsidP="00F40062">
      <w:pPr>
        <w:pStyle w:val="ListParagraph"/>
        <w:numPr>
          <w:ilvl w:val="0"/>
          <w:numId w:val="19"/>
        </w:numPr>
        <w:rPr>
          <w:color w:val="000000" w:themeColor="text1"/>
        </w:rPr>
      </w:pPr>
      <w:r w:rsidRPr="00EE7073">
        <w:rPr>
          <w:color w:val="000000" w:themeColor="text1"/>
        </w:rPr>
        <w:t xml:space="preserve">Strengthening Support for the </w:t>
      </w:r>
      <w:proofErr w:type="spellStart"/>
      <w:r w:rsidRPr="00EE7073">
        <w:rPr>
          <w:color w:val="000000" w:themeColor="text1"/>
        </w:rPr>
        <w:t>Pantawid</w:t>
      </w:r>
      <w:proofErr w:type="spellEnd"/>
      <w:r w:rsidRPr="00EE7073">
        <w:rPr>
          <w:color w:val="000000" w:themeColor="text1"/>
        </w:rPr>
        <w:t xml:space="preserve"> Program and Philippine Social Protection Systems ($900,000; January 2020 – March 2023)</w:t>
      </w:r>
    </w:p>
    <w:p w14:paraId="678A5960" w14:textId="77777777" w:rsidR="00F40062" w:rsidRPr="00EE7073" w:rsidRDefault="00F40062" w:rsidP="00F40062">
      <w:pPr>
        <w:pStyle w:val="ListParagraph"/>
        <w:numPr>
          <w:ilvl w:val="0"/>
          <w:numId w:val="19"/>
        </w:numPr>
        <w:rPr>
          <w:color w:val="000000" w:themeColor="text1"/>
        </w:rPr>
      </w:pPr>
      <w:r w:rsidRPr="00EE7073">
        <w:rPr>
          <w:color w:val="000000" w:themeColor="text1"/>
        </w:rPr>
        <w:t xml:space="preserve">Supporting Subnational Finance and Decentralization in the Context of the </w:t>
      </w:r>
      <w:proofErr w:type="spellStart"/>
      <w:r w:rsidRPr="00EE7073">
        <w:rPr>
          <w:color w:val="000000" w:themeColor="text1"/>
        </w:rPr>
        <w:t>Mandanas</w:t>
      </w:r>
      <w:proofErr w:type="spellEnd"/>
      <w:r w:rsidRPr="00EE7073">
        <w:rPr>
          <w:color w:val="000000" w:themeColor="text1"/>
        </w:rPr>
        <w:t xml:space="preserve"> Ruling ($275,000; January 2020 – November 2021)</w:t>
      </w:r>
    </w:p>
    <w:p w14:paraId="41939FA7" w14:textId="77777777" w:rsidR="00F40062" w:rsidRPr="00EE7073" w:rsidRDefault="00F40062" w:rsidP="00F40062">
      <w:pPr>
        <w:pStyle w:val="ListParagraph"/>
        <w:numPr>
          <w:ilvl w:val="0"/>
          <w:numId w:val="19"/>
        </w:numPr>
        <w:rPr>
          <w:color w:val="000000" w:themeColor="text1"/>
        </w:rPr>
      </w:pPr>
      <w:r w:rsidRPr="00EE7073">
        <w:rPr>
          <w:color w:val="000000" w:themeColor="text1"/>
        </w:rPr>
        <w:t>Women’s Economic Empowerment Program ($250,000; January 2020 – March 2022)</w:t>
      </w:r>
    </w:p>
    <w:p w14:paraId="57609319" w14:textId="24D21CFF" w:rsidR="00F40062" w:rsidRPr="00EE7073" w:rsidRDefault="00F40062" w:rsidP="00F40062">
      <w:pPr>
        <w:pStyle w:val="ListParagraph"/>
        <w:numPr>
          <w:ilvl w:val="0"/>
          <w:numId w:val="19"/>
        </w:numPr>
        <w:rPr>
          <w:color w:val="000000" w:themeColor="text1"/>
        </w:rPr>
      </w:pPr>
      <w:r w:rsidRPr="00EE7073">
        <w:rPr>
          <w:color w:val="000000" w:themeColor="text1"/>
        </w:rPr>
        <w:t xml:space="preserve">Real Time Monitoring of COVID-19 Impacts in the Philippines ($300,000; June 2020 </w:t>
      </w:r>
      <w:r w:rsidR="00C00B0F" w:rsidRPr="00EE7073">
        <w:rPr>
          <w:color w:val="000000" w:themeColor="text1"/>
        </w:rPr>
        <w:t>–</w:t>
      </w:r>
      <w:r w:rsidRPr="00EE7073">
        <w:rPr>
          <w:color w:val="000000" w:themeColor="text1"/>
        </w:rPr>
        <w:t xml:space="preserve"> May 2022) </w:t>
      </w:r>
    </w:p>
    <w:p w14:paraId="2EF80039" w14:textId="77777777" w:rsidR="00F40062" w:rsidRPr="00EE7073" w:rsidRDefault="00F40062" w:rsidP="00F40062">
      <w:pPr>
        <w:pStyle w:val="ListParagraph"/>
        <w:numPr>
          <w:ilvl w:val="0"/>
          <w:numId w:val="19"/>
        </w:numPr>
        <w:rPr>
          <w:color w:val="000000" w:themeColor="text1"/>
        </w:rPr>
      </w:pPr>
      <w:r w:rsidRPr="00EE7073">
        <w:rPr>
          <w:color w:val="000000" w:themeColor="text1"/>
        </w:rPr>
        <w:t xml:space="preserve">Strengthening Implementation Support for the Philippines COVID-19 Response Project ($300,000; June 2020 – June 2022) </w:t>
      </w:r>
    </w:p>
    <w:p w14:paraId="117B5ABC" w14:textId="2BAF18D0" w:rsidR="00D671E4" w:rsidRPr="00EE7073" w:rsidRDefault="00F40062" w:rsidP="00F40062">
      <w:pPr>
        <w:pStyle w:val="ListParagraph"/>
        <w:numPr>
          <w:ilvl w:val="0"/>
          <w:numId w:val="19"/>
        </w:numPr>
        <w:rPr>
          <w:color w:val="000000" w:themeColor="text1"/>
        </w:rPr>
      </w:pPr>
      <w:r w:rsidRPr="00EE7073">
        <w:rPr>
          <w:color w:val="000000" w:themeColor="text1"/>
        </w:rPr>
        <w:t xml:space="preserve">Support for Post COVID-19 Active Transport Development in Metro Manila ($50,000; June 2020 </w:t>
      </w:r>
      <w:r w:rsidR="00C00B0F" w:rsidRPr="00EE7073">
        <w:rPr>
          <w:color w:val="000000" w:themeColor="text1"/>
        </w:rPr>
        <w:t>–</w:t>
      </w:r>
      <w:r w:rsidRPr="00EE7073">
        <w:rPr>
          <w:color w:val="000000" w:themeColor="text1"/>
        </w:rPr>
        <w:t xml:space="preserve"> December 2021)</w:t>
      </w:r>
    </w:p>
    <w:p w14:paraId="4A54BE80" w14:textId="68073465" w:rsidR="00D671E4" w:rsidRDefault="00D671E4" w:rsidP="009263DF">
      <w:pPr>
        <w:pStyle w:val="Heading2"/>
      </w:pPr>
      <w:bookmarkStart w:id="7" w:name="_Toc125559995"/>
      <w:r>
        <w:t>Strategic</w:t>
      </w:r>
      <w:r w:rsidR="0029161D">
        <w:t xml:space="preserve"> C</w:t>
      </w:r>
      <w:r>
        <w:t>ontext</w:t>
      </w:r>
      <w:bookmarkEnd w:id="7"/>
      <w:r>
        <w:t xml:space="preserve"> </w:t>
      </w:r>
    </w:p>
    <w:p w14:paraId="291388E3" w14:textId="53CDB816" w:rsidR="008F6BC9" w:rsidRPr="008F6BC9" w:rsidRDefault="00D671E4" w:rsidP="008F6BC9">
      <w:r>
        <w:t xml:space="preserve">The key focus of the Philippine Government’s medium-term reform program is enabling inclusive growth. The Philippine Development Plan (PDP) 2017-2022 outlines policy priorities to deliver inequality-reducing transformation, increase growth potential, provide an enabling and supportive economic environment, and build foundations for sustainable development. This includes enhancing competitiveness and growth, boosting job creation, fostering more open market regimes, strengthening peace, and strengthening resilience to natural disasters. Over the past few years, </w:t>
      </w:r>
      <w:r w:rsidR="00E20BFF">
        <w:t xml:space="preserve">President </w:t>
      </w:r>
      <w:r>
        <w:t>Duterte</w:t>
      </w:r>
      <w:r w:rsidR="00E20BFF">
        <w:t>’s</w:t>
      </w:r>
      <w:r>
        <w:t xml:space="preserve"> </w:t>
      </w:r>
      <w:r w:rsidR="00E20BFF">
        <w:t>a</w:t>
      </w:r>
      <w:r>
        <w:t xml:space="preserve">dministration (2016-22) maintained macroeconomic stability and implemented key structural reforms geared toward achieving inclusive growth and addressing long-standing policy and institutional challenges. </w:t>
      </w:r>
      <w:r w:rsidR="008F6BC9" w:rsidRPr="008F6BC9">
        <w:t xml:space="preserve">The </w:t>
      </w:r>
      <w:r w:rsidR="008F6BC9">
        <w:t xml:space="preserve">structural </w:t>
      </w:r>
      <w:r w:rsidR="008F6BC9" w:rsidRPr="008F6BC9">
        <w:t xml:space="preserve">reforms </w:t>
      </w:r>
      <w:r w:rsidR="003A0B58">
        <w:t xml:space="preserve">of most relevance to areas of </w:t>
      </w:r>
      <w:proofErr w:type="spellStart"/>
      <w:r w:rsidR="007628AF">
        <w:t>AGaP</w:t>
      </w:r>
      <w:proofErr w:type="spellEnd"/>
      <w:r w:rsidR="003A0B58">
        <w:t xml:space="preserve"> support </w:t>
      </w:r>
      <w:r w:rsidR="008F6BC9" w:rsidRPr="008F6BC9">
        <w:t xml:space="preserve">are: </w:t>
      </w:r>
      <w:r w:rsidR="003F5110">
        <w:t>(</w:t>
      </w:r>
      <w:r w:rsidR="008F6BC9" w:rsidRPr="008F6BC9">
        <w:t xml:space="preserve">1) institute progressive tax reform and more effective tax collection; </w:t>
      </w:r>
      <w:r w:rsidR="00CF73E8">
        <w:t>(</w:t>
      </w:r>
      <w:r w:rsidR="008F6BC9" w:rsidRPr="008F6BC9">
        <w:t xml:space="preserve">2) accelerate annual infrastructure spending to account for 5% of GDP; </w:t>
      </w:r>
      <w:r w:rsidR="00CF73E8">
        <w:t>(</w:t>
      </w:r>
      <w:r w:rsidR="008F6BC9" w:rsidRPr="008F6BC9">
        <w:t xml:space="preserve">3) promote rural and value chain development toward increasing agricultural and rural enterprise productivity and rural tourism; </w:t>
      </w:r>
      <w:r w:rsidR="00CF73E8">
        <w:t>(</w:t>
      </w:r>
      <w:r w:rsidR="008F6BC9" w:rsidRPr="008F6BC9">
        <w:t xml:space="preserve">4) ensure security of land tenure to encourage investments, and address bottlenecks in land management and titling agencies; </w:t>
      </w:r>
      <w:r w:rsidR="00CF73E8">
        <w:t>(</w:t>
      </w:r>
      <w:r w:rsidR="008F6BC9" w:rsidRPr="008F6BC9">
        <w:t xml:space="preserve">5) invest in human capital </w:t>
      </w:r>
      <w:r w:rsidR="008F6BC9" w:rsidRPr="008F6BC9">
        <w:lastRenderedPageBreak/>
        <w:t xml:space="preserve">development, including health and education systems; </w:t>
      </w:r>
      <w:r w:rsidR="00CF73E8">
        <w:t>and (</w:t>
      </w:r>
      <w:r w:rsidR="008F6BC9" w:rsidRPr="008F6BC9">
        <w:t xml:space="preserve">6) improve social protection programs, including the </w:t>
      </w:r>
      <w:r w:rsidR="00815188">
        <w:t>G</w:t>
      </w:r>
      <w:r w:rsidR="008F6BC9" w:rsidRPr="008F6BC9">
        <w:t>overnment’s conditional cash transfer program, to protect the poor against instability and economic shocks.</w:t>
      </w:r>
    </w:p>
    <w:p w14:paraId="708E7B18" w14:textId="481797E9" w:rsidR="00D671E4" w:rsidRDefault="00D671E4" w:rsidP="00D671E4">
      <w:r>
        <w:t>The World Bank’s Country Partnership Framework is aligned with the Philippine Government’s priorities</w:t>
      </w:r>
      <w:r w:rsidR="004B6FA9">
        <w:t xml:space="preserve"> </w:t>
      </w:r>
      <w:r>
        <w:t xml:space="preserve">in the PDP and </w:t>
      </w:r>
      <w:proofErr w:type="spellStart"/>
      <w:r w:rsidRPr="00815188">
        <w:rPr>
          <w:i/>
          <w:iCs/>
        </w:rPr>
        <w:t>AmBisyon</w:t>
      </w:r>
      <w:proofErr w:type="spellEnd"/>
      <w:r w:rsidRPr="00815188">
        <w:rPr>
          <w:i/>
          <w:iCs/>
        </w:rPr>
        <w:t xml:space="preserve"> Natin 2040</w:t>
      </w:r>
      <w:r>
        <w:t xml:space="preserve">, the long-term collective ambition of the Filipino people to build a prosperous and predominantly middle-class society where no one is poor or left out of economic development opportunities. </w:t>
      </w:r>
    </w:p>
    <w:p w14:paraId="3C8079F7" w14:textId="7CD34532" w:rsidR="00D671E4" w:rsidRDefault="00D671E4" w:rsidP="00D671E4">
      <w:r>
        <w:t>The Australian Government and the Philippine Government marked 75 years of bilateral relations in 2021. The close relationship serves both countries in tackling the social and economic impact of the COVID-19 pandemic. Australia</w:t>
      </w:r>
      <w:r w:rsidDel="00C54F4D">
        <w:t xml:space="preserve"> </w:t>
      </w:r>
      <w:r>
        <w:t>develop</w:t>
      </w:r>
      <w:r w:rsidR="00C54F4D">
        <w:t>ed</w:t>
      </w:r>
      <w:r>
        <w:t xml:space="preserve"> the Philippines COVID-19 Development Response Plan, which outlines how </w:t>
      </w:r>
      <w:r w:rsidR="00C54F4D">
        <w:t xml:space="preserve">it </w:t>
      </w:r>
      <w:r>
        <w:t xml:space="preserve">collaborates with the Philippine Government in strengthening health security, maintaining stability, and promoting economic recovery. As the world emerges from the pandemic, the Australian </w:t>
      </w:r>
      <w:r w:rsidR="00815188">
        <w:t>G</w:t>
      </w:r>
      <w:r>
        <w:t xml:space="preserve">overnment will determine a new set of development priorities to support </w:t>
      </w:r>
      <w:r w:rsidR="00107A54">
        <w:t xml:space="preserve">the economic recovery of </w:t>
      </w:r>
      <w:r>
        <w:t>partner countries</w:t>
      </w:r>
      <w:r w:rsidDel="00107A54">
        <w:t xml:space="preserve"> </w:t>
      </w:r>
      <w:r>
        <w:t>in the Indo-Pacific, including the Philippines.</w:t>
      </w:r>
    </w:p>
    <w:p w14:paraId="02C3ADEA" w14:textId="390AF3CC" w:rsidR="00D671E4" w:rsidRDefault="00D671E4" w:rsidP="00D671E4">
      <w:r>
        <w:t xml:space="preserve">The Philippines was one of the countries </w:t>
      </w:r>
      <w:r w:rsidR="00763903">
        <w:t xml:space="preserve">in the East Asia and Pacific region </w:t>
      </w:r>
      <w:r>
        <w:t xml:space="preserve">hit hardest by COVID-19. To manage the spread of the virus, authorities implemented strict quarantine </w:t>
      </w:r>
      <w:r w:rsidR="00411218">
        <w:t xml:space="preserve">procedures </w:t>
      </w:r>
      <w:r>
        <w:t>and health protocols, restricting mobility of people as well as the operational capacity of businesses. The subsequent heavy declines in consumption and investment growth, exacerbated by the slowdown in tourism and remittances, resulted in significant growth contraction in 2020. Nevertheless, the economy</w:t>
      </w:r>
      <w:r w:rsidDel="005972E5">
        <w:t xml:space="preserve"> </w:t>
      </w:r>
      <w:r>
        <w:t>started to recover with a 5.6 percent year-on-year expansion in 2021, buoyed by public investment and a recovery in the external environment</w:t>
      </w:r>
      <w:r w:rsidDel="007E66C7">
        <w:t xml:space="preserve">. </w:t>
      </w:r>
      <w:r>
        <w:t xml:space="preserve">Following a strategic focus to scale up vaccination in the National Capital Region (NCR), which contributes to nearly 40 percent of GDP, about 92 percent of the adult population in the </w:t>
      </w:r>
      <w:r w:rsidR="009A266F">
        <w:t xml:space="preserve">region </w:t>
      </w:r>
      <w:r>
        <w:t xml:space="preserve">have received their COVID-19 vaccinations. However, the country’s vaccination rate is </w:t>
      </w:r>
      <w:proofErr w:type="gramStart"/>
      <w:r>
        <w:t>lagging behind</w:t>
      </w:r>
      <w:proofErr w:type="gramEnd"/>
      <w:r>
        <w:t xml:space="preserve"> some ASEAN peers. </w:t>
      </w:r>
    </w:p>
    <w:p w14:paraId="7ED2CC93" w14:textId="046225B7" w:rsidR="00720EE4" w:rsidRDefault="00FD0724" w:rsidP="00D671E4">
      <w:r>
        <w:t>Although it happened after the period covered by this report, it is pertinent to note that the country</w:t>
      </w:r>
      <w:r w:rsidR="00D671E4">
        <w:t xml:space="preserve"> </w:t>
      </w:r>
      <w:r w:rsidR="00EB2446">
        <w:t xml:space="preserve">had a </w:t>
      </w:r>
      <w:r w:rsidR="00D671E4">
        <w:t xml:space="preserve">presidential election, with Ferdinand </w:t>
      </w:r>
      <w:r w:rsidR="008F7D68">
        <w:t xml:space="preserve">R. </w:t>
      </w:r>
      <w:r w:rsidR="00D671E4">
        <w:t>Marcos Jr., the son of former President Ferdinand E. Marcos</w:t>
      </w:r>
      <w:r w:rsidR="00016C83">
        <w:t xml:space="preserve"> </w:t>
      </w:r>
      <w:r w:rsidR="009A1E83">
        <w:t>Sr.</w:t>
      </w:r>
      <w:r w:rsidR="00D671E4">
        <w:t>, winning a landslide victory</w:t>
      </w:r>
      <w:r w:rsidR="001A50FE">
        <w:t xml:space="preserve"> alongside his </w:t>
      </w:r>
      <w:r w:rsidR="00D671E4">
        <w:t xml:space="preserve">vice-presidential running mate Sara Duterte-Carpio, the daughter of </w:t>
      </w:r>
      <w:r w:rsidR="00016C83">
        <w:t>f</w:t>
      </w:r>
      <w:r w:rsidR="008749E7">
        <w:t>ormer</w:t>
      </w:r>
      <w:r w:rsidR="00D671E4" w:rsidRPr="00FD0724">
        <w:t xml:space="preserve"> </w:t>
      </w:r>
      <w:r w:rsidR="008749E7">
        <w:t>P</w:t>
      </w:r>
      <w:r w:rsidR="00D671E4" w:rsidRPr="00FD0724">
        <w:t>resident</w:t>
      </w:r>
      <w:r w:rsidR="008749E7">
        <w:t xml:space="preserve"> Rodrigo Duterte</w:t>
      </w:r>
      <w:r w:rsidR="00D671E4" w:rsidRPr="00FD0724">
        <w:t xml:space="preserve">. Marcos </w:t>
      </w:r>
      <w:r w:rsidR="008B47C0">
        <w:t xml:space="preserve">Jr. </w:t>
      </w:r>
      <w:r w:rsidR="00D671E4" w:rsidRPr="00FD0724">
        <w:t>beg</w:t>
      </w:r>
      <w:r w:rsidR="001A50FE">
        <w:t>a</w:t>
      </w:r>
      <w:r w:rsidR="00D671E4" w:rsidRPr="00FD0724">
        <w:t>n his six</w:t>
      </w:r>
      <w:r w:rsidR="00D671E4">
        <w:t>-year term on 30 June 2022, with an economic team that brings together economic managers who served in previous administrations. Thus far, the indications are that the</w:t>
      </w:r>
      <w:r w:rsidR="00D671E4" w:rsidDel="00E50C96">
        <w:t xml:space="preserve"> </w:t>
      </w:r>
      <w:r w:rsidR="00D671E4">
        <w:t xml:space="preserve">economic team will pursue an economic recovery plan that is built on improving the quality and access to social services, particularly health and education. This resonates with the inclusive growth objectives of </w:t>
      </w:r>
      <w:proofErr w:type="spellStart"/>
      <w:r w:rsidR="007628AF">
        <w:t>AGaP</w:t>
      </w:r>
      <w:proofErr w:type="spellEnd"/>
      <w:r w:rsidR="00D671E4">
        <w:t>. Moreover, the economic team’s affirmation of the need for fiscal discipline amid the impacts of COVID-19 and the war in Ukraine, as well as the priority on services and infrastructure projects to generate employment, offers a platform for constructive engagement in the coming years.</w:t>
      </w:r>
    </w:p>
    <w:p w14:paraId="02A35250" w14:textId="77777777" w:rsidR="004873E5" w:rsidRDefault="004873E5" w:rsidP="00D671E4"/>
    <w:p w14:paraId="71B3509E" w14:textId="2FC7D874" w:rsidR="00583E0A" w:rsidRPr="00FE08B0" w:rsidRDefault="003B38E1" w:rsidP="00E03DD0">
      <w:pPr>
        <w:pStyle w:val="Heading1"/>
        <w:rPr>
          <w:sz w:val="28"/>
          <w:szCs w:val="28"/>
        </w:rPr>
      </w:pPr>
      <w:bookmarkStart w:id="8" w:name="_Toc125559996"/>
      <w:r w:rsidRPr="003B38E1">
        <w:t xml:space="preserve">Evaluation </w:t>
      </w:r>
      <w:r w:rsidR="00F73E6F">
        <w:t>O</w:t>
      </w:r>
      <w:r w:rsidRPr="003B38E1">
        <w:t>bjectives and Methodology</w:t>
      </w:r>
      <w:bookmarkEnd w:id="8"/>
    </w:p>
    <w:p w14:paraId="6A621222" w14:textId="444FA4ED" w:rsidR="00291236" w:rsidRPr="00D84AA0" w:rsidRDefault="00291236" w:rsidP="00863181">
      <w:r w:rsidRPr="00D84AA0">
        <w:rPr>
          <w:rFonts w:eastAsiaTheme="majorEastAsia"/>
        </w:rPr>
        <w:t>The objectives of th</w:t>
      </w:r>
      <w:r w:rsidR="0066351F">
        <w:rPr>
          <w:rFonts w:eastAsiaTheme="majorEastAsia"/>
        </w:rPr>
        <w:t>is</w:t>
      </w:r>
      <w:r w:rsidRPr="00D84AA0">
        <w:rPr>
          <w:rFonts w:eastAsiaTheme="majorEastAsia"/>
        </w:rPr>
        <w:t xml:space="preserve"> MTR </w:t>
      </w:r>
      <w:r w:rsidR="0066351F">
        <w:rPr>
          <w:rFonts w:eastAsiaTheme="majorEastAsia"/>
        </w:rPr>
        <w:t>are</w:t>
      </w:r>
      <w:r w:rsidR="004D0A4D">
        <w:rPr>
          <w:rFonts w:eastAsiaTheme="majorEastAsia"/>
        </w:rPr>
        <w:t xml:space="preserve"> to</w:t>
      </w:r>
      <w:r w:rsidR="0066351F">
        <w:rPr>
          <w:rFonts w:eastAsiaTheme="majorEastAsia"/>
        </w:rPr>
        <w:t>:</w:t>
      </w:r>
      <w:r w:rsidRPr="00D84AA0">
        <w:rPr>
          <w:rFonts w:eastAsiaTheme="majorEastAsia"/>
        </w:rPr>
        <w:t xml:space="preserve"> (1) independently assess </w:t>
      </w:r>
      <w:proofErr w:type="spellStart"/>
      <w:r w:rsidR="007628AF">
        <w:rPr>
          <w:rFonts w:eastAsiaTheme="majorEastAsia"/>
        </w:rPr>
        <w:t>AGaP</w:t>
      </w:r>
      <w:r w:rsidRPr="00D84AA0">
        <w:rPr>
          <w:rFonts w:eastAsiaTheme="majorEastAsia"/>
        </w:rPr>
        <w:t>’s</w:t>
      </w:r>
      <w:proofErr w:type="spellEnd"/>
      <w:r w:rsidRPr="00D84AA0">
        <w:rPr>
          <w:rFonts w:eastAsiaTheme="majorEastAsia"/>
        </w:rPr>
        <w:t xml:space="preserve"> effectiveness and efficiency, including gender and disability inclusion, in achieving the </w:t>
      </w:r>
      <w:r w:rsidR="004D0A4D">
        <w:rPr>
          <w:rFonts w:eastAsiaTheme="majorEastAsia"/>
        </w:rPr>
        <w:t>p</w:t>
      </w:r>
      <w:r w:rsidRPr="00D84AA0">
        <w:rPr>
          <w:rFonts w:eastAsiaTheme="majorEastAsia"/>
        </w:rPr>
        <w:t xml:space="preserve">rogram objectives; (2) assess the sustainability of </w:t>
      </w:r>
      <w:proofErr w:type="spellStart"/>
      <w:r w:rsidR="007628AF">
        <w:rPr>
          <w:rFonts w:eastAsiaTheme="majorEastAsia"/>
        </w:rPr>
        <w:t>AGaP</w:t>
      </w:r>
      <w:r w:rsidRPr="00D84AA0">
        <w:rPr>
          <w:rFonts w:eastAsiaTheme="majorEastAsia"/>
        </w:rPr>
        <w:t>’s</w:t>
      </w:r>
      <w:proofErr w:type="spellEnd"/>
      <w:r w:rsidRPr="00D84AA0">
        <w:rPr>
          <w:rFonts w:eastAsiaTheme="majorEastAsia"/>
        </w:rPr>
        <w:t xml:space="preserve"> outcomes and how they can be strengthened or expanded in the future; and (3) based on the assessment of findings and analysis of the changing context, offer recommendations for program improvement.</w:t>
      </w:r>
    </w:p>
    <w:p w14:paraId="4F5E822F" w14:textId="520DFF18" w:rsidR="00291236" w:rsidRPr="00863181" w:rsidRDefault="00291236" w:rsidP="00863181">
      <w:pPr>
        <w:rPr>
          <w:rFonts w:cstheme="minorHAnsi"/>
          <w:color w:val="000000" w:themeColor="text1"/>
          <w:szCs w:val="22"/>
        </w:rPr>
      </w:pPr>
      <w:r w:rsidRPr="00863181">
        <w:rPr>
          <w:rFonts w:eastAsiaTheme="majorEastAsia" w:cstheme="minorHAnsi"/>
          <w:color w:val="000000" w:themeColor="text1"/>
          <w:szCs w:val="22"/>
        </w:rPr>
        <w:lastRenderedPageBreak/>
        <w:t xml:space="preserve">In the absence of an explicit theory of change in the World Bank’s program document, the evaluation </w:t>
      </w:r>
      <w:r w:rsidR="0066351F">
        <w:rPr>
          <w:rFonts w:eastAsiaTheme="majorEastAsia" w:cstheme="minorHAnsi"/>
          <w:color w:val="000000" w:themeColor="text1"/>
          <w:szCs w:val="22"/>
        </w:rPr>
        <w:t xml:space="preserve">team </w:t>
      </w:r>
      <w:r w:rsidRPr="00863181">
        <w:rPr>
          <w:rFonts w:eastAsiaTheme="majorEastAsia" w:cstheme="minorHAnsi"/>
          <w:color w:val="000000" w:themeColor="text1"/>
          <w:szCs w:val="22"/>
        </w:rPr>
        <w:t xml:space="preserve">used </w:t>
      </w:r>
      <w:proofErr w:type="spellStart"/>
      <w:r w:rsidR="007628AF">
        <w:rPr>
          <w:rFonts w:eastAsiaTheme="majorEastAsia" w:cstheme="minorHAnsi"/>
          <w:color w:val="000000" w:themeColor="text1"/>
          <w:szCs w:val="22"/>
        </w:rPr>
        <w:t>AGaP</w:t>
      </w:r>
      <w:r w:rsidRPr="00863181">
        <w:rPr>
          <w:rFonts w:eastAsiaTheme="majorEastAsia" w:cstheme="minorHAnsi"/>
          <w:color w:val="000000" w:themeColor="text1"/>
          <w:szCs w:val="22"/>
        </w:rPr>
        <w:t>’s</w:t>
      </w:r>
      <w:proofErr w:type="spellEnd"/>
      <w:r w:rsidRPr="00863181">
        <w:rPr>
          <w:rFonts w:eastAsiaTheme="majorEastAsia" w:cstheme="minorHAnsi"/>
          <w:color w:val="000000" w:themeColor="text1"/>
          <w:szCs w:val="22"/>
        </w:rPr>
        <w:t xml:space="preserve"> program objective and outcomes, the Results Chain and Key Performance Indicators (Annex </w:t>
      </w:r>
      <w:r w:rsidR="003B33CC">
        <w:rPr>
          <w:rFonts w:eastAsiaTheme="majorEastAsia" w:cstheme="minorHAnsi"/>
          <w:color w:val="000000" w:themeColor="text1"/>
          <w:szCs w:val="22"/>
        </w:rPr>
        <w:t>2</w:t>
      </w:r>
      <w:r w:rsidRPr="00863181">
        <w:rPr>
          <w:rFonts w:eastAsiaTheme="majorEastAsia" w:cstheme="minorHAnsi"/>
          <w:color w:val="000000" w:themeColor="text1"/>
          <w:szCs w:val="22"/>
        </w:rPr>
        <w:t>) from the program document. Together, the objectives, outcomes and results framework provide the basis for a logical framework for achieving the overall objective of the program</w:t>
      </w:r>
      <w:r w:rsidR="00FB248C">
        <w:rPr>
          <w:rFonts w:eastAsiaTheme="majorEastAsia" w:cstheme="minorHAnsi"/>
          <w:color w:val="000000" w:themeColor="text1"/>
          <w:szCs w:val="22"/>
        </w:rPr>
        <w:t>, which is t</w:t>
      </w:r>
      <w:r w:rsidRPr="00863181">
        <w:rPr>
          <w:rFonts w:eastAsiaTheme="majorEastAsia" w:cstheme="minorHAnsi"/>
          <w:color w:val="000000" w:themeColor="text1"/>
          <w:szCs w:val="22"/>
        </w:rPr>
        <w:t>o facilitate knowledge exchange and assist the Government of the Philippines in the design and implementation of policy reforms and programs.</w:t>
      </w:r>
    </w:p>
    <w:p w14:paraId="157D8C21" w14:textId="416C7D3E" w:rsidR="00583E0A" w:rsidRPr="00863181" w:rsidRDefault="00291236" w:rsidP="00863181">
      <w:pPr>
        <w:rPr>
          <w:color w:val="000000" w:themeColor="text1"/>
        </w:rPr>
      </w:pPr>
      <w:r w:rsidRPr="00863181">
        <w:rPr>
          <w:rFonts w:eastAsiaTheme="majorEastAsia" w:cstheme="minorHAnsi"/>
          <w:color w:val="000000" w:themeColor="text1"/>
          <w:szCs w:val="22"/>
        </w:rPr>
        <w:t xml:space="preserve">The progress in achieving the overall objective and its four outcome areas was the focus of the evaluation. </w:t>
      </w:r>
      <w:r w:rsidR="001A6B2A" w:rsidRPr="00D84AA0">
        <w:rPr>
          <w:rFonts w:eastAsiaTheme="majorEastAsia" w:cstheme="minorHAnsi"/>
          <w:color w:val="000000" w:themeColor="text1"/>
          <w:szCs w:val="22"/>
        </w:rPr>
        <w:t>The analysis was framed around key questions relating to relevan</w:t>
      </w:r>
      <w:r w:rsidR="001A6B2A" w:rsidRPr="002874CF">
        <w:rPr>
          <w:rFonts w:eastAsiaTheme="majorEastAsia"/>
          <w:color w:val="000000" w:themeColor="text1"/>
        </w:rPr>
        <w:t xml:space="preserve">ce, effectiveness, efficiency, gender equality, disability inclusion, M&amp;E, risks and safeguards, and sustainability (see Annex </w:t>
      </w:r>
      <w:r w:rsidR="0089441D">
        <w:rPr>
          <w:rFonts w:eastAsiaTheme="majorEastAsia"/>
          <w:color w:val="000000" w:themeColor="text1"/>
        </w:rPr>
        <w:t>2</w:t>
      </w:r>
      <w:r w:rsidR="001A6B2A" w:rsidRPr="002874CF">
        <w:rPr>
          <w:rFonts w:eastAsiaTheme="majorEastAsia"/>
          <w:color w:val="000000" w:themeColor="text1"/>
        </w:rPr>
        <w:t xml:space="preserve"> for a detailed list of questions).</w:t>
      </w:r>
    </w:p>
    <w:p w14:paraId="0C757FD2" w14:textId="04E9DA10" w:rsidR="00583E0A" w:rsidRPr="00863181" w:rsidRDefault="00583E0A" w:rsidP="00863181">
      <w:pPr>
        <w:rPr>
          <w:rFonts w:cstheme="minorHAnsi"/>
          <w:b/>
          <w:color w:val="000000" w:themeColor="text1"/>
          <w:szCs w:val="22"/>
        </w:rPr>
      </w:pPr>
      <w:r w:rsidRPr="00863181">
        <w:rPr>
          <w:rFonts w:eastAsiaTheme="majorEastAsia" w:cstheme="minorHAnsi"/>
          <w:color w:val="000000" w:themeColor="text1"/>
          <w:szCs w:val="22"/>
        </w:rPr>
        <w:t xml:space="preserve">The research method comprised the following four components: (1) literature review; (2) meetings and discussions with stakeholders selected by the </w:t>
      </w:r>
      <w:proofErr w:type="spellStart"/>
      <w:r w:rsidR="007628AF">
        <w:rPr>
          <w:rFonts w:eastAsiaTheme="majorEastAsia" w:cstheme="minorHAnsi"/>
          <w:color w:val="000000" w:themeColor="text1"/>
          <w:szCs w:val="22"/>
        </w:rPr>
        <w:t>AGaP</w:t>
      </w:r>
      <w:proofErr w:type="spellEnd"/>
      <w:r w:rsidRPr="00863181">
        <w:rPr>
          <w:rFonts w:eastAsiaTheme="majorEastAsia" w:cstheme="minorHAnsi"/>
          <w:color w:val="000000" w:themeColor="text1"/>
          <w:szCs w:val="22"/>
        </w:rPr>
        <w:t xml:space="preserve"> Secretariat and the Australian Government’s Department for Foreign Affairs (DFAT); (3) semi-structured interviews with program participants of DFAT and the World Bank Group; and (4) discussions with selected program management team members to reflect on the issues emerging from the MTR. </w:t>
      </w:r>
    </w:p>
    <w:p w14:paraId="4F67F4B6" w14:textId="6D96A820" w:rsidR="00583E0A" w:rsidRPr="00A272BE" w:rsidRDefault="00583E0A" w:rsidP="00863181">
      <w:pPr>
        <w:rPr>
          <w:rFonts w:cstheme="minorHAnsi"/>
          <w:b/>
          <w:color w:val="000000" w:themeColor="text1"/>
          <w:szCs w:val="22"/>
        </w:rPr>
      </w:pPr>
      <w:r w:rsidRPr="00863181">
        <w:rPr>
          <w:rFonts w:eastAsiaTheme="majorEastAsia" w:cstheme="minorHAnsi"/>
          <w:color w:val="000000" w:themeColor="text1"/>
          <w:szCs w:val="22"/>
        </w:rPr>
        <w:t>The MTR uses critical case sampling, which permits logical generalization and maximum application of information, i.e., if it is true in this case, it is likely to be true in other cases. The literature review did not uncover any cases that were outliers.</w:t>
      </w:r>
      <w:r w:rsidR="00922A7C">
        <w:rPr>
          <w:rFonts w:eastAsiaTheme="majorEastAsia" w:cstheme="minorHAnsi"/>
          <w:color w:val="000000" w:themeColor="text1"/>
          <w:szCs w:val="22"/>
        </w:rPr>
        <w:t xml:space="preserve"> </w:t>
      </w:r>
      <w:r w:rsidR="00D10051">
        <w:rPr>
          <w:rFonts w:eastAsiaTheme="majorEastAsia" w:cstheme="minorHAnsi"/>
          <w:color w:val="000000" w:themeColor="text1"/>
          <w:szCs w:val="22"/>
        </w:rPr>
        <w:t>Although i</w:t>
      </w:r>
      <w:r w:rsidR="000A5F20">
        <w:rPr>
          <w:rFonts w:eastAsiaTheme="majorEastAsia" w:cstheme="minorHAnsi"/>
          <w:color w:val="000000" w:themeColor="text1"/>
          <w:szCs w:val="22"/>
        </w:rPr>
        <w:t xml:space="preserve">nterviewing more </w:t>
      </w:r>
      <w:proofErr w:type="spellStart"/>
      <w:r w:rsidR="000A5F20">
        <w:rPr>
          <w:rFonts w:eastAsiaTheme="majorEastAsia" w:cstheme="minorHAnsi"/>
          <w:color w:val="000000" w:themeColor="text1"/>
          <w:szCs w:val="22"/>
        </w:rPr>
        <w:t>GoP</w:t>
      </w:r>
      <w:proofErr w:type="spellEnd"/>
      <w:r w:rsidR="000A5F20">
        <w:rPr>
          <w:rFonts w:eastAsiaTheme="majorEastAsia" w:cstheme="minorHAnsi"/>
          <w:color w:val="000000" w:themeColor="text1"/>
          <w:szCs w:val="22"/>
        </w:rPr>
        <w:t xml:space="preserve"> and non-</w:t>
      </w:r>
      <w:proofErr w:type="spellStart"/>
      <w:r w:rsidR="000A5F20">
        <w:rPr>
          <w:rFonts w:eastAsiaTheme="majorEastAsia" w:cstheme="minorHAnsi"/>
          <w:color w:val="000000" w:themeColor="text1"/>
          <w:szCs w:val="22"/>
        </w:rPr>
        <w:t>AGaP</w:t>
      </w:r>
      <w:proofErr w:type="spellEnd"/>
      <w:r w:rsidR="000A5F20">
        <w:rPr>
          <w:rFonts w:eastAsiaTheme="majorEastAsia" w:cstheme="minorHAnsi"/>
          <w:color w:val="000000" w:themeColor="text1"/>
          <w:szCs w:val="22"/>
        </w:rPr>
        <w:t xml:space="preserve"> stakeholders would have further strengthened the MTR findings (see limitations section below), </w:t>
      </w:r>
      <w:r w:rsidR="000506B8">
        <w:rPr>
          <w:rFonts w:eastAsiaTheme="majorEastAsia" w:cstheme="minorHAnsi"/>
          <w:color w:val="000000" w:themeColor="text1"/>
          <w:szCs w:val="22"/>
        </w:rPr>
        <w:t>the MTR team is confident in the validity of findings presented in this report.</w:t>
      </w:r>
    </w:p>
    <w:p w14:paraId="17DAC408" w14:textId="77777777" w:rsidR="007E46CA" w:rsidRPr="006534DF" w:rsidRDefault="007E46CA" w:rsidP="006534DF">
      <w:pPr>
        <w:rPr>
          <w:color w:val="2F5496" w:themeColor="accent1" w:themeShade="BF"/>
          <w:sz w:val="28"/>
          <w:szCs w:val="28"/>
        </w:rPr>
      </w:pPr>
      <w:r w:rsidRPr="006534DF">
        <w:rPr>
          <w:color w:val="2F5496" w:themeColor="accent1" w:themeShade="BF"/>
          <w:sz w:val="28"/>
          <w:szCs w:val="28"/>
        </w:rPr>
        <w:t>Limitations</w:t>
      </w:r>
    </w:p>
    <w:p w14:paraId="3E9F2985" w14:textId="3E6E85FF" w:rsidR="007E46CA" w:rsidRDefault="007E46CA" w:rsidP="007E46CA">
      <w:pPr>
        <w:suppressAutoHyphens/>
        <w:spacing w:before="120" w:after="60" w:line="260" w:lineRule="atLeast"/>
      </w:pPr>
      <w:r w:rsidRPr="00002A31">
        <w:t>As noted in the MTR Plan, triangulation of data collection methods is intended to strengthen confidence in the findings</w:t>
      </w:r>
      <w:r w:rsidRPr="00F07461">
        <w:t xml:space="preserve">. The </w:t>
      </w:r>
      <w:r w:rsidR="001D0D25">
        <w:t>MTR team</w:t>
      </w:r>
      <w:r w:rsidRPr="00F07461">
        <w:t xml:space="preserve"> was only able to meet </w:t>
      </w:r>
      <w:r w:rsidR="00101F69">
        <w:t xml:space="preserve">with </w:t>
      </w:r>
      <w:r w:rsidRPr="00F07461">
        <w:t xml:space="preserve">one </w:t>
      </w:r>
      <w:proofErr w:type="spellStart"/>
      <w:r w:rsidRPr="00F07461">
        <w:t>GoP</w:t>
      </w:r>
      <w:proofErr w:type="spellEnd"/>
      <w:r w:rsidRPr="00F07461">
        <w:t xml:space="preserve"> counterpart </w:t>
      </w:r>
      <w:r>
        <w:t xml:space="preserve">(former </w:t>
      </w:r>
      <w:r w:rsidR="00B66F96">
        <w:t>Department</w:t>
      </w:r>
      <w:r>
        <w:t xml:space="preserve"> of Finance) </w:t>
      </w:r>
      <w:r w:rsidRPr="00F07461">
        <w:t>and one development partner</w:t>
      </w:r>
      <w:r>
        <w:t xml:space="preserve"> (UNICEF)</w:t>
      </w:r>
      <w:r w:rsidR="00C64AD4">
        <w:t xml:space="preserve">. </w:t>
      </w:r>
      <w:r w:rsidRPr="00002A31">
        <w:t>T</w:t>
      </w:r>
      <w:r>
        <w:t>he evaluation team was informed</w:t>
      </w:r>
      <w:r w:rsidR="00B66F96">
        <w:t xml:space="preserve"> that</w:t>
      </w:r>
      <w:r>
        <w:t xml:space="preserve"> </w:t>
      </w:r>
      <w:r w:rsidRPr="00002A31">
        <w:t>this was due to the change in the national leadership following the Philippine elections</w:t>
      </w:r>
      <w:r w:rsidR="00B66F96">
        <w:t>,</w:t>
      </w:r>
      <w:r w:rsidRPr="00002A31">
        <w:t xml:space="preserve"> which meant </w:t>
      </w:r>
      <w:r w:rsidR="00B66F96">
        <w:t xml:space="preserve">that </w:t>
      </w:r>
      <w:r w:rsidRPr="00002A31">
        <w:t xml:space="preserve">some of the relevant interviewees are no longer in post. </w:t>
      </w:r>
      <w:r>
        <w:t xml:space="preserve">It is not clear why nongovernment stakeholders were unavailable to interview. </w:t>
      </w:r>
    </w:p>
    <w:p w14:paraId="51474704" w14:textId="565D8E54" w:rsidR="002D5C7A" w:rsidRDefault="007E46CA" w:rsidP="007E46CA">
      <w:pPr>
        <w:suppressAutoHyphens/>
        <w:spacing w:before="120" w:after="60" w:line="260" w:lineRule="atLeast"/>
      </w:pPr>
      <w:r w:rsidRPr="00002A31">
        <w:t xml:space="preserve">The </w:t>
      </w:r>
      <w:r w:rsidR="001D0D25">
        <w:t>MTR team</w:t>
      </w:r>
      <w:r w:rsidRPr="00002A31">
        <w:t xml:space="preserve"> relies on the accuracy of the material in the literature review and the statements made by interviewees</w:t>
      </w:r>
      <w:r w:rsidR="003C0525">
        <w:t>. H</w:t>
      </w:r>
      <w:r w:rsidRPr="00002A31">
        <w:t>owever</w:t>
      </w:r>
      <w:r w:rsidR="00922A7C">
        <w:t>,</w:t>
      </w:r>
      <w:r w:rsidRPr="00002A31">
        <w:t xml:space="preserve"> the limited ability to triangulate findings with </w:t>
      </w:r>
      <w:proofErr w:type="spellStart"/>
      <w:r>
        <w:t>GoP</w:t>
      </w:r>
      <w:proofErr w:type="spellEnd"/>
      <w:r>
        <w:t xml:space="preserve"> and other non</w:t>
      </w:r>
      <w:r w:rsidRPr="00002A31">
        <w:t>-</w:t>
      </w:r>
      <w:proofErr w:type="spellStart"/>
      <w:r w:rsidR="007628AF">
        <w:t>AGaP</w:t>
      </w:r>
      <w:proofErr w:type="spellEnd"/>
      <w:r w:rsidRPr="00002A31">
        <w:t xml:space="preserve"> stakeholders is a </w:t>
      </w:r>
      <w:r>
        <w:t>notable</w:t>
      </w:r>
      <w:r w:rsidRPr="00002A31">
        <w:t xml:space="preserve"> limitation. This is particularly challenging in </w:t>
      </w:r>
      <w:r>
        <w:t xml:space="preserve">evaluating sustainability and </w:t>
      </w:r>
      <w:r w:rsidRPr="00002A31">
        <w:t>identifying attribution or contribution to outcomes in policy reform.</w:t>
      </w:r>
    </w:p>
    <w:p w14:paraId="7B089925" w14:textId="4D381EE2" w:rsidR="007E46CA" w:rsidRPr="00002A31" w:rsidRDefault="007628AF" w:rsidP="007E46CA">
      <w:pPr>
        <w:suppressAutoHyphens/>
        <w:spacing w:before="120" w:after="60" w:line="260" w:lineRule="atLeast"/>
      </w:pPr>
      <w:proofErr w:type="spellStart"/>
      <w:r>
        <w:t>AGaP</w:t>
      </w:r>
      <w:r w:rsidR="007E46CA">
        <w:t>’s</w:t>
      </w:r>
      <w:proofErr w:type="spellEnd"/>
      <w:r w:rsidR="007E46CA">
        <w:t xml:space="preserve"> </w:t>
      </w:r>
      <w:r w:rsidR="007E46CA" w:rsidRPr="00531621">
        <w:t>Op</w:t>
      </w:r>
      <w:r w:rsidR="007E46CA">
        <w:t>eration</w:t>
      </w:r>
      <w:r w:rsidR="007E46CA" w:rsidRPr="00531621">
        <w:t>s Committee</w:t>
      </w:r>
      <w:r w:rsidR="007E46CA">
        <w:t xml:space="preserve"> </w:t>
      </w:r>
      <w:r w:rsidR="002D5C7A">
        <w:t xml:space="preserve">began </w:t>
      </w:r>
      <w:r w:rsidR="007E46CA">
        <w:t>drafting</w:t>
      </w:r>
      <w:r w:rsidR="007E46CA" w:rsidRPr="00531621">
        <w:t xml:space="preserve"> </w:t>
      </w:r>
      <w:r w:rsidR="007E46CA">
        <w:t xml:space="preserve">and circulating </w:t>
      </w:r>
      <w:r w:rsidR="007E46CA" w:rsidRPr="00531621">
        <w:t>meeting</w:t>
      </w:r>
      <w:r w:rsidR="007E46CA">
        <w:t xml:space="preserve"> minutes</w:t>
      </w:r>
      <w:r w:rsidR="002D5C7A">
        <w:t xml:space="preserve"> during the later period of the MTR timeframe</w:t>
      </w:r>
      <w:r w:rsidR="00F64C2C">
        <w:t>,</w:t>
      </w:r>
      <w:r w:rsidR="0066351F">
        <w:t xml:space="preserve"> </w:t>
      </w:r>
      <w:r w:rsidR="007E46CA">
        <w:t xml:space="preserve">so there were limited records from this part of </w:t>
      </w:r>
      <w:proofErr w:type="spellStart"/>
      <w:r>
        <w:t>AGaP</w:t>
      </w:r>
      <w:r w:rsidR="007E46CA">
        <w:t>’s</w:t>
      </w:r>
      <w:proofErr w:type="spellEnd"/>
      <w:r w:rsidR="007E46CA">
        <w:t xml:space="preserve"> governance structure for the </w:t>
      </w:r>
      <w:r w:rsidR="001D0D25">
        <w:t>MTR team</w:t>
      </w:r>
      <w:r w:rsidR="007E46CA">
        <w:t xml:space="preserve"> to use as reference materials and for triangulation of findings. </w:t>
      </w:r>
    </w:p>
    <w:p w14:paraId="15CD57C8" w14:textId="1182EADF" w:rsidR="003B38E1" w:rsidRPr="006534DF" w:rsidRDefault="003B38E1" w:rsidP="00C42E2E">
      <w:pPr>
        <w:pStyle w:val="Heading1"/>
      </w:pPr>
      <w:bookmarkStart w:id="9" w:name="_Toc125559997"/>
      <w:r w:rsidRPr="006534DF">
        <w:t>Overall Finding</w:t>
      </w:r>
      <w:r w:rsidR="00F64C2C" w:rsidRPr="006534DF">
        <w:t>s</w:t>
      </w:r>
      <w:bookmarkEnd w:id="9"/>
    </w:p>
    <w:p w14:paraId="3909AB83" w14:textId="7564D82C" w:rsidR="00062E8A" w:rsidRDefault="00F34CCA" w:rsidP="003C29E6">
      <w:r w:rsidRPr="00547DC5">
        <w:t xml:space="preserve">The period </w:t>
      </w:r>
      <w:r w:rsidR="0066351F">
        <w:t>examined</w:t>
      </w:r>
      <w:r w:rsidRPr="00547DC5">
        <w:t xml:space="preserve"> by the MTR was a challenging operating environment</w:t>
      </w:r>
      <w:r w:rsidR="001D665A">
        <w:t>,</w:t>
      </w:r>
      <w:r w:rsidRPr="00547DC5">
        <w:t xml:space="preserve"> which included the COVID-19 pandemic starting early in the program, followed by </w:t>
      </w:r>
      <w:r w:rsidR="001D665A">
        <w:t xml:space="preserve">national </w:t>
      </w:r>
      <w:r w:rsidRPr="00547DC5">
        <w:t xml:space="preserve">elections and the change </w:t>
      </w:r>
      <w:r w:rsidR="001D665A">
        <w:t xml:space="preserve">in </w:t>
      </w:r>
      <w:r w:rsidRPr="00547DC5">
        <w:t>government</w:t>
      </w:r>
      <w:r w:rsidR="001D665A">
        <w:t xml:space="preserve"> administration</w:t>
      </w:r>
      <w:r w:rsidRPr="00547DC5">
        <w:t xml:space="preserve">. </w:t>
      </w:r>
      <w:r w:rsidR="007607ED" w:rsidRPr="003C29E6">
        <w:t>During th</w:t>
      </w:r>
      <w:r w:rsidR="00383667">
        <w:t>e period covered by the MTR</w:t>
      </w:r>
      <w:r w:rsidR="007607ED" w:rsidRPr="003C29E6">
        <w:t xml:space="preserve">, </w:t>
      </w:r>
      <w:proofErr w:type="spellStart"/>
      <w:r w:rsidR="007628AF">
        <w:t>AGaP</w:t>
      </w:r>
      <w:r w:rsidR="00B55A15">
        <w:t>’</w:t>
      </w:r>
      <w:r w:rsidR="00F72CB3" w:rsidRPr="003C29E6">
        <w:t>s</w:t>
      </w:r>
      <w:proofErr w:type="spellEnd"/>
      <w:r w:rsidR="00882079" w:rsidRPr="003C29E6">
        <w:t xml:space="preserve"> activities</w:t>
      </w:r>
      <w:r w:rsidR="007607ED" w:rsidRPr="003C29E6">
        <w:t xml:space="preserve"> </w:t>
      </w:r>
      <w:r w:rsidR="00F72CB3" w:rsidRPr="003C29E6">
        <w:t xml:space="preserve">significantly contributed to </w:t>
      </w:r>
      <w:proofErr w:type="spellStart"/>
      <w:r w:rsidR="007628AF">
        <w:t>AGaP</w:t>
      </w:r>
      <w:r w:rsidR="00062E8A" w:rsidRPr="006F738B">
        <w:t>’s</w:t>
      </w:r>
      <w:proofErr w:type="spellEnd"/>
      <w:r w:rsidR="00062E8A" w:rsidRPr="006F738B">
        <w:t xml:space="preserve"> overall objective </w:t>
      </w:r>
      <w:r w:rsidR="00B25015" w:rsidRPr="006F738B">
        <w:t xml:space="preserve">of </w:t>
      </w:r>
      <w:r w:rsidR="00062E8A" w:rsidRPr="006F738B">
        <w:t>facilitat</w:t>
      </w:r>
      <w:r w:rsidR="00B25015" w:rsidRPr="006F738B">
        <w:t>ing</w:t>
      </w:r>
      <w:r w:rsidR="00062E8A" w:rsidRPr="006F738B">
        <w:t xml:space="preserve"> knowledge exchange and assist</w:t>
      </w:r>
      <w:r w:rsidR="00B25015" w:rsidRPr="006F738B">
        <w:t>ing</w:t>
      </w:r>
      <w:r w:rsidR="00062E8A" w:rsidRPr="006F738B">
        <w:t xml:space="preserve"> the Government of the Philippines in the design and implementation of policy reforms and programs</w:t>
      </w:r>
      <w:r w:rsidR="00F72CB3" w:rsidRPr="006F738B">
        <w:t xml:space="preserve">. </w:t>
      </w:r>
      <w:r w:rsidR="00F72CB3" w:rsidRPr="003C29E6">
        <w:t>In particular</w:t>
      </w:r>
      <w:r w:rsidR="005E0865" w:rsidRPr="00547DC5">
        <w:t xml:space="preserve">, the flexibility </w:t>
      </w:r>
      <w:r w:rsidR="001B46EA" w:rsidRPr="001B46EA">
        <w:t>built into the design</w:t>
      </w:r>
      <w:r w:rsidR="00E930AC">
        <w:t xml:space="preserve"> </w:t>
      </w:r>
      <w:r w:rsidR="005E0865" w:rsidRPr="00547DC5">
        <w:t xml:space="preserve">of the </w:t>
      </w:r>
      <w:proofErr w:type="spellStart"/>
      <w:r w:rsidR="007628AF">
        <w:t>AGaP</w:t>
      </w:r>
      <w:proofErr w:type="spellEnd"/>
      <w:r w:rsidR="005E0865" w:rsidRPr="00547DC5">
        <w:t xml:space="preserve"> Trust Fund, which builds on a long and successful partnership in the Philippines between the Government of Australia and the World Bank, proved valuable under COVID-19</w:t>
      </w:r>
      <w:r w:rsidR="005E0865">
        <w:t>. T</w:t>
      </w:r>
      <w:r w:rsidR="005E0865" w:rsidRPr="00547DC5">
        <w:t xml:space="preserve">he mechanism enabled DFAT and WB to move quickly to support </w:t>
      </w:r>
      <w:proofErr w:type="spellStart"/>
      <w:r w:rsidR="005E0865" w:rsidRPr="00547DC5">
        <w:t>Go</w:t>
      </w:r>
      <w:r w:rsidR="00383667">
        <w:t>P</w:t>
      </w:r>
      <w:proofErr w:type="spellEnd"/>
      <w:r w:rsidR="00383667">
        <w:t>.</w:t>
      </w:r>
      <w:r w:rsidR="00965B88">
        <w:t xml:space="preserve"> </w:t>
      </w:r>
    </w:p>
    <w:p w14:paraId="067F91AD" w14:textId="51A47FA5" w:rsidR="00F34CCA" w:rsidRPr="00547DC5" w:rsidRDefault="0066351F" w:rsidP="00547DC5">
      <w:r>
        <w:lastRenderedPageBreak/>
        <w:t>In</w:t>
      </w:r>
      <w:r w:rsidR="00F34CCA" w:rsidRPr="00547DC5">
        <w:t xml:space="preserve"> </w:t>
      </w:r>
      <w:r>
        <w:t>assessing</w:t>
      </w:r>
      <w:r w:rsidR="00F34CCA" w:rsidRPr="00547DC5">
        <w:t xml:space="preserve"> the performance of the program</w:t>
      </w:r>
      <w:r>
        <w:t>, the MTR had</w:t>
      </w:r>
      <w:r w:rsidR="00F34CCA" w:rsidRPr="00547DC5">
        <w:t xml:space="preserve"> </w:t>
      </w:r>
      <w:r>
        <w:t>five</w:t>
      </w:r>
      <w:r w:rsidR="00F34CCA" w:rsidRPr="00547DC5">
        <w:t xml:space="preserve"> </w:t>
      </w:r>
      <w:r>
        <w:t>questions to address</w:t>
      </w:r>
      <w:r w:rsidR="00893307">
        <w:t xml:space="preserve"> (</w:t>
      </w:r>
      <w:r w:rsidR="001430C3">
        <w:t xml:space="preserve">summarised </w:t>
      </w:r>
      <w:r w:rsidR="00E66C50">
        <w:t>as follows</w:t>
      </w:r>
      <w:r w:rsidR="00893307">
        <w:t>)</w:t>
      </w:r>
      <w:r>
        <w:t xml:space="preserve">. </w:t>
      </w:r>
      <w:r w:rsidRPr="00547DC5">
        <w:t>T</w:t>
      </w:r>
      <w:r w:rsidR="00F34CCA" w:rsidRPr="00547DC5">
        <w:t>he</w:t>
      </w:r>
      <w:r>
        <w:t xml:space="preserve"> </w:t>
      </w:r>
      <w:r w:rsidR="001430C3">
        <w:t>report examines and discusses these issues in more detail.</w:t>
      </w:r>
    </w:p>
    <w:p w14:paraId="29960C28" w14:textId="7B6CB956" w:rsidR="00F34CCA" w:rsidRPr="00C64AD4" w:rsidRDefault="00F34CCA" w:rsidP="00C64AD4">
      <w:pPr>
        <w:pStyle w:val="ListParagraph"/>
        <w:numPr>
          <w:ilvl w:val="0"/>
          <w:numId w:val="57"/>
        </w:numPr>
        <w:rPr>
          <w:b/>
          <w:bCs/>
        </w:rPr>
      </w:pPr>
      <w:r w:rsidRPr="00C64AD4">
        <w:rPr>
          <w:b/>
          <w:bCs/>
        </w:rPr>
        <w:t xml:space="preserve">Assess the efficiency and effectiveness of the financial and technical inputs provided by </w:t>
      </w:r>
      <w:proofErr w:type="spellStart"/>
      <w:r w:rsidR="007628AF">
        <w:rPr>
          <w:b/>
          <w:bCs/>
        </w:rPr>
        <w:t>AGaP</w:t>
      </w:r>
      <w:proofErr w:type="spellEnd"/>
      <w:r w:rsidRPr="00C64AD4">
        <w:rPr>
          <w:b/>
          <w:bCs/>
        </w:rPr>
        <w:t xml:space="preserve"> in generating results, including gender and disability inclusion, and how </w:t>
      </w:r>
      <w:proofErr w:type="spellStart"/>
      <w:r w:rsidR="007628AF">
        <w:rPr>
          <w:b/>
          <w:bCs/>
        </w:rPr>
        <w:t>AGaP</w:t>
      </w:r>
      <w:proofErr w:type="spellEnd"/>
      <w:r w:rsidR="007A299B" w:rsidRPr="00C64AD4">
        <w:rPr>
          <w:b/>
          <w:bCs/>
        </w:rPr>
        <w:t xml:space="preserve"> </w:t>
      </w:r>
      <w:r w:rsidRPr="00C64AD4">
        <w:rPr>
          <w:b/>
          <w:bCs/>
        </w:rPr>
        <w:t>can be strengthened in the future</w:t>
      </w:r>
      <w:r w:rsidR="001430C3" w:rsidRPr="00C64AD4">
        <w:rPr>
          <w:b/>
          <w:bCs/>
        </w:rPr>
        <w:t>.</w:t>
      </w:r>
    </w:p>
    <w:p w14:paraId="1B229B0E" w14:textId="1170D7D2" w:rsidR="00F34CCA" w:rsidRPr="00547DC5" w:rsidRDefault="00F34CCA" w:rsidP="00547DC5">
      <w:r w:rsidRPr="00547DC5">
        <w:t xml:space="preserve">The MTR finds </w:t>
      </w:r>
      <w:proofErr w:type="spellStart"/>
      <w:r w:rsidR="007628AF">
        <w:t>AGaP</w:t>
      </w:r>
      <w:proofErr w:type="spellEnd"/>
      <w:r w:rsidRPr="00547DC5">
        <w:t xml:space="preserve"> to be an efficient model for achieving DFAT’s aims. The </w:t>
      </w:r>
      <w:r w:rsidR="001B2091">
        <w:t>Trust Fund</w:t>
      </w:r>
      <w:r w:rsidRPr="00547DC5">
        <w:t xml:space="preserve"> reduces administration and overheads</w:t>
      </w:r>
      <w:r w:rsidR="00976181">
        <w:t xml:space="preserve"> and</w:t>
      </w:r>
      <w:r w:rsidRPr="00547DC5">
        <w:t xml:space="preserve"> promot</w:t>
      </w:r>
      <w:r w:rsidR="00976181">
        <w:t xml:space="preserve">es </w:t>
      </w:r>
      <w:r w:rsidRPr="00547DC5">
        <w:t xml:space="preserve">flexibility and responsiveness. </w:t>
      </w:r>
      <w:proofErr w:type="spellStart"/>
      <w:r w:rsidR="007628AF">
        <w:t>AGaP</w:t>
      </w:r>
      <w:proofErr w:type="spellEnd"/>
      <w:r w:rsidRPr="00547DC5">
        <w:t xml:space="preserve"> grants have served to supplement existing World Bank resources, meaning a relatively small fund for technical assistance is amplified through its association with the Bank’s loan portfolio. </w:t>
      </w:r>
      <w:proofErr w:type="spellStart"/>
      <w:r w:rsidR="007628AF">
        <w:t>AGaP</w:t>
      </w:r>
      <w:proofErr w:type="spellEnd"/>
      <w:r w:rsidRPr="00547DC5">
        <w:t xml:space="preserve"> enabled rapid and practical governance support to </w:t>
      </w:r>
      <w:proofErr w:type="spellStart"/>
      <w:r w:rsidRPr="00547DC5">
        <w:t>GoP</w:t>
      </w:r>
      <w:proofErr w:type="spellEnd"/>
      <w:r w:rsidRPr="00547DC5">
        <w:t xml:space="preserve">, with highly targeted technical assistance around specific areas of implementation of economic reforms, for example through support for the Development Policy Loan (DPL) reforms. </w:t>
      </w:r>
    </w:p>
    <w:p w14:paraId="21093920" w14:textId="47E14AAD" w:rsidR="00F34CCA" w:rsidRPr="00547DC5" w:rsidRDefault="00F34CCA" w:rsidP="00547DC5">
      <w:r w:rsidRPr="00547DC5">
        <w:t xml:space="preserve">The evidence of </w:t>
      </w:r>
      <w:proofErr w:type="spellStart"/>
      <w:r w:rsidR="007628AF">
        <w:t>AGaP</w:t>
      </w:r>
      <w:proofErr w:type="spellEnd"/>
      <w:r w:rsidRPr="00547DC5">
        <w:t xml:space="preserve"> advancing gender equality </w:t>
      </w:r>
      <w:r w:rsidR="00F7648E">
        <w:t xml:space="preserve">and disability </w:t>
      </w:r>
      <w:r w:rsidRPr="00547DC5">
        <w:t xml:space="preserve">goals through its grants is mixed and DFAT has consistently raised this as an area of the program to be strengthened. The new Australian administration has highlighted gender as an increasing priority and </w:t>
      </w:r>
      <w:proofErr w:type="spellStart"/>
      <w:r w:rsidR="007628AF">
        <w:t>AGaP</w:t>
      </w:r>
      <w:proofErr w:type="spellEnd"/>
      <w:r w:rsidRPr="00547DC5">
        <w:t xml:space="preserve"> will need to respond to th</w:t>
      </w:r>
      <w:r w:rsidR="00856FF5">
        <w:t xml:space="preserve">is </w:t>
      </w:r>
      <w:r w:rsidRPr="00547DC5">
        <w:t>expectation</w:t>
      </w:r>
      <w:r w:rsidR="00856FF5">
        <w:t xml:space="preserve"> </w:t>
      </w:r>
      <w:r w:rsidRPr="00547DC5">
        <w:t>accordingly</w:t>
      </w:r>
      <w:r w:rsidR="00C64AD4">
        <w:t xml:space="preserve">. </w:t>
      </w:r>
      <w:r w:rsidRPr="00547DC5">
        <w:t xml:space="preserve">DFAT’s umbrella investment AMPED does not currently have a gender strategy or gender action plan at investment level and </w:t>
      </w:r>
      <w:proofErr w:type="spellStart"/>
      <w:r w:rsidR="007628AF">
        <w:t>AGaP</w:t>
      </w:r>
      <w:r w:rsidRPr="00547DC5">
        <w:t>s</w:t>
      </w:r>
      <w:proofErr w:type="spellEnd"/>
      <w:r w:rsidRPr="00547DC5">
        <w:t>’ contribution to rectifying this shortcoming will be an important step in strengthening the development impact of DFAT resources</w:t>
      </w:r>
      <w:r w:rsidR="00D453AC">
        <w:t xml:space="preserve">, especially as </w:t>
      </w:r>
      <w:proofErr w:type="spellStart"/>
      <w:r w:rsidR="007628AF">
        <w:t>AGaP</w:t>
      </w:r>
      <w:proofErr w:type="spellEnd"/>
      <w:r w:rsidR="00D453AC">
        <w:t xml:space="preserve"> is </w:t>
      </w:r>
      <w:r w:rsidR="00D217F2">
        <w:t xml:space="preserve">already </w:t>
      </w:r>
      <w:r w:rsidR="00D453AC">
        <w:t xml:space="preserve">regarded by DFAT as a key program under AMPED. </w:t>
      </w:r>
      <w:r w:rsidRPr="00547DC5">
        <w:t xml:space="preserve">The MTR makes recommendations to strengthen efficiency and </w:t>
      </w:r>
      <w:proofErr w:type="gramStart"/>
      <w:r w:rsidRPr="00547DC5">
        <w:t>effectiveness,</w:t>
      </w:r>
      <w:r w:rsidR="0069149B">
        <w:t xml:space="preserve"> </w:t>
      </w:r>
      <w:r w:rsidRPr="00547DC5">
        <w:t>and</w:t>
      </w:r>
      <w:proofErr w:type="gramEnd"/>
      <w:r w:rsidRPr="00547DC5">
        <w:t xml:space="preserve"> formulate clearer expectations on the cross-cutting themes of gender equality, disability inclusion</w:t>
      </w:r>
      <w:r w:rsidR="00F26CAF">
        <w:t>,</w:t>
      </w:r>
      <w:r w:rsidRPr="00547DC5">
        <w:t xml:space="preserve"> and women’s economic empowerment. </w:t>
      </w:r>
    </w:p>
    <w:p w14:paraId="79E1446F" w14:textId="0E1A237B" w:rsidR="00F34CCA" w:rsidRPr="00C64AD4" w:rsidRDefault="00F34CCA" w:rsidP="00C64AD4">
      <w:pPr>
        <w:pStyle w:val="ListParagraph"/>
        <w:numPr>
          <w:ilvl w:val="0"/>
          <w:numId w:val="57"/>
        </w:numPr>
        <w:rPr>
          <w:b/>
          <w:bCs/>
        </w:rPr>
      </w:pPr>
      <w:r w:rsidRPr="00C64AD4">
        <w:rPr>
          <w:b/>
          <w:bCs/>
        </w:rPr>
        <w:t xml:space="preserve">Assess the sustainability of </w:t>
      </w:r>
      <w:proofErr w:type="spellStart"/>
      <w:r w:rsidR="007628AF">
        <w:rPr>
          <w:b/>
          <w:bCs/>
        </w:rPr>
        <w:t>AGaP</w:t>
      </w:r>
      <w:r w:rsidRPr="00C64AD4">
        <w:rPr>
          <w:b/>
          <w:bCs/>
        </w:rPr>
        <w:t>’s</w:t>
      </w:r>
      <w:proofErr w:type="spellEnd"/>
      <w:r w:rsidRPr="00C64AD4">
        <w:rPr>
          <w:b/>
          <w:bCs/>
        </w:rPr>
        <w:t xml:space="preserve"> outcomes, and how they can be strengthened in the future</w:t>
      </w:r>
      <w:r w:rsidR="001430C3" w:rsidRPr="00C64AD4">
        <w:rPr>
          <w:b/>
          <w:bCs/>
        </w:rPr>
        <w:t>.</w:t>
      </w:r>
    </w:p>
    <w:p w14:paraId="1479D375" w14:textId="2B291725" w:rsidR="00F34CCA" w:rsidRPr="00547DC5" w:rsidRDefault="00F26CAF" w:rsidP="00547DC5">
      <w:r>
        <w:t xml:space="preserve">By </w:t>
      </w:r>
      <w:r w:rsidR="001430C3">
        <w:t>p</w:t>
      </w:r>
      <w:r w:rsidR="00F34CCA" w:rsidRPr="00547DC5">
        <w:t>rioritising support for longer-term national initiatives</w:t>
      </w:r>
      <w:r w:rsidR="001430C3">
        <w:t xml:space="preserve">, </w:t>
      </w:r>
      <w:proofErr w:type="spellStart"/>
      <w:r w:rsidR="007628AF">
        <w:t>AGaP</w:t>
      </w:r>
      <w:proofErr w:type="spellEnd"/>
      <w:r w:rsidR="001430C3">
        <w:t xml:space="preserve"> has</w:t>
      </w:r>
      <w:r w:rsidR="00F34CCA" w:rsidRPr="00547DC5">
        <w:t xml:space="preserve"> </w:t>
      </w:r>
      <w:r w:rsidR="001430C3">
        <w:t>enhanced</w:t>
      </w:r>
      <w:r w:rsidR="00F34CCA" w:rsidRPr="00547DC5">
        <w:t xml:space="preserve"> the prospects for sustainability. The MTR found</w:t>
      </w:r>
      <w:r w:rsidR="00C64AD4">
        <w:t xml:space="preserve"> that</w:t>
      </w:r>
      <w:r w:rsidR="00F34CCA" w:rsidRPr="00547DC5">
        <w:t xml:space="preserve"> the sustainability of </w:t>
      </w:r>
      <w:proofErr w:type="spellStart"/>
      <w:r w:rsidR="007628AF">
        <w:t>AGaP</w:t>
      </w:r>
      <w:proofErr w:type="spellEnd"/>
      <w:r w:rsidR="00F34CCA" w:rsidRPr="00547DC5">
        <w:t>-supported projects is likely given that they are embedded in investment lending, policy loans, and broader technical assistance and analytical work whose implementation precedes or extends beyond the grants</w:t>
      </w:r>
      <w:r w:rsidR="00C00B0F">
        <w:t>’</w:t>
      </w:r>
      <w:r w:rsidR="00F34CCA" w:rsidRPr="00547DC5">
        <w:t xml:space="preserve"> effective date</w:t>
      </w:r>
      <w:r w:rsidR="00C64AD4">
        <w:t xml:space="preserve">. </w:t>
      </w:r>
      <w:r w:rsidR="00F34CCA" w:rsidRPr="00547DC5">
        <w:t xml:space="preserve">However, there is a need to strengthen the line of sight between the activities in </w:t>
      </w:r>
      <w:proofErr w:type="spellStart"/>
      <w:r w:rsidR="007628AF">
        <w:t>AGaP</w:t>
      </w:r>
      <w:proofErr w:type="spellEnd"/>
      <w:r w:rsidR="00F34CCA" w:rsidRPr="00547DC5">
        <w:t xml:space="preserve"> and DFAT’s broader AMPED investment</w:t>
      </w:r>
      <w:r w:rsidR="00C64AD4">
        <w:t xml:space="preserve">. </w:t>
      </w:r>
      <w:r w:rsidR="00F34CCA" w:rsidRPr="006F738B">
        <w:t xml:space="preserve">The MTR makes recommendations on how </w:t>
      </w:r>
      <w:proofErr w:type="spellStart"/>
      <w:r w:rsidR="007628AF">
        <w:t>AGaP</w:t>
      </w:r>
      <w:proofErr w:type="spellEnd"/>
      <w:r w:rsidR="00F34CCA" w:rsidRPr="006F738B">
        <w:t xml:space="preserve"> could focus less on the outputs that inform policy refor</w:t>
      </w:r>
      <w:r w:rsidR="00C64AD4" w:rsidRPr="006F738B">
        <w:t>m</w:t>
      </w:r>
      <w:r w:rsidR="00F34CCA" w:rsidRPr="006F738B">
        <w:t xml:space="preserve"> and more on supporting the process of reform and governance itself.</w:t>
      </w:r>
      <w:r w:rsidR="00F34CCA" w:rsidRPr="00547DC5">
        <w:t xml:space="preserve"> </w:t>
      </w:r>
    </w:p>
    <w:p w14:paraId="20B1DC50" w14:textId="437DBDA3" w:rsidR="00F34CCA" w:rsidRPr="00C64AD4" w:rsidRDefault="001430C3" w:rsidP="00C64AD4">
      <w:pPr>
        <w:pStyle w:val="ListParagraph"/>
        <w:numPr>
          <w:ilvl w:val="0"/>
          <w:numId w:val="57"/>
        </w:numPr>
        <w:rPr>
          <w:b/>
          <w:bCs/>
        </w:rPr>
      </w:pPr>
      <w:r w:rsidRPr="00C64AD4">
        <w:rPr>
          <w:b/>
          <w:bCs/>
        </w:rPr>
        <w:t>I</w:t>
      </w:r>
      <w:r w:rsidR="00F34CCA" w:rsidRPr="00C64AD4">
        <w:rPr>
          <w:b/>
          <w:bCs/>
        </w:rPr>
        <w:t>dentify case studies illustrating good practice and achievements</w:t>
      </w:r>
      <w:r w:rsidR="00C64AD4">
        <w:rPr>
          <w:b/>
          <w:bCs/>
        </w:rPr>
        <w:t xml:space="preserve"> and </w:t>
      </w:r>
      <w:r w:rsidR="00F34CCA" w:rsidRPr="00C64AD4">
        <w:rPr>
          <w:b/>
          <w:bCs/>
        </w:rPr>
        <w:t>document lessons learned</w:t>
      </w:r>
      <w:r w:rsidRPr="00C64AD4">
        <w:rPr>
          <w:b/>
          <w:bCs/>
        </w:rPr>
        <w:t>.</w:t>
      </w:r>
    </w:p>
    <w:p w14:paraId="498A8CB3" w14:textId="5D0A801F" w:rsidR="005C18F9" w:rsidRDefault="007628AF" w:rsidP="005C18F9">
      <w:proofErr w:type="spellStart"/>
      <w:r>
        <w:t>AGaP</w:t>
      </w:r>
      <w:r w:rsidR="00F34CCA" w:rsidRPr="00547DC5">
        <w:t>’s</w:t>
      </w:r>
      <w:proofErr w:type="spellEnd"/>
      <w:r w:rsidR="00F34CCA" w:rsidRPr="00547DC5">
        <w:t xml:space="preserve"> latest annual report (2021) includes several case studies that</w:t>
      </w:r>
      <w:r w:rsidR="00C64AD4">
        <w:t>,</w:t>
      </w:r>
      <w:r w:rsidR="00F34CCA" w:rsidRPr="00547DC5">
        <w:t xml:space="preserve"> in the opinion of </w:t>
      </w:r>
      <w:r w:rsidR="00C64AD4">
        <w:t xml:space="preserve">the </w:t>
      </w:r>
      <w:r w:rsidR="00F34CCA" w:rsidRPr="00547DC5">
        <w:t>MTR team</w:t>
      </w:r>
      <w:r w:rsidR="00C64AD4">
        <w:t>,</w:t>
      </w:r>
      <w:r w:rsidR="00F34CCA" w:rsidRPr="00547DC5">
        <w:t xml:space="preserve"> are good illustrations of how activities within each grant have led to their intended policy outcomes, with positive material impact for citizens.</w:t>
      </w:r>
      <w:r w:rsidR="005C18F9">
        <w:t xml:space="preserve"> These include </w:t>
      </w:r>
      <w:r w:rsidR="001D6E1C">
        <w:t>a</w:t>
      </w:r>
      <w:r w:rsidR="005C18F9">
        <w:t xml:space="preserve">ccessible health facilities for persons with disabilities </w:t>
      </w:r>
      <w:r w:rsidR="001D6E1C">
        <w:t xml:space="preserve">under the outcome pillar </w:t>
      </w:r>
      <w:r w:rsidR="005C18F9">
        <w:t>Project Development, Preparation, and Implementation Support</w:t>
      </w:r>
      <w:r w:rsidR="001D6E1C">
        <w:t xml:space="preserve">; bike lanes for a safe and healthy metro under </w:t>
      </w:r>
      <w:r w:rsidR="005C18F9">
        <w:t>Policy Reforms and Dialogue</w:t>
      </w:r>
      <w:r w:rsidR="001D6E1C">
        <w:t xml:space="preserve">; </w:t>
      </w:r>
      <w:proofErr w:type="spellStart"/>
      <w:r w:rsidR="001D6E1C">
        <w:t>Pantawid</w:t>
      </w:r>
      <w:proofErr w:type="spellEnd"/>
      <w:r w:rsidR="001D6E1C">
        <w:t xml:space="preserve"> family sessions for improved parenting and community participation under </w:t>
      </w:r>
      <w:r w:rsidR="005C18F9">
        <w:t>Public Debate and Awareness</w:t>
      </w:r>
      <w:r w:rsidR="001D6E1C">
        <w:t xml:space="preserve">; and </w:t>
      </w:r>
      <w:r w:rsidR="00892556">
        <w:t>m</w:t>
      </w:r>
      <w:r w:rsidR="005C18F9">
        <w:t xml:space="preserve">ore women in disaster response teams </w:t>
      </w:r>
      <w:r w:rsidR="00892556">
        <w:t xml:space="preserve">to illustrate </w:t>
      </w:r>
      <w:r w:rsidR="005C18F9">
        <w:t>Gender Mainstreaming and Women Empowerment</w:t>
      </w:r>
      <w:r w:rsidR="00892556">
        <w:t xml:space="preserve">. </w:t>
      </w:r>
    </w:p>
    <w:p w14:paraId="3FDD42AE" w14:textId="7006F313" w:rsidR="00F34CCA" w:rsidRPr="00547DC5" w:rsidRDefault="00F34CCA" w:rsidP="00547DC5">
      <w:r w:rsidRPr="00547DC5">
        <w:t xml:space="preserve"> The MTR makes recommendations on how these instances of effective projects can be better </w:t>
      </w:r>
      <w:r w:rsidR="00C00B0F" w:rsidRPr="00547DC5">
        <w:t>w</w:t>
      </w:r>
      <w:r w:rsidRPr="00547DC5">
        <w:t xml:space="preserve">oven into an explanatory narrative that </w:t>
      </w:r>
      <w:r w:rsidR="00C64AD4">
        <w:t>demonstrates</w:t>
      </w:r>
      <w:r w:rsidRPr="00547DC5">
        <w:t xml:space="preserve"> how the </w:t>
      </w:r>
      <w:proofErr w:type="spellStart"/>
      <w:r w:rsidR="007628AF">
        <w:t>AGaP</w:t>
      </w:r>
      <w:proofErr w:type="spellEnd"/>
      <w:r w:rsidRPr="00547DC5">
        <w:t xml:space="preserve"> approach leads to change and the prospects for replicating that process in other programs.</w:t>
      </w:r>
    </w:p>
    <w:p w14:paraId="7AD6BAC6" w14:textId="4066309B" w:rsidR="00F34CCA" w:rsidRPr="00C64AD4" w:rsidRDefault="00F34CCA" w:rsidP="00C64AD4">
      <w:pPr>
        <w:pStyle w:val="ListParagraph"/>
        <w:numPr>
          <w:ilvl w:val="0"/>
          <w:numId w:val="57"/>
        </w:numPr>
        <w:rPr>
          <w:b/>
          <w:bCs/>
        </w:rPr>
      </w:pPr>
      <w:r w:rsidRPr="00C64AD4">
        <w:rPr>
          <w:b/>
          <w:bCs/>
        </w:rPr>
        <w:lastRenderedPageBreak/>
        <w:t xml:space="preserve">Outline ways in which the partnership could be strengthened to enhance policy influence, flexibility, and responsiveness to evolving Philippine </w:t>
      </w:r>
      <w:r w:rsidR="00C64AD4">
        <w:rPr>
          <w:b/>
          <w:bCs/>
        </w:rPr>
        <w:t>G</w:t>
      </w:r>
      <w:r w:rsidRPr="00C64AD4">
        <w:rPr>
          <w:b/>
          <w:bCs/>
        </w:rPr>
        <w:t>overnment priorities</w:t>
      </w:r>
      <w:r w:rsidR="001430C3" w:rsidRPr="00C64AD4">
        <w:rPr>
          <w:b/>
          <w:bCs/>
        </w:rPr>
        <w:t>.</w:t>
      </w:r>
      <w:r w:rsidRPr="00C64AD4">
        <w:rPr>
          <w:b/>
          <w:bCs/>
        </w:rPr>
        <w:t xml:space="preserve"> </w:t>
      </w:r>
    </w:p>
    <w:p w14:paraId="0BCE5517" w14:textId="05A70CDE" w:rsidR="00F34CCA" w:rsidRPr="00547DC5" w:rsidRDefault="00F34CCA" w:rsidP="00547DC5">
      <w:r w:rsidRPr="00547DC5">
        <w:t xml:space="preserve">The strategic background has evolved since the </w:t>
      </w:r>
      <w:r w:rsidR="001B2091">
        <w:t>Trust Fund</w:t>
      </w:r>
      <w:r w:rsidRPr="00547DC5">
        <w:t xml:space="preserve"> was first conceived</w:t>
      </w:r>
      <w:r w:rsidR="00C64AD4">
        <w:t xml:space="preserve">. </w:t>
      </w:r>
      <w:r w:rsidRPr="00547DC5">
        <w:t>There are new government</w:t>
      </w:r>
      <w:r w:rsidR="00C64AD4">
        <w:t xml:space="preserve"> administration</w:t>
      </w:r>
      <w:r w:rsidRPr="00547DC5">
        <w:t xml:space="preserve">s in both Australia and the Philippines, heralding shifts in emphasis and new priorities. It is therefore important to have more collaboration on decision making and alignment of priorities. In preparation for </w:t>
      </w:r>
      <w:r w:rsidR="008E3567">
        <w:t>the Government of Australia</w:t>
      </w:r>
      <w:r w:rsidRPr="00547DC5">
        <w:t xml:space="preserve">’s revised development strategy, </w:t>
      </w:r>
      <w:proofErr w:type="spellStart"/>
      <w:r w:rsidR="007628AF">
        <w:t>AGaP</w:t>
      </w:r>
      <w:proofErr w:type="spellEnd"/>
      <w:r w:rsidRPr="00547DC5">
        <w:t xml:space="preserve"> should facilitate a deeper examination of the types of economic reforms that can facilitate poverty reduction </w:t>
      </w:r>
      <w:proofErr w:type="gramStart"/>
      <w:r w:rsidRPr="00547DC5">
        <w:t>as a means to</w:t>
      </w:r>
      <w:proofErr w:type="gramEnd"/>
      <w:r w:rsidRPr="00547DC5">
        <w:t xml:space="preserve"> improving the quality and resilience of economic growth. This should include agreeing gender-related targets for the next phase of </w:t>
      </w:r>
      <w:proofErr w:type="spellStart"/>
      <w:proofErr w:type="gramStart"/>
      <w:r w:rsidR="007628AF">
        <w:t>AGaP</w:t>
      </w:r>
      <w:proofErr w:type="spellEnd"/>
      <w:r w:rsidRPr="00547DC5">
        <w:t>, and</w:t>
      </w:r>
      <w:proofErr w:type="gramEnd"/>
      <w:r w:rsidRPr="00547DC5">
        <w:t xml:space="preserve"> examining the correlations between poverty and </w:t>
      </w:r>
      <w:r w:rsidR="00FC0C9B">
        <w:t>Indigenous Peoples</w:t>
      </w:r>
      <w:r w:rsidRPr="00547DC5">
        <w:t xml:space="preserve">. Climate change and its integration with disaster resilience is especially important in a maritime country with vulnerable coastal communities. This has implications for </w:t>
      </w:r>
      <w:proofErr w:type="spellStart"/>
      <w:r w:rsidR="007628AF">
        <w:t>AGaP</w:t>
      </w:r>
      <w:r w:rsidRPr="00547DC5">
        <w:t>’s</w:t>
      </w:r>
      <w:proofErr w:type="spellEnd"/>
      <w:r w:rsidRPr="00547DC5">
        <w:t xml:space="preserve"> policy work in infrastructure, energy transition, digitisation, and natural resource stewardship. Including DFAT in more interactions with stakeholders will be important to ensure that the forthcoming program is relevant and well-targeted. </w:t>
      </w:r>
    </w:p>
    <w:p w14:paraId="59ABD22A" w14:textId="19004E37" w:rsidR="00F34CCA" w:rsidRDefault="00F34CCA" w:rsidP="00547DC5">
      <w:r w:rsidRPr="00547DC5">
        <w:t xml:space="preserve">Influencing policy reform in the way envisaged by programs such as </w:t>
      </w:r>
      <w:proofErr w:type="spellStart"/>
      <w:r w:rsidR="007628AF">
        <w:t>AGaP</w:t>
      </w:r>
      <w:proofErr w:type="spellEnd"/>
      <w:r w:rsidRPr="00547DC5">
        <w:t xml:space="preserve"> requires continuous engagement with policy makers and those who influence them. The </w:t>
      </w:r>
      <w:proofErr w:type="spellStart"/>
      <w:r w:rsidR="007628AF">
        <w:t>AGaP</w:t>
      </w:r>
      <w:proofErr w:type="spellEnd"/>
      <w:r w:rsidRPr="00547DC5">
        <w:t xml:space="preserve"> team is seeing results with this approach, as illustrated by the DPL grant, but it is difficult to measure the value of this impact. To be successful, the process needs to operate in the background and allow space for policy makers to find their own way towards executing the reforms. Therefore, the M&amp;E function of the </w:t>
      </w:r>
      <w:r w:rsidRPr="006F738B">
        <w:t>program needs to find ways to measure the degree of influence on policy reform that can be attributed to the activities</w:t>
      </w:r>
      <w:r w:rsidRPr="001C332C">
        <w:t>, and</w:t>
      </w:r>
      <w:r w:rsidRPr="00547DC5">
        <w:t xml:space="preserve"> how these outcomes confirm the validity of the program’s theory of change. The </w:t>
      </w:r>
      <w:proofErr w:type="spellStart"/>
      <w:r w:rsidR="007628AF">
        <w:t>AGaP</w:t>
      </w:r>
      <w:proofErr w:type="spellEnd"/>
      <w:r w:rsidRPr="00547DC5">
        <w:t xml:space="preserve"> team should review the tools available that aim to do this. </w:t>
      </w:r>
    </w:p>
    <w:p w14:paraId="7BEA64D1" w14:textId="0E104404" w:rsidR="001430C3" w:rsidRPr="00D03710" w:rsidRDefault="001430C3" w:rsidP="00D03710">
      <w:pPr>
        <w:pStyle w:val="ListParagraph"/>
        <w:numPr>
          <w:ilvl w:val="0"/>
          <w:numId w:val="57"/>
        </w:numPr>
        <w:rPr>
          <w:b/>
          <w:bCs/>
        </w:rPr>
      </w:pPr>
      <w:r w:rsidRPr="00D03710">
        <w:rPr>
          <w:b/>
          <w:bCs/>
        </w:rPr>
        <w:t xml:space="preserve">Provide recommendations for consideration and action by the </w:t>
      </w:r>
      <w:proofErr w:type="spellStart"/>
      <w:r w:rsidR="007628AF">
        <w:rPr>
          <w:b/>
          <w:bCs/>
        </w:rPr>
        <w:t>AGaP</w:t>
      </w:r>
      <w:proofErr w:type="spellEnd"/>
      <w:r w:rsidRPr="00D03710">
        <w:rPr>
          <w:b/>
          <w:bCs/>
        </w:rPr>
        <w:t xml:space="preserve"> Steering Committee and practitioners in the World Bank and DFAT, especially</w:t>
      </w:r>
      <w:r w:rsidR="008B3D9E">
        <w:rPr>
          <w:b/>
          <w:bCs/>
        </w:rPr>
        <w:t xml:space="preserve"> those</w:t>
      </w:r>
      <w:r w:rsidRPr="00D03710">
        <w:rPr>
          <w:b/>
          <w:bCs/>
        </w:rPr>
        <w:t xml:space="preserve"> related to the future of the </w:t>
      </w:r>
      <w:r w:rsidR="001B2091" w:rsidRPr="00D03710">
        <w:rPr>
          <w:b/>
          <w:bCs/>
        </w:rPr>
        <w:t>Trust Fund</w:t>
      </w:r>
      <w:r w:rsidRPr="00D03710">
        <w:rPr>
          <w:b/>
          <w:bCs/>
        </w:rPr>
        <w:t xml:space="preserve"> and the need for future phases of work.</w:t>
      </w:r>
    </w:p>
    <w:p w14:paraId="2FAA6B21" w14:textId="1227D527" w:rsidR="00F34CCA" w:rsidRPr="00547DC5" w:rsidRDefault="00F34CCA" w:rsidP="00547DC5">
      <w:r w:rsidRPr="001430C3">
        <w:rPr>
          <w:b/>
          <w:bCs/>
        </w:rPr>
        <w:t xml:space="preserve">Based on the performance to date, </w:t>
      </w:r>
      <w:r w:rsidR="00386B54" w:rsidRPr="00386B54">
        <w:rPr>
          <w:b/>
          <w:bCs/>
        </w:rPr>
        <w:t xml:space="preserve">the development priorities of the Philippine Government, and the country programs of World Bank and DFAT, </w:t>
      </w:r>
      <w:r w:rsidRPr="001430C3">
        <w:rPr>
          <w:b/>
          <w:bCs/>
        </w:rPr>
        <w:t xml:space="preserve">the MTR recommends that DFAT continue to support </w:t>
      </w:r>
      <w:proofErr w:type="spellStart"/>
      <w:r w:rsidR="007628AF">
        <w:rPr>
          <w:b/>
          <w:bCs/>
        </w:rPr>
        <w:t>AGaP</w:t>
      </w:r>
      <w:proofErr w:type="spellEnd"/>
      <w:r w:rsidRPr="001430C3">
        <w:rPr>
          <w:b/>
          <w:bCs/>
        </w:rPr>
        <w:t xml:space="preserve"> for future phases of investment</w:t>
      </w:r>
      <w:r w:rsidR="00C64AD4">
        <w:rPr>
          <w:b/>
          <w:bCs/>
        </w:rPr>
        <w:t xml:space="preserve">. </w:t>
      </w:r>
      <w:r w:rsidRPr="00547DC5">
        <w:t xml:space="preserve">This report makes specific recommendations on how </w:t>
      </w:r>
      <w:proofErr w:type="spellStart"/>
      <w:r w:rsidR="007628AF">
        <w:t>AGaP</w:t>
      </w:r>
      <w:proofErr w:type="spellEnd"/>
      <w:r w:rsidRPr="00547DC5">
        <w:t xml:space="preserve"> can enhance some aspects of its work </w:t>
      </w:r>
      <w:r w:rsidR="00F0506C">
        <w:t>while</w:t>
      </w:r>
      <w:r w:rsidRPr="00547DC5">
        <w:t xml:space="preserve"> retaining the flexible and responsive nature of the program. </w:t>
      </w:r>
      <w:proofErr w:type="spellStart"/>
      <w:r w:rsidR="007628AF">
        <w:t>AGaP</w:t>
      </w:r>
      <w:proofErr w:type="spellEnd"/>
      <w:r w:rsidRPr="00547DC5">
        <w:t xml:space="preserve"> should continue as a single donor programmatic instrument, a modality </w:t>
      </w:r>
      <w:r w:rsidR="00C53905">
        <w:t>that</w:t>
      </w:r>
      <w:r w:rsidRPr="00547DC5">
        <w:t xml:space="preserve"> balances the effectiveness of the Bank’s delivery with the benefits of a bilateral mechanism. </w:t>
      </w:r>
      <w:r w:rsidR="00FA1BBF" w:rsidRPr="00FA1BBF">
        <w:t xml:space="preserve">The flexibility of </w:t>
      </w:r>
      <w:proofErr w:type="spellStart"/>
      <w:r w:rsidR="007628AF">
        <w:t>AGaP</w:t>
      </w:r>
      <w:proofErr w:type="spellEnd"/>
      <w:r w:rsidR="00FA1BBF" w:rsidRPr="00FA1BBF">
        <w:t>, purposefully built into the design by DFAT and the WB</w:t>
      </w:r>
      <w:r w:rsidR="00145A43">
        <w:t>,</w:t>
      </w:r>
      <w:r w:rsidR="00FA1BBF" w:rsidRPr="00FA1BBF">
        <w:t xml:space="preserve"> should also be retained.</w:t>
      </w:r>
    </w:p>
    <w:p w14:paraId="296C9A2B" w14:textId="77777777" w:rsidR="00FE08B0" w:rsidRDefault="00FE08B0">
      <w:pPr>
        <w:spacing w:before="0"/>
        <w:rPr>
          <w:rFonts w:asciiTheme="majorHAnsi" w:eastAsiaTheme="majorEastAsia" w:hAnsiTheme="majorHAnsi" w:cstheme="majorBidi"/>
          <w:color w:val="2F5496" w:themeColor="accent1" w:themeShade="BF"/>
          <w:sz w:val="32"/>
          <w:szCs w:val="32"/>
          <w:lang w:eastAsia="en-US"/>
        </w:rPr>
      </w:pPr>
      <w:r>
        <w:br w:type="page"/>
      </w:r>
    </w:p>
    <w:p w14:paraId="2B69174B" w14:textId="6E6B6773" w:rsidR="009557BE" w:rsidRDefault="003B38E1" w:rsidP="00E03DD0">
      <w:pPr>
        <w:pStyle w:val="Heading1"/>
      </w:pPr>
      <w:bookmarkStart w:id="10" w:name="_Toc125559998"/>
      <w:r>
        <w:lastRenderedPageBreak/>
        <w:t>Assessment and Findings</w:t>
      </w:r>
      <w:bookmarkEnd w:id="10"/>
      <w:r>
        <w:t xml:space="preserve"> </w:t>
      </w:r>
    </w:p>
    <w:p w14:paraId="17A9D903" w14:textId="61985105" w:rsidR="003B38E1" w:rsidRDefault="003B38E1" w:rsidP="00E03DD0">
      <w:pPr>
        <w:pStyle w:val="Heading2"/>
      </w:pPr>
      <w:bookmarkStart w:id="11" w:name="_Toc125559999"/>
      <w:r w:rsidRPr="002900C0">
        <w:t>Relevance</w:t>
      </w:r>
      <w:bookmarkEnd w:id="11"/>
    </w:p>
    <w:p w14:paraId="3EA86876" w14:textId="73F27D58" w:rsidR="00A11BD5" w:rsidRDefault="00A11BD5" w:rsidP="00A11BD5">
      <w:r>
        <w:t>Key findings:</w:t>
      </w:r>
    </w:p>
    <w:p w14:paraId="34EF074F" w14:textId="72E1CC96" w:rsidR="005A41E0" w:rsidRPr="00145A43" w:rsidRDefault="005A41E0" w:rsidP="00C64AD4">
      <w:pPr>
        <w:pStyle w:val="ListParagraph"/>
        <w:numPr>
          <w:ilvl w:val="0"/>
          <w:numId w:val="40"/>
        </w:numPr>
        <w:rPr>
          <w:color w:val="000000" w:themeColor="text1"/>
        </w:rPr>
      </w:pPr>
      <w:r w:rsidRPr="00145A43">
        <w:rPr>
          <w:color w:val="000000" w:themeColor="text1"/>
        </w:rPr>
        <w:t xml:space="preserve">There is strong alignment in the strategic priorities of DFAT and WB in the Philippines and these are consistent with the </w:t>
      </w:r>
      <w:proofErr w:type="spellStart"/>
      <w:r w:rsidRPr="00145A43">
        <w:rPr>
          <w:color w:val="000000" w:themeColor="text1"/>
        </w:rPr>
        <w:t>GoP’s</w:t>
      </w:r>
      <w:proofErr w:type="spellEnd"/>
      <w:r w:rsidRPr="00145A43">
        <w:rPr>
          <w:color w:val="000000" w:themeColor="text1"/>
        </w:rPr>
        <w:t xml:space="preserve"> own development vision. </w:t>
      </w:r>
    </w:p>
    <w:p w14:paraId="7C40102D" w14:textId="659A0973" w:rsidR="001E0C6A" w:rsidRPr="00145A43" w:rsidRDefault="007628AF" w:rsidP="00C64AD4">
      <w:pPr>
        <w:pStyle w:val="ListParagraph"/>
        <w:numPr>
          <w:ilvl w:val="0"/>
          <w:numId w:val="40"/>
        </w:numPr>
        <w:rPr>
          <w:color w:val="000000" w:themeColor="text1"/>
        </w:rPr>
      </w:pPr>
      <w:proofErr w:type="spellStart"/>
      <w:r w:rsidRPr="00145A43">
        <w:rPr>
          <w:color w:val="000000" w:themeColor="text1"/>
        </w:rPr>
        <w:t>AGaP</w:t>
      </w:r>
      <w:proofErr w:type="spellEnd"/>
      <w:r w:rsidR="001E0C6A" w:rsidRPr="00145A43">
        <w:rPr>
          <w:color w:val="000000" w:themeColor="text1"/>
        </w:rPr>
        <w:t xml:space="preserve"> has been highly responsive to the challenges presented by changes in the operating environment. For example:</w:t>
      </w:r>
    </w:p>
    <w:p w14:paraId="40B97A52" w14:textId="2CEB4CA0" w:rsidR="001E0C6A" w:rsidRPr="00895326" w:rsidRDefault="001E0C6A" w:rsidP="009D316D">
      <w:pPr>
        <w:ind w:left="360"/>
      </w:pPr>
      <w:r w:rsidRPr="00145A43">
        <w:rPr>
          <w:b/>
          <w:bCs/>
          <w:color w:val="000000" w:themeColor="text1"/>
        </w:rPr>
        <w:t>Covid-19.</w:t>
      </w:r>
      <w:r w:rsidRPr="00145A43">
        <w:rPr>
          <w:color w:val="000000" w:themeColor="text1"/>
        </w:rPr>
        <w:t xml:space="preserve"> The flexible nature of </w:t>
      </w:r>
      <w:r w:rsidRPr="00895326">
        <w:t>the T</w:t>
      </w:r>
      <w:r w:rsidR="00B339E8">
        <w:t xml:space="preserve">rust </w:t>
      </w:r>
      <w:r w:rsidRPr="00895326">
        <w:t>F</w:t>
      </w:r>
      <w:r w:rsidR="00B339E8">
        <w:t>und</w:t>
      </w:r>
      <w:r w:rsidRPr="00895326">
        <w:t xml:space="preserve"> enabled both DFAT and the WB to move quickly to support changes in </w:t>
      </w:r>
      <w:proofErr w:type="spellStart"/>
      <w:r w:rsidRPr="00895326">
        <w:t>GoP</w:t>
      </w:r>
      <w:proofErr w:type="spellEnd"/>
      <w:r w:rsidRPr="00895326">
        <w:t xml:space="preserve"> priorities, which involved balancing being responsive to the needs of </w:t>
      </w:r>
      <w:proofErr w:type="spellStart"/>
      <w:r w:rsidRPr="00895326">
        <w:t>GoP</w:t>
      </w:r>
      <w:proofErr w:type="spellEnd"/>
      <w:r w:rsidRPr="00895326">
        <w:t xml:space="preserve"> w</w:t>
      </w:r>
      <w:r>
        <w:t>hile</w:t>
      </w:r>
      <w:r w:rsidRPr="00895326">
        <w:t xml:space="preserve"> managing established sectoral projects under </w:t>
      </w:r>
      <w:proofErr w:type="spellStart"/>
      <w:r w:rsidR="007628AF">
        <w:t>AGaP</w:t>
      </w:r>
      <w:proofErr w:type="spellEnd"/>
      <w:r w:rsidRPr="00895326">
        <w:t>.</w:t>
      </w:r>
    </w:p>
    <w:p w14:paraId="26966BE4" w14:textId="6C0BBF5A" w:rsidR="001E0C6A" w:rsidRDefault="001E0C6A" w:rsidP="009D316D">
      <w:pPr>
        <w:ind w:left="360"/>
      </w:pPr>
      <w:r w:rsidRPr="009D316D">
        <w:rPr>
          <w:b/>
          <w:bCs/>
        </w:rPr>
        <w:t>National laws and regulations.</w:t>
      </w:r>
      <w:r w:rsidRPr="00895326">
        <w:t xml:space="preserve"> The same flexibility allowed DFAT and WB to respond to requests </w:t>
      </w:r>
      <w:r w:rsidR="00B77D2D">
        <w:t xml:space="preserve">for technical assistance </w:t>
      </w:r>
      <w:r w:rsidRPr="00895326">
        <w:t xml:space="preserve">from </w:t>
      </w:r>
      <w:proofErr w:type="spellStart"/>
      <w:r w:rsidRPr="00895326">
        <w:t>GoP</w:t>
      </w:r>
      <w:proofErr w:type="spellEnd"/>
      <w:r w:rsidRPr="00895326">
        <w:t xml:space="preserve"> following significant changes in the legal and regulatory environment, </w:t>
      </w:r>
      <w:r>
        <w:t xml:space="preserve">for example </w:t>
      </w:r>
      <w:r w:rsidRPr="00895326">
        <w:t xml:space="preserve">the Supreme Court ruling on the </w:t>
      </w:r>
      <w:proofErr w:type="spellStart"/>
      <w:r w:rsidRPr="00895326">
        <w:t>Mandanas</w:t>
      </w:r>
      <w:proofErr w:type="spellEnd"/>
      <w:r w:rsidRPr="00895326">
        <w:t xml:space="preserve"> petition that increased the </w:t>
      </w:r>
      <w:r w:rsidR="006D7C95">
        <w:t xml:space="preserve">amount </w:t>
      </w:r>
      <w:r w:rsidRPr="00895326">
        <w:t>of national government tax revenue transferred to local governments</w:t>
      </w:r>
      <w:r>
        <w:t>.</w:t>
      </w:r>
      <w:r w:rsidRPr="00895326">
        <w:t xml:space="preserve"> </w:t>
      </w:r>
    </w:p>
    <w:p w14:paraId="19B8DEA0" w14:textId="77777777" w:rsidR="00C42E2E" w:rsidRPr="009D316D" w:rsidRDefault="00C42E2E" w:rsidP="009D316D">
      <w:pPr>
        <w:ind w:left="360"/>
        <w:rPr>
          <w:lang w:val="en-PH"/>
        </w:rPr>
      </w:pPr>
    </w:p>
    <w:p w14:paraId="69F70574" w14:textId="004F8E8A" w:rsidR="003B38E1" w:rsidRDefault="003B38E1" w:rsidP="00C42E2E">
      <w:pPr>
        <w:pStyle w:val="Heading5"/>
      </w:pPr>
      <w:r w:rsidRPr="002900C0">
        <w:t>Alignment of objectives and design with the partner’s strategic objectives</w:t>
      </w:r>
    </w:p>
    <w:p w14:paraId="796796AF" w14:textId="1F03F1F4" w:rsidR="00F03B4D" w:rsidRDefault="00F03B4D" w:rsidP="00F03B4D">
      <w:r>
        <w:t xml:space="preserve">Through </w:t>
      </w:r>
      <w:proofErr w:type="spellStart"/>
      <w:r w:rsidR="007628AF">
        <w:t>AGaP</w:t>
      </w:r>
      <w:proofErr w:type="spellEnd"/>
      <w:r>
        <w:t xml:space="preserve">, WB and DFAT support </w:t>
      </w:r>
      <w:proofErr w:type="spellStart"/>
      <w:r w:rsidRPr="00A11BD5">
        <w:t>AmBisyon</w:t>
      </w:r>
      <w:proofErr w:type="spellEnd"/>
      <w:r w:rsidRPr="00370873">
        <w:t xml:space="preserve"> </w:t>
      </w:r>
      <w:r w:rsidRPr="00A11BD5">
        <w:t>Natin 2040</w:t>
      </w:r>
      <w:r w:rsidR="00370873">
        <w:rPr>
          <w:i/>
          <w:iCs/>
        </w:rPr>
        <w:t xml:space="preserve"> </w:t>
      </w:r>
      <w:r>
        <w:t xml:space="preserve">and the medium-term Philippine Development Plan 2017-2022. The updated PDP has </w:t>
      </w:r>
      <w:r w:rsidRPr="000E1211">
        <w:t>five major programs</w:t>
      </w:r>
      <w:r>
        <w:t xml:space="preserve">: </w:t>
      </w:r>
      <w:r w:rsidRPr="000E1211">
        <w:t>health system improvement, food security, learning continuity, digital transformation, and regional development.</w:t>
      </w:r>
      <w:r>
        <w:t xml:space="preserve"> These programs aim to </w:t>
      </w:r>
      <w:r w:rsidRPr="000E1211">
        <w:t xml:space="preserve">build the resilience of individuals, families, businesses, government, and society under the </w:t>
      </w:r>
      <w:r>
        <w:t>‘</w:t>
      </w:r>
      <w:r w:rsidRPr="000E1211">
        <w:t>new normal</w:t>
      </w:r>
      <w:r>
        <w:t>’</w:t>
      </w:r>
      <w:r w:rsidRPr="000E1211">
        <w:t>.</w:t>
      </w:r>
    </w:p>
    <w:p w14:paraId="160CB887" w14:textId="2DF181D5" w:rsidR="00F03B4D" w:rsidRDefault="00F03B4D" w:rsidP="00F03B4D">
      <w:r>
        <w:t xml:space="preserve">Taken together, WB’s </w:t>
      </w:r>
      <w:r w:rsidR="00E7006C">
        <w:t>C</w:t>
      </w:r>
      <w:r>
        <w:t xml:space="preserve">ountry </w:t>
      </w:r>
      <w:r w:rsidR="00E7006C">
        <w:t>P</w:t>
      </w:r>
      <w:r>
        <w:t xml:space="preserve">artnership </w:t>
      </w:r>
      <w:r w:rsidR="00E7006C">
        <w:t>F</w:t>
      </w:r>
      <w:r w:rsidR="00B53162">
        <w:t>ramework</w:t>
      </w:r>
      <w:r>
        <w:t xml:space="preserve"> (CPF) and DFAT’s Advancing Multilateral Partnerships for Economic Development or AMPED have strong alignment with the country’s goals and priorities. </w:t>
      </w:r>
      <w:proofErr w:type="spellStart"/>
      <w:r w:rsidR="007628AF">
        <w:t>AGaP</w:t>
      </w:r>
      <w:proofErr w:type="spellEnd"/>
      <w:r>
        <w:t xml:space="preserve"> itself is anchored on the CPF and AMPED, specifically as it </w:t>
      </w:r>
      <w:r w:rsidRPr="00225A45">
        <w:t xml:space="preserve">provides funds and technical </w:t>
      </w:r>
      <w:r w:rsidR="00A156BD">
        <w:t>assistance</w:t>
      </w:r>
      <w:r w:rsidRPr="00225A45">
        <w:t xml:space="preserve"> to generate and share knowledge and assist </w:t>
      </w:r>
      <w:proofErr w:type="spellStart"/>
      <w:r>
        <w:t>GoP</w:t>
      </w:r>
      <w:proofErr w:type="spellEnd"/>
      <w:r>
        <w:t xml:space="preserve"> </w:t>
      </w:r>
      <w:r w:rsidRPr="00225A45">
        <w:t>in the design and implementation of critical policy reforms and programs.</w:t>
      </w:r>
      <w:r>
        <w:t xml:space="preserve"> In WB’s CPF 2019-23, these reforms and programs are driven by priority investments in human capital (health, education, and nutrition), competitiveness and job creation, peace</w:t>
      </w:r>
      <w:r w:rsidR="00284576">
        <w:t xml:space="preserve"> </w:t>
      </w:r>
      <w:r>
        <w:t xml:space="preserve">building, climate and disaster resilience, governance, and digital transformation. In DFAT’s AMPED, these reforms and programs aim to contribute to the Philippines’ rapid, sustainable, and inclusive growth by strengthening the ability of the </w:t>
      </w:r>
      <w:r w:rsidR="005E52B8">
        <w:t>G</w:t>
      </w:r>
      <w:r>
        <w:t xml:space="preserve">overnment to manage the economy for growth, with participation of the private sector, and by creating a strong partnership between Australia, the Philippines, and multilateral financial institutions. </w:t>
      </w:r>
    </w:p>
    <w:p w14:paraId="010FDDC0" w14:textId="250E842C" w:rsidR="00F03B4D" w:rsidRDefault="00F03B4D" w:rsidP="00F03B4D">
      <w:r>
        <w:t xml:space="preserve">A review of the objectives and design of </w:t>
      </w:r>
      <w:proofErr w:type="spellStart"/>
      <w:r w:rsidR="007628AF">
        <w:t>AGaP</w:t>
      </w:r>
      <w:proofErr w:type="spellEnd"/>
      <w:r>
        <w:t xml:space="preserve"> grants indicates overall alignment </w:t>
      </w:r>
      <w:r w:rsidR="00F67A36">
        <w:t xml:space="preserve">between </w:t>
      </w:r>
      <w:r>
        <w:t xml:space="preserve">the strategic objectives of </w:t>
      </w:r>
      <w:proofErr w:type="spellStart"/>
      <w:r>
        <w:t>GoP</w:t>
      </w:r>
      <w:proofErr w:type="spellEnd"/>
      <w:r>
        <w:t xml:space="preserve">, WB, and DFAT. Two grants supporting the biggest investments, </w:t>
      </w:r>
      <w:r w:rsidR="00964B0C">
        <w:t>namely</w:t>
      </w:r>
      <w:r>
        <w:t xml:space="preserve">, Technical Assistance for Development Policy Loan Reforms and Strengthening Support for the </w:t>
      </w:r>
      <w:proofErr w:type="spellStart"/>
      <w:r>
        <w:t>Pantawid</w:t>
      </w:r>
      <w:proofErr w:type="spellEnd"/>
      <w:r>
        <w:t xml:space="preserve"> Program and Philippine Social Protection Systems, support competitiveness, human capital development, and digital transformation, among others. </w:t>
      </w:r>
    </w:p>
    <w:p w14:paraId="58BAC5E5" w14:textId="0F96A24A" w:rsidR="00F03B4D" w:rsidRDefault="00F03B4D" w:rsidP="00F03B4D">
      <w:r>
        <w:t xml:space="preserve">WB task teams reported regular and frequent meetings with </w:t>
      </w:r>
      <w:proofErr w:type="spellStart"/>
      <w:r>
        <w:t>GoP</w:t>
      </w:r>
      <w:proofErr w:type="spellEnd"/>
      <w:r>
        <w:t xml:space="preserve"> counterparts, not only for technical briefings but also for project planning. Some meetings included high-level discussions, including the WB Annual and Spring Meetings. These practices </w:t>
      </w:r>
      <w:r w:rsidR="00ED25CF">
        <w:t>demonstrate pathways</w:t>
      </w:r>
      <w:r>
        <w:t xml:space="preserve"> of alignment at strategic and operational levels. </w:t>
      </w:r>
      <w:r w:rsidR="00EA5C58">
        <w:t xml:space="preserve">In AMPED, </w:t>
      </w:r>
      <w:r w:rsidR="00246E70" w:rsidRPr="00246E70">
        <w:t xml:space="preserve">DFAT </w:t>
      </w:r>
      <w:r w:rsidR="00246E70" w:rsidRPr="00547DC5">
        <w:t>aims to use this partnership</w:t>
      </w:r>
      <w:r w:rsidR="00246E70" w:rsidRPr="00246E70">
        <w:t xml:space="preserve"> between WB and </w:t>
      </w:r>
      <w:proofErr w:type="spellStart"/>
      <w:r w:rsidR="00246E70" w:rsidRPr="00246E70">
        <w:t>GoP</w:t>
      </w:r>
      <w:proofErr w:type="spellEnd"/>
      <w:r w:rsidR="00246E70" w:rsidRPr="00246E70">
        <w:t xml:space="preserve"> to magnify the influence and impact of DFAT’s development assistance</w:t>
      </w:r>
      <w:r w:rsidR="00246E70">
        <w:t>.</w:t>
      </w:r>
    </w:p>
    <w:p w14:paraId="44992A47" w14:textId="380979F5" w:rsidR="004F1D23" w:rsidRDefault="003B38E1" w:rsidP="00C42E2E">
      <w:pPr>
        <w:pStyle w:val="Heading5"/>
      </w:pPr>
      <w:r>
        <w:lastRenderedPageBreak/>
        <w:t xml:space="preserve">Program adaptation to changes in policy or operational context </w:t>
      </w:r>
    </w:p>
    <w:p w14:paraId="42042C9B" w14:textId="27D08563" w:rsidR="003017F9" w:rsidRDefault="003017F9" w:rsidP="003017F9">
      <w:r>
        <w:t xml:space="preserve">Several development challenges overlayed </w:t>
      </w:r>
      <w:proofErr w:type="spellStart"/>
      <w:r w:rsidR="007628AF">
        <w:t>AGaP</w:t>
      </w:r>
      <w:r>
        <w:t>’s</w:t>
      </w:r>
      <w:proofErr w:type="spellEnd"/>
      <w:r>
        <w:t xml:space="preserve"> implementation during the period under review</w:t>
      </w:r>
      <w:r w:rsidRPr="00943532">
        <w:t xml:space="preserve">. Foremost </w:t>
      </w:r>
      <w:r>
        <w:t>is</w:t>
      </w:r>
      <w:r w:rsidRPr="00943532">
        <w:t xml:space="preserve"> the global pandemic, with the </w:t>
      </w:r>
      <w:r w:rsidRPr="00943532">
        <w:rPr>
          <w:rFonts w:ascii="Calibri" w:eastAsia="Calibri" w:hAnsi="Calibri" w:cs="Calibri"/>
        </w:rPr>
        <w:t>Philippines one of the</w:t>
      </w:r>
      <w:r w:rsidRPr="00943532">
        <w:rPr>
          <w:rFonts w:eastAsia="Calibri"/>
        </w:rPr>
        <w:t xml:space="preserve"> countr</w:t>
      </w:r>
      <w:r w:rsidRPr="004D0A61">
        <w:rPr>
          <w:rFonts w:eastAsia="Calibri"/>
        </w:rPr>
        <w:t xml:space="preserve">ies hit hardest by COVID-19 in the East Asia and Pacific region. </w:t>
      </w:r>
      <w:r>
        <w:rPr>
          <w:rFonts w:eastAsia="Calibri"/>
        </w:rPr>
        <w:t xml:space="preserve">Another is a cluster of landmark laws and policies with </w:t>
      </w:r>
      <w:r w:rsidRPr="004D0A61">
        <w:rPr>
          <w:rFonts w:eastAsia="Calibri"/>
        </w:rPr>
        <w:t>huge impact on governance and</w:t>
      </w:r>
      <w:r>
        <w:rPr>
          <w:rFonts w:eastAsia="Calibri"/>
        </w:rPr>
        <w:t xml:space="preserve"> the country’s</w:t>
      </w:r>
      <w:r w:rsidRPr="004D0A61">
        <w:rPr>
          <w:rFonts w:eastAsia="Calibri"/>
        </w:rPr>
        <w:t xml:space="preserve"> fiscal position. Among these </w:t>
      </w:r>
      <w:r>
        <w:rPr>
          <w:rFonts w:eastAsia="Calibri"/>
        </w:rPr>
        <w:t>are</w:t>
      </w:r>
      <w:r w:rsidRPr="004D0A61">
        <w:rPr>
          <w:rFonts w:eastAsia="Calibri"/>
        </w:rPr>
        <w:t xml:space="preserve"> the </w:t>
      </w:r>
      <w:proofErr w:type="spellStart"/>
      <w:r w:rsidRPr="004D0A61">
        <w:t>Pantawid</w:t>
      </w:r>
      <w:proofErr w:type="spellEnd"/>
      <w:r w:rsidRPr="004D0A61">
        <w:t xml:space="preserve"> </w:t>
      </w:r>
      <w:proofErr w:type="spellStart"/>
      <w:r w:rsidRPr="004D0A61">
        <w:t>Pamilyang</w:t>
      </w:r>
      <w:proofErr w:type="spellEnd"/>
      <w:r w:rsidRPr="004D0A61">
        <w:t xml:space="preserve"> Pilipino Program (4Ps)</w:t>
      </w:r>
      <w:r>
        <w:t xml:space="preserve"> Law that makes conditional transfers and social protection at the core of </w:t>
      </w:r>
      <w:proofErr w:type="spellStart"/>
      <w:r>
        <w:t>GoP’s</w:t>
      </w:r>
      <w:proofErr w:type="spellEnd"/>
      <w:r>
        <w:t xml:space="preserve"> national poverty reduction strategy and human capital investment program. In response to the public health and economic impacts of the pandemic, </w:t>
      </w:r>
      <w:proofErr w:type="spellStart"/>
      <w:r>
        <w:t>GoP</w:t>
      </w:r>
      <w:proofErr w:type="spellEnd"/>
      <w:r>
        <w:t xml:space="preserve"> passed the </w:t>
      </w:r>
      <w:proofErr w:type="spellStart"/>
      <w:r>
        <w:t>Bayanihan</w:t>
      </w:r>
      <w:proofErr w:type="spellEnd"/>
      <w:r>
        <w:t xml:space="preserve"> to Heal as One Act and the subsequent </w:t>
      </w:r>
      <w:proofErr w:type="spellStart"/>
      <w:r>
        <w:t>Bayanihan</w:t>
      </w:r>
      <w:proofErr w:type="spellEnd"/>
      <w:r>
        <w:t xml:space="preserve"> to Recover as One Act, as well as the Corporate Recovery and Tax Incentives for Enterprises. Finally, </w:t>
      </w:r>
      <w:proofErr w:type="spellStart"/>
      <w:r>
        <w:t>GoP</w:t>
      </w:r>
      <w:proofErr w:type="spellEnd"/>
      <w:r>
        <w:t xml:space="preserve"> issued Executive Order </w:t>
      </w:r>
      <w:r w:rsidR="00EF5B69">
        <w:t xml:space="preserve">No. </w:t>
      </w:r>
      <w:r>
        <w:t>138</w:t>
      </w:r>
      <w:r w:rsidR="00EF5B69">
        <w:t>, s. 2021</w:t>
      </w:r>
      <w:r>
        <w:t xml:space="preserve"> </w:t>
      </w:r>
      <w:r>
        <w:rPr>
          <w:lang w:val="en-PH"/>
        </w:rPr>
        <w:t xml:space="preserve">to implement full devolution and </w:t>
      </w:r>
      <w:r>
        <w:t xml:space="preserve">the substantial increase in the internal revenue allotments of local government units as upheld in the Supreme Court ruling on the </w:t>
      </w:r>
      <w:proofErr w:type="spellStart"/>
      <w:r>
        <w:t>Mandanas</w:t>
      </w:r>
      <w:proofErr w:type="spellEnd"/>
      <w:r>
        <w:t xml:space="preserve"> case.</w:t>
      </w:r>
    </w:p>
    <w:p w14:paraId="3530123F" w14:textId="49A561C7" w:rsidR="003017F9" w:rsidRDefault="007628AF" w:rsidP="003017F9">
      <w:proofErr w:type="spellStart"/>
      <w:r>
        <w:t>AGaP</w:t>
      </w:r>
      <w:proofErr w:type="spellEnd"/>
      <w:r w:rsidR="003017F9">
        <w:t xml:space="preserve"> </w:t>
      </w:r>
      <w:r w:rsidR="003017F9" w:rsidRPr="00141480">
        <w:t xml:space="preserve">has been highly responsive to the challenges presented by </w:t>
      </w:r>
      <w:r w:rsidR="003017F9">
        <w:t xml:space="preserve">these </w:t>
      </w:r>
      <w:r w:rsidR="003017F9" w:rsidRPr="00141480">
        <w:t>changes in the operating environment.</w:t>
      </w:r>
      <w:r w:rsidR="003017F9">
        <w:t xml:space="preserve"> With the </w:t>
      </w:r>
      <w:r w:rsidR="003017F9" w:rsidRPr="007F4F66">
        <w:t>pivot of WB’s and Australia’s country programs toward COVID-19 support,</w:t>
      </w:r>
      <w:r w:rsidR="003017F9">
        <w:t xml:space="preserve"> the Operations Committee acted swiftly on the </w:t>
      </w:r>
      <w:r w:rsidR="000C1DFB">
        <w:t xml:space="preserve">grant </w:t>
      </w:r>
      <w:r w:rsidR="003017F9">
        <w:t xml:space="preserve">proposals. The literature review and interviews with task teams indicate that grants originated from requests from </w:t>
      </w:r>
      <w:proofErr w:type="spellStart"/>
      <w:r w:rsidR="003017F9">
        <w:t>GoP</w:t>
      </w:r>
      <w:proofErr w:type="spellEnd"/>
      <w:r w:rsidR="003017F9">
        <w:t xml:space="preserve"> counterparts, even for discrete projects. One example is the </w:t>
      </w:r>
      <w:r w:rsidR="003017F9" w:rsidRPr="00C651FB">
        <w:t>Real Time Monitoring of COVID-19 Impacts in the Philippines</w:t>
      </w:r>
      <w:r w:rsidR="003017F9">
        <w:t xml:space="preserve"> requested by </w:t>
      </w:r>
      <w:proofErr w:type="spellStart"/>
      <w:r w:rsidR="003017F9">
        <w:t>GoP</w:t>
      </w:r>
      <w:proofErr w:type="spellEnd"/>
      <w:r w:rsidR="003017F9">
        <w:t xml:space="preserve"> to help inform its policies and programs for COVID response. In this grant, the Department of Finance sought WB’s help initially to process its data about firms, and with the request extending to assistance to conduct three rounds of firm surveys. </w:t>
      </w:r>
    </w:p>
    <w:p w14:paraId="1038CFDC" w14:textId="65B17F61" w:rsidR="003017F9" w:rsidRPr="000C2015" w:rsidRDefault="003017F9" w:rsidP="00226579">
      <w:r>
        <w:t xml:space="preserve">In the grants for </w:t>
      </w:r>
      <w:r w:rsidRPr="006328AA">
        <w:t>Strengthening Implementation Support for the Philippines COVID-19 Response P</w:t>
      </w:r>
      <w:r w:rsidRPr="00226579">
        <w:t xml:space="preserve">roject and the Support to Active Transport in Metro Manila, no formal call for proposals was made, according to the task teams. Rather, there were internal discussions for strategic utilization of available funds for COVID response. This was confirmed by DFAT and WB Operations Committee members, noting that during the lockdowns and travel restrictions, the Operations Committee was quick to act, with </w:t>
      </w:r>
      <w:r w:rsidRPr="008F2879">
        <w:t xml:space="preserve">several discussions of grant allocation done outside of </w:t>
      </w:r>
      <w:r w:rsidRPr="00226579">
        <w:t xml:space="preserve">formal meetings, in </w:t>
      </w:r>
      <w:r w:rsidRPr="000C2015">
        <w:t xml:space="preserve">most cases through video calls and phone calls. DFAT cited its conscious alignment with </w:t>
      </w:r>
      <w:proofErr w:type="spellStart"/>
      <w:r w:rsidR="007628AF">
        <w:t>AGaP</w:t>
      </w:r>
      <w:proofErr w:type="spellEnd"/>
      <w:r w:rsidRPr="000C2015">
        <w:t xml:space="preserve"> outcomes at the height of the crisis brought on by the pandemic and how WB similarly brought in the “broader Bank perspective,” thereby ensuring complementation of the partners’ support in the Philippines.</w:t>
      </w:r>
    </w:p>
    <w:p w14:paraId="60660205" w14:textId="35CE82C5" w:rsidR="003017F9" w:rsidRPr="000C2015" w:rsidRDefault="009154FC" w:rsidP="00226579">
      <w:r w:rsidRPr="009154FC">
        <w:t xml:space="preserve">Infrastructure continues to be a priority under the </w:t>
      </w:r>
      <w:r w:rsidR="009946A8">
        <w:t xml:space="preserve">new </w:t>
      </w:r>
      <w:r w:rsidRPr="009154FC">
        <w:t xml:space="preserve">Philippine administration. It was noted in </w:t>
      </w:r>
      <w:proofErr w:type="spellStart"/>
      <w:r w:rsidR="007628AF">
        <w:t>AGaP</w:t>
      </w:r>
      <w:r w:rsidRPr="009154FC">
        <w:t>’s</w:t>
      </w:r>
      <w:proofErr w:type="spellEnd"/>
      <w:r w:rsidRPr="009154FC">
        <w:t xml:space="preserve"> 4</w:t>
      </w:r>
      <w:r w:rsidRPr="006F738B">
        <w:rPr>
          <w:vertAlign w:val="superscript"/>
        </w:rPr>
        <w:t>th</w:t>
      </w:r>
      <w:r w:rsidRPr="009154FC">
        <w:t xml:space="preserve"> Steering Committee meeting that DFAT’s regional infrastructure program, Partnerships for Infrastructure (P4I)</w:t>
      </w:r>
      <w:r w:rsidR="00BB2F30">
        <w:t>,</w:t>
      </w:r>
      <w:r w:rsidRPr="009154FC">
        <w:t xml:space="preserve"> provided an opportunity to broaden the partnership between DFAT and the World Bank</w:t>
      </w:r>
      <w:r w:rsidR="00CC4D76">
        <w:t>,</w:t>
      </w:r>
      <w:r w:rsidRPr="009154FC">
        <w:t xml:space="preserve"> whe</w:t>
      </w:r>
      <w:r w:rsidR="00CC4D76">
        <w:t>re</w:t>
      </w:r>
      <w:r w:rsidRPr="009154FC">
        <w:t xml:space="preserve"> P4I agreed to fund an energy and a transport activity under </w:t>
      </w:r>
      <w:proofErr w:type="spellStart"/>
      <w:r w:rsidR="007628AF">
        <w:t>AGaP</w:t>
      </w:r>
      <w:proofErr w:type="spellEnd"/>
      <w:r w:rsidR="003017F9" w:rsidRPr="000C2015">
        <w:t>. WB task teams</w:t>
      </w:r>
      <w:r w:rsidR="003017F9" w:rsidRPr="000C2015">
        <w:rPr>
          <w:color w:val="44546A" w:themeColor="text2"/>
        </w:rPr>
        <w:t xml:space="preserve"> </w:t>
      </w:r>
      <w:r w:rsidR="009C76DC">
        <w:t xml:space="preserve">also </w:t>
      </w:r>
      <w:r w:rsidR="003017F9" w:rsidRPr="000C2015">
        <w:t xml:space="preserve">highlighted </w:t>
      </w:r>
      <w:proofErr w:type="spellStart"/>
      <w:r w:rsidR="007628AF">
        <w:t>AGaP</w:t>
      </w:r>
      <w:r w:rsidR="003017F9" w:rsidRPr="000C2015">
        <w:t>’s</w:t>
      </w:r>
      <w:proofErr w:type="spellEnd"/>
      <w:r w:rsidR="003017F9" w:rsidRPr="000C2015">
        <w:t xml:space="preserve"> contribution in specific activities related to policy dialogues and technical advice, which ordinarily are not covered in its financing instruments such as the Technical Assistance for DPL Reforms</w:t>
      </w:r>
      <w:r w:rsidR="009C76DC">
        <w:t>,</w:t>
      </w:r>
      <w:r w:rsidR="003017F9" w:rsidRPr="000C2015">
        <w:t xml:space="preserve"> a facility for budget support.</w:t>
      </w:r>
    </w:p>
    <w:p w14:paraId="1570DAC1" w14:textId="77777777" w:rsidR="00E6251A" w:rsidRDefault="00E6251A">
      <w:pPr>
        <w:rPr>
          <w:rFonts w:asciiTheme="majorHAnsi" w:eastAsiaTheme="majorEastAsia" w:hAnsiTheme="majorHAnsi" w:cstheme="majorBidi"/>
          <w:color w:val="2F5496" w:themeColor="accent1" w:themeShade="BF"/>
          <w:sz w:val="28"/>
          <w:szCs w:val="28"/>
        </w:rPr>
      </w:pPr>
      <w:r>
        <w:br w:type="page"/>
      </w:r>
    </w:p>
    <w:p w14:paraId="42F7B84A" w14:textId="29AAB866" w:rsidR="004F1D23" w:rsidRDefault="003B38E1" w:rsidP="00E03DD0">
      <w:pPr>
        <w:pStyle w:val="Heading2"/>
      </w:pPr>
      <w:bookmarkStart w:id="12" w:name="_Toc125560000"/>
      <w:r>
        <w:lastRenderedPageBreak/>
        <w:t>Efficiency</w:t>
      </w:r>
      <w:bookmarkEnd w:id="12"/>
      <w:r>
        <w:t xml:space="preserve"> </w:t>
      </w:r>
    </w:p>
    <w:p w14:paraId="75FBFFD1" w14:textId="77777777" w:rsidR="00121391" w:rsidRDefault="00121391" w:rsidP="00121391">
      <w:r>
        <w:t>Key findings:</w:t>
      </w:r>
    </w:p>
    <w:p w14:paraId="5F91EF22" w14:textId="6D55E4B0" w:rsidR="00121391" w:rsidRDefault="007628AF" w:rsidP="0089441D">
      <w:pPr>
        <w:numPr>
          <w:ilvl w:val="0"/>
          <w:numId w:val="12"/>
        </w:numPr>
        <w:spacing w:line="276" w:lineRule="auto"/>
      </w:pPr>
      <w:proofErr w:type="spellStart"/>
      <w:r>
        <w:t>AGaP</w:t>
      </w:r>
      <w:proofErr w:type="spellEnd"/>
      <w:r w:rsidR="00121391">
        <w:t xml:space="preserve"> grants have served to supplement existing World Bank resources, meaning a relatively small fund for technical assistance is amplified through its association with the WB’s loan portfolio.</w:t>
      </w:r>
    </w:p>
    <w:p w14:paraId="34082967" w14:textId="5D4BBDD2" w:rsidR="00121391" w:rsidRDefault="007628AF" w:rsidP="0089441D">
      <w:pPr>
        <w:numPr>
          <w:ilvl w:val="0"/>
          <w:numId w:val="12"/>
        </w:numPr>
        <w:spacing w:after="100" w:line="283" w:lineRule="auto"/>
      </w:pPr>
      <w:proofErr w:type="spellStart"/>
      <w:r>
        <w:t>AGaP</w:t>
      </w:r>
      <w:proofErr w:type="spellEnd"/>
      <w:r w:rsidR="00121391">
        <w:t xml:space="preserve"> is a single donor programmatic trust fund. With this simple structure, fund disbursement has been quick and efficient. </w:t>
      </w:r>
    </w:p>
    <w:p w14:paraId="1DCC7811" w14:textId="4CD91CE2" w:rsidR="00121391" w:rsidRDefault="00121391" w:rsidP="00121391">
      <w:r>
        <w:t xml:space="preserve">Under the AMPED umbrella, the objective of </w:t>
      </w:r>
      <w:proofErr w:type="spellStart"/>
      <w:r w:rsidR="007628AF">
        <w:t>AGaP</w:t>
      </w:r>
      <w:proofErr w:type="spellEnd"/>
      <w:r>
        <w:t xml:space="preserve"> is to facilitate knowledge exchange and assist the Government of the Philippines in the design and implementation of policy reforms and programs. It is funded by contributions from the Government of Australia represented by DFAT, complemented with World Bank’s administrative resources. The </w:t>
      </w:r>
      <w:proofErr w:type="spellStart"/>
      <w:r w:rsidR="007628AF">
        <w:t>AGaP</w:t>
      </w:r>
      <w:proofErr w:type="spellEnd"/>
      <w:r>
        <w:t xml:space="preserve"> partnership is implemented over five years. The Trust Fund became effective in March 2019 and all funds are expected to be fully disbursed by </w:t>
      </w:r>
      <w:r w:rsidR="003819D3">
        <w:t xml:space="preserve">30 </w:t>
      </w:r>
      <w:r>
        <w:t xml:space="preserve">June 2024. More resources might be added to the Trust Fund in succeeding years, depending on results achieved and implementation progress. </w:t>
      </w:r>
    </w:p>
    <w:p w14:paraId="16E69F6D" w14:textId="29A4279A" w:rsidR="00121391" w:rsidRDefault="00121391" w:rsidP="00121391">
      <w:r>
        <w:t xml:space="preserve">The trust fund model for this program is reported by both World Bank and DFAT to be working well. The rationale for the </w:t>
      </w:r>
      <w:r w:rsidR="001B2091">
        <w:t>Trust Fund</w:t>
      </w:r>
      <w:r>
        <w:t xml:space="preserve"> is that it should be an efficient mod</w:t>
      </w:r>
      <w:r w:rsidR="00876721">
        <w:t>el</w:t>
      </w:r>
      <w:r>
        <w:t xml:space="preserve"> for implementation, reducing administration and overheads and promoting flexibility and responsiveness. This has enabled </w:t>
      </w:r>
      <w:proofErr w:type="spellStart"/>
      <w:r w:rsidR="007628AF">
        <w:t>AGaP</w:t>
      </w:r>
      <w:proofErr w:type="spellEnd"/>
      <w:r>
        <w:t xml:space="preserve"> to respond quickly to emerging opportunities.</w:t>
      </w:r>
    </w:p>
    <w:p w14:paraId="25D512B4" w14:textId="57F5FC70" w:rsidR="00E4412B" w:rsidRDefault="007628AF" w:rsidP="00121391">
      <w:proofErr w:type="spellStart"/>
      <w:r>
        <w:t>AGaP</w:t>
      </w:r>
      <w:r w:rsidR="00E4412B" w:rsidRPr="00547DC5">
        <w:t>’s</w:t>
      </w:r>
      <w:proofErr w:type="spellEnd"/>
      <w:r w:rsidR="00E4412B" w:rsidRPr="00547DC5">
        <w:t xml:space="preserve"> Steering Committee noted </w:t>
      </w:r>
      <w:r w:rsidR="00E4412B" w:rsidRPr="00E4412B">
        <w:t xml:space="preserve">the need ‘to be strategic in the allocation of </w:t>
      </w:r>
      <w:proofErr w:type="spellStart"/>
      <w:r>
        <w:t>AGaP</w:t>
      </w:r>
      <w:proofErr w:type="spellEnd"/>
      <w:r w:rsidR="00E4412B" w:rsidRPr="00E4412B">
        <w:t xml:space="preserve"> </w:t>
      </w:r>
      <w:r w:rsidR="00E4412B">
        <w:t>[</w:t>
      </w:r>
      <w:r w:rsidR="00E4412B" w:rsidRPr="00E4412B">
        <w:t>T</w:t>
      </w:r>
      <w:r w:rsidR="00E4412B">
        <w:t xml:space="preserve">rust </w:t>
      </w:r>
      <w:r w:rsidR="00E4412B" w:rsidRPr="00E4412B">
        <w:t>F</w:t>
      </w:r>
      <w:r w:rsidR="00E4412B">
        <w:t>und]</w:t>
      </w:r>
      <w:r w:rsidR="00E4412B" w:rsidRPr="00E4412B">
        <w:t xml:space="preserve"> resources to activities with high likelihood of delivering high impact </w:t>
      </w:r>
      <w:proofErr w:type="gramStart"/>
      <w:r w:rsidR="00E4412B" w:rsidRPr="00E4412B">
        <w:t>results</w:t>
      </w:r>
      <w:r w:rsidR="00E4412B">
        <w:t>’</w:t>
      </w:r>
      <w:proofErr w:type="gramEnd"/>
      <w:r w:rsidR="00477E06">
        <w:t>.</w:t>
      </w:r>
      <w:r w:rsidR="00E4412B">
        <w:rPr>
          <w:rStyle w:val="FootnoteReference"/>
        </w:rPr>
        <w:footnoteReference w:id="7"/>
      </w:r>
      <w:r w:rsidR="00E4412B">
        <w:t xml:space="preserve"> They </w:t>
      </w:r>
      <w:r w:rsidR="00E4412B" w:rsidRPr="00E4412B">
        <w:t xml:space="preserve">agreed that </w:t>
      </w:r>
      <w:proofErr w:type="spellStart"/>
      <w:r>
        <w:t>AGaP</w:t>
      </w:r>
      <w:proofErr w:type="spellEnd"/>
      <w:r w:rsidR="00E4412B" w:rsidRPr="00E4412B">
        <w:t xml:space="preserve"> resources would be broadly allocated </w:t>
      </w:r>
      <w:r w:rsidR="00E4412B">
        <w:t>under the following budget envelopes:</w:t>
      </w:r>
    </w:p>
    <w:p w14:paraId="46A7469F" w14:textId="34CB9CE4" w:rsidR="00E4412B" w:rsidRPr="00AA2428" w:rsidRDefault="00E4412B" w:rsidP="00477E06">
      <w:pPr>
        <w:pStyle w:val="ListParagraph"/>
        <w:numPr>
          <w:ilvl w:val="0"/>
          <w:numId w:val="59"/>
        </w:numPr>
        <w:rPr>
          <w:color w:val="000000" w:themeColor="text1"/>
        </w:rPr>
      </w:pPr>
      <w:r w:rsidRPr="00AA2428">
        <w:rPr>
          <w:color w:val="000000" w:themeColor="text1"/>
        </w:rPr>
        <w:t xml:space="preserve">Technical </w:t>
      </w:r>
      <w:r w:rsidR="002844E0" w:rsidRPr="00AA2428">
        <w:rPr>
          <w:color w:val="000000" w:themeColor="text1"/>
        </w:rPr>
        <w:t>a</w:t>
      </w:r>
      <w:r w:rsidRPr="00AA2428">
        <w:rPr>
          <w:color w:val="000000" w:themeColor="text1"/>
        </w:rPr>
        <w:t>ssistance to support DPL reforms</w:t>
      </w:r>
    </w:p>
    <w:p w14:paraId="1A4D2305" w14:textId="05E5A416" w:rsidR="00E4412B" w:rsidRPr="00AA2428" w:rsidRDefault="00E4412B" w:rsidP="00477E06">
      <w:pPr>
        <w:pStyle w:val="ListParagraph"/>
        <w:numPr>
          <w:ilvl w:val="0"/>
          <w:numId w:val="59"/>
        </w:numPr>
        <w:rPr>
          <w:color w:val="000000" w:themeColor="text1"/>
        </w:rPr>
      </w:pPr>
      <w:r w:rsidRPr="00AA2428">
        <w:rPr>
          <w:color w:val="000000" w:themeColor="text1"/>
        </w:rPr>
        <w:t>Guided calls for proposals to support analytical work for ongoing reforms of shared interest to DFAT, WB, and</w:t>
      </w:r>
      <w:r w:rsidR="002844E0" w:rsidRPr="00AA2428">
        <w:rPr>
          <w:color w:val="000000" w:themeColor="text1"/>
        </w:rPr>
        <w:t xml:space="preserve"> the</w:t>
      </w:r>
      <w:r w:rsidRPr="00AA2428">
        <w:rPr>
          <w:color w:val="000000" w:themeColor="text1"/>
        </w:rPr>
        <w:t xml:space="preserve"> Government of the Philippines </w:t>
      </w:r>
    </w:p>
    <w:p w14:paraId="1C4547D1" w14:textId="5E07B78B" w:rsidR="00E4412B" w:rsidRPr="00AA2428" w:rsidRDefault="00E4412B" w:rsidP="00477E06">
      <w:pPr>
        <w:pStyle w:val="ListParagraph"/>
        <w:numPr>
          <w:ilvl w:val="0"/>
          <w:numId w:val="59"/>
        </w:numPr>
        <w:rPr>
          <w:color w:val="000000" w:themeColor="text1"/>
        </w:rPr>
      </w:pPr>
      <w:r w:rsidRPr="00AA2428">
        <w:rPr>
          <w:color w:val="000000" w:themeColor="text1"/>
        </w:rPr>
        <w:t>Flexible funding, just-in-time support for emerging needs and requests from Government</w:t>
      </w:r>
    </w:p>
    <w:p w14:paraId="3FD43CA5" w14:textId="5480F2EA" w:rsidR="00E4412B" w:rsidRPr="00AA2428" w:rsidRDefault="00E4412B" w:rsidP="00477E06">
      <w:pPr>
        <w:pStyle w:val="ListParagraph"/>
        <w:numPr>
          <w:ilvl w:val="0"/>
          <w:numId w:val="59"/>
        </w:numPr>
        <w:rPr>
          <w:color w:val="000000" w:themeColor="text1"/>
        </w:rPr>
      </w:pPr>
      <w:r w:rsidRPr="00AA2428">
        <w:rPr>
          <w:color w:val="000000" w:themeColor="text1"/>
        </w:rPr>
        <w:t xml:space="preserve">Program </w:t>
      </w:r>
      <w:r w:rsidR="002844E0" w:rsidRPr="00AA2428">
        <w:rPr>
          <w:color w:val="000000" w:themeColor="text1"/>
        </w:rPr>
        <w:t>m</w:t>
      </w:r>
      <w:r w:rsidRPr="00AA2428">
        <w:rPr>
          <w:color w:val="000000" w:themeColor="text1"/>
        </w:rPr>
        <w:t>anagement, including monitoring and evaluation.</w:t>
      </w:r>
    </w:p>
    <w:p w14:paraId="25F72917" w14:textId="453E661A" w:rsidR="00121391" w:rsidRDefault="00121391" w:rsidP="00121391">
      <w:r>
        <w:t>The literature review</w:t>
      </w:r>
      <w:r w:rsidDel="007A0C5A">
        <w:t xml:space="preserve"> </w:t>
      </w:r>
      <w:r w:rsidR="007A0C5A">
        <w:t xml:space="preserve">shows </w:t>
      </w:r>
      <w:r>
        <w:t xml:space="preserve">evidence that </w:t>
      </w:r>
      <w:proofErr w:type="spellStart"/>
      <w:r w:rsidR="007628AF">
        <w:t>AGaP</w:t>
      </w:r>
      <w:proofErr w:type="spellEnd"/>
      <w:r w:rsidR="00F52A57">
        <w:t xml:space="preserve"> </w:t>
      </w:r>
      <w:r>
        <w:t xml:space="preserve">has used resources efficiently. By building on existing relationships with </w:t>
      </w:r>
      <w:proofErr w:type="spellStart"/>
      <w:r>
        <w:t>GoP</w:t>
      </w:r>
      <w:proofErr w:type="spellEnd"/>
      <w:r>
        <w:t xml:space="preserve"> counterparts, the </w:t>
      </w:r>
      <w:proofErr w:type="spellStart"/>
      <w:r w:rsidR="007628AF">
        <w:t>AGaP</w:t>
      </w:r>
      <w:proofErr w:type="spellEnd"/>
      <w:r>
        <w:t xml:space="preserve"> team was able to anticipate demand and quickly design activities to meet emerging needs. This is demonstrated by the support for implementation of the </w:t>
      </w:r>
      <w:r w:rsidR="00970788">
        <w:t>R</w:t>
      </w:r>
      <w:r>
        <w:t xml:space="preserve">ice </w:t>
      </w:r>
      <w:r w:rsidR="00970788">
        <w:t>L</w:t>
      </w:r>
      <w:r>
        <w:t>iberalization law, which was an objective of the initial DPL grant proposal. During the process of defining the guidelines for accessing the Rice Competitiveness Enhancement Fund (RCEF), the team reali</w:t>
      </w:r>
      <w:r w:rsidR="006C3DCE">
        <w:t>z</w:t>
      </w:r>
      <w:r>
        <w:t xml:space="preserve">ed that this was no longer a priority for support, so they focused instead on the updating of farmer registry and diversification effort. This agility was anticipated in the design of </w:t>
      </w:r>
      <w:proofErr w:type="spellStart"/>
      <w:r w:rsidR="007628AF">
        <w:t>AGaP</w:t>
      </w:r>
      <w:proofErr w:type="spellEnd"/>
      <w:r w:rsidR="002525C6">
        <w:t xml:space="preserve"> </w:t>
      </w:r>
      <w:r>
        <w:t>and there is evidence it is working well.</w:t>
      </w:r>
    </w:p>
    <w:p w14:paraId="37B67E34" w14:textId="12A1FBCD" w:rsidR="00121391" w:rsidRDefault="00121391" w:rsidP="00121391">
      <w:r w:rsidRPr="00F07461">
        <w:t xml:space="preserve">On the other hand, the concept of the flexible funding envelope has not been as effective. At outset, a fund of $0.5 million was allocated for flexible funding support for emerging needs and requests from </w:t>
      </w:r>
      <w:proofErr w:type="spellStart"/>
      <w:r w:rsidR="002525C6" w:rsidRPr="00F07461">
        <w:t>GoP</w:t>
      </w:r>
      <w:proofErr w:type="spellEnd"/>
      <w:r w:rsidRPr="00F07461">
        <w:t>.</w:t>
      </w:r>
      <w:r w:rsidRPr="00F07461">
        <w:rPr>
          <w:vertAlign w:val="superscript"/>
        </w:rPr>
        <w:footnoteReference w:id="8"/>
      </w:r>
      <w:r w:rsidRPr="00F07461">
        <w:t xml:space="preserve"> World Bank interviewees explained that it was difficult to identify small projects that would have measurable impacts aligned with </w:t>
      </w:r>
      <w:proofErr w:type="spellStart"/>
      <w:r w:rsidR="007628AF">
        <w:t>AGaP</w:t>
      </w:r>
      <w:r w:rsidRPr="00F07461">
        <w:t>’s</w:t>
      </w:r>
      <w:proofErr w:type="spellEnd"/>
      <w:r w:rsidRPr="00F07461">
        <w:t xml:space="preserve"> goals. The December 2020 Steering Committee noted the low uptake of the just-in-time support activities to date and agreed the remaining resources would be allocated to support the increased demand for analytical support during</w:t>
      </w:r>
      <w:r w:rsidR="0043670E">
        <w:t xml:space="preserve"> the pandemic and</w:t>
      </w:r>
      <w:r w:rsidRPr="00F07461">
        <w:t xml:space="preserve"> the upcoming political transition.</w:t>
      </w:r>
      <w:r w:rsidRPr="00F07461">
        <w:rPr>
          <w:vertAlign w:val="superscript"/>
        </w:rPr>
        <w:footnoteReference w:id="9"/>
      </w:r>
    </w:p>
    <w:p w14:paraId="7B9A6D42" w14:textId="09989815" w:rsidR="00121391" w:rsidRPr="00121391" w:rsidRDefault="00121391" w:rsidP="00121391">
      <w:pPr>
        <w:rPr>
          <w:rFonts w:ascii="Calibri" w:eastAsia="Calibri" w:hAnsi="Calibri" w:cs="Calibri"/>
          <w:color w:val="0563C1"/>
        </w:rPr>
      </w:pPr>
      <w:r>
        <w:lastRenderedPageBreak/>
        <w:t xml:space="preserve">At the January 2022 </w:t>
      </w:r>
      <w:r w:rsidR="00BC7CC8">
        <w:t>Steering Committee</w:t>
      </w:r>
      <w:r w:rsidR="00A84E0B">
        <w:t xml:space="preserve"> meeting</w:t>
      </w:r>
      <w:r>
        <w:t xml:space="preserve">, the co-chairs expressed appreciation for the continued effective partnership between WB and DFAT and the way that </w:t>
      </w:r>
      <w:proofErr w:type="spellStart"/>
      <w:r w:rsidR="007628AF">
        <w:t>AGaP</w:t>
      </w:r>
      <w:proofErr w:type="spellEnd"/>
      <w:r>
        <w:t xml:space="preserve"> has been able to respond flexibly and nimbly to the </w:t>
      </w:r>
      <w:r w:rsidR="002E69DD">
        <w:t>G</w:t>
      </w:r>
      <w:r>
        <w:t xml:space="preserve">overnment’s demands, particularly </w:t>
      </w:r>
      <w:r w:rsidR="002E69DD">
        <w:t xml:space="preserve">in </w:t>
      </w:r>
      <w:r>
        <w:t>respond</w:t>
      </w:r>
      <w:r w:rsidR="002E69DD">
        <w:t>ing</w:t>
      </w:r>
      <w:r>
        <w:t xml:space="preserve"> to the COVID-19 health and associated economic crisis.</w:t>
      </w:r>
    </w:p>
    <w:p w14:paraId="3BCC8A40" w14:textId="48D989B4" w:rsidR="00121391" w:rsidRDefault="00121391" w:rsidP="00121391">
      <w:pPr>
        <w:rPr>
          <w:b/>
        </w:rPr>
      </w:pPr>
      <w:r>
        <w:rPr>
          <w:b/>
        </w:rPr>
        <w:t>Disbursements</w:t>
      </w:r>
    </w:p>
    <w:p w14:paraId="2FE84884" w14:textId="7C0C6CB8" w:rsidR="00121391" w:rsidRDefault="00121391" w:rsidP="00121391">
      <w:r>
        <w:t xml:space="preserve">The World Bank has systems in place for monitoring and reporting on expenditure by grant. The most recent report available to the </w:t>
      </w:r>
      <w:r w:rsidR="00397A32">
        <w:t>MTR</w:t>
      </w:r>
      <w:r>
        <w:t xml:space="preserve"> team is dated 5</w:t>
      </w:r>
      <w:r w:rsidRPr="006F738B">
        <w:rPr>
          <w:vertAlign w:val="superscript"/>
        </w:rPr>
        <w:t>th</w:t>
      </w:r>
      <w:r>
        <w:t xml:space="preserve"> May 2022, which is slightly beyond the reporting period of this MTR</w:t>
      </w:r>
      <w:r w:rsidDel="007E66C7">
        <w:t xml:space="preserve">. </w:t>
      </w:r>
      <w:r>
        <w:t xml:space="preserve">The previous disbursement data, shared with the Operations Committee in September 2021, </w:t>
      </w:r>
      <w:r w:rsidR="00F3706F">
        <w:t>do</w:t>
      </w:r>
      <w:r>
        <w:t xml:space="preserve"> not include detail of disbursed and committed funds per grant</w:t>
      </w:r>
      <w:r w:rsidDel="007E66C7">
        <w:t xml:space="preserve">. </w:t>
      </w:r>
      <w:r>
        <w:t>The</w:t>
      </w:r>
      <w:r w:rsidR="00F3706F">
        <w:t xml:space="preserve"> following</w:t>
      </w:r>
      <w:r>
        <w:t xml:space="preserve"> table shows that </w:t>
      </w:r>
      <w:r w:rsidR="00C1244F">
        <w:t xml:space="preserve">81 </w:t>
      </w:r>
      <w:r w:rsidR="003819D3">
        <w:t xml:space="preserve">percent </w:t>
      </w:r>
      <w:r>
        <w:t>of the total trust fund allocation of $5 million had been</w:t>
      </w:r>
      <w:r w:rsidR="00C00B0F">
        <w:t xml:space="preserve"> </w:t>
      </w:r>
      <w:r>
        <w:t>approved by end of April 2022, and 64</w:t>
      </w:r>
      <w:r w:rsidR="003819D3">
        <w:t xml:space="preserve"> percent </w:t>
      </w:r>
      <w:r>
        <w:t xml:space="preserve">has been disbursed </w:t>
      </w:r>
      <w:r w:rsidR="00E96DEE">
        <w:t>or</w:t>
      </w:r>
      <w:r>
        <w:t xml:space="preserve"> </w:t>
      </w:r>
      <w:r w:rsidR="00E96DEE">
        <w:t xml:space="preserve">is </w:t>
      </w:r>
      <w:r>
        <w:t>committed</w:t>
      </w:r>
      <w:r w:rsidR="00E96DEE">
        <w:t xml:space="preserve"> expenditure</w:t>
      </w:r>
      <w:r>
        <w:t xml:space="preserve">. </w:t>
      </w:r>
      <w:r w:rsidR="00E96DEE">
        <w:t>There is an unspent balance of 18</w:t>
      </w:r>
      <w:r w:rsidR="005C07B5">
        <w:t xml:space="preserve"> percent </w:t>
      </w:r>
      <w:r w:rsidR="00E96DEE">
        <w:t xml:space="preserve">of the approved amount. </w:t>
      </w:r>
      <w:r>
        <w:t xml:space="preserve">As the program was over </w:t>
      </w:r>
      <w:r w:rsidR="00E45BB0">
        <w:t>halfway</w:t>
      </w:r>
      <w:r>
        <w:t xml:space="preserve"> through at this point, the pro rata disbursement target (assuming a linear expenditure pathway) would be approximately 60</w:t>
      </w:r>
      <w:r w:rsidR="00E45BB0">
        <w:t xml:space="preserve"> percent, </w:t>
      </w:r>
      <w:r>
        <w:t xml:space="preserve">and indeed this is what has been achieved. A more detailed disbursement table is in </w:t>
      </w:r>
      <w:r w:rsidRPr="001E7FDF">
        <w:t xml:space="preserve">Annex </w:t>
      </w:r>
      <w:r w:rsidR="00BF4005" w:rsidRPr="001E7FDF">
        <w:t>4</w:t>
      </w:r>
      <w:r w:rsidRPr="00BF4005">
        <w:t>.</w:t>
      </w:r>
    </w:p>
    <w:p w14:paraId="1D77A4D2" w14:textId="0FD66A57" w:rsidR="00121391" w:rsidRDefault="00121391" w:rsidP="00121391">
      <w:r>
        <w:t xml:space="preserve">The first </w:t>
      </w:r>
      <w:r w:rsidR="00E45BB0">
        <w:t>Steering</w:t>
      </w:r>
      <w:r w:rsidDel="00E45BB0">
        <w:t xml:space="preserve"> </w:t>
      </w:r>
      <w:r w:rsidR="00E45BB0">
        <w:t xml:space="preserve">Committee </w:t>
      </w:r>
      <w:r>
        <w:t>meeting in June 2019 agreed to frontload funding allocations, noting the limited window available for pursuing critical reforms during the remaining term of the Duterte administration and the potential need for analytical and advisory support during the political transition. This proved to be an efficient way to give momentum to the early phase of the program, as grant projects were able to mobili</w:t>
      </w:r>
      <w:r w:rsidR="00CF5E3A">
        <w:t>z</w:t>
      </w:r>
      <w:r>
        <w:t xml:space="preserve">e quickly. This is most notable in the DPL grant, where it was anticipated </w:t>
      </w:r>
      <w:r w:rsidR="0044375A">
        <w:t xml:space="preserve">that </w:t>
      </w:r>
      <w:r>
        <w:t>the project would need $400,000 per annum for three years, and this has proved to be an accurate forecast.</w:t>
      </w:r>
    </w:p>
    <w:p w14:paraId="11FAD559" w14:textId="49D7B6D4" w:rsidR="00121391" w:rsidRDefault="00121391" w:rsidP="00121391">
      <w:r>
        <w:t xml:space="preserve">The only </w:t>
      </w:r>
      <w:r w:rsidR="00C1244F">
        <w:t>projects</w:t>
      </w:r>
      <w:r>
        <w:t xml:space="preserve"> that </w:t>
      </w:r>
      <w:r w:rsidR="00C1244F">
        <w:t>have</w:t>
      </w:r>
      <w:r>
        <w:t xml:space="preserve"> notably underspent </w:t>
      </w:r>
      <w:r w:rsidR="00C1244F">
        <w:t>are</w:t>
      </w:r>
      <w:r>
        <w:t xml:space="preserve"> </w:t>
      </w:r>
      <w:r w:rsidR="006C1FEE">
        <w:t>TF P</w:t>
      </w:r>
      <w:r>
        <w:t xml:space="preserve">rogram </w:t>
      </w:r>
      <w:r w:rsidR="006C1FEE">
        <w:t>M</w:t>
      </w:r>
      <w:r>
        <w:t xml:space="preserve">anagement </w:t>
      </w:r>
      <w:r w:rsidR="00C1244F">
        <w:t xml:space="preserve">($200,000 not yet transferred to the account); and the Subnational Finance and Decentralization grant, whereby $125,000 of the underspend has been allocated to the next phase of </w:t>
      </w:r>
      <w:proofErr w:type="spellStart"/>
      <w:r w:rsidR="007628AF">
        <w:t>AGaP</w:t>
      </w:r>
      <w:proofErr w:type="spellEnd"/>
      <w:r w:rsidR="00C1244F">
        <w:t>.</w:t>
      </w:r>
      <w:r w:rsidR="00C1244F">
        <w:rPr>
          <w:rStyle w:val="FootnoteReference"/>
        </w:rPr>
        <w:footnoteReference w:id="10"/>
      </w:r>
      <w:r w:rsidR="00A57740">
        <w:t xml:space="preserve"> </w:t>
      </w:r>
      <w:r w:rsidR="001814E3">
        <w:t xml:space="preserve">The WB did not provide </w:t>
      </w:r>
      <w:r w:rsidR="00060984">
        <w:t>the MTR team with a satisfactory</w:t>
      </w:r>
      <w:r w:rsidR="00EA7DA1">
        <w:t xml:space="preserve"> explanation for the program management underspend.</w:t>
      </w:r>
    </w:p>
    <w:p w14:paraId="09BBF247" w14:textId="5535E232" w:rsidR="00121391" w:rsidRPr="00411980" w:rsidRDefault="00B90A1C" w:rsidP="00121391">
      <w:pPr>
        <w:rPr>
          <w:b/>
          <w:bCs/>
          <w:sz w:val="20"/>
          <w:szCs w:val="20"/>
        </w:rPr>
      </w:pPr>
      <w:r w:rsidRPr="00411980">
        <w:rPr>
          <w:b/>
          <w:bCs/>
          <w:sz w:val="20"/>
          <w:szCs w:val="20"/>
        </w:rPr>
        <w:t xml:space="preserve">Summary of disbursements as </w:t>
      </w:r>
      <w:r w:rsidR="00F52A57" w:rsidRPr="00411980">
        <w:rPr>
          <w:b/>
          <w:bCs/>
          <w:sz w:val="20"/>
          <w:szCs w:val="20"/>
        </w:rPr>
        <w:t xml:space="preserve">of </w:t>
      </w:r>
      <w:r w:rsidRPr="00411980">
        <w:rPr>
          <w:b/>
          <w:bCs/>
          <w:sz w:val="20"/>
          <w:szCs w:val="20"/>
        </w:rPr>
        <w:t>5</w:t>
      </w:r>
      <w:r w:rsidRPr="00411980">
        <w:rPr>
          <w:b/>
          <w:bCs/>
          <w:sz w:val="20"/>
          <w:szCs w:val="20"/>
          <w:vertAlign w:val="superscript"/>
        </w:rPr>
        <w:t>th</w:t>
      </w:r>
      <w:r w:rsidRPr="00411980">
        <w:rPr>
          <w:b/>
          <w:bCs/>
          <w:sz w:val="20"/>
          <w:szCs w:val="20"/>
        </w:rPr>
        <w:t xml:space="preserve"> May 2022</w:t>
      </w:r>
    </w:p>
    <w:tbl>
      <w:tblPr>
        <w:tblStyle w:val="TableGrid"/>
        <w:tblW w:w="0" w:type="auto"/>
        <w:tblLook w:val="04A0" w:firstRow="1" w:lastRow="0" w:firstColumn="1" w:lastColumn="0" w:noHBand="0" w:noVBand="1"/>
      </w:tblPr>
      <w:tblGrid>
        <w:gridCol w:w="1777"/>
        <w:gridCol w:w="1728"/>
        <w:gridCol w:w="1735"/>
        <w:gridCol w:w="1714"/>
        <w:gridCol w:w="1696"/>
      </w:tblGrid>
      <w:tr w:rsidR="00804A46" w14:paraId="435B8834" w14:textId="77777777" w:rsidTr="00804A46">
        <w:trPr>
          <w:tblHeader/>
        </w:trPr>
        <w:tc>
          <w:tcPr>
            <w:tcW w:w="1848" w:type="dxa"/>
          </w:tcPr>
          <w:p w14:paraId="6593B19D" w14:textId="77777777" w:rsidR="00804A46" w:rsidRDefault="00804A46" w:rsidP="00CA1A7A"/>
        </w:tc>
        <w:tc>
          <w:tcPr>
            <w:tcW w:w="1848" w:type="dxa"/>
            <w:vAlign w:val="bottom"/>
          </w:tcPr>
          <w:p w14:paraId="6E11C21A" w14:textId="77777777" w:rsidR="00804A46" w:rsidRDefault="00804A46" w:rsidP="00CA1A7A">
            <w:r>
              <w:rPr>
                <w:rFonts w:ascii="Arial Narrow" w:hAnsi="Arial Narrow" w:cs="Calibri"/>
                <w:color w:val="000000"/>
                <w:sz w:val="18"/>
                <w:szCs w:val="18"/>
              </w:rPr>
              <w:t xml:space="preserve">Approved </w:t>
            </w:r>
            <w:r w:rsidRPr="00F949DF">
              <w:rPr>
                <w:rFonts w:ascii="Arial Narrow" w:hAnsi="Arial Narrow" w:cs="Calibri"/>
                <w:color w:val="000000"/>
                <w:sz w:val="18"/>
                <w:szCs w:val="18"/>
              </w:rPr>
              <w:t>Grant amount</w:t>
            </w:r>
          </w:p>
        </w:tc>
        <w:tc>
          <w:tcPr>
            <w:tcW w:w="1848" w:type="dxa"/>
            <w:vAlign w:val="bottom"/>
          </w:tcPr>
          <w:p w14:paraId="3A505921" w14:textId="77777777" w:rsidR="00804A46" w:rsidRDefault="00804A46" w:rsidP="00CA1A7A">
            <w:r>
              <w:rPr>
                <w:rFonts w:ascii="Arial Narrow" w:hAnsi="Arial Narrow" w:cs="Calibri"/>
                <w:color w:val="000000"/>
                <w:sz w:val="18"/>
                <w:szCs w:val="18"/>
              </w:rPr>
              <w:t xml:space="preserve">Disbursed </w:t>
            </w:r>
            <w:r w:rsidRPr="00F949DF">
              <w:rPr>
                <w:rFonts w:ascii="Arial Narrow" w:hAnsi="Arial Narrow" w:cs="Calibri"/>
                <w:color w:val="000000"/>
                <w:sz w:val="18"/>
                <w:szCs w:val="18"/>
              </w:rPr>
              <w:t xml:space="preserve">&amp; </w:t>
            </w:r>
            <w:proofErr w:type="gramStart"/>
            <w:r w:rsidRPr="00F949DF">
              <w:rPr>
                <w:rFonts w:ascii="Arial Narrow" w:hAnsi="Arial Narrow" w:cs="Calibri"/>
                <w:color w:val="000000"/>
                <w:sz w:val="18"/>
                <w:szCs w:val="18"/>
              </w:rPr>
              <w:t>Committed</w:t>
            </w:r>
            <w:proofErr w:type="gramEnd"/>
          </w:p>
        </w:tc>
        <w:tc>
          <w:tcPr>
            <w:tcW w:w="1849" w:type="dxa"/>
            <w:vAlign w:val="bottom"/>
          </w:tcPr>
          <w:p w14:paraId="3778203B" w14:textId="77777777" w:rsidR="00804A46" w:rsidRDefault="00804A46" w:rsidP="00CA1A7A">
            <w:r w:rsidRPr="00F949DF">
              <w:rPr>
                <w:rFonts w:ascii="Arial Narrow" w:hAnsi="Arial Narrow" w:cs="Calibri"/>
                <w:color w:val="000000"/>
                <w:sz w:val="18"/>
                <w:szCs w:val="18"/>
              </w:rPr>
              <w:t>Balance</w:t>
            </w:r>
          </w:p>
        </w:tc>
        <w:tc>
          <w:tcPr>
            <w:tcW w:w="1849" w:type="dxa"/>
            <w:vAlign w:val="bottom"/>
          </w:tcPr>
          <w:p w14:paraId="167937BA" w14:textId="77777777" w:rsidR="00804A46" w:rsidRDefault="00804A46" w:rsidP="00CA1A7A">
            <w:r w:rsidRPr="00F949DF">
              <w:rPr>
                <w:rFonts w:ascii="Arial Narrow" w:hAnsi="Arial Narrow" w:cs="Calibri"/>
                <w:color w:val="000000"/>
                <w:sz w:val="18"/>
                <w:szCs w:val="18"/>
              </w:rPr>
              <w:t>% Spent</w:t>
            </w:r>
          </w:p>
        </w:tc>
      </w:tr>
      <w:tr w:rsidR="00804A46" w14:paraId="5BA3EF26" w14:textId="77777777" w:rsidTr="00CA1A7A">
        <w:tc>
          <w:tcPr>
            <w:tcW w:w="1848" w:type="dxa"/>
            <w:vAlign w:val="bottom"/>
          </w:tcPr>
          <w:p w14:paraId="2984FE1F" w14:textId="77777777" w:rsidR="00804A46" w:rsidRDefault="00804A46" w:rsidP="00CA1A7A">
            <w:r w:rsidRPr="00F949DF">
              <w:rPr>
                <w:rFonts w:ascii="Arial Narrow" w:hAnsi="Arial Narrow" w:cs="Calibri"/>
                <w:b/>
                <w:bCs/>
                <w:color w:val="000000"/>
                <w:sz w:val="18"/>
                <w:szCs w:val="18"/>
              </w:rPr>
              <w:t>1. Ongoing</w:t>
            </w:r>
          </w:p>
        </w:tc>
        <w:tc>
          <w:tcPr>
            <w:tcW w:w="1848" w:type="dxa"/>
            <w:vAlign w:val="bottom"/>
          </w:tcPr>
          <w:p w14:paraId="6E15ACD2" w14:textId="77777777" w:rsidR="00804A46" w:rsidRDefault="00804A46" w:rsidP="00CA1A7A">
            <w:r w:rsidRPr="00F949DF">
              <w:rPr>
                <w:rFonts w:ascii="Arial Narrow" w:hAnsi="Arial Narrow" w:cs="Calibri"/>
                <w:b/>
                <w:bCs/>
                <w:color w:val="000000"/>
                <w:sz w:val="18"/>
                <w:szCs w:val="18"/>
              </w:rPr>
              <w:t>3,350,000</w:t>
            </w:r>
          </w:p>
        </w:tc>
        <w:tc>
          <w:tcPr>
            <w:tcW w:w="1848" w:type="dxa"/>
            <w:vAlign w:val="bottom"/>
          </w:tcPr>
          <w:p w14:paraId="5093F205" w14:textId="77777777" w:rsidR="00804A46" w:rsidRDefault="00804A46" w:rsidP="00CA1A7A">
            <w:r w:rsidRPr="00F949DF">
              <w:rPr>
                <w:rFonts w:ascii="Arial Narrow" w:hAnsi="Arial Narrow" w:cs="Calibri"/>
                <w:b/>
                <w:bCs/>
                <w:color w:val="000000"/>
                <w:sz w:val="18"/>
                <w:szCs w:val="18"/>
              </w:rPr>
              <w:t>2,621,853</w:t>
            </w:r>
          </w:p>
        </w:tc>
        <w:tc>
          <w:tcPr>
            <w:tcW w:w="1849" w:type="dxa"/>
            <w:vAlign w:val="bottom"/>
          </w:tcPr>
          <w:p w14:paraId="56B87BDD" w14:textId="77777777" w:rsidR="00804A46" w:rsidRDefault="00804A46" w:rsidP="00CA1A7A">
            <w:r w:rsidRPr="00F949DF">
              <w:rPr>
                <w:rFonts w:ascii="Arial Narrow" w:hAnsi="Arial Narrow" w:cs="Calibri"/>
                <w:b/>
                <w:bCs/>
                <w:color w:val="000000"/>
                <w:sz w:val="18"/>
                <w:szCs w:val="18"/>
              </w:rPr>
              <w:t>728,147</w:t>
            </w:r>
          </w:p>
        </w:tc>
        <w:tc>
          <w:tcPr>
            <w:tcW w:w="1849" w:type="dxa"/>
            <w:vAlign w:val="bottom"/>
          </w:tcPr>
          <w:p w14:paraId="7E74A326" w14:textId="77777777" w:rsidR="00804A46" w:rsidRDefault="00804A46" w:rsidP="00CA1A7A">
            <w:r w:rsidRPr="00F949DF">
              <w:rPr>
                <w:rFonts w:ascii="Arial Narrow" w:hAnsi="Arial Narrow" w:cs="Calibri"/>
                <w:color w:val="000000"/>
                <w:sz w:val="18"/>
                <w:szCs w:val="18"/>
              </w:rPr>
              <w:t>78%</w:t>
            </w:r>
          </w:p>
        </w:tc>
      </w:tr>
      <w:tr w:rsidR="00804A46" w14:paraId="28F4053A" w14:textId="77777777" w:rsidTr="00CA1A7A">
        <w:tc>
          <w:tcPr>
            <w:tcW w:w="1848" w:type="dxa"/>
            <w:vAlign w:val="bottom"/>
          </w:tcPr>
          <w:p w14:paraId="3B1A78DF" w14:textId="77777777" w:rsidR="00804A46" w:rsidRDefault="00804A46" w:rsidP="00CA1A7A">
            <w:r w:rsidRPr="00F949DF">
              <w:rPr>
                <w:rFonts w:ascii="Arial Narrow" w:hAnsi="Arial Narrow" w:cs="Calibri"/>
                <w:color w:val="000000"/>
                <w:sz w:val="18"/>
                <w:szCs w:val="18"/>
              </w:rPr>
              <w:t xml:space="preserve">a. </w:t>
            </w:r>
            <w:proofErr w:type="spellStart"/>
            <w:r w:rsidRPr="00F949DF">
              <w:rPr>
                <w:rFonts w:ascii="Arial Narrow" w:hAnsi="Arial Narrow" w:cs="Calibri"/>
                <w:color w:val="000000"/>
                <w:sz w:val="18"/>
                <w:szCs w:val="18"/>
              </w:rPr>
              <w:t>AGaP</w:t>
            </w:r>
            <w:proofErr w:type="spellEnd"/>
            <w:r w:rsidRPr="00F949DF">
              <w:rPr>
                <w:rFonts w:ascii="Arial Narrow" w:hAnsi="Arial Narrow" w:cs="Calibri"/>
                <w:color w:val="000000"/>
                <w:sz w:val="18"/>
                <w:szCs w:val="18"/>
              </w:rPr>
              <w:t xml:space="preserve"> TF Program Management &amp; Grant Administration*</w:t>
            </w:r>
          </w:p>
        </w:tc>
        <w:tc>
          <w:tcPr>
            <w:tcW w:w="1848" w:type="dxa"/>
            <w:vAlign w:val="bottom"/>
          </w:tcPr>
          <w:p w14:paraId="019BC45A" w14:textId="77777777" w:rsidR="00804A46" w:rsidRDefault="00804A46" w:rsidP="00CA1A7A">
            <w:r w:rsidRPr="00F949DF">
              <w:rPr>
                <w:rFonts w:ascii="Arial Narrow" w:hAnsi="Arial Narrow" w:cs="Calibri"/>
                <w:i/>
                <w:iCs/>
                <w:color w:val="000000"/>
                <w:sz w:val="18"/>
                <w:szCs w:val="18"/>
              </w:rPr>
              <w:t>300,000</w:t>
            </w:r>
          </w:p>
        </w:tc>
        <w:tc>
          <w:tcPr>
            <w:tcW w:w="1848" w:type="dxa"/>
            <w:vAlign w:val="bottom"/>
          </w:tcPr>
          <w:p w14:paraId="4FC87328" w14:textId="77777777" w:rsidR="00804A46" w:rsidRDefault="00804A46" w:rsidP="00CA1A7A">
            <w:r w:rsidRPr="00F949DF">
              <w:rPr>
                <w:rFonts w:ascii="Arial Narrow" w:hAnsi="Arial Narrow" w:cs="Calibri"/>
                <w:i/>
                <w:iCs/>
                <w:color w:val="000000"/>
                <w:sz w:val="18"/>
                <w:szCs w:val="18"/>
              </w:rPr>
              <w:t>82,436</w:t>
            </w:r>
          </w:p>
        </w:tc>
        <w:tc>
          <w:tcPr>
            <w:tcW w:w="1849" w:type="dxa"/>
            <w:vAlign w:val="bottom"/>
          </w:tcPr>
          <w:p w14:paraId="57F6A3CB" w14:textId="77777777" w:rsidR="00804A46" w:rsidRDefault="00804A46" w:rsidP="00CA1A7A">
            <w:r w:rsidRPr="00F949DF">
              <w:rPr>
                <w:rFonts w:ascii="Arial Narrow" w:hAnsi="Arial Narrow" w:cs="Calibri"/>
                <w:i/>
                <w:iCs/>
                <w:color w:val="000000"/>
                <w:sz w:val="18"/>
                <w:szCs w:val="18"/>
              </w:rPr>
              <w:t>217,564</w:t>
            </w:r>
          </w:p>
        </w:tc>
        <w:tc>
          <w:tcPr>
            <w:tcW w:w="1849" w:type="dxa"/>
            <w:vAlign w:val="bottom"/>
          </w:tcPr>
          <w:p w14:paraId="2BF67505" w14:textId="77777777" w:rsidR="00804A46" w:rsidRDefault="00804A46" w:rsidP="00CA1A7A">
            <w:r w:rsidRPr="00F949DF">
              <w:rPr>
                <w:rFonts w:ascii="Arial Narrow" w:hAnsi="Arial Narrow" w:cs="Calibri"/>
                <w:color w:val="000000"/>
                <w:sz w:val="18"/>
                <w:szCs w:val="18"/>
              </w:rPr>
              <w:t>27%</w:t>
            </w:r>
          </w:p>
        </w:tc>
      </w:tr>
      <w:tr w:rsidR="00804A46" w14:paraId="396B81F1" w14:textId="77777777" w:rsidTr="00CA1A7A">
        <w:tc>
          <w:tcPr>
            <w:tcW w:w="1848" w:type="dxa"/>
            <w:vAlign w:val="bottom"/>
          </w:tcPr>
          <w:p w14:paraId="347955B1" w14:textId="77777777" w:rsidR="00804A46" w:rsidRDefault="00804A46" w:rsidP="00CA1A7A">
            <w:r w:rsidRPr="00F949DF">
              <w:rPr>
                <w:rFonts w:ascii="Arial Narrow" w:hAnsi="Arial Narrow" w:cs="Calibri"/>
                <w:color w:val="000000"/>
                <w:sz w:val="18"/>
                <w:szCs w:val="18"/>
              </w:rPr>
              <w:t xml:space="preserve">b. TA for </w:t>
            </w:r>
            <w:proofErr w:type="spellStart"/>
            <w:r w:rsidRPr="00F949DF">
              <w:rPr>
                <w:rFonts w:ascii="Arial Narrow" w:hAnsi="Arial Narrow" w:cs="Calibri"/>
                <w:color w:val="000000"/>
                <w:sz w:val="18"/>
                <w:szCs w:val="18"/>
              </w:rPr>
              <w:t>Pantawid</w:t>
            </w:r>
            <w:proofErr w:type="spellEnd"/>
            <w:r w:rsidRPr="00F949DF">
              <w:rPr>
                <w:rFonts w:ascii="Arial Narrow" w:hAnsi="Arial Narrow" w:cs="Calibri"/>
                <w:color w:val="000000"/>
                <w:sz w:val="18"/>
                <w:szCs w:val="18"/>
              </w:rPr>
              <w:t xml:space="preserve"> SP</w:t>
            </w:r>
          </w:p>
        </w:tc>
        <w:tc>
          <w:tcPr>
            <w:tcW w:w="1848" w:type="dxa"/>
            <w:vAlign w:val="bottom"/>
          </w:tcPr>
          <w:p w14:paraId="2DD9360D" w14:textId="77777777" w:rsidR="00804A46" w:rsidRDefault="00804A46" w:rsidP="00CA1A7A">
            <w:r w:rsidRPr="00F949DF">
              <w:rPr>
                <w:rFonts w:ascii="Arial Narrow" w:hAnsi="Arial Narrow" w:cs="Calibri"/>
                <w:i/>
                <w:iCs/>
                <w:color w:val="000000"/>
                <w:sz w:val="18"/>
                <w:szCs w:val="18"/>
              </w:rPr>
              <w:t>900,000</w:t>
            </w:r>
          </w:p>
        </w:tc>
        <w:tc>
          <w:tcPr>
            <w:tcW w:w="1848" w:type="dxa"/>
            <w:vAlign w:val="bottom"/>
          </w:tcPr>
          <w:p w14:paraId="00FB66E5" w14:textId="77777777" w:rsidR="00804A46" w:rsidRDefault="00804A46" w:rsidP="00CA1A7A">
            <w:r w:rsidRPr="00F949DF">
              <w:rPr>
                <w:rFonts w:ascii="Arial Narrow" w:hAnsi="Arial Narrow" w:cs="Calibri"/>
                <w:i/>
                <w:iCs/>
                <w:color w:val="000000"/>
                <w:sz w:val="18"/>
                <w:szCs w:val="18"/>
              </w:rPr>
              <w:t>675,014</w:t>
            </w:r>
          </w:p>
        </w:tc>
        <w:tc>
          <w:tcPr>
            <w:tcW w:w="1849" w:type="dxa"/>
            <w:vAlign w:val="bottom"/>
          </w:tcPr>
          <w:p w14:paraId="47A70E52" w14:textId="77777777" w:rsidR="00804A46" w:rsidRDefault="00804A46" w:rsidP="00CA1A7A">
            <w:r w:rsidRPr="00F949DF">
              <w:rPr>
                <w:rFonts w:ascii="Arial Narrow" w:hAnsi="Arial Narrow" w:cs="Calibri"/>
                <w:i/>
                <w:iCs/>
                <w:color w:val="000000"/>
                <w:sz w:val="18"/>
                <w:szCs w:val="18"/>
              </w:rPr>
              <w:t>224,986</w:t>
            </w:r>
          </w:p>
        </w:tc>
        <w:tc>
          <w:tcPr>
            <w:tcW w:w="1849" w:type="dxa"/>
            <w:vAlign w:val="bottom"/>
          </w:tcPr>
          <w:p w14:paraId="6EDD434B" w14:textId="77777777" w:rsidR="00804A46" w:rsidRDefault="00804A46" w:rsidP="00CA1A7A">
            <w:r w:rsidRPr="00F949DF">
              <w:rPr>
                <w:rFonts w:ascii="Arial Narrow" w:hAnsi="Arial Narrow" w:cs="Calibri"/>
                <w:color w:val="000000"/>
                <w:sz w:val="18"/>
                <w:szCs w:val="18"/>
              </w:rPr>
              <w:t>75%</w:t>
            </w:r>
          </w:p>
        </w:tc>
      </w:tr>
      <w:tr w:rsidR="00804A46" w14:paraId="278A9BC6" w14:textId="77777777" w:rsidTr="00CA1A7A">
        <w:tc>
          <w:tcPr>
            <w:tcW w:w="1848" w:type="dxa"/>
            <w:vAlign w:val="bottom"/>
          </w:tcPr>
          <w:p w14:paraId="6C64D164" w14:textId="77777777" w:rsidR="00804A46" w:rsidRDefault="00804A46" w:rsidP="00CA1A7A">
            <w:r w:rsidRPr="00F949DF">
              <w:rPr>
                <w:rFonts w:ascii="Arial Narrow" w:hAnsi="Arial Narrow" w:cs="Calibri"/>
                <w:color w:val="000000"/>
                <w:sz w:val="18"/>
                <w:szCs w:val="18"/>
              </w:rPr>
              <w:t>c. TA for DPL Programs</w:t>
            </w:r>
          </w:p>
        </w:tc>
        <w:tc>
          <w:tcPr>
            <w:tcW w:w="1848" w:type="dxa"/>
            <w:vAlign w:val="bottom"/>
          </w:tcPr>
          <w:p w14:paraId="72C1D72C" w14:textId="77777777" w:rsidR="00804A46" w:rsidRDefault="00804A46" w:rsidP="00CA1A7A">
            <w:r w:rsidRPr="00F949DF">
              <w:rPr>
                <w:rFonts w:ascii="Arial Narrow" w:hAnsi="Arial Narrow" w:cs="Calibri"/>
                <w:i/>
                <w:iCs/>
                <w:color w:val="000000"/>
                <w:sz w:val="18"/>
                <w:szCs w:val="18"/>
              </w:rPr>
              <w:t>1,350,000</w:t>
            </w:r>
          </w:p>
        </w:tc>
        <w:tc>
          <w:tcPr>
            <w:tcW w:w="1848" w:type="dxa"/>
            <w:vAlign w:val="bottom"/>
          </w:tcPr>
          <w:p w14:paraId="116897EA" w14:textId="77777777" w:rsidR="00804A46" w:rsidRDefault="00804A46" w:rsidP="00CA1A7A">
            <w:r w:rsidRPr="00F949DF">
              <w:rPr>
                <w:rFonts w:ascii="Arial Narrow" w:hAnsi="Arial Narrow" w:cs="Calibri"/>
                <w:i/>
                <w:iCs/>
                <w:color w:val="000000"/>
                <w:sz w:val="18"/>
                <w:szCs w:val="18"/>
              </w:rPr>
              <w:t>1,138,623</w:t>
            </w:r>
          </w:p>
        </w:tc>
        <w:tc>
          <w:tcPr>
            <w:tcW w:w="1849" w:type="dxa"/>
            <w:vAlign w:val="bottom"/>
          </w:tcPr>
          <w:p w14:paraId="7498B942" w14:textId="77777777" w:rsidR="00804A46" w:rsidRDefault="00804A46" w:rsidP="00CA1A7A">
            <w:r w:rsidRPr="00F949DF">
              <w:rPr>
                <w:rFonts w:ascii="Arial Narrow" w:hAnsi="Arial Narrow" w:cs="Calibri"/>
                <w:i/>
                <w:iCs/>
                <w:color w:val="000000"/>
                <w:sz w:val="18"/>
                <w:szCs w:val="18"/>
              </w:rPr>
              <w:t>211,377</w:t>
            </w:r>
          </w:p>
        </w:tc>
        <w:tc>
          <w:tcPr>
            <w:tcW w:w="1849" w:type="dxa"/>
            <w:vAlign w:val="bottom"/>
          </w:tcPr>
          <w:p w14:paraId="2207FD3C" w14:textId="77777777" w:rsidR="00804A46" w:rsidRDefault="00804A46" w:rsidP="00CA1A7A">
            <w:r w:rsidRPr="00F949DF">
              <w:rPr>
                <w:rFonts w:ascii="Arial Narrow" w:hAnsi="Arial Narrow" w:cs="Calibri"/>
                <w:color w:val="000000"/>
                <w:sz w:val="18"/>
                <w:szCs w:val="18"/>
              </w:rPr>
              <w:t>84%</w:t>
            </w:r>
          </w:p>
        </w:tc>
      </w:tr>
      <w:tr w:rsidR="00804A46" w14:paraId="31B1FC2C" w14:textId="77777777" w:rsidTr="00CA1A7A">
        <w:tc>
          <w:tcPr>
            <w:tcW w:w="1848" w:type="dxa"/>
            <w:vAlign w:val="bottom"/>
          </w:tcPr>
          <w:p w14:paraId="0B86BE85" w14:textId="77777777" w:rsidR="00804A46" w:rsidRDefault="00804A46" w:rsidP="00CA1A7A">
            <w:r w:rsidRPr="00F949DF">
              <w:rPr>
                <w:rFonts w:ascii="Arial Narrow" w:hAnsi="Arial Narrow" w:cs="Calibri"/>
                <w:color w:val="000000"/>
                <w:sz w:val="18"/>
                <w:szCs w:val="18"/>
              </w:rPr>
              <w:t>d. Implementation Support for Phil. COVID-19 Response Project</w:t>
            </w:r>
          </w:p>
        </w:tc>
        <w:tc>
          <w:tcPr>
            <w:tcW w:w="1848" w:type="dxa"/>
            <w:vAlign w:val="bottom"/>
          </w:tcPr>
          <w:p w14:paraId="4B47A1A6" w14:textId="77777777" w:rsidR="00804A46" w:rsidRDefault="00804A46" w:rsidP="00CA1A7A">
            <w:r w:rsidRPr="00F949DF">
              <w:rPr>
                <w:rFonts w:ascii="Arial Narrow" w:hAnsi="Arial Narrow" w:cs="Calibri"/>
                <w:i/>
                <w:iCs/>
                <w:color w:val="000000"/>
                <w:sz w:val="18"/>
                <w:szCs w:val="18"/>
              </w:rPr>
              <w:t>300,000</w:t>
            </w:r>
          </w:p>
        </w:tc>
        <w:tc>
          <w:tcPr>
            <w:tcW w:w="1848" w:type="dxa"/>
            <w:vAlign w:val="bottom"/>
          </w:tcPr>
          <w:p w14:paraId="16113307" w14:textId="77777777" w:rsidR="00804A46" w:rsidRDefault="00804A46" w:rsidP="00CA1A7A">
            <w:r w:rsidRPr="00F949DF">
              <w:rPr>
                <w:rFonts w:ascii="Arial Narrow" w:hAnsi="Arial Narrow" w:cs="Calibri"/>
                <w:i/>
                <w:iCs/>
                <w:color w:val="000000"/>
                <w:sz w:val="18"/>
                <w:szCs w:val="18"/>
              </w:rPr>
              <w:t>247,031</w:t>
            </w:r>
          </w:p>
        </w:tc>
        <w:tc>
          <w:tcPr>
            <w:tcW w:w="1849" w:type="dxa"/>
            <w:vAlign w:val="bottom"/>
          </w:tcPr>
          <w:p w14:paraId="2CDF3F3A" w14:textId="77777777" w:rsidR="00804A46" w:rsidRDefault="00804A46" w:rsidP="00CA1A7A">
            <w:r w:rsidRPr="00F949DF">
              <w:rPr>
                <w:rFonts w:ascii="Arial Narrow" w:hAnsi="Arial Narrow" w:cs="Calibri"/>
                <w:i/>
                <w:iCs/>
                <w:color w:val="000000"/>
                <w:sz w:val="18"/>
                <w:szCs w:val="18"/>
              </w:rPr>
              <w:t>52,969</w:t>
            </w:r>
          </w:p>
        </w:tc>
        <w:tc>
          <w:tcPr>
            <w:tcW w:w="1849" w:type="dxa"/>
            <w:vAlign w:val="bottom"/>
          </w:tcPr>
          <w:p w14:paraId="0B8969F1" w14:textId="77777777" w:rsidR="00804A46" w:rsidRDefault="00804A46" w:rsidP="00CA1A7A">
            <w:r w:rsidRPr="00F949DF">
              <w:rPr>
                <w:rFonts w:ascii="Arial Narrow" w:hAnsi="Arial Narrow" w:cs="Calibri"/>
                <w:color w:val="000000"/>
                <w:sz w:val="18"/>
                <w:szCs w:val="18"/>
              </w:rPr>
              <w:t>82%</w:t>
            </w:r>
          </w:p>
        </w:tc>
      </w:tr>
      <w:tr w:rsidR="00804A46" w14:paraId="7062570E" w14:textId="77777777" w:rsidTr="00CA1A7A">
        <w:tc>
          <w:tcPr>
            <w:tcW w:w="1848" w:type="dxa"/>
            <w:vAlign w:val="bottom"/>
          </w:tcPr>
          <w:p w14:paraId="1423F19D" w14:textId="77777777" w:rsidR="00804A46" w:rsidRDefault="00804A46" w:rsidP="00CA1A7A">
            <w:r w:rsidRPr="00F949DF">
              <w:rPr>
                <w:rFonts w:ascii="Arial Narrow" w:hAnsi="Arial Narrow" w:cs="Calibri"/>
                <w:color w:val="000000"/>
                <w:sz w:val="18"/>
                <w:szCs w:val="18"/>
              </w:rPr>
              <w:t>e. Real Time Monitoring of COVID-19 Impacts in Phil.</w:t>
            </w:r>
          </w:p>
        </w:tc>
        <w:tc>
          <w:tcPr>
            <w:tcW w:w="1848" w:type="dxa"/>
            <w:vAlign w:val="bottom"/>
          </w:tcPr>
          <w:p w14:paraId="41F8CE68" w14:textId="77777777" w:rsidR="00804A46" w:rsidRDefault="00804A46" w:rsidP="00CA1A7A">
            <w:r w:rsidRPr="00F949DF">
              <w:rPr>
                <w:rFonts w:ascii="Arial Narrow" w:hAnsi="Arial Narrow" w:cs="Calibri"/>
                <w:i/>
                <w:iCs/>
                <w:color w:val="000000"/>
                <w:sz w:val="18"/>
                <w:szCs w:val="18"/>
              </w:rPr>
              <w:t>500,000</w:t>
            </w:r>
          </w:p>
        </w:tc>
        <w:tc>
          <w:tcPr>
            <w:tcW w:w="1848" w:type="dxa"/>
            <w:vAlign w:val="bottom"/>
          </w:tcPr>
          <w:p w14:paraId="0113325E" w14:textId="77777777" w:rsidR="00804A46" w:rsidRDefault="00804A46" w:rsidP="00CA1A7A">
            <w:r w:rsidRPr="00F949DF">
              <w:rPr>
                <w:rFonts w:ascii="Arial Narrow" w:hAnsi="Arial Narrow" w:cs="Calibri"/>
                <w:i/>
                <w:iCs/>
                <w:color w:val="000000"/>
                <w:sz w:val="18"/>
                <w:szCs w:val="18"/>
              </w:rPr>
              <w:t>478,748</w:t>
            </w:r>
          </w:p>
        </w:tc>
        <w:tc>
          <w:tcPr>
            <w:tcW w:w="1849" w:type="dxa"/>
            <w:vAlign w:val="bottom"/>
          </w:tcPr>
          <w:p w14:paraId="587FF7AB" w14:textId="77777777" w:rsidR="00804A46" w:rsidRDefault="00804A46" w:rsidP="00CA1A7A">
            <w:r w:rsidRPr="00F949DF">
              <w:rPr>
                <w:rFonts w:ascii="Arial Narrow" w:hAnsi="Arial Narrow" w:cs="Calibri"/>
                <w:i/>
                <w:iCs/>
                <w:color w:val="000000"/>
                <w:sz w:val="18"/>
                <w:szCs w:val="18"/>
              </w:rPr>
              <w:t>21,252</w:t>
            </w:r>
          </w:p>
        </w:tc>
        <w:tc>
          <w:tcPr>
            <w:tcW w:w="1849" w:type="dxa"/>
            <w:vAlign w:val="bottom"/>
          </w:tcPr>
          <w:p w14:paraId="404D4BD1" w14:textId="77777777" w:rsidR="00804A46" w:rsidRDefault="00804A46" w:rsidP="00CA1A7A">
            <w:r w:rsidRPr="00F949DF">
              <w:rPr>
                <w:rFonts w:ascii="Arial Narrow" w:hAnsi="Arial Narrow" w:cs="Calibri"/>
                <w:color w:val="000000"/>
                <w:sz w:val="18"/>
                <w:szCs w:val="18"/>
              </w:rPr>
              <w:t>96%</w:t>
            </w:r>
          </w:p>
        </w:tc>
      </w:tr>
      <w:tr w:rsidR="00804A46" w14:paraId="34DEF7EA" w14:textId="77777777" w:rsidTr="00CA1A7A">
        <w:tc>
          <w:tcPr>
            <w:tcW w:w="1848" w:type="dxa"/>
            <w:vAlign w:val="bottom"/>
          </w:tcPr>
          <w:p w14:paraId="07B2B4E4" w14:textId="77777777" w:rsidR="00804A46" w:rsidRDefault="00804A46" w:rsidP="00CA1A7A">
            <w:r w:rsidRPr="00F949DF">
              <w:rPr>
                <w:rFonts w:ascii="Arial Narrow" w:hAnsi="Arial Narrow" w:cs="Calibri"/>
                <w:b/>
                <w:bCs/>
                <w:color w:val="000000"/>
                <w:sz w:val="18"/>
                <w:szCs w:val="18"/>
              </w:rPr>
              <w:t>2. Closed</w:t>
            </w:r>
          </w:p>
        </w:tc>
        <w:tc>
          <w:tcPr>
            <w:tcW w:w="1848" w:type="dxa"/>
            <w:vAlign w:val="bottom"/>
          </w:tcPr>
          <w:p w14:paraId="6DD24B98" w14:textId="77777777" w:rsidR="00804A46" w:rsidRDefault="00804A46" w:rsidP="00CA1A7A">
            <w:r w:rsidRPr="00F949DF">
              <w:rPr>
                <w:rFonts w:ascii="Arial Narrow" w:hAnsi="Arial Narrow" w:cs="Calibri"/>
                <w:b/>
                <w:bCs/>
                <w:color w:val="000000"/>
                <w:sz w:val="18"/>
                <w:szCs w:val="18"/>
              </w:rPr>
              <w:t>700,000</w:t>
            </w:r>
          </w:p>
        </w:tc>
        <w:tc>
          <w:tcPr>
            <w:tcW w:w="1848" w:type="dxa"/>
            <w:vAlign w:val="bottom"/>
          </w:tcPr>
          <w:p w14:paraId="37AAEBF9" w14:textId="77777777" w:rsidR="00804A46" w:rsidRDefault="00804A46" w:rsidP="00CA1A7A">
            <w:r w:rsidRPr="00F949DF">
              <w:rPr>
                <w:rFonts w:ascii="Arial Narrow" w:hAnsi="Arial Narrow" w:cs="Calibri"/>
                <w:b/>
                <w:bCs/>
                <w:color w:val="000000"/>
                <w:sz w:val="18"/>
                <w:szCs w:val="18"/>
              </w:rPr>
              <w:t>571,033</w:t>
            </w:r>
          </w:p>
        </w:tc>
        <w:tc>
          <w:tcPr>
            <w:tcW w:w="1849" w:type="dxa"/>
            <w:vAlign w:val="bottom"/>
          </w:tcPr>
          <w:p w14:paraId="332B7CB6" w14:textId="77777777" w:rsidR="00804A46" w:rsidRDefault="00804A46" w:rsidP="00CA1A7A">
            <w:r w:rsidRPr="00F949DF">
              <w:rPr>
                <w:rFonts w:ascii="Arial Narrow" w:hAnsi="Arial Narrow" w:cs="Calibri"/>
                <w:b/>
                <w:bCs/>
                <w:color w:val="000000"/>
                <w:sz w:val="18"/>
                <w:szCs w:val="18"/>
              </w:rPr>
              <w:t>128,967</w:t>
            </w:r>
          </w:p>
        </w:tc>
        <w:tc>
          <w:tcPr>
            <w:tcW w:w="1849" w:type="dxa"/>
            <w:vAlign w:val="bottom"/>
          </w:tcPr>
          <w:p w14:paraId="265C1003" w14:textId="77777777" w:rsidR="00804A46" w:rsidRDefault="00804A46" w:rsidP="00CA1A7A">
            <w:r w:rsidRPr="00F949DF">
              <w:rPr>
                <w:rFonts w:ascii="Arial Narrow" w:hAnsi="Arial Narrow" w:cs="Calibri"/>
                <w:color w:val="000000"/>
                <w:sz w:val="18"/>
                <w:szCs w:val="18"/>
              </w:rPr>
              <w:t>82%</w:t>
            </w:r>
          </w:p>
        </w:tc>
      </w:tr>
      <w:tr w:rsidR="00804A46" w14:paraId="4C713B66" w14:textId="77777777" w:rsidTr="00CA1A7A">
        <w:tc>
          <w:tcPr>
            <w:tcW w:w="1848" w:type="dxa"/>
            <w:vAlign w:val="bottom"/>
          </w:tcPr>
          <w:p w14:paraId="68D9A805" w14:textId="77777777" w:rsidR="00804A46" w:rsidRPr="00F949DF" w:rsidRDefault="00804A46" w:rsidP="00CA1A7A">
            <w:pPr>
              <w:rPr>
                <w:rFonts w:ascii="Arial Narrow" w:hAnsi="Arial Narrow" w:cs="Calibri"/>
                <w:b/>
                <w:bCs/>
                <w:color w:val="000000"/>
                <w:sz w:val="18"/>
                <w:szCs w:val="18"/>
              </w:rPr>
            </w:pPr>
            <w:r w:rsidRPr="00F949DF">
              <w:rPr>
                <w:rFonts w:ascii="Arial Narrow" w:hAnsi="Arial Narrow" w:cs="Calibri"/>
                <w:color w:val="000000"/>
                <w:sz w:val="18"/>
                <w:szCs w:val="18"/>
              </w:rPr>
              <w:lastRenderedPageBreak/>
              <w:t>a. Subnational Finance &amp; Decentralization (</w:t>
            </w:r>
            <w:proofErr w:type="spellStart"/>
            <w:r w:rsidRPr="00F949DF">
              <w:rPr>
                <w:rFonts w:ascii="Arial Narrow" w:hAnsi="Arial Narrow" w:cs="Calibri"/>
                <w:color w:val="000000"/>
                <w:sz w:val="18"/>
                <w:szCs w:val="18"/>
              </w:rPr>
              <w:t>Mandanas</w:t>
            </w:r>
            <w:proofErr w:type="spellEnd"/>
            <w:r w:rsidRPr="00F949DF">
              <w:rPr>
                <w:rFonts w:ascii="Arial Narrow" w:hAnsi="Arial Narrow" w:cs="Calibri"/>
                <w:color w:val="000000"/>
                <w:sz w:val="18"/>
                <w:szCs w:val="18"/>
              </w:rPr>
              <w:t xml:space="preserve"> Ruling)</w:t>
            </w:r>
          </w:p>
        </w:tc>
        <w:tc>
          <w:tcPr>
            <w:tcW w:w="1848" w:type="dxa"/>
            <w:vAlign w:val="bottom"/>
          </w:tcPr>
          <w:p w14:paraId="010FA3C2" w14:textId="77777777" w:rsidR="00804A46" w:rsidRPr="00F949DF" w:rsidRDefault="00804A46" w:rsidP="00CA1A7A">
            <w:pPr>
              <w:rPr>
                <w:rFonts w:ascii="Arial Narrow" w:hAnsi="Arial Narrow" w:cs="Calibri"/>
                <w:b/>
                <w:bCs/>
                <w:color w:val="000000"/>
                <w:sz w:val="18"/>
                <w:szCs w:val="18"/>
              </w:rPr>
            </w:pPr>
            <w:r w:rsidRPr="00F949DF">
              <w:rPr>
                <w:rFonts w:ascii="Arial Narrow" w:hAnsi="Arial Narrow" w:cs="Calibri"/>
                <w:i/>
                <w:iCs/>
                <w:color w:val="000000"/>
                <w:sz w:val="18"/>
                <w:szCs w:val="18"/>
              </w:rPr>
              <w:t>400,000</w:t>
            </w:r>
          </w:p>
        </w:tc>
        <w:tc>
          <w:tcPr>
            <w:tcW w:w="1848" w:type="dxa"/>
            <w:vAlign w:val="bottom"/>
          </w:tcPr>
          <w:p w14:paraId="5009F815" w14:textId="77777777" w:rsidR="00804A46" w:rsidRPr="00F949DF" w:rsidRDefault="00804A46" w:rsidP="00CA1A7A">
            <w:pPr>
              <w:rPr>
                <w:rFonts w:ascii="Arial Narrow" w:hAnsi="Arial Narrow" w:cs="Calibri"/>
                <w:b/>
                <w:bCs/>
                <w:color w:val="000000"/>
                <w:sz w:val="18"/>
                <w:szCs w:val="18"/>
              </w:rPr>
            </w:pPr>
            <w:r w:rsidRPr="00F949DF">
              <w:rPr>
                <w:rFonts w:ascii="Arial Narrow" w:hAnsi="Arial Narrow" w:cs="Calibri"/>
                <w:i/>
                <w:iCs/>
                <w:color w:val="000000"/>
                <w:sz w:val="18"/>
                <w:szCs w:val="18"/>
              </w:rPr>
              <w:t>271,436</w:t>
            </w:r>
          </w:p>
        </w:tc>
        <w:tc>
          <w:tcPr>
            <w:tcW w:w="1849" w:type="dxa"/>
            <w:vAlign w:val="bottom"/>
          </w:tcPr>
          <w:p w14:paraId="297F16B9" w14:textId="77777777" w:rsidR="00804A46" w:rsidRPr="00F949DF" w:rsidRDefault="00804A46" w:rsidP="00CA1A7A">
            <w:pPr>
              <w:rPr>
                <w:rFonts w:ascii="Arial Narrow" w:hAnsi="Arial Narrow" w:cs="Calibri"/>
                <w:b/>
                <w:bCs/>
                <w:color w:val="000000"/>
                <w:sz w:val="18"/>
                <w:szCs w:val="18"/>
              </w:rPr>
            </w:pPr>
            <w:r w:rsidRPr="00F949DF">
              <w:rPr>
                <w:rFonts w:ascii="Arial Narrow" w:hAnsi="Arial Narrow" w:cs="Calibri"/>
                <w:i/>
                <w:iCs/>
                <w:color w:val="000000"/>
                <w:sz w:val="18"/>
                <w:szCs w:val="18"/>
              </w:rPr>
              <w:t>128,564</w:t>
            </w:r>
          </w:p>
        </w:tc>
        <w:tc>
          <w:tcPr>
            <w:tcW w:w="1849" w:type="dxa"/>
            <w:vAlign w:val="bottom"/>
          </w:tcPr>
          <w:p w14:paraId="0B977507" w14:textId="77777777" w:rsidR="00804A46" w:rsidRPr="00F949DF" w:rsidRDefault="00804A46" w:rsidP="00CA1A7A">
            <w:pPr>
              <w:rPr>
                <w:rFonts w:ascii="Arial Narrow" w:hAnsi="Arial Narrow" w:cs="Calibri"/>
                <w:color w:val="000000"/>
                <w:sz w:val="18"/>
                <w:szCs w:val="18"/>
              </w:rPr>
            </w:pPr>
            <w:r w:rsidRPr="00F949DF">
              <w:rPr>
                <w:rFonts w:ascii="Arial Narrow" w:hAnsi="Arial Narrow" w:cs="Calibri"/>
                <w:color w:val="000000"/>
                <w:sz w:val="18"/>
                <w:szCs w:val="18"/>
              </w:rPr>
              <w:t>68%</w:t>
            </w:r>
          </w:p>
        </w:tc>
      </w:tr>
      <w:tr w:rsidR="00804A46" w14:paraId="5C3B2626" w14:textId="77777777" w:rsidTr="00CA1A7A">
        <w:tc>
          <w:tcPr>
            <w:tcW w:w="1848" w:type="dxa"/>
            <w:vAlign w:val="bottom"/>
          </w:tcPr>
          <w:p w14:paraId="2F009830" w14:textId="77777777" w:rsidR="00804A46" w:rsidRPr="00F949DF" w:rsidRDefault="00804A46" w:rsidP="00CA1A7A">
            <w:pPr>
              <w:rPr>
                <w:rFonts w:ascii="Arial Narrow" w:hAnsi="Arial Narrow" w:cs="Calibri"/>
                <w:color w:val="000000"/>
                <w:sz w:val="18"/>
                <w:szCs w:val="18"/>
              </w:rPr>
            </w:pPr>
            <w:r w:rsidRPr="00F949DF">
              <w:rPr>
                <w:rFonts w:ascii="Arial Narrow" w:hAnsi="Arial Narrow" w:cs="Calibri"/>
                <w:color w:val="000000"/>
                <w:sz w:val="18"/>
                <w:szCs w:val="18"/>
              </w:rPr>
              <w:t>b. Philippines Women’s Economic Empowerment Program</w:t>
            </w:r>
          </w:p>
        </w:tc>
        <w:tc>
          <w:tcPr>
            <w:tcW w:w="1848" w:type="dxa"/>
            <w:vAlign w:val="bottom"/>
          </w:tcPr>
          <w:p w14:paraId="44DB4500" w14:textId="77777777" w:rsidR="00804A46" w:rsidRPr="00F949DF" w:rsidRDefault="00804A46" w:rsidP="00CA1A7A">
            <w:pPr>
              <w:rPr>
                <w:rFonts w:ascii="Arial Narrow" w:hAnsi="Arial Narrow" w:cs="Calibri"/>
                <w:i/>
                <w:iCs/>
                <w:color w:val="000000"/>
                <w:sz w:val="18"/>
                <w:szCs w:val="18"/>
              </w:rPr>
            </w:pPr>
            <w:r w:rsidRPr="00F949DF">
              <w:rPr>
                <w:rFonts w:ascii="Arial Narrow" w:hAnsi="Arial Narrow" w:cs="Calibri"/>
                <w:i/>
                <w:iCs/>
                <w:color w:val="000000"/>
                <w:sz w:val="18"/>
                <w:szCs w:val="18"/>
              </w:rPr>
              <w:t>250,000</w:t>
            </w:r>
          </w:p>
        </w:tc>
        <w:tc>
          <w:tcPr>
            <w:tcW w:w="1848" w:type="dxa"/>
            <w:vAlign w:val="bottom"/>
          </w:tcPr>
          <w:p w14:paraId="2AF2E97E" w14:textId="77777777" w:rsidR="00804A46" w:rsidRPr="00F949DF" w:rsidRDefault="00804A46" w:rsidP="00CA1A7A">
            <w:pPr>
              <w:rPr>
                <w:rFonts w:ascii="Arial Narrow" w:hAnsi="Arial Narrow" w:cs="Calibri"/>
                <w:i/>
                <w:iCs/>
                <w:color w:val="000000"/>
                <w:sz w:val="18"/>
                <w:szCs w:val="18"/>
              </w:rPr>
            </w:pPr>
            <w:r w:rsidRPr="00F949DF">
              <w:rPr>
                <w:rFonts w:ascii="Arial Narrow" w:hAnsi="Arial Narrow" w:cs="Calibri"/>
                <w:i/>
                <w:iCs/>
                <w:color w:val="000000"/>
                <w:sz w:val="18"/>
                <w:szCs w:val="18"/>
              </w:rPr>
              <w:t>249,942</w:t>
            </w:r>
          </w:p>
        </w:tc>
        <w:tc>
          <w:tcPr>
            <w:tcW w:w="1849" w:type="dxa"/>
            <w:vAlign w:val="bottom"/>
          </w:tcPr>
          <w:p w14:paraId="43F44E1B" w14:textId="77777777" w:rsidR="00804A46" w:rsidRPr="00F949DF" w:rsidRDefault="00804A46" w:rsidP="00CA1A7A">
            <w:pPr>
              <w:rPr>
                <w:rFonts w:ascii="Arial Narrow" w:hAnsi="Arial Narrow" w:cs="Calibri"/>
                <w:i/>
                <w:iCs/>
                <w:color w:val="000000"/>
                <w:sz w:val="18"/>
                <w:szCs w:val="18"/>
              </w:rPr>
            </w:pPr>
            <w:r w:rsidRPr="00F949DF">
              <w:rPr>
                <w:rFonts w:ascii="Arial Narrow" w:hAnsi="Arial Narrow" w:cs="Calibri"/>
                <w:i/>
                <w:iCs/>
                <w:color w:val="000000"/>
                <w:sz w:val="18"/>
                <w:szCs w:val="18"/>
              </w:rPr>
              <w:t>58</w:t>
            </w:r>
          </w:p>
        </w:tc>
        <w:tc>
          <w:tcPr>
            <w:tcW w:w="1849" w:type="dxa"/>
            <w:vAlign w:val="bottom"/>
          </w:tcPr>
          <w:p w14:paraId="0E6538A7" w14:textId="77777777" w:rsidR="00804A46" w:rsidRPr="00F949DF" w:rsidRDefault="00804A46" w:rsidP="00CA1A7A">
            <w:pPr>
              <w:rPr>
                <w:rFonts w:ascii="Arial Narrow" w:hAnsi="Arial Narrow" w:cs="Calibri"/>
                <w:color w:val="000000"/>
                <w:sz w:val="18"/>
                <w:szCs w:val="18"/>
              </w:rPr>
            </w:pPr>
            <w:r w:rsidRPr="00F949DF">
              <w:rPr>
                <w:rFonts w:ascii="Arial Narrow" w:hAnsi="Arial Narrow" w:cs="Calibri"/>
                <w:color w:val="000000"/>
                <w:sz w:val="18"/>
                <w:szCs w:val="18"/>
              </w:rPr>
              <w:t>100%</w:t>
            </w:r>
          </w:p>
        </w:tc>
      </w:tr>
      <w:tr w:rsidR="00804A46" w14:paraId="74334719" w14:textId="77777777" w:rsidTr="00CA1A7A">
        <w:tc>
          <w:tcPr>
            <w:tcW w:w="1848" w:type="dxa"/>
            <w:vAlign w:val="bottom"/>
          </w:tcPr>
          <w:p w14:paraId="64336495" w14:textId="77777777" w:rsidR="00804A46" w:rsidRPr="00F949DF" w:rsidRDefault="00804A46" w:rsidP="00CA1A7A">
            <w:pPr>
              <w:rPr>
                <w:rFonts w:ascii="Arial Narrow" w:hAnsi="Arial Narrow" w:cs="Calibri"/>
                <w:color w:val="000000"/>
                <w:sz w:val="18"/>
                <w:szCs w:val="18"/>
              </w:rPr>
            </w:pPr>
            <w:r w:rsidRPr="00F949DF">
              <w:rPr>
                <w:rFonts w:ascii="Arial Narrow" w:hAnsi="Arial Narrow" w:cs="Calibri"/>
                <w:color w:val="000000"/>
                <w:sz w:val="18"/>
                <w:szCs w:val="18"/>
              </w:rPr>
              <w:t xml:space="preserve">c. Post COVID-19 Active Transport Program </w:t>
            </w:r>
            <w:proofErr w:type="spellStart"/>
            <w:r w:rsidRPr="00F949DF">
              <w:rPr>
                <w:rFonts w:ascii="Arial Narrow" w:hAnsi="Arial Narrow" w:cs="Calibri"/>
                <w:color w:val="000000"/>
                <w:sz w:val="18"/>
                <w:szCs w:val="18"/>
              </w:rPr>
              <w:t>Devt</w:t>
            </w:r>
            <w:proofErr w:type="spellEnd"/>
            <w:r w:rsidRPr="00F949DF">
              <w:rPr>
                <w:rFonts w:ascii="Arial Narrow" w:hAnsi="Arial Narrow" w:cs="Calibri"/>
                <w:color w:val="000000"/>
                <w:sz w:val="18"/>
                <w:szCs w:val="18"/>
              </w:rPr>
              <w:t xml:space="preserve"> in MM</w:t>
            </w:r>
          </w:p>
        </w:tc>
        <w:tc>
          <w:tcPr>
            <w:tcW w:w="1848" w:type="dxa"/>
            <w:vAlign w:val="bottom"/>
          </w:tcPr>
          <w:p w14:paraId="22A68DBC" w14:textId="77777777" w:rsidR="00804A46" w:rsidRPr="00F949DF" w:rsidRDefault="00804A46" w:rsidP="00CA1A7A">
            <w:pPr>
              <w:rPr>
                <w:rFonts w:ascii="Arial Narrow" w:hAnsi="Arial Narrow" w:cs="Calibri"/>
                <w:i/>
                <w:iCs/>
                <w:color w:val="000000"/>
                <w:sz w:val="18"/>
                <w:szCs w:val="18"/>
              </w:rPr>
            </w:pPr>
            <w:r w:rsidRPr="00F949DF">
              <w:rPr>
                <w:rFonts w:ascii="Arial Narrow" w:hAnsi="Arial Narrow" w:cs="Calibri"/>
                <w:i/>
                <w:iCs/>
                <w:color w:val="000000"/>
                <w:sz w:val="18"/>
                <w:szCs w:val="18"/>
              </w:rPr>
              <w:t>50,000</w:t>
            </w:r>
          </w:p>
        </w:tc>
        <w:tc>
          <w:tcPr>
            <w:tcW w:w="1848" w:type="dxa"/>
            <w:vAlign w:val="bottom"/>
          </w:tcPr>
          <w:p w14:paraId="6A982476" w14:textId="77777777" w:rsidR="00804A46" w:rsidRPr="00F949DF" w:rsidRDefault="00804A46" w:rsidP="00CA1A7A">
            <w:pPr>
              <w:rPr>
                <w:rFonts w:ascii="Arial Narrow" w:hAnsi="Arial Narrow" w:cs="Calibri"/>
                <w:i/>
                <w:iCs/>
                <w:color w:val="000000"/>
                <w:sz w:val="18"/>
                <w:szCs w:val="18"/>
              </w:rPr>
            </w:pPr>
            <w:r w:rsidRPr="00F949DF">
              <w:rPr>
                <w:rFonts w:ascii="Arial Narrow" w:hAnsi="Arial Narrow" w:cs="Calibri"/>
                <w:i/>
                <w:iCs/>
                <w:color w:val="000000"/>
                <w:sz w:val="18"/>
                <w:szCs w:val="18"/>
              </w:rPr>
              <w:t>49,655</w:t>
            </w:r>
          </w:p>
        </w:tc>
        <w:tc>
          <w:tcPr>
            <w:tcW w:w="1849" w:type="dxa"/>
            <w:vAlign w:val="bottom"/>
          </w:tcPr>
          <w:p w14:paraId="69BBA16D" w14:textId="77777777" w:rsidR="00804A46" w:rsidRPr="00F949DF" w:rsidRDefault="00804A46" w:rsidP="00CA1A7A">
            <w:pPr>
              <w:rPr>
                <w:rFonts w:ascii="Arial Narrow" w:hAnsi="Arial Narrow" w:cs="Calibri"/>
                <w:i/>
                <w:iCs/>
                <w:color w:val="000000"/>
                <w:sz w:val="18"/>
                <w:szCs w:val="18"/>
              </w:rPr>
            </w:pPr>
            <w:r w:rsidRPr="00F949DF">
              <w:rPr>
                <w:rFonts w:ascii="Arial Narrow" w:hAnsi="Arial Narrow" w:cs="Calibri"/>
                <w:i/>
                <w:iCs/>
                <w:color w:val="000000"/>
                <w:sz w:val="18"/>
                <w:szCs w:val="18"/>
              </w:rPr>
              <w:t>345</w:t>
            </w:r>
          </w:p>
        </w:tc>
        <w:tc>
          <w:tcPr>
            <w:tcW w:w="1849" w:type="dxa"/>
            <w:vAlign w:val="bottom"/>
          </w:tcPr>
          <w:p w14:paraId="5E2CB547" w14:textId="77777777" w:rsidR="00804A46" w:rsidRPr="00F949DF" w:rsidRDefault="00804A46" w:rsidP="00CA1A7A">
            <w:pPr>
              <w:rPr>
                <w:rFonts w:ascii="Arial Narrow" w:hAnsi="Arial Narrow" w:cs="Calibri"/>
                <w:color w:val="000000"/>
                <w:sz w:val="18"/>
                <w:szCs w:val="18"/>
              </w:rPr>
            </w:pPr>
            <w:r w:rsidRPr="00F949DF">
              <w:rPr>
                <w:rFonts w:ascii="Arial Narrow" w:hAnsi="Arial Narrow" w:cs="Calibri"/>
                <w:color w:val="000000"/>
                <w:sz w:val="18"/>
                <w:szCs w:val="18"/>
              </w:rPr>
              <w:t>99%</w:t>
            </w:r>
          </w:p>
        </w:tc>
      </w:tr>
      <w:tr w:rsidR="00804A46" w14:paraId="163E28FC" w14:textId="77777777" w:rsidTr="00CA1A7A">
        <w:tc>
          <w:tcPr>
            <w:tcW w:w="1848" w:type="dxa"/>
            <w:vAlign w:val="bottom"/>
          </w:tcPr>
          <w:p w14:paraId="6E3B6FE8" w14:textId="77777777" w:rsidR="00804A46" w:rsidRPr="00F949DF" w:rsidRDefault="00804A46" w:rsidP="00CA1A7A">
            <w:pPr>
              <w:rPr>
                <w:rFonts w:ascii="Arial Narrow" w:hAnsi="Arial Narrow" w:cs="Calibri"/>
                <w:color w:val="000000"/>
                <w:sz w:val="18"/>
                <w:szCs w:val="18"/>
              </w:rPr>
            </w:pPr>
            <w:r w:rsidRPr="00F949DF">
              <w:rPr>
                <w:rFonts w:ascii="Arial Narrow" w:hAnsi="Arial Narrow" w:cs="Calibri"/>
                <w:b/>
                <w:bCs/>
                <w:color w:val="000000"/>
                <w:sz w:val="18"/>
                <w:szCs w:val="18"/>
              </w:rPr>
              <w:t>TOTAL</w:t>
            </w:r>
          </w:p>
        </w:tc>
        <w:tc>
          <w:tcPr>
            <w:tcW w:w="1848" w:type="dxa"/>
            <w:vAlign w:val="bottom"/>
          </w:tcPr>
          <w:p w14:paraId="794111C9" w14:textId="77777777" w:rsidR="00804A46" w:rsidRPr="00F949DF" w:rsidRDefault="00804A46" w:rsidP="00CA1A7A">
            <w:pPr>
              <w:rPr>
                <w:rFonts w:ascii="Arial Narrow" w:hAnsi="Arial Narrow" w:cs="Calibri"/>
                <w:i/>
                <w:iCs/>
                <w:color w:val="000000"/>
                <w:sz w:val="18"/>
                <w:szCs w:val="18"/>
              </w:rPr>
            </w:pPr>
            <w:r w:rsidRPr="00F949DF">
              <w:rPr>
                <w:rFonts w:ascii="Arial Narrow" w:hAnsi="Arial Narrow" w:cs="Calibri"/>
                <w:b/>
                <w:bCs/>
                <w:color w:val="000000"/>
                <w:sz w:val="18"/>
                <w:szCs w:val="18"/>
              </w:rPr>
              <w:t>4,050,000</w:t>
            </w:r>
          </w:p>
        </w:tc>
        <w:tc>
          <w:tcPr>
            <w:tcW w:w="1848" w:type="dxa"/>
            <w:vAlign w:val="bottom"/>
          </w:tcPr>
          <w:p w14:paraId="50544B9F" w14:textId="77777777" w:rsidR="00804A46" w:rsidRPr="00F949DF" w:rsidRDefault="00804A46" w:rsidP="00CA1A7A">
            <w:pPr>
              <w:rPr>
                <w:rFonts w:ascii="Arial Narrow" w:hAnsi="Arial Narrow" w:cs="Calibri"/>
                <w:i/>
                <w:iCs/>
                <w:color w:val="000000"/>
                <w:sz w:val="18"/>
                <w:szCs w:val="18"/>
              </w:rPr>
            </w:pPr>
            <w:r w:rsidRPr="00F949DF">
              <w:rPr>
                <w:rFonts w:ascii="Arial Narrow" w:hAnsi="Arial Narrow" w:cs="Calibri"/>
                <w:b/>
                <w:bCs/>
                <w:color w:val="000000"/>
                <w:sz w:val="18"/>
                <w:szCs w:val="18"/>
              </w:rPr>
              <w:t>3,192,886</w:t>
            </w:r>
          </w:p>
        </w:tc>
        <w:tc>
          <w:tcPr>
            <w:tcW w:w="1849" w:type="dxa"/>
            <w:vAlign w:val="bottom"/>
          </w:tcPr>
          <w:p w14:paraId="4CE5F97D" w14:textId="77777777" w:rsidR="00804A46" w:rsidRPr="00F949DF" w:rsidRDefault="00804A46" w:rsidP="00CA1A7A">
            <w:pPr>
              <w:rPr>
                <w:rFonts w:ascii="Arial Narrow" w:hAnsi="Arial Narrow" w:cs="Calibri"/>
                <w:i/>
                <w:iCs/>
                <w:color w:val="000000"/>
                <w:sz w:val="18"/>
                <w:szCs w:val="18"/>
              </w:rPr>
            </w:pPr>
            <w:r w:rsidRPr="00F949DF">
              <w:rPr>
                <w:rFonts w:ascii="Arial Narrow" w:hAnsi="Arial Narrow" w:cs="Calibri"/>
                <w:b/>
                <w:bCs/>
                <w:color w:val="000000"/>
                <w:sz w:val="18"/>
                <w:szCs w:val="18"/>
              </w:rPr>
              <w:t>857,114</w:t>
            </w:r>
          </w:p>
        </w:tc>
        <w:tc>
          <w:tcPr>
            <w:tcW w:w="1849" w:type="dxa"/>
            <w:vAlign w:val="bottom"/>
          </w:tcPr>
          <w:p w14:paraId="2DA10B60" w14:textId="77777777" w:rsidR="00804A46" w:rsidRPr="00F949DF" w:rsidRDefault="00804A46" w:rsidP="00CA1A7A">
            <w:pPr>
              <w:rPr>
                <w:rFonts w:ascii="Arial Narrow" w:hAnsi="Arial Narrow" w:cs="Calibri"/>
                <w:color w:val="000000"/>
                <w:sz w:val="18"/>
                <w:szCs w:val="18"/>
              </w:rPr>
            </w:pPr>
            <w:r w:rsidRPr="00F949DF">
              <w:rPr>
                <w:rFonts w:ascii="Arial Narrow" w:hAnsi="Arial Narrow" w:cs="Calibri"/>
                <w:color w:val="000000"/>
                <w:sz w:val="18"/>
                <w:szCs w:val="18"/>
              </w:rPr>
              <w:t>79%</w:t>
            </w:r>
          </w:p>
        </w:tc>
      </w:tr>
    </w:tbl>
    <w:p w14:paraId="75D616A3" w14:textId="77777777" w:rsidR="004F1D23" w:rsidRDefault="004F1D23">
      <w:pPr>
        <w:rPr>
          <w:rFonts w:ascii="Arial" w:hAnsi="Arial" w:cs="Arial"/>
          <w:sz w:val="20"/>
          <w:szCs w:val="20"/>
        </w:rPr>
      </w:pPr>
      <w:r>
        <w:rPr>
          <w:rFonts w:ascii="Arial" w:hAnsi="Arial" w:cs="Arial"/>
          <w:sz w:val="20"/>
          <w:szCs w:val="20"/>
        </w:rPr>
        <w:br w:type="page"/>
      </w:r>
    </w:p>
    <w:p w14:paraId="6F4D95B3" w14:textId="7ACDA1FA" w:rsidR="0033568F" w:rsidRDefault="003B38E1" w:rsidP="00E03DD0">
      <w:pPr>
        <w:pStyle w:val="Heading2"/>
      </w:pPr>
      <w:bookmarkStart w:id="13" w:name="_Toc125560001"/>
      <w:r w:rsidRPr="006B5349">
        <w:lastRenderedPageBreak/>
        <w:t>Effectiveness</w:t>
      </w:r>
      <w:bookmarkEnd w:id="13"/>
    </w:p>
    <w:p w14:paraId="78AF0126" w14:textId="37467E57" w:rsidR="0033568F" w:rsidRPr="0033568F" w:rsidRDefault="007628AF" w:rsidP="0033568F">
      <w:pPr>
        <w:rPr>
          <w:lang w:eastAsia="en-US"/>
        </w:rPr>
      </w:pPr>
      <w:proofErr w:type="spellStart"/>
      <w:r>
        <w:rPr>
          <w:lang w:eastAsia="en-US"/>
        </w:rPr>
        <w:t>AGaP</w:t>
      </w:r>
      <w:r w:rsidR="0033568F">
        <w:rPr>
          <w:lang w:eastAsia="en-US"/>
        </w:rPr>
        <w:t>’s</w:t>
      </w:r>
      <w:proofErr w:type="spellEnd"/>
      <w:r w:rsidR="0033568F" w:rsidRPr="0033568F">
        <w:rPr>
          <w:lang w:eastAsia="en-US"/>
        </w:rPr>
        <w:t xml:space="preserve"> overall objective is </w:t>
      </w:r>
      <w:r w:rsidR="00A02C06">
        <w:rPr>
          <w:lang w:eastAsia="en-US"/>
        </w:rPr>
        <w:t>“</w:t>
      </w:r>
      <w:r w:rsidR="0033568F" w:rsidRPr="0033568F">
        <w:rPr>
          <w:lang w:eastAsia="en-US"/>
        </w:rPr>
        <w:t>to facilitate knowledge exchange and assist the Government of the Philippines in the design and implementation of policy reforms and programs</w:t>
      </w:r>
      <w:r w:rsidR="00A02C06">
        <w:rPr>
          <w:lang w:eastAsia="en-US"/>
        </w:rPr>
        <w:t>”</w:t>
      </w:r>
      <w:r w:rsidR="00C64AD4">
        <w:rPr>
          <w:lang w:eastAsia="en-US"/>
        </w:rPr>
        <w:t xml:space="preserve">. </w:t>
      </w:r>
      <w:r w:rsidR="0033568F" w:rsidRPr="0033568F">
        <w:rPr>
          <w:lang w:eastAsia="en-US"/>
        </w:rPr>
        <w:t>As this is more a description of a method of working instead of an endpoint, evaluating its effectiveness is likely to focus on the quality of the activities rather than the outcomes</w:t>
      </w:r>
      <w:r w:rsidR="00C64AD4">
        <w:rPr>
          <w:lang w:eastAsia="en-US"/>
        </w:rPr>
        <w:t xml:space="preserve">. </w:t>
      </w:r>
      <w:r w:rsidR="0033568F" w:rsidRPr="0033568F">
        <w:rPr>
          <w:lang w:eastAsia="en-US"/>
        </w:rPr>
        <w:t xml:space="preserve">Nonetheless, the </w:t>
      </w:r>
      <w:proofErr w:type="spellStart"/>
      <w:r>
        <w:rPr>
          <w:lang w:eastAsia="en-US"/>
        </w:rPr>
        <w:t>AGaP</w:t>
      </w:r>
      <w:proofErr w:type="spellEnd"/>
      <w:r w:rsidR="0033568F" w:rsidRPr="0033568F">
        <w:rPr>
          <w:lang w:eastAsia="en-US"/>
        </w:rPr>
        <w:t xml:space="preserve"> Annual Report (2021) does a good job of illustrating how the policy reforms supported by the program will enhance the conditions for economic recovery after the COVID-19 pandemic. This reflects the priority given to </w:t>
      </w:r>
      <w:r w:rsidR="00056517">
        <w:rPr>
          <w:lang w:eastAsia="en-US"/>
        </w:rPr>
        <w:t xml:space="preserve">said </w:t>
      </w:r>
      <w:r w:rsidR="0033568F" w:rsidRPr="0033568F">
        <w:rPr>
          <w:lang w:eastAsia="en-US"/>
        </w:rPr>
        <w:t xml:space="preserve">goal in the Steering Committee, where DFAT </w:t>
      </w:r>
      <w:r w:rsidR="00A02C06">
        <w:rPr>
          <w:lang w:eastAsia="en-US"/>
        </w:rPr>
        <w:t>“</w:t>
      </w:r>
      <w:r w:rsidR="0033568F" w:rsidRPr="0033568F">
        <w:rPr>
          <w:lang w:eastAsia="en-US"/>
        </w:rPr>
        <w:t xml:space="preserve">acknowledged the timely preparation of proposals to support </w:t>
      </w:r>
      <w:r w:rsidR="00056517">
        <w:rPr>
          <w:lang w:eastAsia="en-US"/>
        </w:rPr>
        <w:t>G</w:t>
      </w:r>
      <w:r w:rsidR="0033568F" w:rsidRPr="0033568F">
        <w:rPr>
          <w:lang w:eastAsia="en-US"/>
        </w:rPr>
        <w:t xml:space="preserve">overnment’s response to the </w:t>
      </w:r>
      <w:r w:rsidR="00056517" w:rsidRPr="0033568F">
        <w:rPr>
          <w:lang w:eastAsia="en-US"/>
        </w:rPr>
        <w:t>COVID</w:t>
      </w:r>
      <w:r w:rsidR="0033568F" w:rsidRPr="0033568F">
        <w:rPr>
          <w:lang w:eastAsia="en-US"/>
        </w:rPr>
        <w:t>-19 crisis…addressing short term needs of counterpart government agencies and reflecting longer term strategic implications</w:t>
      </w:r>
      <w:r w:rsidR="00A02C06">
        <w:rPr>
          <w:lang w:eastAsia="en-US"/>
        </w:rPr>
        <w:t>”.</w:t>
      </w:r>
      <w:r w:rsidR="00C20FB5">
        <w:rPr>
          <w:rStyle w:val="FootnoteReference"/>
          <w:lang w:eastAsia="en-US"/>
        </w:rPr>
        <w:footnoteReference w:id="11"/>
      </w:r>
      <w:r w:rsidR="00C20FB5">
        <w:rPr>
          <w:lang w:eastAsia="en-US"/>
        </w:rPr>
        <w:t xml:space="preserve"> </w:t>
      </w:r>
      <w:r w:rsidR="00876721">
        <w:rPr>
          <w:lang w:eastAsia="en-US"/>
        </w:rPr>
        <w:t xml:space="preserve">The </w:t>
      </w:r>
      <w:proofErr w:type="spellStart"/>
      <w:r>
        <w:rPr>
          <w:lang w:eastAsia="en-US"/>
        </w:rPr>
        <w:t>AGaP</w:t>
      </w:r>
      <w:proofErr w:type="spellEnd"/>
      <w:r w:rsidR="0033568F" w:rsidRPr="0033568F">
        <w:rPr>
          <w:lang w:eastAsia="en-US"/>
        </w:rPr>
        <w:t xml:space="preserve"> </w:t>
      </w:r>
      <w:r w:rsidR="00876721">
        <w:rPr>
          <w:lang w:eastAsia="en-US"/>
        </w:rPr>
        <w:t xml:space="preserve">strategy </w:t>
      </w:r>
      <w:r w:rsidR="0033568F" w:rsidRPr="0033568F">
        <w:rPr>
          <w:lang w:eastAsia="en-US"/>
        </w:rPr>
        <w:t>emphasises agility and speed of response, being proactive in analysing needs,</w:t>
      </w:r>
      <w:r w:rsidR="00CF4ACD">
        <w:rPr>
          <w:lang w:eastAsia="en-US"/>
        </w:rPr>
        <w:t xml:space="preserve"> and</w:t>
      </w:r>
      <w:r w:rsidR="0033568F" w:rsidRPr="0033568F">
        <w:rPr>
          <w:lang w:eastAsia="en-US"/>
        </w:rPr>
        <w:t xml:space="preserve"> shaping technical assistance to support policy reform</w:t>
      </w:r>
      <w:r w:rsidR="00C64AD4">
        <w:rPr>
          <w:lang w:eastAsia="en-US"/>
        </w:rPr>
        <w:t xml:space="preserve">. </w:t>
      </w:r>
      <w:r w:rsidR="0033568F" w:rsidRPr="0033568F">
        <w:rPr>
          <w:lang w:eastAsia="en-US"/>
        </w:rPr>
        <w:t xml:space="preserve">In respect of the change in emphasis required by the pandemic, </w:t>
      </w:r>
      <w:proofErr w:type="spellStart"/>
      <w:r>
        <w:rPr>
          <w:lang w:eastAsia="en-US"/>
        </w:rPr>
        <w:t>AGaP</w:t>
      </w:r>
      <w:proofErr w:type="spellEnd"/>
      <w:r w:rsidR="0033568F" w:rsidRPr="0033568F">
        <w:rPr>
          <w:lang w:eastAsia="en-US"/>
        </w:rPr>
        <w:t xml:space="preserve"> was effective in exemplifying that agility.</w:t>
      </w:r>
    </w:p>
    <w:p w14:paraId="68943210" w14:textId="681F75EB" w:rsidR="0033568F" w:rsidRPr="0033568F" w:rsidRDefault="0033568F" w:rsidP="0033568F">
      <w:pPr>
        <w:rPr>
          <w:lang w:eastAsia="en-US"/>
        </w:rPr>
      </w:pPr>
      <w:r w:rsidRPr="0033568F">
        <w:rPr>
          <w:lang w:eastAsia="en-US"/>
        </w:rPr>
        <w:t>The program is delivered through discrete grant-funded projects and most of this section of the evaluation report discusses each grant in turn</w:t>
      </w:r>
      <w:r w:rsidR="00C64AD4">
        <w:rPr>
          <w:lang w:eastAsia="en-US"/>
        </w:rPr>
        <w:t xml:space="preserve">. </w:t>
      </w:r>
      <w:r w:rsidRPr="0033568F">
        <w:rPr>
          <w:lang w:eastAsia="en-US"/>
        </w:rPr>
        <w:t>Each project has its own objectives and target outcomes, which are intended to contribute to the program’s overall objectives. The annual reports illustrate how aspects of each grant are relevant to the target outcomes. However, with some exceptions (for example, COVID</w:t>
      </w:r>
      <w:r w:rsidR="00876721">
        <w:rPr>
          <w:lang w:eastAsia="en-US"/>
        </w:rPr>
        <w:t>-19</w:t>
      </w:r>
      <w:r w:rsidRPr="0033568F">
        <w:rPr>
          <w:lang w:eastAsia="en-US"/>
        </w:rPr>
        <w:t xml:space="preserve"> response)</w:t>
      </w:r>
      <w:r w:rsidR="00F72CC3">
        <w:rPr>
          <w:lang w:eastAsia="en-US"/>
        </w:rPr>
        <w:t>,</w:t>
      </w:r>
      <w:r w:rsidRPr="0033568F">
        <w:rPr>
          <w:lang w:eastAsia="en-US"/>
        </w:rPr>
        <w:t xml:space="preserve"> the reports do not attempt to weave the threads together to show how the grants complement each other.</w:t>
      </w:r>
    </w:p>
    <w:p w14:paraId="07B36D4F" w14:textId="4FF594B1" w:rsidR="0033568F" w:rsidRPr="0033568F" w:rsidRDefault="007628AF" w:rsidP="0033568F">
      <w:pPr>
        <w:rPr>
          <w:lang w:eastAsia="en-US"/>
        </w:rPr>
      </w:pPr>
      <w:proofErr w:type="spellStart"/>
      <w:r>
        <w:rPr>
          <w:lang w:eastAsia="en-US"/>
        </w:rPr>
        <w:t>AGaP</w:t>
      </w:r>
      <w:r w:rsidR="00876721">
        <w:rPr>
          <w:lang w:eastAsia="en-US"/>
        </w:rPr>
        <w:t>’s</w:t>
      </w:r>
      <w:proofErr w:type="spellEnd"/>
      <w:r w:rsidR="00876721">
        <w:rPr>
          <w:lang w:eastAsia="en-US"/>
        </w:rPr>
        <w:t xml:space="preserve"> effectiveness</w:t>
      </w:r>
      <w:r w:rsidR="0033568F" w:rsidRPr="0033568F">
        <w:rPr>
          <w:lang w:eastAsia="en-US"/>
        </w:rPr>
        <w:t xml:space="preserve"> could be enhanced by exploring the pathways of action towards reform, what works and what does not, how specific inputs (for example, technical briefing notes) lead to policy outcomes, or why in some cases they do not. This is useful for capturing lessons that can be applied in other WB and DFAT programs, and indeed shared with the world at large. This would build on the legacy of work that DFAT has supported </w:t>
      </w:r>
      <w:r w:rsidR="00EF373D" w:rsidRPr="0033568F">
        <w:rPr>
          <w:lang w:eastAsia="en-US"/>
        </w:rPr>
        <w:t>around</w:t>
      </w:r>
      <w:r w:rsidR="0033568F" w:rsidRPr="0033568F">
        <w:rPr>
          <w:lang w:eastAsia="en-US"/>
        </w:rPr>
        <w:t xml:space="preserve"> ‘thinking and working politically</w:t>
      </w:r>
      <w:r w:rsidR="00EF373D">
        <w:rPr>
          <w:lang w:eastAsia="en-US"/>
        </w:rPr>
        <w:t>’</w:t>
      </w:r>
      <w:r w:rsidR="0033568F" w:rsidRPr="0033568F">
        <w:rPr>
          <w:lang w:eastAsia="en-US"/>
        </w:rPr>
        <w:t xml:space="preserve">, and </w:t>
      </w:r>
      <w:r w:rsidR="00401931">
        <w:rPr>
          <w:lang w:eastAsia="en-US"/>
        </w:rPr>
        <w:t>‘</w:t>
      </w:r>
      <w:r w:rsidR="0033568F" w:rsidRPr="0033568F">
        <w:rPr>
          <w:lang w:eastAsia="en-US"/>
        </w:rPr>
        <w:t>doing development differently</w:t>
      </w:r>
      <w:r w:rsidR="00401931">
        <w:rPr>
          <w:lang w:eastAsia="en-US"/>
        </w:rPr>
        <w:t>’</w:t>
      </w:r>
      <w:r w:rsidR="0033568F" w:rsidRPr="0033568F">
        <w:rPr>
          <w:lang w:eastAsia="en-US"/>
        </w:rPr>
        <w:t>.</w:t>
      </w:r>
      <w:r w:rsidR="00EF373D">
        <w:rPr>
          <w:lang w:eastAsia="en-US"/>
        </w:rPr>
        <w:t xml:space="preserve"> </w:t>
      </w:r>
      <w:r w:rsidR="0033568F" w:rsidRPr="0033568F">
        <w:rPr>
          <w:lang w:eastAsia="en-US"/>
        </w:rPr>
        <w:t xml:space="preserve">The M&amp;E section of this report suggests how </w:t>
      </w:r>
      <w:proofErr w:type="spellStart"/>
      <w:r>
        <w:rPr>
          <w:lang w:eastAsia="en-US"/>
        </w:rPr>
        <w:t>AGaP</w:t>
      </w:r>
      <w:proofErr w:type="spellEnd"/>
      <w:r w:rsidR="0033568F" w:rsidRPr="0033568F">
        <w:rPr>
          <w:lang w:eastAsia="en-US"/>
        </w:rPr>
        <w:t xml:space="preserve"> can contribute to this domain.</w:t>
      </w:r>
    </w:p>
    <w:p w14:paraId="67509F8A" w14:textId="6DEE9610" w:rsidR="0033568F" w:rsidRPr="00D15B27" w:rsidRDefault="0033568F" w:rsidP="00547DC5">
      <w:pPr>
        <w:rPr>
          <w:lang w:eastAsia="en-US"/>
        </w:rPr>
      </w:pPr>
      <w:r w:rsidRPr="0033568F">
        <w:rPr>
          <w:lang w:eastAsia="en-US"/>
        </w:rPr>
        <w:t>However, the absence of such an analysis does not diminish the effectiveness of the program in largely achieving its objectives and target outcomes as set out in the results framework.</w:t>
      </w:r>
    </w:p>
    <w:p w14:paraId="3FBE13C9" w14:textId="13BC52B2" w:rsidR="003B38E1" w:rsidRDefault="003B38E1" w:rsidP="00E03DD0">
      <w:pPr>
        <w:pStyle w:val="Heading3"/>
        <w:rPr>
          <w:lang w:val="en"/>
        </w:rPr>
      </w:pPr>
      <w:bookmarkStart w:id="14" w:name="_Toc125560002"/>
      <w:r w:rsidRPr="00C13FE7">
        <w:rPr>
          <w:color w:val="auto"/>
          <w:lang w:val="en"/>
        </w:rPr>
        <w:t xml:space="preserve">Technical </w:t>
      </w:r>
      <w:r w:rsidR="0092165E" w:rsidRPr="00C13FE7">
        <w:rPr>
          <w:color w:val="auto"/>
          <w:lang w:val="en"/>
        </w:rPr>
        <w:t xml:space="preserve">Assistance for </w:t>
      </w:r>
      <w:r w:rsidRPr="00C13FE7">
        <w:rPr>
          <w:color w:val="auto"/>
          <w:lang w:val="en"/>
        </w:rPr>
        <w:t xml:space="preserve">Development Policy Loan </w:t>
      </w:r>
      <w:r w:rsidR="0092165E" w:rsidRPr="00C13FE7">
        <w:rPr>
          <w:color w:val="auto"/>
          <w:lang w:val="en"/>
        </w:rPr>
        <w:t>(</w:t>
      </w:r>
      <w:r w:rsidRPr="00C13FE7">
        <w:rPr>
          <w:color w:val="auto"/>
          <w:lang w:val="en"/>
        </w:rPr>
        <w:t>DPL</w:t>
      </w:r>
      <w:r w:rsidR="0092165E" w:rsidRPr="00C13FE7">
        <w:rPr>
          <w:color w:val="auto"/>
          <w:lang w:val="en"/>
        </w:rPr>
        <w:t>) Reforms</w:t>
      </w:r>
      <w:bookmarkEnd w:id="14"/>
      <w:r w:rsidR="0092165E" w:rsidRPr="00C13FE7">
        <w:rPr>
          <w:color w:val="auto"/>
          <w:lang w:val="en"/>
        </w:rPr>
        <w:t xml:space="preserve"> </w:t>
      </w:r>
    </w:p>
    <w:p w14:paraId="055920B0" w14:textId="74FFD4F4" w:rsidR="00846BAB" w:rsidRPr="00CE2D97" w:rsidRDefault="009243E1" w:rsidP="00270F4C">
      <w:pPr>
        <w:spacing w:after="200"/>
        <w:rPr>
          <w:color w:val="000000" w:themeColor="text1"/>
        </w:rPr>
      </w:pPr>
      <w:r w:rsidRPr="00CE2D97">
        <w:rPr>
          <w:bCs/>
          <w:color w:val="000000" w:themeColor="text1"/>
        </w:rPr>
        <w:t xml:space="preserve">Key </w:t>
      </w:r>
      <w:r w:rsidR="00846BAB" w:rsidRPr="00CE2D97">
        <w:rPr>
          <w:color w:val="000000" w:themeColor="text1"/>
        </w:rPr>
        <w:t>f</w:t>
      </w:r>
      <w:r w:rsidRPr="00CE2D97">
        <w:rPr>
          <w:color w:val="000000" w:themeColor="text1"/>
        </w:rPr>
        <w:t>inding</w:t>
      </w:r>
      <w:r w:rsidR="00DE4B6E">
        <w:rPr>
          <w:color w:val="000000" w:themeColor="text1"/>
        </w:rPr>
        <w:t>s</w:t>
      </w:r>
      <w:r w:rsidRPr="00CE2D97">
        <w:rPr>
          <w:color w:val="000000" w:themeColor="text1"/>
        </w:rPr>
        <w:t xml:space="preserve">: </w:t>
      </w:r>
    </w:p>
    <w:p w14:paraId="1A662499" w14:textId="4385999E" w:rsidR="009243E1" w:rsidRPr="00547DC5" w:rsidRDefault="007628AF" w:rsidP="0089441D">
      <w:pPr>
        <w:pStyle w:val="ListParagraph"/>
        <w:numPr>
          <w:ilvl w:val="0"/>
          <w:numId w:val="20"/>
        </w:numPr>
        <w:spacing w:after="200"/>
        <w:rPr>
          <w:bCs/>
          <w:color w:val="000000" w:themeColor="text1"/>
        </w:rPr>
      </w:pPr>
      <w:proofErr w:type="spellStart"/>
      <w:r>
        <w:rPr>
          <w:bCs/>
          <w:color w:val="000000" w:themeColor="text1"/>
        </w:rPr>
        <w:t>AGaP</w:t>
      </w:r>
      <w:proofErr w:type="spellEnd"/>
      <w:r w:rsidR="009243E1" w:rsidRPr="00547DC5">
        <w:rPr>
          <w:bCs/>
          <w:color w:val="000000" w:themeColor="text1"/>
        </w:rPr>
        <w:t xml:space="preserve"> support through the DPL series facilitated rapid and practical governance support to </w:t>
      </w:r>
      <w:proofErr w:type="spellStart"/>
      <w:r w:rsidR="009243E1" w:rsidRPr="00547DC5">
        <w:rPr>
          <w:bCs/>
          <w:color w:val="000000" w:themeColor="text1"/>
        </w:rPr>
        <w:t>GoP</w:t>
      </w:r>
      <w:proofErr w:type="spellEnd"/>
      <w:r w:rsidR="009243E1" w:rsidRPr="00547DC5">
        <w:rPr>
          <w:bCs/>
          <w:color w:val="000000" w:themeColor="text1"/>
        </w:rPr>
        <w:t>. The grant achieved this through highly targeted technical assistance around some specific areas of implementation of economic reforms.</w:t>
      </w:r>
    </w:p>
    <w:p w14:paraId="7733BF44" w14:textId="579BAF4B" w:rsidR="00270F4C" w:rsidRDefault="00270F4C" w:rsidP="00270F4C">
      <w:pPr>
        <w:spacing w:after="200"/>
        <w:rPr>
          <w:rFonts w:ascii="Calibri" w:eastAsia="Calibri" w:hAnsi="Calibri" w:cs="Calibri"/>
          <w:color w:val="0563C1"/>
        </w:rPr>
      </w:pPr>
      <w:r>
        <w:t xml:space="preserve">This is the largest grant in the </w:t>
      </w:r>
      <w:proofErr w:type="spellStart"/>
      <w:r w:rsidR="007628AF">
        <w:t>AGaP</w:t>
      </w:r>
      <w:proofErr w:type="spellEnd"/>
      <w:r>
        <w:t xml:space="preserve"> portfolio and aims to provide ‘just</w:t>
      </w:r>
      <w:r w:rsidR="00EB6D12">
        <w:t>-</w:t>
      </w:r>
      <w:r>
        <w:t>in</w:t>
      </w:r>
      <w:r w:rsidR="00EB6D12">
        <w:t>-</w:t>
      </w:r>
      <w:r>
        <w:t xml:space="preserve">time’ technical assistance to support the Government of the Philippines </w:t>
      </w:r>
      <w:r w:rsidR="00805166">
        <w:t xml:space="preserve">in </w:t>
      </w:r>
      <w:r>
        <w:t xml:space="preserve">promoting competitiveness and enhancing fiscal sustainability. This project accompanies the World Bank’s Development Policy Loan (DPL) series, which aims to support the </w:t>
      </w:r>
      <w:r w:rsidR="00B4657F">
        <w:t xml:space="preserve">Government’s </w:t>
      </w:r>
      <w:r w:rsidR="009A65DE">
        <w:t xml:space="preserve">goal of </w:t>
      </w:r>
      <w:r>
        <w:t>boost</w:t>
      </w:r>
      <w:r w:rsidR="009A65DE">
        <w:t>ing</w:t>
      </w:r>
      <w:r>
        <w:t xml:space="preserve"> inclusive growth, </w:t>
      </w:r>
      <w:r w:rsidR="009A65DE">
        <w:t xml:space="preserve">accelerating </w:t>
      </w:r>
      <w:r>
        <w:t>poverty reduction, and strengthen</w:t>
      </w:r>
      <w:r w:rsidR="009A65DE">
        <w:t>ing</w:t>
      </w:r>
      <w:r>
        <w:t xml:space="preserve"> resilience to natural disasters and climate change.</w:t>
      </w:r>
    </w:p>
    <w:p w14:paraId="173D9E53" w14:textId="2B7ECBA4" w:rsidR="00270F4C" w:rsidRDefault="00270F4C" w:rsidP="00270F4C">
      <w:pPr>
        <w:spacing w:after="200"/>
        <w:rPr>
          <w:rFonts w:ascii="Calibri" w:eastAsia="Calibri" w:hAnsi="Calibri" w:cs="Calibri"/>
          <w:color w:val="0563C1"/>
          <w:u w:val="single"/>
        </w:rPr>
      </w:pPr>
      <w:r>
        <w:t xml:space="preserve">There is good evidence from the literature review and interviews that </w:t>
      </w:r>
      <w:proofErr w:type="spellStart"/>
      <w:r w:rsidR="007628AF">
        <w:t>AGaP</w:t>
      </w:r>
      <w:proofErr w:type="spellEnd"/>
      <w:r>
        <w:t xml:space="preserve"> support through the DPL series facilitated rapid and practical governance support to </w:t>
      </w:r>
      <w:proofErr w:type="spellStart"/>
      <w:r>
        <w:t>GoP</w:t>
      </w:r>
      <w:proofErr w:type="spellEnd"/>
      <w:r>
        <w:t xml:space="preserve">. The project achieved this through highly targeted technical assistance that provided analytical underpinnings for policy </w:t>
      </w:r>
      <w:r>
        <w:lastRenderedPageBreak/>
        <w:t xml:space="preserve">reform, as well as technical support for the implementation of complex reforms such as rice tariff </w:t>
      </w:r>
      <w:r w:rsidR="009A65DE">
        <w:t xml:space="preserve">liberalization </w:t>
      </w:r>
      <w:r>
        <w:t xml:space="preserve">and the </w:t>
      </w:r>
      <w:r w:rsidR="00D64616">
        <w:t xml:space="preserve">national </w:t>
      </w:r>
      <w:r>
        <w:t>identification system (</w:t>
      </w:r>
      <w:proofErr w:type="spellStart"/>
      <w:r>
        <w:t>PhilSys</w:t>
      </w:r>
      <w:proofErr w:type="spellEnd"/>
      <w:r>
        <w:t xml:space="preserve">). </w:t>
      </w:r>
    </w:p>
    <w:p w14:paraId="31EF8B21" w14:textId="38AE6170" w:rsidR="00270F4C" w:rsidRDefault="00270F4C" w:rsidP="00270F4C">
      <w:pPr>
        <w:spacing w:after="200"/>
      </w:pPr>
      <w:r>
        <w:t xml:space="preserve">According to WB team members, one of the strengths of </w:t>
      </w:r>
      <w:proofErr w:type="spellStart"/>
      <w:r w:rsidR="007628AF">
        <w:t>AGaP</w:t>
      </w:r>
      <w:proofErr w:type="spellEnd"/>
      <w:r>
        <w:t xml:space="preserve"> is the way it enabled them to commit to helping </w:t>
      </w:r>
      <w:proofErr w:type="spellStart"/>
      <w:r>
        <w:t>GoP</w:t>
      </w:r>
      <w:proofErr w:type="spellEnd"/>
      <w:r>
        <w:t xml:space="preserve"> counterparts achieve the</w:t>
      </w:r>
      <w:r w:rsidR="00684A5A">
        <w:t xml:space="preserve"> </w:t>
      </w:r>
      <w:r>
        <w:t>DPL milestone triggers</w:t>
      </w:r>
      <w:r w:rsidR="00684A5A">
        <w:t xml:space="preserve"> by providing </w:t>
      </w:r>
      <w:r>
        <w:t xml:space="preserve">targeted TA for each theme. In turn, this encouraged </w:t>
      </w:r>
      <w:proofErr w:type="spellStart"/>
      <w:r>
        <w:t>GoP</w:t>
      </w:r>
      <w:proofErr w:type="spellEnd"/>
      <w:r>
        <w:t xml:space="preserve"> to engage with the wider DPL process, with confidence </w:t>
      </w:r>
      <w:r w:rsidR="00D64616">
        <w:t xml:space="preserve">that </w:t>
      </w:r>
      <w:r>
        <w:t xml:space="preserve">they </w:t>
      </w:r>
      <w:r w:rsidR="00E90491">
        <w:t xml:space="preserve">would </w:t>
      </w:r>
      <w:r>
        <w:t xml:space="preserve">receive necessary support. Additionally, the WB Global Practice </w:t>
      </w:r>
      <w:r w:rsidR="009462F5">
        <w:t xml:space="preserve">team </w:t>
      </w:r>
      <w:r>
        <w:t xml:space="preserve">dealing with various line agencies related to </w:t>
      </w:r>
      <w:r w:rsidR="00466976">
        <w:t xml:space="preserve">the </w:t>
      </w:r>
      <w:r>
        <w:t xml:space="preserve">DPL reform triggers expressed satisfaction with the way </w:t>
      </w:r>
      <w:proofErr w:type="spellStart"/>
      <w:r w:rsidR="007628AF">
        <w:t>AGaP</w:t>
      </w:r>
      <w:proofErr w:type="spellEnd"/>
      <w:r>
        <w:t xml:space="preserve"> was able to assign technical assistance to complement their support. This </w:t>
      </w:r>
      <w:r w:rsidR="00684A5A">
        <w:t xml:space="preserve">is </w:t>
      </w:r>
      <w:r>
        <w:t xml:space="preserve">an example of how </w:t>
      </w:r>
      <w:proofErr w:type="spellStart"/>
      <w:r w:rsidR="007628AF">
        <w:t>AGaP</w:t>
      </w:r>
      <w:proofErr w:type="spellEnd"/>
      <w:r>
        <w:t xml:space="preserve"> added value to the large DPL loan</w:t>
      </w:r>
      <w:r w:rsidR="00381F7D">
        <w:t xml:space="preserve"> and enhanced </w:t>
      </w:r>
      <w:r>
        <w:t>the likelihood of a successful outcome.</w:t>
      </w:r>
    </w:p>
    <w:p w14:paraId="4DB93493" w14:textId="4A2E9FF1" w:rsidR="00270F4C" w:rsidRDefault="00270F4C" w:rsidP="00270F4C">
      <w:pPr>
        <w:spacing w:after="200"/>
      </w:pPr>
      <w:r>
        <w:rPr>
          <w:b/>
        </w:rPr>
        <w:t xml:space="preserve">Example </w:t>
      </w:r>
      <w:r w:rsidR="00090676">
        <w:rPr>
          <w:b/>
        </w:rPr>
        <w:t xml:space="preserve">of </w:t>
      </w:r>
      <w:r>
        <w:rPr>
          <w:b/>
        </w:rPr>
        <w:t>activities that illustrate evaluation findings</w:t>
      </w:r>
    </w:p>
    <w:p w14:paraId="5522BF19" w14:textId="52FE1F05" w:rsidR="00270F4C" w:rsidRDefault="007628AF" w:rsidP="00270F4C">
      <w:pPr>
        <w:spacing w:after="200"/>
        <w:rPr>
          <w:rFonts w:ascii="Calibri" w:eastAsia="Calibri" w:hAnsi="Calibri" w:cs="Calibri"/>
          <w:color w:val="6FA8DC"/>
        </w:rPr>
      </w:pPr>
      <w:proofErr w:type="spellStart"/>
      <w:r>
        <w:t>AGaP</w:t>
      </w:r>
      <w:proofErr w:type="spellEnd"/>
      <w:r w:rsidR="00270F4C">
        <w:t xml:space="preserve"> funded a Trade Facilitation Agreement Gap Analysis under </w:t>
      </w:r>
      <w:r w:rsidR="00381F7D">
        <w:t xml:space="preserve">the </w:t>
      </w:r>
      <w:r w:rsidR="00270F4C">
        <w:t xml:space="preserve">Support for the Establishment of the National Trade Facilitation Committee (NTFC). According to WB team members, the approach for ensuring effective engagement with </w:t>
      </w:r>
      <w:proofErr w:type="spellStart"/>
      <w:r w:rsidR="00270F4C">
        <w:t>GoP</w:t>
      </w:r>
      <w:proofErr w:type="spellEnd"/>
      <w:r w:rsidR="00270F4C">
        <w:t xml:space="preserve"> is to align work with their ongoing reform priorities and identify where TA can close the gap between aspiration and achievement</w:t>
      </w:r>
      <w:r w:rsidR="00270F4C" w:rsidDel="007E66C7">
        <w:t xml:space="preserve">. </w:t>
      </w:r>
      <w:r w:rsidR="00270F4C">
        <w:t xml:space="preserve">While the </w:t>
      </w:r>
      <w:r w:rsidR="00381F7D">
        <w:t>e</w:t>
      </w:r>
      <w:r w:rsidR="00270F4C">
        <w:t xml:space="preserve">xecutive </w:t>
      </w:r>
      <w:r w:rsidR="00381F7D">
        <w:t>o</w:t>
      </w:r>
      <w:r w:rsidR="00270F4C">
        <w:t xml:space="preserve">rder to establish the NTFC had not been signed at the time of the gap analysis, the WB knew there was political support for it to happen. The analysis supported by </w:t>
      </w:r>
      <w:proofErr w:type="spellStart"/>
      <w:r>
        <w:t>AGaP</w:t>
      </w:r>
      <w:proofErr w:type="spellEnd"/>
      <w:r w:rsidR="00270F4C">
        <w:t xml:space="preserve"> quantified the different areas where the Philippines had a trade facilitation gap. The work was timed such that once the </w:t>
      </w:r>
      <w:r w:rsidR="00381F7D">
        <w:t>e</w:t>
      </w:r>
      <w:r w:rsidR="00270F4C">
        <w:t xml:space="preserve">xecutive </w:t>
      </w:r>
      <w:r w:rsidR="00381F7D">
        <w:t>o</w:t>
      </w:r>
      <w:r w:rsidR="00270F4C">
        <w:t xml:space="preserve">rder was signed and the </w:t>
      </w:r>
      <w:r w:rsidR="00E06D11">
        <w:t>c</w:t>
      </w:r>
      <w:r w:rsidR="00270F4C">
        <w:t xml:space="preserve">ommittee </w:t>
      </w:r>
      <w:r w:rsidR="00E06D11">
        <w:t>formed</w:t>
      </w:r>
      <w:r w:rsidR="00270F4C">
        <w:t xml:space="preserve">, </w:t>
      </w:r>
      <w:proofErr w:type="spellStart"/>
      <w:r>
        <w:t>AGaP</w:t>
      </w:r>
      <w:r w:rsidR="00270F4C">
        <w:t>’s</w:t>
      </w:r>
      <w:proofErr w:type="spellEnd"/>
      <w:r w:rsidR="00270F4C">
        <w:t xml:space="preserve"> report would inform the strategic plan. The WB was then well positioned to work closely with the </w:t>
      </w:r>
      <w:r w:rsidR="00E06D11">
        <w:t>c</w:t>
      </w:r>
      <w:r w:rsidR="00270F4C">
        <w:t>ommittee on prioriti</w:t>
      </w:r>
      <w:r w:rsidR="007D26C0">
        <w:t>z</w:t>
      </w:r>
      <w:r w:rsidR="00270F4C">
        <w:t xml:space="preserve">ing which reform areas should be tackled first, thereby enhancing the likelihood of maintaining momentum for reform and translating the gap analysis into action. </w:t>
      </w:r>
    </w:p>
    <w:p w14:paraId="3109F7CD" w14:textId="448BD85E" w:rsidR="00270F4C" w:rsidRDefault="00270F4C" w:rsidP="00270F4C">
      <w:pPr>
        <w:spacing w:after="200"/>
        <w:rPr>
          <w:rFonts w:ascii="Calibri" w:eastAsia="Calibri" w:hAnsi="Calibri" w:cs="Calibri"/>
          <w:color w:val="0563C1"/>
          <w:u w:val="single"/>
        </w:rPr>
      </w:pPr>
      <w:r>
        <w:t xml:space="preserve">A former senior official from the Department of Finance expressed satisfaction with </w:t>
      </w:r>
      <w:r w:rsidR="00E06D11">
        <w:t xml:space="preserve">the </w:t>
      </w:r>
      <w:r>
        <w:t xml:space="preserve">support provided under </w:t>
      </w:r>
      <w:proofErr w:type="spellStart"/>
      <w:r w:rsidR="007628AF">
        <w:t>AGaP</w:t>
      </w:r>
      <w:proofErr w:type="spellEnd"/>
      <w:r>
        <w:t xml:space="preserve"> for ongoing tax reform</w:t>
      </w:r>
      <w:r w:rsidR="00062D4F">
        <w:t>s</w:t>
      </w:r>
      <w:r>
        <w:t xml:space="preserve">. </w:t>
      </w:r>
      <w:r w:rsidR="00062D4F">
        <w:t xml:space="preserve">The official </w:t>
      </w:r>
      <w:r>
        <w:t>highlighted this project as a good example of the WB being well-prepared to support reforms with detailed analytical work that was delivered at the right time.</w:t>
      </w:r>
    </w:p>
    <w:p w14:paraId="66744584" w14:textId="15872FE2" w:rsidR="00270F4C" w:rsidRDefault="00270F4C" w:rsidP="00270F4C">
      <w:pPr>
        <w:spacing w:after="200"/>
      </w:pPr>
      <w:r>
        <w:t xml:space="preserve">According to the WB team, there is an advantage in having a dedicated trust fund to support a series of DPLs, especially in a country where implementation is a challenge. The rationale being that the first series of loans prompts the </w:t>
      </w:r>
      <w:r w:rsidDel="003A77D6">
        <w:t xml:space="preserve">passing </w:t>
      </w:r>
      <w:r>
        <w:t xml:space="preserve">of </w:t>
      </w:r>
      <w:r w:rsidR="00DA50F4">
        <w:t>reforms but</w:t>
      </w:r>
      <w:r>
        <w:t xml:space="preserve"> does not guarantee </w:t>
      </w:r>
      <w:r w:rsidR="003A77D6">
        <w:t>implementation</w:t>
      </w:r>
      <w:r>
        <w:t>. However, having a series enables analytical support to focus on piloting and implementation of some laws and facilitates progress</w:t>
      </w:r>
      <w:r w:rsidR="00C67B4D">
        <w:t>,</w:t>
      </w:r>
      <w:r>
        <w:t xml:space="preserve"> with the </w:t>
      </w:r>
      <w:r w:rsidR="004D227D">
        <w:t>G</w:t>
      </w:r>
      <w:r>
        <w:t xml:space="preserve">overnment reaching agreed milestones. In summary, the DPL set an agreed timeline for milestones, and </w:t>
      </w:r>
      <w:proofErr w:type="spellStart"/>
      <w:r w:rsidR="007628AF">
        <w:t>AGaP</w:t>
      </w:r>
      <w:proofErr w:type="spellEnd"/>
      <w:r>
        <w:t xml:space="preserve"> enabled the WB to provide continuous support via TA to achieve them. The complementarity of the loans with the </w:t>
      </w:r>
      <w:r w:rsidR="001B2091">
        <w:t>Trust Fund</w:t>
      </w:r>
      <w:r>
        <w:t xml:space="preserve"> is, based on the achievements of this grant, an effective way to meet reform goals in the Philippines.</w:t>
      </w:r>
    </w:p>
    <w:p w14:paraId="159BD530" w14:textId="77777777" w:rsidR="00270F4C" w:rsidRDefault="00270F4C" w:rsidP="00270F4C">
      <w:pPr>
        <w:rPr>
          <w:b/>
        </w:rPr>
      </w:pPr>
      <w:r>
        <w:rPr>
          <w:b/>
        </w:rPr>
        <w:t>Effectiveness of outputs</w:t>
      </w:r>
    </w:p>
    <w:p w14:paraId="310B1EA3" w14:textId="41F53D31" w:rsidR="00270F4C" w:rsidRDefault="00270F4C" w:rsidP="00270F4C">
      <w:pPr>
        <w:rPr>
          <w:rFonts w:ascii="Calibri" w:eastAsia="Calibri" w:hAnsi="Calibri" w:cs="Calibri"/>
          <w:color w:val="FF00FF"/>
        </w:rPr>
      </w:pPr>
      <w:r w:rsidRPr="00F07461">
        <w:t xml:space="preserve">The interview with </w:t>
      </w:r>
      <w:proofErr w:type="spellStart"/>
      <w:r w:rsidRPr="00F07461">
        <w:t>GoP</w:t>
      </w:r>
      <w:proofErr w:type="spellEnd"/>
      <w:r w:rsidRPr="00F07461">
        <w:t xml:space="preserve"> noted the good quality of the material outputs produced by </w:t>
      </w:r>
      <w:proofErr w:type="spellStart"/>
      <w:r w:rsidR="007628AF">
        <w:t>AGaP</w:t>
      </w:r>
      <w:proofErr w:type="spellEnd"/>
      <w:r w:rsidRPr="00F07461">
        <w:t xml:space="preserve"> but </w:t>
      </w:r>
      <w:r w:rsidR="0053598B" w:rsidRPr="00F07461">
        <w:t xml:space="preserve">also </w:t>
      </w:r>
      <w:r w:rsidRPr="00F07461">
        <w:t xml:space="preserve">recommended that </w:t>
      </w:r>
      <w:proofErr w:type="spellStart"/>
      <w:r w:rsidR="007628AF">
        <w:t>AGaP</w:t>
      </w:r>
      <w:proofErr w:type="spellEnd"/>
      <w:r w:rsidRPr="00F07461">
        <w:t xml:space="preserve"> spend more time on government engagement rather than technical and analytical support. </w:t>
      </w:r>
      <w:r w:rsidR="002C3C08" w:rsidRPr="00F07461">
        <w:t>Whil</w:t>
      </w:r>
      <w:r w:rsidR="002C3C08">
        <w:t>e</w:t>
      </w:r>
      <w:r w:rsidR="002C3C08" w:rsidRPr="00F07461">
        <w:t xml:space="preserve"> </w:t>
      </w:r>
      <w:r w:rsidRPr="00F07461">
        <w:t xml:space="preserve">the </w:t>
      </w:r>
      <w:r w:rsidR="005072C9">
        <w:t>B</w:t>
      </w:r>
      <w:r w:rsidRPr="00F07461">
        <w:t xml:space="preserve">ank has strengths in presenting ideal technical solutions, </w:t>
      </w:r>
      <w:proofErr w:type="gramStart"/>
      <w:r w:rsidRPr="00F07461">
        <w:t>in reality the</w:t>
      </w:r>
      <w:proofErr w:type="gramEnd"/>
      <w:r w:rsidRPr="00F07461">
        <w:t xml:space="preserve"> route to policy reform is uncertain, so the more pressing need for the </w:t>
      </w:r>
      <w:r w:rsidR="005072C9">
        <w:t>G</w:t>
      </w:r>
      <w:r w:rsidRPr="00F07461">
        <w:t xml:space="preserve">overnment is how to implement pragmatic solutions to deliver the results. </w:t>
      </w:r>
      <w:proofErr w:type="spellStart"/>
      <w:r w:rsidRPr="00F07461">
        <w:t>GoP</w:t>
      </w:r>
      <w:proofErr w:type="spellEnd"/>
      <w:r w:rsidRPr="00F07461">
        <w:t xml:space="preserve"> counterparts do not want to be treated as a client, whereby they are sent papers to read. They need more meetings, time </w:t>
      </w:r>
      <w:r w:rsidR="005072C9">
        <w:t xml:space="preserve">for </w:t>
      </w:r>
      <w:r w:rsidRPr="00F07461">
        <w:t xml:space="preserve">brainstorming solutions together, helping the </w:t>
      </w:r>
      <w:r w:rsidR="005072C9">
        <w:t>G</w:t>
      </w:r>
      <w:r w:rsidRPr="00F07461">
        <w:t>overnment directly to do the analysis as opposed to WB doing the analysis on their own</w:t>
      </w:r>
      <w:r w:rsidRPr="00F07461" w:rsidDel="007E66C7">
        <w:t xml:space="preserve">. </w:t>
      </w:r>
      <w:r w:rsidRPr="00F07461">
        <w:t>In summary</w:t>
      </w:r>
      <w:r w:rsidRPr="0030404A">
        <w:t xml:space="preserve">, </w:t>
      </w:r>
      <w:proofErr w:type="spellStart"/>
      <w:r w:rsidR="007628AF">
        <w:t>AGaP</w:t>
      </w:r>
      <w:proofErr w:type="spellEnd"/>
      <w:r w:rsidRPr="0030404A">
        <w:t xml:space="preserve"> could focus less </w:t>
      </w:r>
      <w:r w:rsidRPr="0030404A">
        <w:lastRenderedPageBreak/>
        <w:t>on the outputs that inform policy reform and more on supporting the process of reform and governance itself.</w:t>
      </w:r>
    </w:p>
    <w:p w14:paraId="12A319CD" w14:textId="57BBE081" w:rsidR="00270F4C" w:rsidRDefault="00270F4C" w:rsidP="00270F4C">
      <w:r w:rsidRPr="00F07461">
        <w:t xml:space="preserve">The other problem cited by </w:t>
      </w:r>
      <w:proofErr w:type="spellStart"/>
      <w:r w:rsidR="00494BB8" w:rsidRPr="00F07461">
        <w:t>GoP</w:t>
      </w:r>
      <w:proofErr w:type="spellEnd"/>
      <w:r w:rsidR="00494BB8" w:rsidRPr="00F07461">
        <w:t xml:space="preserve"> </w:t>
      </w:r>
      <w:r w:rsidRPr="00F07461">
        <w:t xml:space="preserve">is how to get </w:t>
      </w:r>
      <w:r w:rsidR="00EF373D">
        <w:t>C</w:t>
      </w:r>
      <w:r w:rsidRPr="00F07461">
        <w:t xml:space="preserve">ongress to act on a particular reform, as this requires a lot of time and effort to communicate with the diversity of stakeholders. It was felt that currently </w:t>
      </w:r>
      <w:proofErr w:type="spellStart"/>
      <w:r w:rsidR="007628AF">
        <w:t>AGaP</w:t>
      </w:r>
      <w:proofErr w:type="spellEnd"/>
      <w:r w:rsidRPr="00F07461">
        <w:t xml:space="preserve"> is not sufficiently supporting this sort of engagement</w:t>
      </w:r>
      <w:r w:rsidRPr="00F07461" w:rsidDel="007E66C7">
        <w:t xml:space="preserve">. </w:t>
      </w:r>
      <w:r w:rsidRPr="00F07461">
        <w:t xml:space="preserve">The </w:t>
      </w:r>
      <w:proofErr w:type="spellStart"/>
      <w:r w:rsidR="007628AF">
        <w:t>AGaP</w:t>
      </w:r>
      <w:proofErr w:type="spellEnd"/>
      <w:r w:rsidRPr="00F07461">
        <w:t xml:space="preserve"> results framework includes </w:t>
      </w:r>
      <w:r w:rsidR="00605953">
        <w:t>“</w:t>
      </w:r>
      <w:r w:rsidRPr="00F07461">
        <w:t>public debate and awareness</w:t>
      </w:r>
      <w:r w:rsidR="00605953">
        <w:t>”</w:t>
      </w:r>
      <w:r w:rsidRPr="00F07461">
        <w:t xml:space="preserve"> as a target outcome, and the </w:t>
      </w:r>
      <w:r w:rsidR="00E57FA7">
        <w:t>A</w:t>
      </w:r>
      <w:r w:rsidRPr="00F07461">
        <w:t xml:space="preserve">nnual </w:t>
      </w:r>
      <w:r w:rsidR="00E57FA7">
        <w:t>R</w:t>
      </w:r>
      <w:r w:rsidRPr="00F07461">
        <w:t xml:space="preserve">eport describes this as </w:t>
      </w:r>
      <w:r w:rsidR="00605953">
        <w:t>“</w:t>
      </w:r>
      <w:r w:rsidRPr="00F07461">
        <w:t>rallying support behind policy change</w:t>
      </w:r>
      <w:r w:rsidR="00605953">
        <w:t>”</w:t>
      </w:r>
      <w:r w:rsidRPr="00F07461">
        <w:t xml:space="preserve">, through explaining </w:t>
      </w:r>
      <w:r w:rsidR="00605953">
        <w:t>“</w:t>
      </w:r>
      <w:r w:rsidRPr="00F07461">
        <w:t>the rationale behind proposed reforms, their intended benefits, and measures to protect the public against any negative impacts</w:t>
      </w:r>
      <w:r w:rsidR="00605953">
        <w:t>”</w:t>
      </w:r>
      <w:r w:rsidRPr="00F07461">
        <w:t>.</w:t>
      </w:r>
      <w:r w:rsidRPr="00F07461">
        <w:rPr>
          <w:vertAlign w:val="superscript"/>
        </w:rPr>
        <w:footnoteReference w:id="12"/>
      </w:r>
      <w:r w:rsidRPr="00F07461">
        <w:t xml:space="preserve"> It is not clear if the intention is to stimulate policy dialogue, or to communicate government policy</w:t>
      </w:r>
      <w:r w:rsidRPr="00F07461" w:rsidDel="007E66C7">
        <w:t xml:space="preserve">. </w:t>
      </w:r>
      <w:r w:rsidRPr="00F07461">
        <w:t xml:space="preserve">The message from a </w:t>
      </w:r>
      <w:proofErr w:type="spellStart"/>
      <w:r w:rsidRPr="00F07461">
        <w:t>GoP</w:t>
      </w:r>
      <w:proofErr w:type="spellEnd"/>
      <w:r w:rsidRPr="00F07461">
        <w:t xml:space="preserve"> interviewee is that policy dialogue is an essential part of the reform design process: it will strengthen both the particulars of the reform and its legitimacy in the eyes of stakeholders (especially legislators) that have a hand in co-creating it.</w:t>
      </w:r>
      <w:r>
        <w:t xml:space="preserve"> </w:t>
      </w:r>
    </w:p>
    <w:p w14:paraId="1EF7F4F8" w14:textId="192D96CD" w:rsidR="00270F4C" w:rsidRDefault="4F8FF293" w:rsidP="00270F4C">
      <w:r w:rsidRPr="00F07461">
        <w:t xml:space="preserve">On the other hand, </w:t>
      </w:r>
      <w:proofErr w:type="spellStart"/>
      <w:r w:rsidR="007628AF">
        <w:t>AGaP</w:t>
      </w:r>
      <w:proofErr w:type="spellEnd"/>
      <w:r w:rsidRPr="00F07461">
        <w:t xml:space="preserve"> reports that it has set up </w:t>
      </w:r>
      <w:r w:rsidR="00605953">
        <w:t>“</w:t>
      </w:r>
      <w:r w:rsidRPr="00F07461">
        <w:t>collaboration platforms</w:t>
      </w:r>
      <w:r w:rsidR="00605953">
        <w:t>”</w:t>
      </w:r>
      <w:r w:rsidRPr="00F07461">
        <w:t xml:space="preserve">, as per </w:t>
      </w:r>
      <w:r w:rsidR="3B7A6F2A" w:rsidRPr="00F07461">
        <w:t>o</w:t>
      </w:r>
      <w:r w:rsidRPr="00F07461">
        <w:t>utcome</w:t>
      </w:r>
      <w:r w:rsidRPr="00F07461" w:rsidDel="007E66C7">
        <w:t xml:space="preserve"> </w:t>
      </w:r>
      <w:r w:rsidR="23355336" w:rsidRPr="00F07461">
        <w:t xml:space="preserve">area 4 </w:t>
      </w:r>
      <w:r w:rsidRPr="00F07461">
        <w:t>of the results framework, with the DPL grant being the biggest of these.</w:t>
      </w:r>
      <w:r w:rsidR="00270F4C" w:rsidRPr="00F07461">
        <w:rPr>
          <w:vertAlign w:val="superscript"/>
        </w:rPr>
        <w:footnoteReference w:id="13"/>
      </w:r>
      <w:r w:rsidRPr="00F07461">
        <w:t xml:space="preserve"> This platform </w:t>
      </w:r>
      <w:r w:rsidR="00C845EF">
        <w:t>“</w:t>
      </w:r>
      <w:r w:rsidRPr="00F07461">
        <w:t>resulted in major reforms in rice liberalization, digitalization, trade facilitation, telecommunications and internet infrastructure</w:t>
      </w:r>
      <w:r w:rsidR="00C845EF">
        <w:t>”</w:t>
      </w:r>
      <w:r w:rsidRPr="00F07461">
        <w:t>.</w:t>
      </w:r>
      <w:r w:rsidR="00C845EF">
        <w:t xml:space="preserve"> </w:t>
      </w:r>
      <w:r w:rsidRPr="00F07461">
        <w:t>However, the nature of this platform</w:t>
      </w:r>
      <w:r w:rsidR="00C845EF">
        <w:t xml:space="preserve"> </w:t>
      </w:r>
      <w:r w:rsidRPr="00F07461">
        <w:t>is not describe</w:t>
      </w:r>
      <w:r w:rsidR="1A199A1E">
        <w:t>d</w:t>
      </w:r>
      <w:r w:rsidRPr="00F07461">
        <w:t xml:space="preserve"> in any of the DPL grant reports, and it is not clear if this in fact refers to </w:t>
      </w:r>
      <w:r w:rsidR="002F490A">
        <w:t>“</w:t>
      </w:r>
      <w:r w:rsidRPr="00F07461">
        <w:t>collaborative activities</w:t>
      </w:r>
      <w:r w:rsidR="002F490A">
        <w:t>”</w:t>
      </w:r>
      <w:r w:rsidRPr="00F07461">
        <w:t>, which could be meetings or workshops</w:t>
      </w:r>
      <w:r w:rsidRPr="00F07461" w:rsidDel="007E66C7">
        <w:t xml:space="preserve">. </w:t>
      </w:r>
      <w:r w:rsidRPr="00F07461">
        <w:t xml:space="preserve">This </w:t>
      </w:r>
      <w:r w:rsidRPr="0030404A">
        <w:t xml:space="preserve">may reflect a weakness in the </w:t>
      </w:r>
      <w:proofErr w:type="spellStart"/>
      <w:r w:rsidR="007628AF">
        <w:t>AGaP</w:t>
      </w:r>
      <w:proofErr w:type="spellEnd"/>
      <w:r w:rsidRPr="0030404A">
        <w:t xml:space="preserve"> design, whereby the emphasis is on </w:t>
      </w:r>
      <w:r w:rsidR="002F490A">
        <w:t>“</w:t>
      </w:r>
      <w:r w:rsidRPr="0030404A">
        <w:t>informing</w:t>
      </w:r>
      <w:r w:rsidR="002F490A">
        <w:t xml:space="preserve">” </w:t>
      </w:r>
      <w:r w:rsidRPr="0030404A">
        <w:t>the public debate with evidence</w:t>
      </w:r>
      <w:r w:rsidR="00242481">
        <w:t xml:space="preserve"> </w:t>
      </w:r>
      <w:r w:rsidRPr="0030404A">
        <w:t xml:space="preserve">instead of inviting stakeholders to </w:t>
      </w:r>
      <w:proofErr w:type="gramStart"/>
      <w:r w:rsidRPr="0030404A">
        <w:t>enter into</w:t>
      </w:r>
      <w:proofErr w:type="gramEnd"/>
      <w:r w:rsidRPr="0030404A">
        <w:t xml:space="preserve"> a dialogue that helps shape the policy. Shifting the approach to be more collaborative may resolve some of the issues raised by </w:t>
      </w:r>
      <w:proofErr w:type="spellStart"/>
      <w:r w:rsidRPr="0030404A">
        <w:t>GoP</w:t>
      </w:r>
      <w:proofErr w:type="spellEnd"/>
      <w:r w:rsidRPr="0030404A">
        <w:t xml:space="preserve">, </w:t>
      </w:r>
      <w:r w:rsidR="3B7A6F2A" w:rsidRPr="0030404A">
        <w:t xml:space="preserve">while </w:t>
      </w:r>
      <w:r w:rsidRPr="0030404A">
        <w:t>also inviting DFAT to become more involved in that process of dialogue.</w:t>
      </w:r>
      <w:r w:rsidR="0054281F" w:rsidRPr="00547DC5">
        <w:rPr>
          <w:rStyle w:val="FootnoteReference"/>
        </w:rPr>
        <w:footnoteReference w:id="14"/>
      </w:r>
      <w:r w:rsidR="0054281F">
        <w:t xml:space="preserve"> </w:t>
      </w:r>
    </w:p>
    <w:p w14:paraId="4FF4834C" w14:textId="77777777" w:rsidR="00270F4C" w:rsidRDefault="00270F4C" w:rsidP="00270F4C">
      <w:pPr>
        <w:rPr>
          <w:b/>
        </w:rPr>
      </w:pPr>
      <w:r>
        <w:rPr>
          <w:b/>
        </w:rPr>
        <w:t>Measuring and attributing policy influence</w:t>
      </w:r>
    </w:p>
    <w:p w14:paraId="52ACDF68" w14:textId="416A134E" w:rsidR="009C4F38" w:rsidRDefault="009C4F38" w:rsidP="00270F4C">
      <w:r w:rsidRPr="009C4F38">
        <w:t>In evaluating policy reform programs, it is difficult to prove attribution. This requires a specialist approach to measurement, which is discussed in more detail in the M&amp;E section of this report</w:t>
      </w:r>
      <w:r w:rsidR="00C64AD4">
        <w:t xml:space="preserve">. </w:t>
      </w:r>
      <w:r w:rsidRPr="009C4F38">
        <w:t xml:space="preserve">In the context of the DPL grant, the World Bank team identified some indicators that can signal if technical inputs are contributing to intended outcomes. For example, the ongoing demand from </w:t>
      </w:r>
      <w:proofErr w:type="spellStart"/>
      <w:r w:rsidRPr="009C4F38">
        <w:t>GoP</w:t>
      </w:r>
      <w:proofErr w:type="spellEnd"/>
      <w:r w:rsidRPr="009C4F38">
        <w:t xml:space="preserve"> for support of the DPL goals is a positive sign that the inputs are valued and have influence. The </w:t>
      </w:r>
      <w:proofErr w:type="spellStart"/>
      <w:r w:rsidR="007628AF">
        <w:t>AGaP</w:t>
      </w:r>
      <w:proofErr w:type="spellEnd"/>
      <w:r w:rsidRPr="009C4F38">
        <w:t xml:space="preserve"> team has often provided input to new laws, and the signifier of effective influence is whether their detailed comments are incorporated into the law or policy.</w:t>
      </w:r>
      <w:r w:rsidRPr="009C4F38" w:rsidDel="009C4F38">
        <w:t xml:space="preserve"> </w:t>
      </w:r>
    </w:p>
    <w:p w14:paraId="02FD5E56" w14:textId="5E13800D" w:rsidR="00270F4C" w:rsidRDefault="00270F4C" w:rsidP="00270F4C">
      <w:r w:rsidRPr="00F07461">
        <w:t xml:space="preserve">However, the way the grant outputs are documented makes it difficult to measure progress against indicators, as observed by DFAT Post. </w:t>
      </w:r>
      <w:r w:rsidRPr="00D6009F">
        <w:t xml:space="preserve">The 2021 Progress Review lists 46 </w:t>
      </w:r>
      <w:r w:rsidR="00380A6E">
        <w:t>“</w:t>
      </w:r>
      <w:r w:rsidRPr="00D6009F">
        <w:t>deliverable documents</w:t>
      </w:r>
      <w:r w:rsidR="00380A6E">
        <w:t>”</w:t>
      </w:r>
      <w:r w:rsidRPr="00D6009F">
        <w:t>, of which only one is for public access</w:t>
      </w:r>
      <w:r w:rsidR="0043510C">
        <w:t xml:space="preserve"> and </w:t>
      </w:r>
      <w:r w:rsidRPr="00D6009F">
        <w:t xml:space="preserve">the rest are marked </w:t>
      </w:r>
      <w:r w:rsidR="0043510C">
        <w:t>“</w:t>
      </w:r>
      <w:r w:rsidRPr="00D6009F">
        <w:t xml:space="preserve">Official </w:t>
      </w:r>
      <w:r w:rsidR="001966A2" w:rsidRPr="00D6009F">
        <w:t>U</w:t>
      </w:r>
      <w:r w:rsidRPr="00D6009F">
        <w:t>se only</w:t>
      </w:r>
      <w:r w:rsidR="0043510C">
        <w:t>”</w:t>
      </w:r>
      <w:r w:rsidRPr="00D6009F">
        <w:t>.</w:t>
      </w:r>
      <w:r w:rsidRPr="00F07461">
        <w:t xml:space="preserve"> Many of the knowledge products are internal </w:t>
      </w:r>
      <w:proofErr w:type="spellStart"/>
      <w:r w:rsidRPr="00F07461">
        <w:t>GoP</w:t>
      </w:r>
      <w:proofErr w:type="spellEnd"/>
      <w:r w:rsidRPr="00F07461">
        <w:t xml:space="preserve"> documents</w:t>
      </w:r>
      <w:r w:rsidR="0043510C">
        <w:t>. F</w:t>
      </w:r>
      <w:r w:rsidRPr="00F07461">
        <w:t xml:space="preserve">or example, the DB Roadmap Report (produced under the Doing Business pillar) is now a non-public asset of the </w:t>
      </w:r>
      <w:r w:rsidR="004C380C" w:rsidRPr="00F07461">
        <w:t>Anti-Red</w:t>
      </w:r>
      <w:r w:rsidRPr="00F07461">
        <w:t xml:space="preserve"> Tape Authority. Similarly, the completed studies in support of Trade Facilitation Committee establishment are internal to the Bureau of Customs, Philippine Trade Facilitation Committee</w:t>
      </w:r>
      <w:r>
        <w:t>.</w:t>
      </w:r>
    </w:p>
    <w:p w14:paraId="47E49DD7" w14:textId="483E3C5E" w:rsidR="00270F4C" w:rsidRDefault="00270F4C" w:rsidP="00270F4C">
      <w:pPr>
        <w:rPr>
          <w:b/>
        </w:rPr>
      </w:pPr>
      <w:r w:rsidRPr="00F07461">
        <w:t>A further impediment to tracking the progress of the grant is the inconsistency in the way the project is structured. The proposal sets out five objectives for the grant, but the progress reports do not follow this structure</w:t>
      </w:r>
      <w:r w:rsidRPr="00F07461" w:rsidDel="007E66C7">
        <w:t xml:space="preserve">. </w:t>
      </w:r>
      <w:r w:rsidRPr="00F07461">
        <w:t xml:space="preserve">Instead, those reports refer to </w:t>
      </w:r>
      <w:r w:rsidR="007E1255">
        <w:t>“</w:t>
      </w:r>
      <w:r w:rsidRPr="00F07461">
        <w:t>pillars</w:t>
      </w:r>
      <w:r w:rsidR="007E1255">
        <w:t>”</w:t>
      </w:r>
      <w:r w:rsidRPr="00F07461">
        <w:t>, some of which can be matched to the original proposed objectives, but some cannot</w:t>
      </w:r>
      <w:r w:rsidRPr="00F07461" w:rsidDel="007E66C7">
        <w:t xml:space="preserve">. </w:t>
      </w:r>
      <w:r w:rsidRPr="00F07461">
        <w:t xml:space="preserve">It is, of course, acceptable (and often sensible) to change activities </w:t>
      </w:r>
      <w:proofErr w:type="gramStart"/>
      <w:r w:rsidRPr="00F07461">
        <w:t>during the course of</w:t>
      </w:r>
      <w:proofErr w:type="gramEnd"/>
      <w:r w:rsidRPr="00F07461">
        <w:t xml:space="preserve"> a grant to reflect changing circumstances (e.g.</w:t>
      </w:r>
      <w:r w:rsidR="0092165E" w:rsidRPr="00F07461">
        <w:t>,</w:t>
      </w:r>
      <w:r w:rsidRPr="00F07461">
        <w:t xml:space="preserve"> </w:t>
      </w:r>
      <w:r w:rsidR="0092165E" w:rsidRPr="00F07461">
        <w:t>COVID</w:t>
      </w:r>
      <w:r w:rsidR="00EF373D">
        <w:t>-19</w:t>
      </w:r>
      <w:r w:rsidRPr="00F07461">
        <w:t xml:space="preserve"> </w:t>
      </w:r>
      <w:r w:rsidR="007E66C7" w:rsidRPr="00F07461">
        <w:t>pandemic</w:t>
      </w:r>
      <w:r w:rsidRPr="00F07461">
        <w:t xml:space="preserve">), but the original objectives of the grant would usually </w:t>
      </w:r>
      <w:r w:rsidRPr="00F07461">
        <w:lastRenderedPageBreak/>
        <w:t>need to be preserved</w:t>
      </w:r>
      <w:r w:rsidRPr="00F07461" w:rsidDel="007E66C7">
        <w:t xml:space="preserve">. </w:t>
      </w:r>
      <w:r w:rsidRPr="00F07461">
        <w:t>It is possible to see how the ‘pillars’ described in the progress report can be seen to contribute to the original objectives, but this relationship is not described in the report</w:t>
      </w:r>
      <w:r w:rsidR="00C64AD4">
        <w:t xml:space="preserve">. </w:t>
      </w:r>
      <w:r w:rsidRPr="00F07461">
        <w:t xml:space="preserve">For example, </w:t>
      </w:r>
      <w:r w:rsidR="00F66CE8">
        <w:t>“</w:t>
      </w:r>
      <w:r w:rsidRPr="00F07461">
        <w:t>Objective 5: Increase tax effort and reduce contingent liabilities from GOCCs</w:t>
      </w:r>
      <w:r w:rsidR="00F66CE8">
        <w:t>”</w:t>
      </w:r>
      <w:r w:rsidRPr="00F07461">
        <w:t>, is dropped altogether as no mention is made of it in the progress reports, with no reason given for its absence</w:t>
      </w:r>
      <w:r w:rsidR="00C64AD4">
        <w:t xml:space="preserve">. </w:t>
      </w:r>
      <w:r w:rsidRPr="00F07461">
        <w:t xml:space="preserve">These inconsistencies are illustrated in the table in Annex </w:t>
      </w:r>
      <w:r w:rsidR="009B7DF6" w:rsidRPr="00F07461">
        <w:t>8</w:t>
      </w:r>
      <w:r w:rsidRPr="00F07461" w:rsidDel="007E66C7">
        <w:t>.</w:t>
      </w:r>
      <w:r w:rsidDel="007E66C7">
        <w:t xml:space="preserve"> </w:t>
      </w:r>
    </w:p>
    <w:p w14:paraId="067EDE9C" w14:textId="6C077432" w:rsidR="00270F4C" w:rsidRPr="00270F4C" w:rsidRDefault="00270F4C" w:rsidP="00270F4C">
      <w:pPr>
        <w:rPr>
          <w:b/>
        </w:rPr>
      </w:pPr>
      <w:r>
        <w:rPr>
          <w:b/>
        </w:rPr>
        <w:t>Engagement with DFAT</w:t>
      </w:r>
    </w:p>
    <w:p w14:paraId="38490E3C" w14:textId="1BCA51C5" w:rsidR="00270F4C" w:rsidRDefault="00270F4C" w:rsidP="00270F4C">
      <w:r>
        <w:t>Both parties agree</w:t>
      </w:r>
      <w:r w:rsidR="007E66C7">
        <w:t>d that</w:t>
      </w:r>
      <w:r>
        <w:t xml:space="preserve"> the DPL grant focuses on economic reform areas that are beneficial for the </w:t>
      </w:r>
      <w:proofErr w:type="spellStart"/>
      <w:r>
        <w:t>GoP</w:t>
      </w:r>
      <w:proofErr w:type="spellEnd"/>
      <w:r>
        <w:t>, and DFAT recognise</w:t>
      </w:r>
      <w:r w:rsidR="007E66C7">
        <w:t>d</w:t>
      </w:r>
      <w:r>
        <w:t xml:space="preserve"> the comparative advantage that WB brings to this subject. The World Bank team appreciates a hands-off approach by DFAT, whereby the donor is a </w:t>
      </w:r>
      <w:r w:rsidR="00E221A2">
        <w:t>“</w:t>
      </w:r>
      <w:r>
        <w:t>supporter and enabler</w:t>
      </w:r>
      <w:r w:rsidR="00E221A2">
        <w:t>”</w:t>
      </w:r>
      <w:r>
        <w:t xml:space="preserve">, rather than a </w:t>
      </w:r>
      <w:r w:rsidR="00E221A2">
        <w:t>“</w:t>
      </w:r>
      <w:r>
        <w:t>micromanager</w:t>
      </w:r>
      <w:r w:rsidR="00E221A2">
        <w:t>”</w:t>
      </w:r>
      <w:r w:rsidDel="007E66C7">
        <w:t xml:space="preserve">. </w:t>
      </w:r>
      <w:r>
        <w:t>DFAT is broadly happy with the engagement process around the DPL sub-projects. For example, they were involved in the design process for the competition and trade activity and peer reviewed the design for the</w:t>
      </w:r>
      <w:r w:rsidR="005C73E9">
        <w:t xml:space="preserve"> </w:t>
      </w:r>
      <w:r w:rsidR="005C73E9" w:rsidRPr="005C73E9">
        <w:t>concept note on Public Financial Management (PFM).</w:t>
      </w:r>
      <w:r>
        <w:t xml:space="preserve"> </w:t>
      </w:r>
      <w:r w:rsidRPr="00F07461">
        <w:t xml:space="preserve">However, DFAT also noted that DPL activities are not easy to track, partly because there are </w:t>
      </w:r>
      <w:proofErr w:type="gramStart"/>
      <w:r w:rsidRPr="00F07461">
        <w:t>fairly limited</w:t>
      </w:r>
      <w:proofErr w:type="gramEnd"/>
      <w:r w:rsidRPr="00F07461">
        <w:t xml:space="preserve"> engagement points for DFAT during implementation. Additionally, some analytical work and results of meetings with </w:t>
      </w:r>
      <w:proofErr w:type="spellStart"/>
      <w:r w:rsidRPr="00F07461">
        <w:t>GoP</w:t>
      </w:r>
      <w:proofErr w:type="spellEnd"/>
      <w:r w:rsidRPr="00F07461">
        <w:t xml:space="preserve"> are shared with DFAT, but this is usually for information only, without an invitation to engage and comment, and sometimes content is out of date by the time DFAT receives it. The DFAT program team emphasised that exchange of information and ideas is important for them to deepen their understanding of economic reform areas</w:t>
      </w:r>
      <w:r w:rsidR="00C0529E">
        <w:t>. C</w:t>
      </w:r>
      <w:r w:rsidRPr="00F07461">
        <w:t>onsequently</w:t>
      </w:r>
      <w:r w:rsidR="00C0529E">
        <w:t>,</w:t>
      </w:r>
      <w:r w:rsidRPr="00F07461">
        <w:t xml:space="preserve"> not receiving updates in a timely manner is a missed opportunity for collaboration</w:t>
      </w:r>
      <w:r>
        <w:t xml:space="preserve">. </w:t>
      </w:r>
    </w:p>
    <w:p w14:paraId="428819B3" w14:textId="4DB46390" w:rsidR="00270F4C" w:rsidRDefault="00270F4C" w:rsidP="00270F4C">
      <w:r w:rsidRPr="00F07461">
        <w:t xml:space="preserve">DFAT is designing a new economic development program </w:t>
      </w:r>
      <w:r w:rsidR="00C540D7">
        <w:t>that</w:t>
      </w:r>
      <w:r w:rsidRPr="00F07461">
        <w:t xml:space="preserve"> includes reform areas currently supported by the WB and engagement through the DPL has already helped the thinking of the new design. However, DFAT does not have direct G-to-G relationships with economic </w:t>
      </w:r>
      <w:r w:rsidR="0063030C">
        <w:t>departments</w:t>
      </w:r>
      <w:r w:rsidR="00DA50F4" w:rsidRPr="00F07461">
        <w:t xml:space="preserve"> and</w:t>
      </w:r>
      <w:r w:rsidRPr="00F07461">
        <w:t xml:space="preserve"> would like more opportunity to engage with </w:t>
      </w:r>
      <w:proofErr w:type="spellStart"/>
      <w:r w:rsidRPr="00F07461">
        <w:t>GoP</w:t>
      </w:r>
      <w:proofErr w:type="spellEnd"/>
      <w:r w:rsidRPr="00F07461">
        <w:t xml:space="preserve"> partners</w:t>
      </w:r>
      <w:r w:rsidRPr="00F07461" w:rsidDel="007E66C7">
        <w:t xml:space="preserve">. </w:t>
      </w:r>
      <w:r w:rsidRPr="0030404A">
        <w:t>As WB has invested a lot in nurturing relationships with government counterparts, this could be put to good use by including DFAT in more interactions with stakeholders, which will be important to ensure</w:t>
      </w:r>
      <w:r w:rsidR="00DA3D7F" w:rsidRPr="0030404A">
        <w:t xml:space="preserve"> that</w:t>
      </w:r>
      <w:r w:rsidRPr="0030404A">
        <w:t xml:space="preserve"> the forthcoming program is relevant and well-targeted.</w:t>
      </w:r>
      <w:r>
        <w:t xml:space="preserve"> </w:t>
      </w:r>
    </w:p>
    <w:p w14:paraId="7A4EAE62" w14:textId="77777777" w:rsidR="00270F4C" w:rsidRDefault="00270F4C" w:rsidP="00270F4C">
      <w:pPr>
        <w:rPr>
          <w:b/>
        </w:rPr>
      </w:pPr>
      <w:r>
        <w:rPr>
          <w:b/>
        </w:rPr>
        <w:t>Cross-cutting themes</w:t>
      </w:r>
    </w:p>
    <w:p w14:paraId="19AABFF6" w14:textId="24A2BC59" w:rsidR="00270F4C" w:rsidRPr="00F07461" w:rsidRDefault="00270F4C" w:rsidP="00270F4C">
      <w:r w:rsidRPr="00F07461">
        <w:t xml:space="preserve">The literature review of the cross-cutting themes for the DPL grant was impeded by the lack of information supplied in the grant’s annual reports. For example, the section of the 2020 </w:t>
      </w:r>
      <w:r w:rsidR="00DA3D7F" w:rsidRPr="00F07461">
        <w:t xml:space="preserve">Annual Progress Report </w:t>
      </w:r>
      <w:r w:rsidRPr="00F07461">
        <w:t>has ‘NA’ in answer to the gender, climate change</w:t>
      </w:r>
      <w:r w:rsidR="00D1697A">
        <w:t>,</w:t>
      </w:r>
      <w:r w:rsidRPr="00F07461">
        <w:t xml:space="preserve"> and innovation questions, </w:t>
      </w:r>
      <w:r w:rsidR="00DA3D7F" w:rsidRPr="00F07461">
        <w:t xml:space="preserve">while </w:t>
      </w:r>
      <w:r w:rsidRPr="00F07461">
        <w:t xml:space="preserve">the 2021 </w:t>
      </w:r>
      <w:r w:rsidR="00DA3D7F" w:rsidRPr="00F07461">
        <w:t xml:space="preserve">Report </w:t>
      </w:r>
      <w:r w:rsidRPr="00F07461">
        <w:t xml:space="preserve">does not supply information about any of the cross-cutting themes. The grant proposal identified target outcomes for these themes, so progress needs to be reported. The title of the DPL grant includes Enhancing Resilience to Natural Disasters, which refers to the third pillar of the DPL loan series, which is </w:t>
      </w:r>
      <w:r w:rsidR="0025137B">
        <w:t>“</w:t>
      </w:r>
      <w:r w:rsidRPr="00F07461">
        <w:t>strengthening financial resilience to natural disasters and climate change</w:t>
      </w:r>
      <w:r w:rsidR="0025137B">
        <w:t>”</w:t>
      </w:r>
      <w:r w:rsidRPr="00F07461" w:rsidDel="007E66C7">
        <w:t xml:space="preserve">. </w:t>
      </w:r>
      <w:r w:rsidRPr="00F07461">
        <w:t>Although the DPL grant is not directly concerned with climate change, the absence of any reference to it is notable</w:t>
      </w:r>
      <w:r w:rsidRPr="00F07461" w:rsidDel="007E66C7">
        <w:t xml:space="preserve">. </w:t>
      </w:r>
      <w:r w:rsidRPr="00F07461">
        <w:t>In general, gender equality, women’s economic empowerment, and disability are also absent from the DPL activities and outputs</w:t>
      </w:r>
      <w:r w:rsidRPr="00F07461" w:rsidDel="007E66C7">
        <w:t xml:space="preserve">. </w:t>
      </w:r>
      <w:r w:rsidRPr="00F07461">
        <w:t>For example, the report on smallholder agriculture includes barely any mention of the crucial role played by women in the farm economy.</w:t>
      </w:r>
      <w:r w:rsidRPr="00F07461">
        <w:rPr>
          <w:vertAlign w:val="superscript"/>
        </w:rPr>
        <w:footnoteReference w:id="15"/>
      </w:r>
      <w:r w:rsidRPr="00F07461">
        <w:t xml:space="preserve"> </w:t>
      </w:r>
    </w:p>
    <w:p w14:paraId="08B31CD5" w14:textId="24B77056" w:rsidR="00270F4C" w:rsidRDefault="00270F4C" w:rsidP="00270F4C">
      <w:r w:rsidRPr="00F07461">
        <w:t>The WB team acknowledged that gender equality and women’s economic empowerment are</w:t>
      </w:r>
      <w:r w:rsidR="00C00B0F" w:rsidRPr="00F07461">
        <w:t xml:space="preserve"> </w:t>
      </w:r>
      <w:r w:rsidRPr="00F07461">
        <w:t>a priority for DFAT</w:t>
      </w:r>
      <w:r w:rsidRPr="00F07461" w:rsidDel="007E66C7">
        <w:t xml:space="preserve">. </w:t>
      </w:r>
      <w:r w:rsidRPr="00F07461">
        <w:t xml:space="preserve">For their part, DFAT staff believed that WB generally </w:t>
      </w:r>
      <w:r w:rsidR="005C73E9" w:rsidRPr="005C73E9">
        <w:t>tried to comply with the requirements to integrate GEDSI themes into the DPL via pragmatic and meaningful approach and engagement. For example</w:t>
      </w:r>
      <w:r w:rsidR="00EF373D">
        <w:t>,</w:t>
      </w:r>
      <w:r w:rsidR="005C73E9" w:rsidRPr="005C73E9">
        <w:t xml:space="preserve"> the support on </w:t>
      </w:r>
      <w:proofErr w:type="spellStart"/>
      <w:r w:rsidR="005C73E9" w:rsidRPr="005C73E9">
        <w:t>PhilSys</w:t>
      </w:r>
      <w:proofErr w:type="spellEnd"/>
      <w:r w:rsidR="005C73E9" w:rsidRPr="005C73E9">
        <w:t xml:space="preserve"> national ID system recommended ways to allow home-based registration for persons with disabilities and incorporated processes sensitive to the unique requirements of Indigenous Peoples.</w:t>
      </w:r>
      <w:r w:rsidRPr="00F07461" w:rsidDel="007E66C7">
        <w:t xml:space="preserve"> </w:t>
      </w:r>
      <w:r w:rsidR="00285E9F">
        <w:t>B</w:t>
      </w:r>
      <w:r w:rsidRPr="00F07461">
        <w:t xml:space="preserve">oth the WB and DFAT teams speak in </w:t>
      </w:r>
      <w:r w:rsidRPr="00F07461">
        <w:lastRenderedPageBreak/>
        <w:t xml:space="preserve">similar terms about the challenges of integrating GEDSI into macroeconomic reform, and this impression informed both DFAT’s low expectations and the Bank’s categorization of gender equality as </w:t>
      </w:r>
      <w:r w:rsidR="00EB5F71">
        <w:t>“</w:t>
      </w:r>
      <w:r w:rsidRPr="00F07461">
        <w:t>not applicable</w:t>
      </w:r>
      <w:r w:rsidR="00EB5F71">
        <w:t xml:space="preserve">” </w:t>
      </w:r>
      <w:r w:rsidRPr="00F07461">
        <w:t>for this grant</w:t>
      </w:r>
      <w:r w:rsidR="00ED0DF0">
        <w:t xml:space="preserve">. </w:t>
      </w:r>
      <w:r w:rsidRPr="00F07461">
        <w:t xml:space="preserve">However, recently published designs for DFAT economic governance programs include a strong emphasis on integrating GEDSI into macroeconomics, building on DFAT’s work on the </w:t>
      </w:r>
      <w:r w:rsidR="00ED0DF0">
        <w:t>“</w:t>
      </w:r>
      <w:r w:rsidRPr="00F07461">
        <w:t>smart economics</w:t>
      </w:r>
      <w:r w:rsidR="00ED0DF0">
        <w:t>”</w:t>
      </w:r>
      <w:r w:rsidR="00236BF3">
        <w:t xml:space="preserve"> </w:t>
      </w:r>
      <w:r w:rsidRPr="00F07461">
        <w:t>of gender equality and other authoritative research in this area, for example by the IMF</w:t>
      </w:r>
      <w:r w:rsidRPr="00F07461" w:rsidDel="007E66C7">
        <w:t xml:space="preserve">. </w:t>
      </w:r>
      <w:r w:rsidRPr="00F07461">
        <w:t xml:space="preserve">Encouragingly, it was noted that </w:t>
      </w:r>
      <w:r w:rsidRPr="00D6009F">
        <w:t>DFAT Post will boost their capacity on the economic aspects of gender equality in the coming months, which will be an opportunity to better integrate these cross-cutting themes into the DPL project.</w:t>
      </w:r>
      <w:r>
        <w:t xml:space="preserve"> </w:t>
      </w:r>
    </w:p>
    <w:p w14:paraId="7A09D5E4" w14:textId="1AF6891C" w:rsidR="003B38E1" w:rsidRDefault="003B38E1" w:rsidP="00E03DD0">
      <w:pPr>
        <w:pStyle w:val="Heading3"/>
        <w:rPr>
          <w:lang w:val="en"/>
        </w:rPr>
      </w:pPr>
      <w:bookmarkStart w:id="15" w:name="_Toc125560003"/>
      <w:r w:rsidRPr="00C13FE7">
        <w:rPr>
          <w:color w:val="auto"/>
          <w:lang w:val="en"/>
        </w:rPr>
        <w:t xml:space="preserve">Strengthening </w:t>
      </w:r>
      <w:r w:rsidR="0092165E" w:rsidRPr="00C13FE7">
        <w:rPr>
          <w:color w:val="auto"/>
          <w:lang w:val="en"/>
        </w:rPr>
        <w:t xml:space="preserve">Support for the </w:t>
      </w:r>
      <w:proofErr w:type="spellStart"/>
      <w:r w:rsidRPr="00C13FE7">
        <w:rPr>
          <w:color w:val="auto"/>
          <w:lang w:val="en"/>
        </w:rPr>
        <w:t>Pantawid</w:t>
      </w:r>
      <w:proofErr w:type="spellEnd"/>
      <w:r w:rsidRPr="00C13FE7">
        <w:rPr>
          <w:color w:val="auto"/>
          <w:lang w:val="en"/>
        </w:rPr>
        <w:t xml:space="preserve"> </w:t>
      </w:r>
      <w:r w:rsidR="0092165E" w:rsidRPr="00C13FE7">
        <w:rPr>
          <w:color w:val="auto"/>
          <w:lang w:val="en"/>
        </w:rPr>
        <w:t xml:space="preserve">Program and </w:t>
      </w:r>
      <w:r w:rsidRPr="00C13FE7">
        <w:rPr>
          <w:color w:val="auto"/>
          <w:lang w:val="en"/>
        </w:rPr>
        <w:t xml:space="preserve">Philippine </w:t>
      </w:r>
      <w:r w:rsidR="0092165E" w:rsidRPr="00C13FE7">
        <w:rPr>
          <w:color w:val="auto"/>
          <w:lang w:val="en"/>
        </w:rPr>
        <w:t>Social Protection Systems</w:t>
      </w:r>
      <w:bookmarkEnd w:id="15"/>
      <w:r w:rsidR="0092165E" w:rsidRPr="00C13FE7">
        <w:rPr>
          <w:color w:val="auto"/>
          <w:lang w:val="en"/>
        </w:rPr>
        <w:t xml:space="preserve"> </w:t>
      </w:r>
    </w:p>
    <w:p w14:paraId="26E69A01" w14:textId="2ECBFE95" w:rsidR="001E0C6A" w:rsidRDefault="001E0C6A" w:rsidP="00EF3142">
      <w:r>
        <w:t>Key finding</w:t>
      </w:r>
      <w:r w:rsidR="008633EB">
        <w:t>s</w:t>
      </w:r>
      <w:r>
        <w:t>:</w:t>
      </w:r>
    </w:p>
    <w:p w14:paraId="01B87427" w14:textId="77777777" w:rsidR="008633EB" w:rsidRPr="00547DC5" w:rsidRDefault="001E0C6A" w:rsidP="00C64AD4">
      <w:pPr>
        <w:pStyle w:val="ListParagraph"/>
        <w:numPr>
          <w:ilvl w:val="0"/>
          <w:numId w:val="21"/>
        </w:numPr>
        <w:rPr>
          <w:color w:val="000000" w:themeColor="text1"/>
        </w:rPr>
      </w:pPr>
      <w:r w:rsidRPr="00547DC5">
        <w:rPr>
          <w:color w:val="000000" w:themeColor="text1"/>
          <w:lang w:val="en-US"/>
        </w:rPr>
        <w:t xml:space="preserve">There is good evidence of high-quality analytical work, for example on the effectiveness of social protection payments, and the effective engagement of sector experts from both DFAT and the WB. </w:t>
      </w:r>
    </w:p>
    <w:p w14:paraId="32F557D8" w14:textId="1D905B47" w:rsidR="001E0C6A" w:rsidRPr="00547DC5" w:rsidRDefault="001E0C6A" w:rsidP="00C64AD4">
      <w:pPr>
        <w:pStyle w:val="ListParagraph"/>
        <w:numPr>
          <w:ilvl w:val="0"/>
          <w:numId w:val="21"/>
        </w:numPr>
        <w:rPr>
          <w:color w:val="000000" w:themeColor="text1"/>
        </w:rPr>
      </w:pPr>
      <w:r w:rsidRPr="00547DC5">
        <w:rPr>
          <w:color w:val="000000" w:themeColor="text1"/>
          <w:lang w:val="en-US"/>
        </w:rPr>
        <w:t xml:space="preserve">However, given DFAT’s long history of support to </w:t>
      </w:r>
      <w:proofErr w:type="spellStart"/>
      <w:r w:rsidRPr="00547DC5">
        <w:rPr>
          <w:color w:val="000000" w:themeColor="text1"/>
          <w:lang w:val="en-US"/>
        </w:rPr>
        <w:t>GoP</w:t>
      </w:r>
      <w:proofErr w:type="spellEnd"/>
      <w:r w:rsidRPr="00547DC5">
        <w:rPr>
          <w:color w:val="000000" w:themeColor="text1"/>
          <w:lang w:val="en-US"/>
        </w:rPr>
        <w:t xml:space="preserve"> </w:t>
      </w:r>
      <w:r w:rsidR="00D63B20">
        <w:rPr>
          <w:color w:val="000000" w:themeColor="text1"/>
          <w:lang w:val="en-US"/>
        </w:rPr>
        <w:t>on</w:t>
      </w:r>
      <w:r w:rsidRPr="00547DC5">
        <w:rPr>
          <w:color w:val="000000" w:themeColor="text1"/>
          <w:lang w:val="en-US"/>
        </w:rPr>
        <w:t xml:space="preserve"> social protection, </w:t>
      </w:r>
      <w:proofErr w:type="spellStart"/>
      <w:r w:rsidR="007628AF">
        <w:rPr>
          <w:color w:val="000000" w:themeColor="text1"/>
          <w:lang w:val="en-US"/>
        </w:rPr>
        <w:t>AGaP</w:t>
      </w:r>
      <w:proofErr w:type="spellEnd"/>
      <w:r w:rsidRPr="00547DC5">
        <w:rPr>
          <w:color w:val="000000" w:themeColor="text1"/>
          <w:lang w:val="en-US"/>
        </w:rPr>
        <w:t xml:space="preserve"> could have done more to build </w:t>
      </w:r>
      <w:r w:rsidR="00D63B20">
        <w:rPr>
          <w:color w:val="000000" w:themeColor="text1"/>
          <w:lang w:val="en-US"/>
        </w:rPr>
        <w:t xml:space="preserve">on </w:t>
      </w:r>
      <w:r w:rsidRPr="00547DC5">
        <w:rPr>
          <w:color w:val="000000" w:themeColor="text1"/>
          <w:lang w:val="en-US"/>
        </w:rPr>
        <w:t xml:space="preserve">this legacy. </w:t>
      </w:r>
    </w:p>
    <w:p w14:paraId="22D1F167" w14:textId="3677A44B" w:rsidR="00EF3142" w:rsidRDefault="00EF3142" w:rsidP="00EF3142">
      <w:pPr>
        <w:rPr>
          <w:shd w:val="clear" w:color="auto" w:fill="FAF9F8"/>
        </w:rPr>
      </w:pPr>
      <w:r>
        <w:t xml:space="preserve">This grant supports specific activities in the WB-assisted </w:t>
      </w:r>
      <w:r>
        <w:rPr>
          <w:shd w:val="clear" w:color="auto" w:fill="FAF9F8"/>
        </w:rPr>
        <w:t xml:space="preserve">Strengthening Support for the </w:t>
      </w:r>
      <w:proofErr w:type="spellStart"/>
      <w:r>
        <w:rPr>
          <w:shd w:val="clear" w:color="auto" w:fill="FAF9F8"/>
        </w:rPr>
        <w:t>Pantawid</w:t>
      </w:r>
      <w:proofErr w:type="spellEnd"/>
      <w:r>
        <w:rPr>
          <w:shd w:val="clear" w:color="auto" w:fill="FAF9F8"/>
        </w:rPr>
        <w:t xml:space="preserve"> Program and Philippine Social Protection Systems implemented by the Department of Social Welfare and Development (DSWD). </w:t>
      </w:r>
      <w:r>
        <w:t xml:space="preserve">The </w:t>
      </w:r>
      <w:r>
        <w:rPr>
          <w:lang w:val="en-PH"/>
        </w:rPr>
        <w:t xml:space="preserve">grant’s </w:t>
      </w:r>
      <w:r>
        <w:t xml:space="preserve">objective is </w:t>
      </w:r>
      <w:r w:rsidRPr="00F36B50">
        <w:rPr>
          <w:i/>
          <w:iCs/>
        </w:rPr>
        <w:t>to provide</w:t>
      </w:r>
      <w:r>
        <w:rPr>
          <w:i/>
          <w:iCs/>
        </w:rPr>
        <w:t xml:space="preserve"> </w:t>
      </w:r>
      <w:r w:rsidRPr="00F36B50">
        <w:rPr>
          <w:i/>
          <w:iCs/>
        </w:rPr>
        <w:t>technical</w:t>
      </w:r>
      <w:r>
        <w:rPr>
          <w:i/>
          <w:iCs/>
        </w:rPr>
        <w:t xml:space="preserve"> </w:t>
      </w:r>
      <w:r w:rsidRPr="00F36B50">
        <w:rPr>
          <w:i/>
          <w:iCs/>
        </w:rPr>
        <w:t>assistance</w:t>
      </w:r>
      <w:r>
        <w:rPr>
          <w:i/>
          <w:iCs/>
        </w:rPr>
        <w:t xml:space="preserve"> </w:t>
      </w:r>
      <w:r w:rsidRPr="00F36B50">
        <w:rPr>
          <w:i/>
          <w:iCs/>
        </w:rPr>
        <w:t>and</w:t>
      </w:r>
      <w:r>
        <w:rPr>
          <w:i/>
          <w:iCs/>
        </w:rPr>
        <w:t xml:space="preserve"> </w:t>
      </w:r>
      <w:r w:rsidRPr="00F36B50">
        <w:rPr>
          <w:i/>
          <w:iCs/>
        </w:rPr>
        <w:t>advisory</w:t>
      </w:r>
      <w:r>
        <w:rPr>
          <w:i/>
          <w:iCs/>
        </w:rPr>
        <w:t xml:space="preserve"> </w:t>
      </w:r>
      <w:r w:rsidRPr="00F36B50">
        <w:rPr>
          <w:i/>
          <w:iCs/>
        </w:rPr>
        <w:t>services</w:t>
      </w:r>
      <w:r>
        <w:rPr>
          <w:i/>
          <w:iCs/>
        </w:rPr>
        <w:t xml:space="preserve"> </w:t>
      </w:r>
      <w:r w:rsidRPr="00F36B50">
        <w:rPr>
          <w:i/>
          <w:iCs/>
        </w:rPr>
        <w:t>to</w:t>
      </w:r>
      <w:r>
        <w:rPr>
          <w:i/>
          <w:iCs/>
        </w:rPr>
        <w:t xml:space="preserve"> </w:t>
      </w:r>
      <w:r w:rsidRPr="00F36B50">
        <w:rPr>
          <w:i/>
          <w:iCs/>
        </w:rPr>
        <w:t>the</w:t>
      </w:r>
      <w:r>
        <w:rPr>
          <w:i/>
          <w:iCs/>
        </w:rPr>
        <w:t xml:space="preserve"> </w:t>
      </w:r>
      <w:r w:rsidRPr="00F36B50">
        <w:rPr>
          <w:i/>
          <w:iCs/>
        </w:rPr>
        <w:t>Government</w:t>
      </w:r>
      <w:r>
        <w:rPr>
          <w:i/>
          <w:iCs/>
        </w:rPr>
        <w:t xml:space="preserve"> </w:t>
      </w:r>
      <w:r w:rsidRPr="00F36B50">
        <w:rPr>
          <w:i/>
          <w:iCs/>
        </w:rPr>
        <w:t>of</w:t>
      </w:r>
      <w:r>
        <w:rPr>
          <w:i/>
          <w:iCs/>
        </w:rPr>
        <w:t xml:space="preserve"> </w:t>
      </w:r>
      <w:r w:rsidRPr="00F36B50">
        <w:rPr>
          <w:i/>
          <w:iCs/>
        </w:rPr>
        <w:t>the</w:t>
      </w:r>
      <w:r>
        <w:rPr>
          <w:i/>
          <w:iCs/>
        </w:rPr>
        <w:t xml:space="preserve"> </w:t>
      </w:r>
      <w:r w:rsidRPr="00F36B50">
        <w:rPr>
          <w:i/>
          <w:iCs/>
        </w:rPr>
        <w:t>Philippines</w:t>
      </w:r>
      <w:r>
        <w:rPr>
          <w:i/>
          <w:iCs/>
        </w:rPr>
        <w:t xml:space="preserve"> </w:t>
      </w:r>
      <w:r w:rsidRPr="00F36B50">
        <w:rPr>
          <w:i/>
          <w:iCs/>
        </w:rPr>
        <w:t>in</w:t>
      </w:r>
      <w:r>
        <w:rPr>
          <w:i/>
          <w:iCs/>
        </w:rPr>
        <w:t xml:space="preserve"> </w:t>
      </w:r>
      <w:r w:rsidRPr="00F36B50">
        <w:rPr>
          <w:i/>
          <w:iCs/>
        </w:rPr>
        <w:t>key</w:t>
      </w:r>
      <w:r>
        <w:rPr>
          <w:i/>
          <w:iCs/>
        </w:rPr>
        <w:t xml:space="preserve"> </w:t>
      </w:r>
      <w:r w:rsidRPr="00F36B50">
        <w:rPr>
          <w:i/>
          <w:iCs/>
        </w:rPr>
        <w:t>areas</w:t>
      </w:r>
      <w:r>
        <w:rPr>
          <w:i/>
          <w:iCs/>
        </w:rPr>
        <w:t xml:space="preserve"> </w:t>
      </w:r>
      <w:r w:rsidRPr="00F36B50">
        <w:rPr>
          <w:i/>
          <w:iCs/>
        </w:rPr>
        <w:t xml:space="preserve">to promote the efficient and effective delivery of the </w:t>
      </w:r>
      <w:proofErr w:type="spellStart"/>
      <w:r w:rsidRPr="00F36B50">
        <w:rPr>
          <w:i/>
          <w:iCs/>
        </w:rPr>
        <w:t>Pantawid</w:t>
      </w:r>
      <w:proofErr w:type="spellEnd"/>
      <w:r w:rsidRPr="00F36B50">
        <w:rPr>
          <w:i/>
          <w:iCs/>
        </w:rPr>
        <w:t xml:space="preserve"> program</w:t>
      </w:r>
      <w:r>
        <w:rPr>
          <w:i/>
          <w:iCs/>
        </w:rPr>
        <w:t xml:space="preserve">. </w:t>
      </w:r>
      <w:r>
        <w:rPr>
          <w:shd w:val="clear" w:color="auto" w:fill="FAF9F8"/>
        </w:rPr>
        <w:t>It has two components: (</w:t>
      </w:r>
      <w:proofErr w:type="spellStart"/>
      <w:r>
        <w:rPr>
          <w:shd w:val="clear" w:color="auto" w:fill="FAF9F8"/>
        </w:rPr>
        <w:t>i</w:t>
      </w:r>
      <w:proofErr w:type="spellEnd"/>
      <w:r>
        <w:rPr>
          <w:shd w:val="clear" w:color="auto" w:fill="FAF9F8"/>
        </w:rPr>
        <w:t>) support to World Bank lending operations; (ii) support to government program or policy.</w:t>
      </w:r>
    </w:p>
    <w:p w14:paraId="6B26C4F2" w14:textId="7232762F" w:rsidR="00EF3142" w:rsidRPr="00DA4C23" w:rsidRDefault="00EF3142" w:rsidP="00EF3142">
      <w:r>
        <w:rPr>
          <w:shd w:val="clear" w:color="auto" w:fill="FAF9F8"/>
        </w:rPr>
        <w:t xml:space="preserve">Aligned with </w:t>
      </w:r>
      <w:proofErr w:type="spellStart"/>
      <w:r w:rsidR="007628AF">
        <w:rPr>
          <w:shd w:val="clear" w:color="auto" w:fill="FAF9F8"/>
        </w:rPr>
        <w:t>AGaP</w:t>
      </w:r>
      <w:r>
        <w:rPr>
          <w:shd w:val="clear" w:color="auto" w:fill="FAF9F8"/>
        </w:rPr>
        <w:t>’s</w:t>
      </w:r>
      <w:proofErr w:type="spellEnd"/>
      <w:r>
        <w:rPr>
          <w:shd w:val="clear" w:color="auto" w:fill="FAF9F8"/>
        </w:rPr>
        <w:t xml:space="preserve"> objective of aiding project development and preparations, this grant was used to prepare the analytical work for the third and mandatory update of the country’s nationwide database of </w:t>
      </w:r>
      <w:r>
        <w:rPr>
          <w:shd w:val="clear" w:color="auto" w:fill="FAF9F8"/>
          <w:lang w:val="en-PH"/>
        </w:rPr>
        <w:t xml:space="preserve">poor households called </w:t>
      </w:r>
      <w:proofErr w:type="spellStart"/>
      <w:r>
        <w:rPr>
          <w:i/>
          <w:iCs/>
          <w:shd w:val="clear" w:color="auto" w:fill="FAF9F8"/>
          <w:lang w:val="en-PH"/>
        </w:rPr>
        <w:t>Listahanan</w:t>
      </w:r>
      <w:proofErr w:type="spellEnd"/>
      <w:r>
        <w:rPr>
          <w:i/>
          <w:iCs/>
          <w:shd w:val="clear" w:color="auto" w:fill="FAF9F8"/>
          <w:lang w:val="en-PH"/>
        </w:rPr>
        <w:t xml:space="preserve"> 3</w:t>
      </w:r>
      <w:r>
        <w:rPr>
          <w:shd w:val="clear" w:color="auto" w:fill="FAF9F8"/>
          <w:lang w:val="en-PH"/>
        </w:rPr>
        <w:t xml:space="preserve">. A related program, and for which the grant produced technical notes, is the integration of </w:t>
      </w:r>
      <w:proofErr w:type="spellStart"/>
      <w:r>
        <w:rPr>
          <w:shd w:val="clear" w:color="auto" w:fill="FAF9F8"/>
          <w:lang w:val="en-PH"/>
        </w:rPr>
        <w:t>GoP’s</w:t>
      </w:r>
      <w:proofErr w:type="spellEnd"/>
      <w:r>
        <w:rPr>
          <w:shd w:val="clear" w:color="auto" w:fill="FAF9F8"/>
          <w:lang w:val="en-PH"/>
        </w:rPr>
        <w:t xml:space="preserve"> various databases to set up a </w:t>
      </w:r>
      <w:r>
        <w:t xml:space="preserve">dynamic repository of core beneficiary records of the country’s </w:t>
      </w:r>
      <w:r w:rsidRPr="00DA4C23">
        <w:t xml:space="preserve">conditional cash transfer program or </w:t>
      </w:r>
      <w:proofErr w:type="spellStart"/>
      <w:r w:rsidRPr="00A33C47">
        <w:rPr>
          <w:i/>
          <w:iCs/>
        </w:rPr>
        <w:t>Pantawid</w:t>
      </w:r>
      <w:proofErr w:type="spellEnd"/>
      <w:r w:rsidRPr="00DA4C23">
        <w:t>. These activities contribute to the digitali</w:t>
      </w:r>
      <w:r w:rsidR="008E0661">
        <w:t>s</w:t>
      </w:r>
      <w:r w:rsidRPr="00DA4C23">
        <w:t xml:space="preserve">ation reforms in the </w:t>
      </w:r>
      <w:r w:rsidR="00DA6223" w:rsidRPr="00DA4C23">
        <w:t>country and</w:t>
      </w:r>
      <w:r w:rsidRPr="00DA4C23">
        <w:t xml:space="preserve"> are expected to make the delivery of social assistance more efficient, including in the Bangsamoro Autonomous Region in Muslim Mindanao (BARMM), which holds a cluster of the poorest population. Early progress toward these reforms—achieved during the early months of the pandemic—was the quick delivery of analytical work used in </w:t>
      </w:r>
      <w:proofErr w:type="spellStart"/>
      <w:r w:rsidRPr="00DA4C23">
        <w:t>GoP’s</w:t>
      </w:r>
      <w:proofErr w:type="spellEnd"/>
      <w:r w:rsidRPr="00DA4C23">
        <w:t xml:space="preserve"> policy issuances on social assistance and the shift to digital delivery of social protection programs.</w:t>
      </w:r>
    </w:p>
    <w:p w14:paraId="495E7186" w14:textId="23030833" w:rsidR="00EF3142" w:rsidRPr="00DA4C23" w:rsidRDefault="00EF3142" w:rsidP="00EF3142">
      <w:r w:rsidRPr="00DA4C23">
        <w:t xml:space="preserve">The grant also supported the design of </w:t>
      </w:r>
      <w:r w:rsidR="00DF450F">
        <w:t>the</w:t>
      </w:r>
      <w:r w:rsidRPr="00DA4C23">
        <w:t xml:space="preserve"> fourth wave of </w:t>
      </w:r>
      <w:proofErr w:type="spellStart"/>
      <w:r w:rsidRPr="00DA4C23">
        <w:t>Pantawid</w:t>
      </w:r>
      <w:proofErr w:type="spellEnd"/>
      <w:r w:rsidRPr="00DA4C23">
        <w:t xml:space="preserve"> impact evaluation, which will inform subsequent policy directions for this core poverty reduction program of the </w:t>
      </w:r>
      <w:r w:rsidR="008E0661">
        <w:t>G</w:t>
      </w:r>
      <w:r w:rsidRPr="00DA4C23">
        <w:t xml:space="preserve">overnment. This demonstrates another strong alignment with </w:t>
      </w:r>
      <w:proofErr w:type="spellStart"/>
      <w:r w:rsidR="007628AF">
        <w:t>AGaP</w:t>
      </w:r>
      <w:proofErr w:type="spellEnd"/>
      <w:r w:rsidRPr="00DA4C23">
        <w:t xml:space="preserve"> outcome areas, specifically evidence-based policy making towards key socioeconomic reforms. </w:t>
      </w:r>
    </w:p>
    <w:p w14:paraId="4735F407" w14:textId="3C3DAE71" w:rsidR="00EF3142" w:rsidRDefault="00EF3142" w:rsidP="00EF3142">
      <w:r w:rsidRPr="00DA4C23">
        <w:t>This grant</w:t>
      </w:r>
      <w:r w:rsidR="00285E9F">
        <w:t xml:space="preserve"> exhibits the value of</w:t>
      </w:r>
      <w:r w:rsidRPr="00DA4C23">
        <w:t xml:space="preserve"> facilitated collaboration and partnership between WB and DFAT</w:t>
      </w:r>
      <w:r>
        <w:t xml:space="preserve">, with task teams </w:t>
      </w:r>
      <w:r w:rsidRPr="00DA4C23">
        <w:t xml:space="preserve">affirming the usefulness of </w:t>
      </w:r>
      <w:r>
        <w:t xml:space="preserve">their </w:t>
      </w:r>
      <w:r w:rsidRPr="00DA4C23">
        <w:t xml:space="preserve">regular meetings to tackle issues </w:t>
      </w:r>
      <w:r>
        <w:t xml:space="preserve">related to the grant </w:t>
      </w:r>
      <w:r w:rsidRPr="00DA4C23">
        <w:t xml:space="preserve">and </w:t>
      </w:r>
      <w:r>
        <w:t xml:space="preserve">share lessons </w:t>
      </w:r>
      <w:r w:rsidRPr="00DA4C23">
        <w:t>about social protection</w:t>
      </w:r>
      <w:r>
        <w:t xml:space="preserve"> in general</w:t>
      </w:r>
      <w:r w:rsidRPr="00DA4C23">
        <w:t xml:space="preserve">. This community of practice </w:t>
      </w:r>
      <w:r>
        <w:rPr>
          <w:lang w:val="en-PH"/>
        </w:rPr>
        <w:t xml:space="preserve">involves other development partners as well, including </w:t>
      </w:r>
      <w:r w:rsidRPr="00DA4C23">
        <w:t>UNICEF</w:t>
      </w:r>
      <w:r>
        <w:t xml:space="preserve">, which similarly appreciated the collaboration. </w:t>
      </w:r>
      <w:r w:rsidRPr="00DA4C23">
        <w:t xml:space="preserve">WB </w:t>
      </w:r>
      <w:r>
        <w:t xml:space="preserve">cited </w:t>
      </w:r>
      <w:r w:rsidRPr="00DA4C23">
        <w:t xml:space="preserve">DFAT’s role in convening development partners around social protection, </w:t>
      </w:r>
      <w:r>
        <w:t xml:space="preserve">which DFAT intends to further enhance through parallel bilateral engagements with DSWD. </w:t>
      </w:r>
      <w:proofErr w:type="gramStart"/>
      <w:r>
        <w:t>In particular, DFAT</w:t>
      </w:r>
      <w:proofErr w:type="gramEnd"/>
      <w:r>
        <w:t xml:space="preserve"> indicated keen interest in providing technical assistance to DSWD similar to its support in embedding expertise in the department to provide advice to staff and officials during the early years of the </w:t>
      </w:r>
      <w:proofErr w:type="spellStart"/>
      <w:r>
        <w:t>Pantawid</w:t>
      </w:r>
      <w:proofErr w:type="spellEnd"/>
      <w:r>
        <w:t xml:space="preserve"> program.</w:t>
      </w:r>
    </w:p>
    <w:p w14:paraId="7BDF7BEB" w14:textId="2D3BCEB1" w:rsidR="00EF3142" w:rsidRPr="00086E6C" w:rsidRDefault="00EF3142" w:rsidP="00EF3142">
      <w:r>
        <w:lastRenderedPageBreak/>
        <w:t xml:space="preserve">This grant’s support for </w:t>
      </w:r>
      <w:r w:rsidRPr="00086E6C">
        <w:t>capacity building and consultations with beneficiaries and DSWD staff strengthen</w:t>
      </w:r>
      <w:r>
        <w:t>ed</w:t>
      </w:r>
      <w:r w:rsidRPr="00086E6C">
        <w:t xml:space="preserve"> </w:t>
      </w:r>
      <w:r>
        <w:t xml:space="preserve">the program’s </w:t>
      </w:r>
      <w:r w:rsidRPr="00086E6C">
        <w:t xml:space="preserve">engagement with key stakeholders, </w:t>
      </w:r>
      <w:r w:rsidR="00E40509">
        <w:t xml:space="preserve">particularly </w:t>
      </w:r>
      <w:r w:rsidR="00F273EB">
        <w:t xml:space="preserve">in </w:t>
      </w:r>
      <w:r w:rsidR="00B50BB0">
        <w:t xml:space="preserve">enhancing the design of </w:t>
      </w:r>
      <w:r w:rsidR="00E40509">
        <w:t xml:space="preserve">the </w:t>
      </w:r>
      <w:r w:rsidRPr="00086E6C">
        <w:t xml:space="preserve">family and youth development </w:t>
      </w:r>
      <w:r>
        <w:t>sessions.</w:t>
      </w:r>
      <w:r w:rsidRPr="00B74CA6">
        <w:t xml:space="preserve"> </w:t>
      </w:r>
      <w:r w:rsidR="00B74CA6">
        <w:t>For example, the youth development sessions adopt a differentiated approach in addressing dropout rates of boys and girls in school</w:t>
      </w:r>
      <w:r w:rsidR="00B74CA6" w:rsidDel="007E66C7">
        <w:t xml:space="preserve">. </w:t>
      </w:r>
      <w:r w:rsidR="00B74CA6" w:rsidRPr="00B74CA6">
        <w:t>Although there is a gender and disability focus within this grant</w:t>
      </w:r>
      <w:r w:rsidR="005423F0">
        <w:t>,</w:t>
      </w:r>
      <w:r w:rsidR="00B74CA6" w:rsidRPr="00B74CA6">
        <w:t xml:space="preserve"> </w:t>
      </w:r>
      <w:r w:rsidR="00B74CA6" w:rsidRPr="00547DC5">
        <w:t xml:space="preserve">more could be done to systemise gender analysis to ensure </w:t>
      </w:r>
      <w:r w:rsidR="005423F0">
        <w:t xml:space="preserve">that </w:t>
      </w:r>
      <w:r w:rsidR="00B74CA6" w:rsidRPr="00547DC5">
        <w:t xml:space="preserve">the </w:t>
      </w:r>
      <w:r w:rsidR="005423F0">
        <w:t>g</w:t>
      </w:r>
      <w:r w:rsidR="00B74CA6" w:rsidRPr="00547DC5">
        <w:t>overnment program is gender-sensitised and contributes toward poverty reduction and COVID-19 recovery equitably</w:t>
      </w:r>
      <w:r w:rsidR="00C64AD4">
        <w:t xml:space="preserve">. </w:t>
      </w:r>
    </w:p>
    <w:p w14:paraId="2F32220F" w14:textId="73825154" w:rsidR="002900C0" w:rsidRPr="002900C0" w:rsidRDefault="00EF3142" w:rsidP="002900C0">
      <w:pPr>
        <w:rPr>
          <w:lang w:val="en"/>
        </w:rPr>
      </w:pPr>
      <w:r>
        <w:t xml:space="preserve">DFAT acknowledged the high quality of the analytical work produced under this grant and how it provided </w:t>
      </w:r>
      <w:r w:rsidRPr="00694948">
        <w:t>evidence</w:t>
      </w:r>
      <w:r>
        <w:t xml:space="preserve"> that informed the programs and decisions of DFAT </w:t>
      </w:r>
      <w:r w:rsidR="007E66C7">
        <w:t>Post</w:t>
      </w:r>
      <w:r>
        <w:t xml:space="preserve">. DFAT also noted that it provided input in some of the technical papers, including the design of the impact evaluation; it also participated in project missions. Most of the studies are public documents, posted on the web and disseminated in forums with appropriate acknowledgment of DFAT’s support. </w:t>
      </w:r>
      <w:r w:rsidRPr="00F07461">
        <w:t xml:space="preserve">Nevertheless, there is opportunity yet untapped for more substantial involvement given DFAT’s long-standing support for social protection in the country. </w:t>
      </w:r>
      <w:r w:rsidR="008633EB" w:rsidRPr="00F07461">
        <w:t xml:space="preserve">For example, the participation of DFAT in some public events has been largely ceremonial, as noted by the WB task team. This does not </w:t>
      </w:r>
      <w:r w:rsidR="001B2091">
        <w:t>utilise</w:t>
      </w:r>
      <w:r w:rsidR="008633EB" w:rsidRPr="00F07461">
        <w:t xml:space="preserve"> the expertise, both within DFAT or its network of social protection practitioners, </w:t>
      </w:r>
      <w:r w:rsidR="00BA4208" w:rsidRPr="00F07461">
        <w:t>that could potentially enrich the policy dialogues.</w:t>
      </w:r>
      <w:r w:rsidR="008633EB" w:rsidRPr="00F07461">
        <w:t xml:space="preserve"> </w:t>
      </w:r>
      <w:r w:rsidR="00BA4208" w:rsidRPr="00F07461">
        <w:t>In addition</w:t>
      </w:r>
      <w:r w:rsidRPr="00F07461">
        <w:t xml:space="preserve">, </w:t>
      </w:r>
      <w:r w:rsidRPr="00D6009F">
        <w:t>WB would like to see more visibility of the partnership, with the heads of both institutions reinforcing key messages in support of the reforms, for example, in their meetings with government counterparts and in public events.</w:t>
      </w:r>
      <w:r>
        <w:t xml:space="preserve"> </w:t>
      </w:r>
    </w:p>
    <w:p w14:paraId="665F7DCB" w14:textId="680234E5" w:rsidR="003B38E1" w:rsidRDefault="003B38E1" w:rsidP="00E03DD0">
      <w:pPr>
        <w:pStyle w:val="Heading3"/>
        <w:rPr>
          <w:lang w:val="en"/>
        </w:rPr>
      </w:pPr>
      <w:bookmarkStart w:id="16" w:name="_Toc125560004"/>
      <w:r w:rsidRPr="00C13FE7">
        <w:rPr>
          <w:color w:val="auto"/>
          <w:lang w:val="en"/>
        </w:rPr>
        <w:t xml:space="preserve">Supporting </w:t>
      </w:r>
      <w:r w:rsidR="0092165E" w:rsidRPr="00C13FE7">
        <w:rPr>
          <w:color w:val="auto"/>
          <w:lang w:val="en"/>
        </w:rPr>
        <w:t xml:space="preserve">Subnational Finance and Decentralization in the Context of the </w:t>
      </w:r>
      <w:proofErr w:type="spellStart"/>
      <w:r w:rsidRPr="00C13FE7">
        <w:rPr>
          <w:color w:val="auto"/>
          <w:lang w:val="en"/>
        </w:rPr>
        <w:t>Mandanas</w:t>
      </w:r>
      <w:proofErr w:type="spellEnd"/>
      <w:r w:rsidRPr="00C13FE7">
        <w:rPr>
          <w:color w:val="auto"/>
          <w:lang w:val="en"/>
        </w:rPr>
        <w:t xml:space="preserve"> </w:t>
      </w:r>
      <w:r w:rsidR="0092165E" w:rsidRPr="00C13FE7">
        <w:rPr>
          <w:color w:val="auto"/>
          <w:lang w:val="en"/>
        </w:rPr>
        <w:t>Ruling</w:t>
      </w:r>
      <w:bookmarkEnd w:id="16"/>
      <w:r w:rsidR="0092165E" w:rsidRPr="00C13FE7">
        <w:rPr>
          <w:color w:val="auto"/>
          <w:lang w:val="en"/>
        </w:rPr>
        <w:t xml:space="preserve"> </w:t>
      </w:r>
    </w:p>
    <w:p w14:paraId="51A030AD" w14:textId="362B41A6" w:rsidR="00BA4208" w:rsidRDefault="00BA4208" w:rsidP="003A74B5">
      <w:r>
        <w:t>Key findings:</w:t>
      </w:r>
    </w:p>
    <w:p w14:paraId="5FC147A4" w14:textId="60E2BB81" w:rsidR="00BA4208" w:rsidRPr="00547DC5" w:rsidRDefault="00BA4208" w:rsidP="00C64AD4">
      <w:pPr>
        <w:pStyle w:val="ListParagraph"/>
        <w:numPr>
          <w:ilvl w:val="0"/>
          <w:numId w:val="22"/>
        </w:numPr>
        <w:rPr>
          <w:color w:val="000000" w:themeColor="text1"/>
        </w:rPr>
      </w:pPr>
      <w:r w:rsidRPr="00547DC5">
        <w:rPr>
          <w:color w:val="000000" w:themeColor="text1"/>
        </w:rPr>
        <w:t xml:space="preserve">There is evidence that </w:t>
      </w:r>
      <w:proofErr w:type="spellStart"/>
      <w:r w:rsidR="007628AF">
        <w:rPr>
          <w:color w:val="000000" w:themeColor="text1"/>
        </w:rPr>
        <w:t>AGaP</w:t>
      </w:r>
      <w:proofErr w:type="spellEnd"/>
      <w:r w:rsidRPr="00547DC5">
        <w:rPr>
          <w:color w:val="000000" w:themeColor="text1"/>
        </w:rPr>
        <w:t xml:space="preserve"> support informed public discourse and policy dialogue around how the </w:t>
      </w:r>
      <w:proofErr w:type="spellStart"/>
      <w:r w:rsidRPr="00547DC5">
        <w:rPr>
          <w:color w:val="000000" w:themeColor="text1"/>
        </w:rPr>
        <w:t>Mandanas</w:t>
      </w:r>
      <w:proofErr w:type="spellEnd"/>
      <w:r w:rsidRPr="00547DC5">
        <w:rPr>
          <w:color w:val="000000" w:themeColor="text1"/>
        </w:rPr>
        <w:t xml:space="preserve"> ruling could be an opportunity to improve the delivery of services and strengthen the demand-side of transparency and accountability. </w:t>
      </w:r>
    </w:p>
    <w:p w14:paraId="2EC32FA0" w14:textId="14962976" w:rsidR="00BA4208" w:rsidRPr="00547DC5" w:rsidRDefault="00BA4208" w:rsidP="00C64AD4">
      <w:pPr>
        <w:pStyle w:val="ListParagraph"/>
        <w:numPr>
          <w:ilvl w:val="0"/>
          <w:numId w:val="22"/>
        </w:numPr>
        <w:rPr>
          <w:color w:val="000000" w:themeColor="text1"/>
        </w:rPr>
      </w:pPr>
      <w:r w:rsidRPr="00547DC5">
        <w:rPr>
          <w:color w:val="000000" w:themeColor="text1"/>
        </w:rPr>
        <w:t>However, while this grant supports the central government, there is little evidence of broad participation of local government units in the technical consultations that informed the analyses.</w:t>
      </w:r>
    </w:p>
    <w:p w14:paraId="070D5D3D" w14:textId="0EB772FE" w:rsidR="003A74B5" w:rsidRDefault="003A74B5" w:rsidP="003A74B5">
      <w:r>
        <w:t xml:space="preserve">The grant responds to </w:t>
      </w:r>
      <w:proofErr w:type="spellStart"/>
      <w:r>
        <w:t>GoP’s</w:t>
      </w:r>
      <w:proofErr w:type="spellEnd"/>
      <w:r>
        <w:t xml:space="preserve"> request for the necessary data analysis </w:t>
      </w:r>
      <w:r>
        <w:rPr>
          <w:lang w:val="en-PH"/>
        </w:rPr>
        <w:t xml:space="preserve">and technical advice on the fiscal impact </w:t>
      </w:r>
      <w:r>
        <w:t xml:space="preserve">of the </w:t>
      </w:r>
      <w:r w:rsidRPr="00024791">
        <w:t xml:space="preserve">Supreme Court’s </w:t>
      </w:r>
      <w:proofErr w:type="spellStart"/>
      <w:r w:rsidRPr="00024791">
        <w:t>Mandanas</w:t>
      </w:r>
      <w:proofErr w:type="spellEnd"/>
      <w:r w:rsidRPr="00024791">
        <w:t xml:space="preserve"> Ruling </w:t>
      </w:r>
      <w:r>
        <w:t xml:space="preserve">that includes </w:t>
      </w:r>
      <w:r w:rsidRPr="00024791">
        <w:t xml:space="preserve">all national taxes (internal revenue and customs duties) in the calculation of internal revenue allotment. </w:t>
      </w:r>
      <w:r>
        <w:t xml:space="preserve">With this ruling and </w:t>
      </w:r>
      <w:r w:rsidRPr="00024791">
        <w:t xml:space="preserve">starting 2022, </w:t>
      </w:r>
      <w:r>
        <w:t xml:space="preserve">local government units </w:t>
      </w:r>
      <w:r w:rsidRPr="00024791">
        <w:t>receive a substantial increase of 3</w:t>
      </w:r>
      <w:r>
        <w:t>1</w:t>
      </w:r>
      <w:r w:rsidRPr="00024791">
        <w:t xml:space="preserve"> percent more on said allotments.</w:t>
      </w:r>
      <w:r>
        <w:t xml:space="preserve"> </w:t>
      </w:r>
      <w:r w:rsidRPr="00024791">
        <w:t>T</w:t>
      </w:r>
      <w:r>
        <w:t xml:space="preserve">his is the impetus for the </w:t>
      </w:r>
      <w:r w:rsidRPr="00024791">
        <w:t>grant</w:t>
      </w:r>
      <w:r>
        <w:t xml:space="preserve">, whose </w:t>
      </w:r>
      <w:r w:rsidRPr="00024791">
        <w:t>objective</w:t>
      </w:r>
      <w:r>
        <w:t xml:space="preserve"> is </w:t>
      </w:r>
      <w:r w:rsidRPr="00024791">
        <w:rPr>
          <w:i/>
          <w:iCs/>
        </w:rPr>
        <w:t xml:space="preserve">to assist the Government of the Philippines in the design and implementation of the </w:t>
      </w:r>
      <w:proofErr w:type="spellStart"/>
      <w:r w:rsidRPr="00024791">
        <w:rPr>
          <w:i/>
          <w:iCs/>
        </w:rPr>
        <w:t>Mandanas</w:t>
      </w:r>
      <w:proofErr w:type="spellEnd"/>
      <w:r w:rsidRPr="00024791">
        <w:rPr>
          <w:i/>
          <w:iCs/>
        </w:rPr>
        <w:t xml:space="preserve"> ruling to ensure sustainable and inclusive growth through a more effective decentralization process.</w:t>
      </w:r>
      <w:r w:rsidRPr="00024791">
        <w:t xml:space="preserve"> </w:t>
      </w:r>
    </w:p>
    <w:p w14:paraId="26BEA7D5" w14:textId="77777777" w:rsidR="003A74B5" w:rsidRPr="00024791" w:rsidRDefault="003A74B5" w:rsidP="003A74B5">
      <w:r>
        <w:t>It has four components</w:t>
      </w:r>
      <w:r w:rsidRPr="00024791">
        <w:t>: (</w:t>
      </w:r>
      <w:proofErr w:type="spellStart"/>
      <w:r w:rsidRPr="00024791">
        <w:t>i</w:t>
      </w:r>
      <w:proofErr w:type="spellEnd"/>
      <w:r w:rsidRPr="00024791">
        <w:t xml:space="preserve">) multistakeholder policy dialogue to leverage the </w:t>
      </w:r>
      <w:proofErr w:type="spellStart"/>
      <w:r w:rsidRPr="00024791">
        <w:t>Mandanas</w:t>
      </w:r>
      <w:proofErr w:type="spellEnd"/>
      <w:r w:rsidRPr="00024791">
        <w:t xml:space="preserve"> ruling to strengthen subnational finance and decentralization; (ii) economic and social impact assessment of the implementation of </w:t>
      </w:r>
      <w:proofErr w:type="spellStart"/>
      <w:r w:rsidRPr="00024791">
        <w:t>Mandanas</w:t>
      </w:r>
      <w:proofErr w:type="spellEnd"/>
      <w:r w:rsidRPr="00024791">
        <w:t xml:space="preserve"> ruling in the medium to long term; (iii) subnational fiscal analysis for provincial, city, and municipal local government units; and (iv) advisory to </w:t>
      </w:r>
      <w:r>
        <w:t xml:space="preserve">the </w:t>
      </w:r>
      <w:r w:rsidRPr="00024791">
        <w:t>Department of Agriculture and Department of Public Works and Highways on role shifting after re-devolution from implementing to monitoring.</w:t>
      </w:r>
    </w:p>
    <w:p w14:paraId="7B395278" w14:textId="262E012B" w:rsidR="003A74B5" w:rsidRPr="004560B2" w:rsidRDefault="003A74B5" w:rsidP="003A74B5">
      <w:pPr>
        <w:rPr>
          <w:lang w:val="en-PH"/>
        </w:rPr>
      </w:pPr>
      <w:r>
        <w:t xml:space="preserve">The grant delivered all the </w:t>
      </w:r>
      <w:r w:rsidR="00285E9F">
        <w:t xml:space="preserve">intended </w:t>
      </w:r>
      <w:r>
        <w:t xml:space="preserve">outputs for this project, most of which were in the form of analytical work and technical briefings presented to </w:t>
      </w:r>
      <w:proofErr w:type="spellStart"/>
      <w:r>
        <w:t>GoP</w:t>
      </w:r>
      <w:proofErr w:type="spellEnd"/>
      <w:r>
        <w:t xml:space="preserve">. </w:t>
      </w:r>
      <w:r w:rsidRPr="00024791">
        <w:t xml:space="preserve">The </w:t>
      </w:r>
      <w:r w:rsidR="00DE4E41">
        <w:t>W</w:t>
      </w:r>
      <w:r w:rsidR="007018D4">
        <w:t xml:space="preserve">B </w:t>
      </w:r>
      <w:r w:rsidRPr="00024791">
        <w:t>task team cited the usefulness of the analys</w:t>
      </w:r>
      <w:r>
        <w:t>e</w:t>
      </w:r>
      <w:r w:rsidRPr="00024791">
        <w:t>s to the Budget Department</w:t>
      </w:r>
      <w:r>
        <w:t xml:space="preserve"> in the 2022 budget deliberations, as well as in </w:t>
      </w:r>
      <w:proofErr w:type="spellStart"/>
      <w:r>
        <w:t>GoP’s</w:t>
      </w:r>
      <w:proofErr w:type="spellEnd"/>
      <w:r>
        <w:t xml:space="preserve"> subsequent policy issuances on the implementation of the </w:t>
      </w:r>
      <w:proofErr w:type="spellStart"/>
      <w:r>
        <w:t>Mandanas</w:t>
      </w:r>
      <w:proofErr w:type="spellEnd"/>
      <w:r>
        <w:t xml:space="preserve"> ruling. The team also reported that </w:t>
      </w:r>
      <w:proofErr w:type="spellStart"/>
      <w:r>
        <w:t>GoP</w:t>
      </w:r>
      <w:proofErr w:type="spellEnd"/>
      <w:r>
        <w:t xml:space="preserve"> requested for further technical advice on the devolution of agriculture and </w:t>
      </w:r>
      <w:r>
        <w:lastRenderedPageBreak/>
        <w:t xml:space="preserve">public works—which the team viewed as an indication that </w:t>
      </w:r>
      <w:proofErr w:type="spellStart"/>
      <w:r>
        <w:t>GoP</w:t>
      </w:r>
      <w:proofErr w:type="spellEnd"/>
      <w:r>
        <w:t xml:space="preserve"> was satisfied with the support provided through the grant.</w:t>
      </w:r>
    </w:p>
    <w:p w14:paraId="611DB95B" w14:textId="540A9A76" w:rsidR="003A74B5" w:rsidRDefault="003A74B5" w:rsidP="003A74B5">
      <w:r>
        <w:t xml:space="preserve">The outputs for the grant focus </w:t>
      </w:r>
      <w:r w:rsidRPr="00024791">
        <w:t>not only on economic services, but a</w:t>
      </w:r>
      <w:r w:rsidR="00285E9F">
        <w:t>lso</w:t>
      </w:r>
      <w:r w:rsidRPr="00024791">
        <w:t xml:space="preserve"> </w:t>
      </w:r>
      <w:r>
        <w:t xml:space="preserve">on sectors that are central to inclusive growth: </w:t>
      </w:r>
      <w:r w:rsidRPr="00024791">
        <w:t xml:space="preserve">health, social </w:t>
      </w:r>
      <w:r>
        <w:t>w</w:t>
      </w:r>
      <w:r w:rsidRPr="00024791">
        <w:t xml:space="preserve">elfare </w:t>
      </w:r>
      <w:r>
        <w:t>s</w:t>
      </w:r>
      <w:r w:rsidRPr="00024791">
        <w:t>ervices, and education</w:t>
      </w:r>
      <w:r>
        <w:t xml:space="preserve">. This demonstrates the grant’s strong alignment with </w:t>
      </w:r>
      <w:proofErr w:type="spellStart"/>
      <w:r w:rsidR="007628AF">
        <w:t>AGaP</w:t>
      </w:r>
      <w:r>
        <w:t>’s</w:t>
      </w:r>
      <w:proofErr w:type="spellEnd"/>
      <w:r>
        <w:t xml:space="preserve"> support for evidence-based policy making toward improved delivery of basic services. </w:t>
      </w:r>
    </w:p>
    <w:p w14:paraId="4C5CCA53" w14:textId="4CFABCA2" w:rsidR="003A74B5" w:rsidRDefault="003A74B5" w:rsidP="003A74B5">
      <w:r w:rsidRPr="00F07461">
        <w:t xml:space="preserve">Much of the policy debate under the grant transpired at national level, including engagements with </w:t>
      </w:r>
      <w:proofErr w:type="spellStart"/>
      <w:r w:rsidRPr="00F07461">
        <w:t>GoP’s</w:t>
      </w:r>
      <w:proofErr w:type="spellEnd"/>
      <w:r w:rsidRPr="00F07461">
        <w:t xml:space="preserve"> policy research agency, the Philippine Institute for Development Studies. Hence, while the intent is to assess local government capacity, there is little evidence of broad participation of local government units in the consultations that informed the analyses or the technical presentations and knowledge exchange—an opportunity that could have enhanced the contribution of this grant in </w:t>
      </w:r>
      <w:proofErr w:type="spellStart"/>
      <w:r w:rsidR="007628AF">
        <w:t>AGaP</w:t>
      </w:r>
      <w:r w:rsidRPr="00F07461">
        <w:t>’s</w:t>
      </w:r>
      <w:proofErr w:type="spellEnd"/>
      <w:r w:rsidRPr="00F07461">
        <w:t xml:space="preserve"> outcome area on policy dialogues with key stakeholders.</w:t>
      </w:r>
      <w:r w:rsidRPr="00024791">
        <w:t xml:space="preserve"> </w:t>
      </w:r>
    </w:p>
    <w:p w14:paraId="1ECAAC12" w14:textId="4444ED95" w:rsidR="003A74B5" w:rsidRDefault="003A74B5" w:rsidP="003A74B5">
      <w:r w:rsidRPr="00F07461">
        <w:t>DFAT considered its</w:t>
      </w:r>
      <w:r w:rsidR="00694948">
        <w:t xml:space="preserve"> own</w:t>
      </w:r>
      <w:r w:rsidRPr="00F07461">
        <w:t xml:space="preserve"> involvement in this grant as timely</w:t>
      </w:r>
      <w:r w:rsidR="00694948">
        <w:t>,</w:t>
      </w:r>
      <w:r w:rsidRPr="00F07461">
        <w:t xml:space="preserve"> </w:t>
      </w:r>
      <w:r w:rsidRPr="00694948">
        <w:t>provid</w:t>
      </w:r>
      <w:r w:rsidR="00694948" w:rsidRPr="00694948">
        <w:t>ing</w:t>
      </w:r>
      <w:r w:rsidRPr="00694948">
        <w:t xml:space="preserve"> </w:t>
      </w:r>
      <w:r w:rsidR="00694948" w:rsidRPr="00694948">
        <w:t xml:space="preserve">useful </w:t>
      </w:r>
      <w:r w:rsidRPr="00694948">
        <w:t xml:space="preserve">input </w:t>
      </w:r>
      <w:r w:rsidR="00694948" w:rsidRPr="00694948">
        <w:t>to the</w:t>
      </w:r>
      <w:r w:rsidRPr="00694948">
        <w:t xml:space="preserve"> review of some of the research</w:t>
      </w:r>
      <w:r w:rsidRPr="00F07461">
        <w:t xml:space="preserve">. In some cases, though, </w:t>
      </w:r>
      <w:r w:rsidRPr="003952EC">
        <w:t xml:space="preserve">input from DFAT could not be considered due to the time-critical delivery of the studies. The implementation of this grant also did not meet DFAT’s expectation for more visibility in the discussions, especially considering that public financial management is one area where it had previous bilateral engagement with </w:t>
      </w:r>
      <w:proofErr w:type="spellStart"/>
      <w:r w:rsidRPr="003952EC">
        <w:t>GoP</w:t>
      </w:r>
      <w:proofErr w:type="spellEnd"/>
      <w:r w:rsidRPr="003952EC" w:rsidDel="007E66C7">
        <w:t>.</w:t>
      </w:r>
      <w:r w:rsidDel="007E66C7">
        <w:t xml:space="preserve"> </w:t>
      </w:r>
    </w:p>
    <w:p w14:paraId="7869B939" w14:textId="58387E85" w:rsidR="003B38E1" w:rsidRDefault="003B38E1" w:rsidP="00E03DD0">
      <w:pPr>
        <w:pStyle w:val="Heading3"/>
        <w:rPr>
          <w:lang w:val="en"/>
        </w:rPr>
      </w:pPr>
      <w:bookmarkStart w:id="17" w:name="_Toc125560005"/>
      <w:r w:rsidRPr="00C13FE7">
        <w:rPr>
          <w:color w:val="auto"/>
          <w:lang w:val="en"/>
        </w:rPr>
        <w:t xml:space="preserve">Women’s </w:t>
      </w:r>
      <w:r w:rsidR="0092165E" w:rsidRPr="00C13FE7">
        <w:rPr>
          <w:color w:val="auto"/>
          <w:lang w:val="en"/>
        </w:rPr>
        <w:t>Economic Empowerment Program</w:t>
      </w:r>
      <w:bookmarkEnd w:id="17"/>
      <w:r w:rsidR="0092165E" w:rsidRPr="00C13FE7">
        <w:rPr>
          <w:color w:val="auto"/>
          <w:lang w:val="en"/>
        </w:rPr>
        <w:t xml:space="preserve"> </w:t>
      </w:r>
    </w:p>
    <w:p w14:paraId="4C2C4051" w14:textId="57BF7CA9" w:rsidR="00151BB4" w:rsidRPr="00547DC5" w:rsidRDefault="00952C8A" w:rsidP="00952C8A">
      <w:pPr>
        <w:rPr>
          <w:color w:val="000000" w:themeColor="text1"/>
        </w:rPr>
      </w:pPr>
      <w:r w:rsidRPr="00547DC5">
        <w:rPr>
          <w:color w:val="000000" w:themeColor="text1"/>
        </w:rPr>
        <w:t xml:space="preserve">Key </w:t>
      </w:r>
      <w:r w:rsidR="00785E0B">
        <w:rPr>
          <w:color w:val="000000" w:themeColor="text1"/>
        </w:rPr>
        <w:t>f</w:t>
      </w:r>
      <w:r w:rsidRPr="00547DC5">
        <w:rPr>
          <w:color w:val="000000" w:themeColor="text1"/>
        </w:rPr>
        <w:t>inding</w:t>
      </w:r>
      <w:r w:rsidR="00785E0B">
        <w:rPr>
          <w:color w:val="000000" w:themeColor="text1"/>
        </w:rPr>
        <w:t>s</w:t>
      </w:r>
      <w:r w:rsidRPr="00547DC5">
        <w:rPr>
          <w:color w:val="000000" w:themeColor="text1"/>
        </w:rPr>
        <w:t xml:space="preserve">: </w:t>
      </w:r>
    </w:p>
    <w:p w14:paraId="28477381" w14:textId="27E8BD03" w:rsidR="00952C8A" w:rsidRPr="00547DC5" w:rsidRDefault="00952C8A" w:rsidP="00C64AD4">
      <w:pPr>
        <w:pStyle w:val="ListParagraph"/>
        <w:numPr>
          <w:ilvl w:val="0"/>
          <w:numId w:val="50"/>
        </w:numPr>
        <w:rPr>
          <w:color w:val="000000" w:themeColor="text1"/>
        </w:rPr>
      </w:pPr>
      <w:r w:rsidRPr="00547DC5">
        <w:rPr>
          <w:color w:val="000000" w:themeColor="text1"/>
        </w:rPr>
        <w:t xml:space="preserve">The gender tagging under the WEE grant was effective </w:t>
      </w:r>
      <w:r w:rsidR="00C048B4">
        <w:rPr>
          <w:color w:val="000000" w:themeColor="text1"/>
        </w:rPr>
        <w:t>in</w:t>
      </w:r>
      <w:r w:rsidRPr="00547DC5">
        <w:rPr>
          <w:color w:val="000000" w:themeColor="text1"/>
        </w:rPr>
        <w:t xml:space="preserve"> promoting gender inclusion in the World Bank’s investment projects and lending portfolio. However, gender tagging is an internal WB process </w:t>
      </w:r>
      <w:r w:rsidR="00C048B4">
        <w:rPr>
          <w:color w:val="000000" w:themeColor="text1"/>
        </w:rPr>
        <w:t>that</w:t>
      </w:r>
      <w:r w:rsidRPr="00547DC5">
        <w:rPr>
          <w:color w:val="000000" w:themeColor="text1"/>
        </w:rPr>
        <w:t xml:space="preserve"> is not used for analytical work and therefore did not contribute to mainstreaming gender across </w:t>
      </w:r>
      <w:proofErr w:type="spellStart"/>
      <w:r w:rsidR="007628AF">
        <w:rPr>
          <w:color w:val="000000" w:themeColor="text1"/>
        </w:rPr>
        <w:t>AGaP</w:t>
      </w:r>
      <w:proofErr w:type="spellEnd"/>
      <w:r w:rsidRPr="00547DC5">
        <w:rPr>
          <w:color w:val="000000" w:themeColor="text1"/>
        </w:rPr>
        <w:t>.</w:t>
      </w:r>
    </w:p>
    <w:p w14:paraId="79CCFADB" w14:textId="26A7EF43" w:rsidR="002900C0" w:rsidRPr="00547DC5" w:rsidRDefault="00952C8A" w:rsidP="00C64AD4">
      <w:pPr>
        <w:pStyle w:val="ListParagraph"/>
        <w:numPr>
          <w:ilvl w:val="0"/>
          <w:numId w:val="50"/>
        </w:numPr>
        <w:rPr>
          <w:color w:val="000000" w:themeColor="text1"/>
          <w:lang w:val="en"/>
        </w:rPr>
      </w:pPr>
      <w:r w:rsidRPr="00547DC5">
        <w:rPr>
          <w:color w:val="000000" w:themeColor="text1"/>
          <w:lang w:val="en-US"/>
        </w:rPr>
        <w:t>The WEE grant generated strong analytical work such as the Overcoming Barriers to Women</w:t>
      </w:r>
      <w:r w:rsidR="00C00B0F">
        <w:rPr>
          <w:color w:val="000000" w:themeColor="text1"/>
          <w:lang w:val="en-US"/>
        </w:rPr>
        <w:t>’</w:t>
      </w:r>
      <w:r w:rsidRPr="00547DC5">
        <w:rPr>
          <w:color w:val="000000" w:themeColor="text1"/>
          <w:lang w:val="en-US"/>
        </w:rPr>
        <w:t>s Economic Empowerment in the Philippines</w:t>
      </w:r>
      <w:r w:rsidR="00C048B4">
        <w:rPr>
          <w:color w:val="000000" w:themeColor="text1"/>
          <w:lang w:val="en-US"/>
        </w:rPr>
        <w:t xml:space="preserve"> </w:t>
      </w:r>
      <w:r w:rsidRPr="00547DC5">
        <w:rPr>
          <w:color w:val="000000" w:themeColor="text1"/>
          <w:lang w:val="en-US"/>
        </w:rPr>
        <w:t>report and related policy note</w:t>
      </w:r>
      <w:r w:rsidRPr="00547DC5" w:rsidDel="007E66C7">
        <w:rPr>
          <w:color w:val="000000" w:themeColor="text1"/>
          <w:lang w:val="en-US"/>
        </w:rPr>
        <w:t>.</w:t>
      </w:r>
      <w:r w:rsidR="007E66C7" w:rsidRPr="00547DC5">
        <w:rPr>
          <w:color w:val="000000" w:themeColor="text1"/>
          <w:lang w:val="en-US"/>
        </w:rPr>
        <w:t xml:space="preserve"> </w:t>
      </w:r>
      <w:r w:rsidRPr="00547DC5">
        <w:rPr>
          <w:color w:val="000000" w:themeColor="text1"/>
          <w:lang w:val="en-US"/>
        </w:rPr>
        <w:t>The report enhanced knowledge within the WB and has been used by DFAT across their development portfolio.</w:t>
      </w:r>
    </w:p>
    <w:p w14:paraId="13BFB1F7" w14:textId="395B9861" w:rsidR="00C3481F" w:rsidRPr="00C3481F" w:rsidRDefault="00C3481F" w:rsidP="00C3481F">
      <w:pPr>
        <w:suppressAutoHyphens/>
        <w:spacing w:before="120" w:after="60" w:line="260" w:lineRule="atLeast"/>
      </w:pPr>
      <w:r w:rsidRPr="00C3481F">
        <w:t>The objective of this project is to enhance knowledge and strengthen policies and programs that address emerging challenges to women’s economic inclusion, particular</w:t>
      </w:r>
      <w:r w:rsidR="00960019">
        <w:t>ly</w:t>
      </w:r>
      <w:r w:rsidRPr="00C3481F">
        <w:t xml:space="preserve"> </w:t>
      </w:r>
      <w:r w:rsidR="00285E9F">
        <w:t>to</w:t>
      </w:r>
      <w:r w:rsidRPr="00C3481F">
        <w:t xml:space="preserve"> understand</w:t>
      </w:r>
      <w:r w:rsidR="00960019">
        <w:t>ing</w:t>
      </w:r>
      <w:r w:rsidRPr="00C3481F">
        <w:t xml:space="preserve"> the demand and supply of care work in the Philippines and its implications for women’s </w:t>
      </w:r>
      <w:r w:rsidR="0000516C" w:rsidRPr="00C3481F">
        <w:t>labour</w:t>
      </w:r>
      <w:r w:rsidRPr="00C3481F">
        <w:t xml:space="preserve"> market participation.</w:t>
      </w:r>
      <w:r w:rsidRPr="00C3481F">
        <w:rPr>
          <w:b/>
        </w:rPr>
        <w:t xml:space="preserve"> </w:t>
      </w:r>
      <w:r w:rsidRPr="00C3481F">
        <w:t xml:space="preserve">Two of the three components under this grant were to improve the WB’s operational aspects of gender mainstreaming through: </w:t>
      </w:r>
    </w:p>
    <w:p w14:paraId="3C1B1A29" w14:textId="77777777" w:rsidR="00C3481F" w:rsidRPr="00C3481F" w:rsidRDefault="00C3481F" w:rsidP="00C64AD4">
      <w:pPr>
        <w:numPr>
          <w:ilvl w:val="0"/>
          <w:numId w:val="27"/>
        </w:numPr>
        <w:suppressAutoHyphens/>
        <w:spacing w:before="120" w:after="60" w:line="260" w:lineRule="atLeast"/>
        <w:rPr>
          <w:rFonts w:eastAsia="Calibri"/>
        </w:rPr>
      </w:pPr>
      <w:r w:rsidRPr="00C3481F">
        <w:rPr>
          <w:b/>
        </w:rPr>
        <w:t>Gender tagging</w:t>
      </w:r>
      <w:r w:rsidRPr="00C3481F">
        <w:t xml:space="preserve"> WB investment project financing (IPF) and lending operations (DPLs) by identifying what gender components could be included and then designing those components in new WB operations. </w:t>
      </w:r>
    </w:p>
    <w:p w14:paraId="76C77108" w14:textId="08904F60" w:rsidR="00C3481F" w:rsidRPr="00C3481F" w:rsidRDefault="00C3481F" w:rsidP="00C64AD4">
      <w:pPr>
        <w:numPr>
          <w:ilvl w:val="0"/>
          <w:numId w:val="27"/>
        </w:numPr>
        <w:suppressAutoHyphens/>
        <w:spacing w:before="120" w:after="60" w:line="260" w:lineRule="atLeast"/>
        <w:rPr>
          <w:rFonts w:eastAsia="Calibri"/>
        </w:rPr>
      </w:pPr>
      <w:r w:rsidRPr="00C3481F">
        <w:t xml:space="preserve">Supporting the development of the </w:t>
      </w:r>
      <w:r w:rsidRPr="00C3481F">
        <w:rPr>
          <w:b/>
        </w:rPr>
        <w:t>World Bank’s Country Gender Action Plan (CGAP)</w:t>
      </w:r>
      <w:r w:rsidRPr="00C3481F">
        <w:t xml:space="preserve"> FY20-24, which is being finalized. The CGAP will identify priority gender gaps and include a bolder strategy for policy, analytical, and capacity work to help World Bank teams</w:t>
      </w:r>
      <w:r w:rsidR="00C834C5">
        <w:t xml:space="preserve"> </w:t>
      </w:r>
      <w:r w:rsidRPr="00C3481F">
        <w:t>integrate gender into their work.</w:t>
      </w:r>
    </w:p>
    <w:p w14:paraId="5C482D73" w14:textId="1392A8A5" w:rsidR="00C3481F" w:rsidRPr="00C3481F" w:rsidRDefault="00C3481F" w:rsidP="00C3481F">
      <w:pPr>
        <w:suppressAutoHyphens/>
        <w:spacing w:after="60" w:line="260" w:lineRule="atLeast"/>
        <w:rPr>
          <w:b/>
        </w:rPr>
      </w:pPr>
      <w:r w:rsidRPr="00C3481F">
        <w:t>The third component produced an analytical piece to enhance understanding of the barriers and enablers of women’s economic inclusion and their participation in the workforce</w:t>
      </w:r>
      <w:r w:rsidR="00857414">
        <w:t>—</w:t>
      </w:r>
      <w:r w:rsidRPr="00C3481F">
        <w:rPr>
          <w:i/>
        </w:rPr>
        <w:t>Overcoming Barriers to Women</w:t>
      </w:r>
      <w:r w:rsidR="00C00B0F">
        <w:rPr>
          <w:i/>
        </w:rPr>
        <w:t>’</w:t>
      </w:r>
      <w:r w:rsidRPr="00C3481F">
        <w:rPr>
          <w:i/>
        </w:rPr>
        <w:t>s Economic Empowerment in the Philippines.</w:t>
      </w:r>
    </w:p>
    <w:p w14:paraId="58048432" w14:textId="7A3BF83C" w:rsidR="00C3481F" w:rsidRDefault="00C3481F" w:rsidP="00C3481F">
      <w:pPr>
        <w:suppressAutoHyphens/>
        <w:spacing w:before="120" w:after="60" w:line="260" w:lineRule="atLeast"/>
      </w:pPr>
      <w:r w:rsidRPr="00AB712F">
        <w:rPr>
          <w:bCs/>
        </w:rPr>
        <w:t>There is good evidence from the literature and interviews that</w:t>
      </w:r>
      <w:r w:rsidRPr="00AB712F">
        <w:rPr>
          <w:b/>
        </w:rPr>
        <w:t xml:space="preserve"> </w:t>
      </w:r>
      <w:r w:rsidRPr="00AB712F">
        <w:t>the gender tagging</w:t>
      </w:r>
      <w:r w:rsidR="00857414">
        <w:t xml:space="preserve"> </w:t>
      </w:r>
      <w:r w:rsidRPr="00AB712F">
        <w:t xml:space="preserve">activity was effective </w:t>
      </w:r>
      <w:r w:rsidR="00857414">
        <w:t>in</w:t>
      </w:r>
      <w:r w:rsidRPr="00AB712F">
        <w:t xml:space="preserve"> promoting gender inclusion in the World Bank’s investment projects and lending </w:t>
      </w:r>
      <w:r w:rsidRPr="00AB712F">
        <w:lastRenderedPageBreak/>
        <w:t xml:space="preserve">portfolio. However, </w:t>
      </w:r>
      <w:r w:rsidRPr="00637309">
        <w:t xml:space="preserve">gender tagging is an internal WB process </w:t>
      </w:r>
      <w:r w:rsidR="00857414">
        <w:t>that</w:t>
      </w:r>
      <w:r w:rsidRPr="00637309">
        <w:t xml:space="preserve"> is not used for analytical work and therefore did not contribute to mainstreaming gender across </w:t>
      </w:r>
      <w:proofErr w:type="spellStart"/>
      <w:r w:rsidR="007628AF">
        <w:t>AGaP</w:t>
      </w:r>
      <w:proofErr w:type="spellEnd"/>
      <w:r w:rsidRPr="00637309">
        <w:t>.</w:t>
      </w:r>
    </w:p>
    <w:p w14:paraId="40504FD3" w14:textId="69AF0789" w:rsidR="00C3481F" w:rsidRPr="00C3481F" w:rsidRDefault="00C3481F" w:rsidP="00C3481F">
      <w:pPr>
        <w:suppressAutoHyphens/>
        <w:spacing w:after="60" w:line="260" w:lineRule="atLeast"/>
      </w:pPr>
      <w:r w:rsidRPr="00C3481F">
        <w:t>The grant generated strong analytical work through the Overcoming Barriers to Women</w:t>
      </w:r>
      <w:r w:rsidR="00C00B0F">
        <w:t>’</w:t>
      </w:r>
      <w:r w:rsidRPr="00C3481F">
        <w:t>s Economic Empowerment in the Philippines</w:t>
      </w:r>
      <w:r w:rsidR="001604A7">
        <w:t xml:space="preserve"> </w:t>
      </w:r>
      <w:r w:rsidRPr="00C3481F">
        <w:t xml:space="preserve">report and related policy note. DFAT informants described it as </w:t>
      </w:r>
      <w:r w:rsidR="0000516C">
        <w:t>“</w:t>
      </w:r>
      <w:r w:rsidRPr="00C3481F">
        <w:t>an excellent product</w:t>
      </w:r>
      <w:r w:rsidR="0000516C">
        <w:t>”</w:t>
      </w:r>
      <w:r w:rsidRPr="00C3481F">
        <w:t xml:space="preserve"> </w:t>
      </w:r>
      <w:r w:rsidR="00E156F2">
        <w:t>that</w:t>
      </w:r>
      <w:r w:rsidRPr="00C3481F">
        <w:t xml:space="preserve"> filled a </w:t>
      </w:r>
      <w:r w:rsidR="0000516C">
        <w:t>gap in knowledge</w:t>
      </w:r>
      <w:r w:rsidRPr="00C3481F">
        <w:t xml:space="preserve">. This report has been widely used by DFAT and has added value across their broader portfolio. For example, informing the design for new programs focusing on education, </w:t>
      </w:r>
      <w:proofErr w:type="gramStart"/>
      <w:r w:rsidRPr="00C3481F">
        <w:t>skills</w:t>
      </w:r>
      <w:proofErr w:type="gramEnd"/>
      <w:r w:rsidRPr="00C3481F">
        <w:t xml:space="preserve"> and work; and the impact of </w:t>
      </w:r>
      <w:r w:rsidR="0000516C">
        <w:t>COVID-19</w:t>
      </w:r>
      <w:r w:rsidRPr="00C3481F">
        <w:t xml:space="preserve"> on working women</w:t>
      </w:r>
      <w:r w:rsidR="0000516C">
        <w:t xml:space="preserve">. </w:t>
      </w:r>
      <w:r w:rsidRPr="00AB712F">
        <w:t xml:space="preserve">However, the WB team acknowledged that </w:t>
      </w:r>
      <w:r w:rsidR="0067445D">
        <w:t>“</w:t>
      </w:r>
      <w:r w:rsidRPr="00AB712F">
        <w:t>the program has been less successful in achieving impact on government policies</w:t>
      </w:r>
      <w:r w:rsidR="0067445D">
        <w:t>”.</w:t>
      </w:r>
      <w:r w:rsidRPr="00C3481F">
        <w:rPr>
          <w:vertAlign w:val="superscript"/>
        </w:rPr>
        <w:footnoteReference w:id="16"/>
      </w:r>
    </w:p>
    <w:p w14:paraId="64132D70" w14:textId="217B46A1" w:rsidR="00C3481F" w:rsidRPr="00C3481F" w:rsidRDefault="00C3481F" w:rsidP="00C3481F">
      <w:pPr>
        <w:suppressAutoHyphens/>
        <w:spacing w:after="60" w:line="260" w:lineRule="atLeast"/>
      </w:pPr>
      <w:r w:rsidRPr="00AB712F">
        <w:t xml:space="preserve">The grant has focused primarily on </w:t>
      </w:r>
      <w:proofErr w:type="spellStart"/>
      <w:r w:rsidR="007628AF">
        <w:t>AGaP</w:t>
      </w:r>
      <w:proofErr w:type="spellEnd"/>
      <w:r w:rsidRPr="00AB712F">
        <w:t xml:space="preserve"> outcome area 1</w:t>
      </w:r>
      <w:r w:rsidR="00C00B0F">
        <w:t>–</w:t>
      </w:r>
      <w:r w:rsidRPr="00AB712F">
        <w:t xml:space="preserve"> </w:t>
      </w:r>
      <w:r w:rsidR="00237CFB">
        <w:t>p</w:t>
      </w:r>
      <w:r w:rsidR="00237CFB" w:rsidRPr="00AB712F">
        <w:t xml:space="preserve">roject development and preparation and to area 2 </w:t>
      </w:r>
      <w:r w:rsidR="00C00B0F">
        <w:t>–</w:t>
      </w:r>
      <w:r w:rsidR="00237CFB" w:rsidRPr="00AB712F">
        <w:t xml:space="preserve"> policy reform and dialogue</w:t>
      </w:r>
      <w:r w:rsidRPr="00AB712F">
        <w:t xml:space="preserve">, although it is important to note that dialogue has mainly been with </w:t>
      </w:r>
      <w:proofErr w:type="spellStart"/>
      <w:r w:rsidRPr="00AB712F">
        <w:t>GoP</w:t>
      </w:r>
      <w:proofErr w:type="spellEnd"/>
      <w:r w:rsidRPr="00AB712F">
        <w:t xml:space="preserve"> and development partners but less so with the broader INGO and NGO development community. The evidence of progress against outcome area 3 </w:t>
      </w:r>
      <w:r w:rsidR="00C00B0F">
        <w:t>–</w:t>
      </w:r>
      <w:r w:rsidRPr="00AB712F">
        <w:t xml:space="preserve"> </w:t>
      </w:r>
      <w:r w:rsidR="00237CFB" w:rsidRPr="00AB712F">
        <w:t>public debate and awareness</w:t>
      </w:r>
      <w:r w:rsidRPr="00AB712F">
        <w:t xml:space="preserve"> is limited</w:t>
      </w:r>
      <w:r w:rsidRPr="00C3481F">
        <w:t xml:space="preserve">. </w:t>
      </w:r>
      <w:r w:rsidRPr="00637309">
        <w:t xml:space="preserve">The primary analytical output under this grant was completed just before the close of the program in December 2021,  and while a successful roundtable event was organized with key stakeholders,  there was little scope for policy influence at that point, as the current </w:t>
      </w:r>
      <w:proofErr w:type="spellStart"/>
      <w:r w:rsidRPr="00637309">
        <w:t>GoP</w:t>
      </w:r>
      <w:proofErr w:type="spellEnd"/>
      <w:r w:rsidRPr="00637309">
        <w:t xml:space="preserve"> administration was winding down ahead of elections on </w:t>
      </w:r>
      <w:r w:rsidR="00D62E3D">
        <w:t xml:space="preserve">9 </w:t>
      </w:r>
      <w:r w:rsidRPr="00637309">
        <w:t>May 2022.</w:t>
      </w:r>
      <w:r w:rsidRPr="00637309">
        <w:rPr>
          <w:vertAlign w:val="superscript"/>
        </w:rPr>
        <w:footnoteReference w:id="17"/>
      </w:r>
      <w:r w:rsidRPr="00637309">
        <w:t xml:space="preserve"> DFAT partners stated a desire to see more outreach activities in phase 2, especially now </w:t>
      </w:r>
      <w:r w:rsidR="00D62E3D">
        <w:t xml:space="preserve">that </w:t>
      </w:r>
      <w:r w:rsidRPr="00637309">
        <w:t>there is a research product to disseminate.</w:t>
      </w:r>
      <w:r w:rsidRPr="00C3481F">
        <w:t xml:space="preserve"> </w:t>
      </w:r>
    </w:p>
    <w:p w14:paraId="4EC30F15" w14:textId="35BF7336" w:rsidR="00C3481F" w:rsidRPr="00C3481F" w:rsidRDefault="00C3481F" w:rsidP="00C3481F">
      <w:pPr>
        <w:suppressAutoHyphens/>
        <w:spacing w:after="60" w:line="260" w:lineRule="atLeast"/>
      </w:pPr>
      <w:r w:rsidRPr="00694948">
        <w:t xml:space="preserve">The </w:t>
      </w:r>
      <w:r w:rsidR="00694948">
        <w:t>WB gender team explained</w:t>
      </w:r>
      <w:r w:rsidRPr="00C3481F">
        <w:t xml:space="preserve"> that the rationale for focusing on internal WB gender mainstreaming processes was partly because it was challenging to find champions in </w:t>
      </w:r>
      <w:proofErr w:type="spellStart"/>
      <w:r w:rsidRPr="00C3481F">
        <w:t>GoP</w:t>
      </w:r>
      <w:proofErr w:type="spellEnd"/>
      <w:r w:rsidRPr="00C3481F">
        <w:t xml:space="preserve"> to drive the gender agenda. By starting with the WB’s lending portfolio, existing projects provided an easier entry point for </w:t>
      </w:r>
      <w:proofErr w:type="gramStart"/>
      <w:r w:rsidRPr="00C3481F">
        <w:t>gender</w:t>
      </w:r>
      <w:proofErr w:type="gramEnd"/>
      <w:r w:rsidRPr="00C3481F">
        <w:t xml:space="preserve"> and it enabled </w:t>
      </w:r>
      <w:proofErr w:type="spellStart"/>
      <w:r w:rsidR="007628AF">
        <w:t>AGaP</w:t>
      </w:r>
      <w:proofErr w:type="spellEnd"/>
      <w:r w:rsidRPr="00C3481F">
        <w:t xml:space="preserve"> to lever the Bank’s investment portfolio. During the timeframe of the MTR, a total of 17 WB projects have received gender technical support.</w:t>
      </w:r>
      <w:r w:rsidRPr="00C3481F">
        <w:rPr>
          <w:vertAlign w:val="superscript"/>
        </w:rPr>
        <w:footnoteReference w:id="18"/>
      </w:r>
      <w:r w:rsidRPr="00C3481F">
        <w:t xml:space="preserve"> It is important to note that gender tagging is not used for analytical work and therefore did not contribute to mainstreaming gender across the other </w:t>
      </w:r>
      <w:proofErr w:type="spellStart"/>
      <w:r w:rsidR="007628AF">
        <w:t>AGaP</w:t>
      </w:r>
      <w:proofErr w:type="spellEnd"/>
      <w:r w:rsidRPr="00C3481F">
        <w:t xml:space="preserve"> grants.</w:t>
      </w:r>
    </w:p>
    <w:p w14:paraId="2C2679F6" w14:textId="016F66BC" w:rsidR="00C3481F" w:rsidRPr="00C3481F" w:rsidRDefault="00C3481F" w:rsidP="00C3481F">
      <w:pPr>
        <w:suppressAutoHyphens/>
        <w:spacing w:after="60" w:line="260" w:lineRule="atLeast"/>
      </w:pPr>
      <w:r w:rsidRPr="00C3481F">
        <w:t xml:space="preserve">The WB felt that </w:t>
      </w:r>
      <w:proofErr w:type="spellStart"/>
      <w:r w:rsidR="007628AF">
        <w:t>AGaP</w:t>
      </w:r>
      <w:proofErr w:type="spellEnd"/>
      <w:r w:rsidRPr="00C3481F">
        <w:t xml:space="preserve"> funding helped strengthen coordination and strategic coherence on gender issues across World Bank teams, through the collaboration required to deliver analysis and generate priorities for the second round of </w:t>
      </w:r>
      <w:proofErr w:type="spellStart"/>
      <w:r w:rsidR="007628AF">
        <w:t>AGaP</w:t>
      </w:r>
      <w:proofErr w:type="spellEnd"/>
      <w:r w:rsidRPr="00C3481F">
        <w:t xml:space="preserve"> funding. Indeed, WB Philippines achieved a 75 per cent gender tag rating for FY21 from a baseline of 50 per cent in 2019.</w:t>
      </w:r>
      <w:r w:rsidRPr="00C3481F">
        <w:rPr>
          <w:vertAlign w:val="superscript"/>
        </w:rPr>
        <w:footnoteReference w:id="19"/>
      </w:r>
      <w:r w:rsidRPr="00C3481F">
        <w:t xml:space="preserve"> There is also evidence that the WEE activities under </w:t>
      </w:r>
      <w:proofErr w:type="spellStart"/>
      <w:r w:rsidR="007628AF">
        <w:t>AGaP</w:t>
      </w:r>
      <w:proofErr w:type="spellEnd"/>
      <w:r w:rsidRPr="00C3481F">
        <w:t xml:space="preserve"> helped the WB country team make the case for </w:t>
      </w:r>
      <w:r w:rsidR="00D62E3D">
        <w:t xml:space="preserve">a </w:t>
      </w:r>
      <w:r w:rsidRPr="00C3481F">
        <w:t xml:space="preserve">senior in-country gender staff, with the result that a specialist TTL has been based in the Manila office since September 2021. </w:t>
      </w:r>
    </w:p>
    <w:p w14:paraId="5B21AA55" w14:textId="638A11A0" w:rsidR="00C3481F" w:rsidRPr="00C3481F" w:rsidRDefault="00C3481F" w:rsidP="00C3481F">
      <w:pPr>
        <w:suppressAutoHyphens/>
        <w:spacing w:after="60" w:line="260" w:lineRule="atLeast"/>
      </w:pPr>
      <w:r w:rsidRPr="00C3481F">
        <w:t>This grant was instrumental to improving the analytical underpinning of WB loans, where data related to gender issues are often not available, especially at a granular level and in economic reform sectors</w:t>
      </w:r>
      <w:r w:rsidR="00C64AD4">
        <w:t xml:space="preserve">. </w:t>
      </w:r>
      <w:r w:rsidRPr="00C3481F">
        <w:t xml:space="preserve">For example, </w:t>
      </w:r>
      <w:proofErr w:type="spellStart"/>
      <w:r w:rsidR="007628AF">
        <w:t>AGaP</w:t>
      </w:r>
      <w:proofErr w:type="spellEnd"/>
      <w:r w:rsidRPr="00C3481F">
        <w:t xml:space="preserve"> funding enabled the Philippines Customs Modernization Project (PCMP), a</w:t>
      </w:r>
      <w:r w:rsidR="00D62E3D">
        <w:t>n</w:t>
      </w:r>
      <w:r w:rsidRPr="00C3481F">
        <w:t xml:space="preserve"> </w:t>
      </w:r>
      <w:r w:rsidR="00D62E3D">
        <w:t>$</w:t>
      </w:r>
      <w:r w:rsidRPr="00C3481F">
        <w:t xml:space="preserve">88.28 million WB project financing investment to be gender tagged. This included introducing targets for the </w:t>
      </w:r>
      <w:r w:rsidR="00D62E3D">
        <w:t>B</w:t>
      </w:r>
      <w:r w:rsidRPr="00C3481F">
        <w:t xml:space="preserve">ureau of </w:t>
      </w:r>
      <w:r w:rsidR="00D62E3D">
        <w:t>C</w:t>
      </w:r>
      <w:r w:rsidRPr="00C3481F">
        <w:t>ustoms to start collecting sex-disaggregated employment data of customs officers and developing a human resource management strategy that incorporates targets for gender balance of all BOC employees.</w:t>
      </w:r>
      <w:r w:rsidRPr="00C3481F">
        <w:rPr>
          <w:vertAlign w:val="superscript"/>
        </w:rPr>
        <w:footnoteReference w:id="20"/>
      </w:r>
      <w:r w:rsidRPr="00C3481F">
        <w:t xml:space="preserve">  </w:t>
      </w:r>
    </w:p>
    <w:p w14:paraId="35906229" w14:textId="42D324E5" w:rsidR="00C3481F" w:rsidRPr="00C3481F" w:rsidRDefault="00C3481F" w:rsidP="00C3481F">
      <w:pPr>
        <w:suppressAutoHyphens/>
        <w:spacing w:after="60" w:line="260" w:lineRule="atLeast"/>
        <w:rPr>
          <w:rFonts w:eastAsia="Calibri"/>
          <w:b/>
        </w:rPr>
      </w:pPr>
      <w:r w:rsidRPr="00C3481F">
        <w:t xml:space="preserve">Based on discussions with NEDA and other </w:t>
      </w:r>
      <w:r w:rsidR="00D62E3D">
        <w:t>de</w:t>
      </w:r>
      <w:r w:rsidRPr="00C3481F">
        <w:t xml:space="preserve">velopment </w:t>
      </w:r>
      <w:r w:rsidR="00D62E3D">
        <w:t>p</w:t>
      </w:r>
      <w:r w:rsidRPr="00C3481F">
        <w:t xml:space="preserve">artners, </w:t>
      </w:r>
      <w:r w:rsidR="00D62E3D">
        <w:t>the</w:t>
      </w:r>
      <w:r w:rsidRPr="00D62E3D">
        <w:t xml:space="preserve"> Overcoming Barriers to Women</w:t>
      </w:r>
      <w:r w:rsidR="00C00B0F">
        <w:t>’</w:t>
      </w:r>
      <w:r w:rsidRPr="00D62E3D">
        <w:t>s Economic Empowerment in the Philippines report was an</w:t>
      </w:r>
      <w:r w:rsidRPr="00C3481F">
        <w:t xml:space="preserve"> important contribution to </w:t>
      </w:r>
      <w:r w:rsidRPr="00C3481F">
        <w:lastRenderedPageBreak/>
        <w:t xml:space="preserve">the topic of </w:t>
      </w:r>
      <w:r w:rsidR="00DA6223" w:rsidRPr="00C3481F">
        <w:t>home-based</w:t>
      </w:r>
      <w:r w:rsidRPr="00C3481F">
        <w:t xml:space="preserve"> work and women entrepreneurship, with useful policy options to answer the challenges</w:t>
      </w:r>
      <w:r w:rsidR="00C64AD4">
        <w:t xml:space="preserve">. </w:t>
      </w:r>
      <w:r w:rsidRPr="00C3481F">
        <w:t xml:space="preserve">This led to the Philippine Statistical Authority introducing questions about mode of work in the </w:t>
      </w:r>
      <w:proofErr w:type="spellStart"/>
      <w:r w:rsidRPr="00C3481F">
        <w:t>Labor</w:t>
      </w:r>
      <w:proofErr w:type="spellEnd"/>
      <w:r w:rsidRPr="00C3481F">
        <w:t xml:space="preserve"> Force survey</w:t>
      </w:r>
      <w:r w:rsidR="00D62E3D">
        <w:t>.</w:t>
      </w:r>
      <w:r w:rsidRPr="00C3481F">
        <w:t xml:space="preserve"> The report highlighted problematic social norms, emphasising the need to convince society that women have an important role, and their participation in the economy is as important as their role in the family. </w:t>
      </w:r>
    </w:p>
    <w:p w14:paraId="445181D8" w14:textId="694AEFDE" w:rsidR="002900C0" w:rsidRPr="00FE08B0" w:rsidRDefault="00C3481F" w:rsidP="00FE08B0">
      <w:pPr>
        <w:suppressAutoHyphens/>
        <w:spacing w:after="60" w:line="260" w:lineRule="atLeast"/>
      </w:pPr>
      <w:r w:rsidRPr="00C3481F">
        <w:t xml:space="preserve">DFAT and WB have agreed to significantly increase the funding allocation for Women’s Economic Empowerment Phase 2, increasing from </w:t>
      </w:r>
      <w:r w:rsidR="00D62E3D">
        <w:t>$</w:t>
      </w:r>
      <w:r w:rsidRPr="00C3481F">
        <w:t>250</w:t>
      </w:r>
      <w:r w:rsidR="00D62E3D">
        <w:t xml:space="preserve">K </w:t>
      </w:r>
      <w:r w:rsidRPr="00C3481F">
        <w:t>for Phase 1 up to $400K</w:t>
      </w:r>
      <w:r w:rsidR="00C64AD4">
        <w:t xml:space="preserve">. </w:t>
      </w:r>
      <w:r w:rsidRPr="00C3481F">
        <w:t xml:space="preserve">This reflects DFAT’s strong commitment to funding gender in its development programs coupled with a desire for greater ambition for gender across </w:t>
      </w:r>
      <w:proofErr w:type="spellStart"/>
      <w:r w:rsidR="007628AF">
        <w:t>AGaP</w:t>
      </w:r>
      <w:proofErr w:type="spellEnd"/>
      <w:r w:rsidRPr="00C3481F">
        <w:t xml:space="preserve">. The design builds on phase 1 and includes a set of concrete initiatives to better understand constraints faced by female entrepreneurs in land titling, financial </w:t>
      </w:r>
      <w:r w:rsidR="002C3C08" w:rsidRPr="00C3481F">
        <w:t>inclusion,</w:t>
      </w:r>
      <w:r w:rsidRPr="00C3481F">
        <w:t xml:space="preserve"> and e-commerce. </w:t>
      </w:r>
    </w:p>
    <w:p w14:paraId="0AF3AFCE" w14:textId="42B05CCC" w:rsidR="003B38E1" w:rsidRDefault="003B38E1" w:rsidP="00E03DD0">
      <w:pPr>
        <w:pStyle w:val="Heading3"/>
        <w:rPr>
          <w:lang w:val="en"/>
        </w:rPr>
      </w:pPr>
      <w:bookmarkStart w:id="18" w:name="_Toc125560006"/>
      <w:r w:rsidRPr="00C13FE7">
        <w:rPr>
          <w:color w:val="auto"/>
          <w:lang w:val="en"/>
        </w:rPr>
        <w:t xml:space="preserve">Real </w:t>
      </w:r>
      <w:r w:rsidR="0092165E" w:rsidRPr="00C13FE7">
        <w:rPr>
          <w:color w:val="auto"/>
          <w:lang w:val="en"/>
        </w:rPr>
        <w:t xml:space="preserve">Time Monitoring </w:t>
      </w:r>
      <w:r w:rsidR="00D62E3D" w:rsidRPr="00C13FE7">
        <w:rPr>
          <w:color w:val="auto"/>
          <w:lang w:val="en"/>
        </w:rPr>
        <w:t>o</w:t>
      </w:r>
      <w:r w:rsidR="0092165E" w:rsidRPr="00C13FE7">
        <w:rPr>
          <w:color w:val="auto"/>
          <w:lang w:val="en"/>
        </w:rPr>
        <w:t xml:space="preserve">f </w:t>
      </w:r>
      <w:r w:rsidRPr="00C13FE7">
        <w:rPr>
          <w:color w:val="auto"/>
          <w:lang w:val="en"/>
        </w:rPr>
        <w:t>COVID</w:t>
      </w:r>
      <w:r w:rsidR="0092165E" w:rsidRPr="00C13FE7">
        <w:rPr>
          <w:color w:val="auto"/>
          <w:lang w:val="en"/>
        </w:rPr>
        <w:t xml:space="preserve">-19 Impacts in the </w:t>
      </w:r>
      <w:r w:rsidRPr="00C13FE7">
        <w:rPr>
          <w:color w:val="auto"/>
          <w:lang w:val="en"/>
        </w:rPr>
        <w:t>Philippines</w:t>
      </w:r>
      <w:bookmarkEnd w:id="18"/>
      <w:r w:rsidRPr="00C13FE7">
        <w:rPr>
          <w:color w:val="auto"/>
          <w:lang w:val="en"/>
        </w:rPr>
        <w:t xml:space="preserve"> </w:t>
      </w:r>
    </w:p>
    <w:p w14:paraId="5C4D544A" w14:textId="03B1A04A" w:rsidR="00050CE7" w:rsidRDefault="00050CE7" w:rsidP="00AB2533">
      <w:r>
        <w:t>Key findings:</w:t>
      </w:r>
    </w:p>
    <w:p w14:paraId="08A67440" w14:textId="5D167851" w:rsidR="00CE3315" w:rsidRPr="00547DC5" w:rsidRDefault="00CE3315" w:rsidP="00C64AD4">
      <w:pPr>
        <w:pStyle w:val="ListParagraph"/>
        <w:numPr>
          <w:ilvl w:val="0"/>
          <w:numId w:val="23"/>
        </w:numPr>
        <w:rPr>
          <w:color w:val="000000" w:themeColor="text1"/>
        </w:rPr>
      </w:pPr>
      <w:r w:rsidRPr="00547DC5">
        <w:rPr>
          <w:color w:val="000000" w:themeColor="text1"/>
        </w:rPr>
        <w:t xml:space="preserve">The real time monitoring informed technical briefings with </w:t>
      </w:r>
      <w:proofErr w:type="spellStart"/>
      <w:r w:rsidRPr="00547DC5">
        <w:rPr>
          <w:color w:val="000000" w:themeColor="text1"/>
        </w:rPr>
        <w:t>GoP</w:t>
      </w:r>
      <w:proofErr w:type="spellEnd"/>
      <w:r w:rsidRPr="00547DC5">
        <w:rPr>
          <w:color w:val="000000" w:themeColor="text1"/>
        </w:rPr>
        <w:t xml:space="preserve"> and its COVID-19 response programs in public health, social assistance, </w:t>
      </w:r>
      <w:r w:rsidR="0000516C" w:rsidRPr="00547DC5">
        <w:rPr>
          <w:color w:val="000000" w:themeColor="text1"/>
        </w:rPr>
        <w:t>labour</w:t>
      </w:r>
      <w:r w:rsidRPr="00547DC5">
        <w:rPr>
          <w:color w:val="000000" w:themeColor="text1"/>
        </w:rPr>
        <w:t>, business, transport, and agriculture—especially those targeting vulnerable groups. However, public disclosure of some of the findings encountered significant delays.</w:t>
      </w:r>
    </w:p>
    <w:p w14:paraId="5348A299" w14:textId="6A38D8A4" w:rsidR="00050CE7" w:rsidRPr="00547DC5" w:rsidRDefault="00CE3315" w:rsidP="00C64AD4">
      <w:pPr>
        <w:pStyle w:val="ListParagraph"/>
        <w:numPr>
          <w:ilvl w:val="0"/>
          <w:numId w:val="23"/>
        </w:numPr>
        <w:rPr>
          <w:color w:val="000000" w:themeColor="text1"/>
        </w:rPr>
      </w:pPr>
      <w:r w:rsidRPr="00547DC5">
        <w:rPr>
          <w:color w:val="000000" w:themeColor="text1"/>
        </w:rPr>
        <w:t xml:space="preserve">The findings of the surveys were frequently referenced by other </w:t>
      </w:r>
      <w:proofErr w:type="spellStart"/>
      <w:r w:rsidR="007628AF">
        <w:rPr>
          <w:color w:val="000000" w:themeColor="text1"/>
        </w:rPr>
        <w:t>AGaP</w:t>
      </w:r>
      <w:proofErr w:type="spellEnd"/>
      <w:r w:rsidRPr="00547DC5">
        <w:rPr>
          <w:color w:val="000000" w:themeColor="text1"/>
        </w:rPr>
        <w:t>-funded projects as well as WB studies and policy advice, including growth forecasts and the WB’s Philippines Economic Update.</w:t>
      </w:r>
    </w:p>
    <w:p w14:paraId="33C270F6" w14:textId="71D8ED5C" w:rsidR="00AB2533" w:rsidRDefault="00AB2533" w:rsidP="00AB2533">
      <w:pPr>
        <w:rPr>
          <w:lang w:val="en-PH"/>
        </w:rPr>
      </w:pPr>
      <w:r>
        <w:t xml:space="preserve">The grant’s development objective is </w:t>
      </w:r>
      <w:r w:rsidRPr="00357831">
        <w:rPr>
          <w:i/>
          <w:iCs/>
        </w:rPr>
        <w:t>to</w:t>
      </w:r>
      <w:r>
        <w:t xml:space="preserve"> </w:t>
      </w:r>
      <w:r w:rsidRPr="00357831">
        <w:rPr>
          <w:i/>
          <w:iCs/>
        </w:rPr>
        <w:t>inform government’s policies in response to the socio-economic impacts of COVID-19 through real time monitoring across sectors.</w:t>
      </w:r>
      <w:r>
        <w:t xml:space="preserve"> It has three components: household surveys</w:t>
      </w:r>
      <w:r>
        <w:rPr>
          <w:lang w:val="en-PH"/>
        </w:rPr>
        <w:t>, firm surveys, and community surveys—done from July 2020 through May 2021.</w:t>
      </w:r>
      <w:r w:rsidR="00A84187">
        <w:rPr>
          <w:rStyle w:val="FootnoteReference"/>
          <w:lang w:val="en-PH"/>
        </w:rPr>
        <w:footnoteReference w:id="21"/>
      </w:r>
      <w:r>
        <w:rPr>
          <w:lang w:val="en-PH"/>
        </w:rPr>
        <w:t xml:space="preserve"> The firm surveys replaced big data analytics, which was not pursued; only three surveys instead of four were conducted each for households and firms; and the third of the community surveys was cancelled. </w:t>
      </w:r>
    </w:p>
    <w:p w14:paraId="457462A3" w14:textId="3123935B" w:rsidR="00AB2533" w:rsidRDefault="00AB2533" w:rsidP="00AB2533">
      <w:pPr>
        <w:rPr>
          <w:lang w:val="en-PH"/>
        </w:rPr>
      </w:pPr>
      <w:r>
        <w:rPr>
          <w:lang w:val="en-PH"/>
        </w:rPr>
        <w:t xml:space="preserve">While departing significantly from the plan, the task team reallocated resources to respond to </w:t>
      </w:r>
      <w:proofErr w:type="spellStart"/>
      <w:r>
        <w:rPr>
          <w:lang w:val="en-PH"/>
        </w:rPr>
        <w:t>GoP’s</w:t>
      </w:r>
      <w:proofErr w:type="spellEnd"/>
      <w:r>
        <w:rPr>
          <w:lang w:val="en-PH"/>
        </w:rPr>
        <w:t xml:space="preserve"> request for analysis of the impacts of the pandemic on firms and </w:t>
      </w:r>
      <w:r w:rsidR="00E147BD">
        <w:rPr>
          <w:lang w:val="en-PH"/>
        </w:rPr>
        <w:t>labor</w:t>
      </w:r>
      <w:r>
        <w:rPr>
          <w:lang w:val="en-PH"/>
        </w:rPr>
        <w:t xml:space="preserve"> demand, and expansion of the household surveys to cover access to education and vaccine hesitancy, particularly in the Bangsamoro Autonomous Region in Muslim Mindanao (BARMM) where hesitancy was high. The task team also found no significant change in the community survey indicators, and with tracking the same key informants across several waves of the pandemic becoming more difficult due to mobility restrictions, the task team focused on households and firms instead. </w:t>
      </w:r>
    </w:p>
    <w:p w14:paraId="7AA89C9B" w14:textId="77777777" w:rsidR="00FE08B0" w:rsidRDefault="00AB2533" w:rsidP="00AB2533">
      <w:proofErr w:type="spellStart"/>
      <w:r w:rsidRPr="00603706">
        <w:t>GoP</w:t>
      </w:r>
      <w:proofErr w:type="spellEnd"/>
      <w:r w:rsidRPr="00603706">
        <w:t xml:space="preserve"> appreciated the quality of analysis provided through the grant</w:t>
      </w:r>
      <w:r>
        <w:t xml:space="preserve">, which benefitted from WB’s survey methodology and global best practice. Among the government agencies whose policies and programs were informed by the survey findings, the task team cited the </w:t>
      </w:r>
      <w:r w:rsidRPr="00603706">
        <w:t>COVID-19</w:t>
      </w:r>
      <w:r>
        <w:t xml:space="preserve"> </w:t>
      </w:r>
      <w:r w:rsidRPr="00603706">
        <w:t>Inter-Agency Task Force</w:t>
      </w:r>
      <w:r>
        <w:t xml:space="preserve">; the National Economic and Development Authority in its own monitoring of the </w:t>
      </w:r>
      <w:r w:rsidRPr="00603706">
        <w:t xml:space="preserve">impact of </w:t>
      </w:r>
      <w:proofErr w:type="spellStart"/>
      <w:r>
        <w:t>GoP</w:t>
      </w:r>
      <w:proofErr w:type="spellEnd"/>
      <w:r>
        <w:t xml:space="preserve"> </w:t>
      </w:r>
      <w:r w:rsidRPr="00603706">
        <w:t xml:space="preserve">interventions </w:t>
      </w:r>
      <w:r>
        <w:t xml:space="preserve">on economic and social </w:t>
      </w:r>
      <w:r w:rsidRPr="00603706">
        <w:t>sectors</w:t>
      </w:r>
      <w:r>
        <w:t xml:space="preserve">; the </w:t>
      </w:r>
      <w:r w:rsidRPr="00603706">
        <w:t xml:space="preserve">Department of </w:t>
      </w:r>
      <w:proofErr w:type="spellStart"/>
      <w:r w:rsidRPr="00603706">
        <w:t>Labor</w:t>
      </w:r>
      <w:proofErr w:type="spellEnd"/>
      <w:r w:rsidRPr="00603706">
        <w:t xml:space="preserve"> and Employment</w:t>
      </w:r>
      <w:r>
        <w:t xml:space="preserve"> in formulating the </w:t>
      </w:r>
      <w:r w:rsidRPr="00603706">
        <w:t>National Employment Recovery Strategy 2021-2022</w:t>
      </w:r>
      <w:r>
        <w:t xml:space="preserve">; and the Department of Finance in crafting </w:t>
      </w:r>
      <w:r w:rsidRPr="00603706">
        <w:t xml:space="preserve">a transition note for the </w:t>
      </w:r>
      <w:r>
        <w:t xml:space="preserve">new </w:t>
      </w:r>
      <w:r w:rsidRPr="00603706">
        <w:t>administration</w:t>
      </w:r>
      <w:r>
        <w:t xml:space="preserve">. </w:t>
      </w:r>
    </w:p>
    <w:p w14:paraId="112F7B29" w14:textId="63C70D68" w:rsidR="00AB2533" w:rsidRPr="0047772E" w:rsidRDefault="00AB2533" w:rsidP="00AB2533">
      <w:r>
        <w:t xml:space="preserve">Among </w:t>
      </w:r>
      <w:proofErr w:type="spellStart"/>
      <w:r w:rsidR="007628AF">
        <w:t>AGaP</w:t>
      </w:r>
      <w:proofErr w:type="spellEnd"/>
      <w:r>
        <w:t>-supported projects, t</w:t>
      </w:r>
      <w:r w:rsidRPr="0047772E">
        <w:t xml:space="preserve">he findings of the surveys were </w:t>
      </w:r>
      <w:r>
        <w:t xml:space="preserve">used in policy advice and analyses, </w:t>
      </w:r>
      <w:r w:rsidRPr="0047772E">
        <w:t>especially those targeting vulnerable groups</w:t>
      </w:r>
      <w:r>
        <w:t xml:space="preserve">, in </w:t>
      </w:r>
      <w:r w:rsidRPr="0047772E">
        <w:t>health, social assistance, business</w:t>
      </w:r>
      <w:r>
        <w:t xml:space="preserve"> and competitiveness, </w:t>
      </w:r>
      <w:r w:rsidRPr="0047772E">
        <w:t>and agriculture</w:t>
      </w:r>
      <w:r>
        <w:t xml:space="preserve">. WB studies similarly drew from the findings of the survey, </w:t>
      </w:r>
      <w:r w:rsidRPr="0047772E">
        <w:lastRenderedPageBreak/>
        <w:t xml:space="preserve">including </w:t>
      </w:r>
      <w:r>
        <w:t xml:space="preserve">the </w:t>
      </w:r>
      <w:r w:rsidRPr="0047772E">
        <w:t xml:space="preserve">growth forecasts </w:t>
      </w:r>
      <w:r>
        <w:t xml:space="preserve">and socioeconomic analysis of </w:t>
      </w:r>
      <w:r w:rsidRPr="0047772E">
        <w:t>WB</w:t>
      </w:r>
      <w:r>
        <w:t xml:space="preserve">’s </w:t>
      </w:r>
      <w:r w:rsidRPr="0047772E">
        <w:t xml:space="preserve">Philippines Economic Update. </w:t>
      </w:r>
    </w:p>
    <w:p w14:paraId="65948B44" w14:textId="303F1F7C" w:rsidR="00AB2533" w:rsidRDefault="00AB2533" w:rsidP="00AB2533">
      <w:r>
        <w:t>The findings were complemented</w:t>
      </w:r>
      <w:r w:rsidRPr="009B33B9">
        <w:t xml:space="preserve"> </w:t>
      </w:r>
      <w:r>
        <w:t xml:space="preserve">by the task team’s technical briefings for </w:t>
      </w:r>
      <w:proofErr w:type="spellStart"/>
      <w:r>
        <w:t>GoP’s</w:t>
      </w:r>
      <w:proofErr w:type="spellEnd"/>
      <w:r>
        <w:t xml:space="preserve"> oversight and line agencies. With these briefings </w:t>
      </w:r>
      <w:r w:rsidRPr="00112A8B">
        <w:t xml:space="preserve">and the policies informed by the survey findings, there is adequate evidence that the grant achieved its objective of informing </w:t>
      </w:r>
      <w:proofErr w:type="spellStart"/>
      <w:r w:rsidRPr="00112A8B">
        <w:t>GoP</w:t>
      </w:r>
      <w:proofErr w:type="spellEnd"/>
      <w:r w:rsidRPr="00112A8B">
        <w:t xml:space="preserve"> </w:t>
      </w:r>
      <w:r>
        <w:t xml:space="preserve">policies and WB operations. </w:t>
      </w:r>
      <w:r w:rsidRPr="00AB712F">
        <w:t xml:space="preserve">However, given the rapidly changing situation during the pandemic, </w:t>
      </w:r>
      <w:proofErr w:type="spellStart"/>
      <w:r w:rsidRPr="00AB712F">
        <w:t>GoP</w:t>
      </w:r>
      <w:proofErr w:type="spellEnd"/>
      <w:r w:rsidRPr="00AB712F">
        <w:t xml:space="preserve"> indicated that timeliness in sharing the findings would have been more helpful to the </w:t>
      </w:r>
      <w:r w:rsidR="00D62E3D">
        <w:t>G</w:t>
      </w:r>
      <w:r w:rsidRPr="00AB712F">
        <w:t>overnment as it managed the impacts of the pandemic on the economy. The WB team noted the same issue of timeliness in publishing the findings of later surveys on the external website, which was quite delayed, thereby not fully maximizing the usefulness of the research on public discourse, including in the media.</w:t>
      </w:r>
      <w:r>
        <w:t xml:space="preserve"> </w:t>
      </w:r>
    </w:p>
    <w:p w14:paraId="0A551617" w14:textId="20A7C285" w:rsidR="002900C0" w:rsidRPr="00FE08B0" w:rsidRDefault="00AB2533" w:rsidP="002900C0">
      <w:pPr>
        <w:rPr>
          <w:lang w:val="en-PH"/>
        </w:rPr>
      </w:pPr>
      <w:r w:rsidRPr="00AB712F">
        <w:rPr>
          <w:lang w:val="en-PH"/>
        </w:rPr>
        <w:t>DFAT’s involvement in this project was limited to one briefing about the findings of the surveys, and there is no evidence to indicate that the findings informed its policies and programs in the Philippines</w:t>
      </w:r>
      <w:r>
        <w:rPr>
          <w:lang w:val="en-PH"/>
        </w:rPr>
        <w:t>.</w:t>
      </w:r>
    </w:p>
    <w:p w14:paraId="41AC1B1F" w14:textId="019E9353" w:rsidR="003B38E1" w:rsidRDefault="003B38E1" w:rsidP="00E03DD0">
      <w:pPr>
        <w:pStyle w:val="Heading3"/>
        <w:rPr>
          <w:lang w:val="en"/>
        </w:rPr>
      </w:pPr>
      <w:bookmarkStart w:id="19" w:name="_Toc125560007"/>
      <w:r w:rsidRPr="00C13FE7">
        <w:rPr>
          <w:color w:val="auto"/>
          <w:lang w:val="en"/>
        </w:rPr>
        <w:t xml:space="preserve">Strengthening </w:t>
      </w:r>
      <w:r w:rsidR="0092165E" w:rsidRPr="00C13FE7">
        <w:rPr>
          <w:color w:val="auto"/>
          <w:lang w:val="en"/>
        </w:rPr>
        <w:t xml:space="preserve">Implementation Support for the </w:t>
      </w:r>
      <w:r w:rsidRPr="00C13FE7">
        <w:rPr>
          <w:color w:val="auto"/>
          <w:lang w:val="en"/>
        </w:rPr>
        <w:t>Philippines COVID</w:t>
      </w:r>
      <w:r w:rsidR="0092165E" w:rsidRPr="00C13FE7">
        <w:rPr>
          <w:color w:val="auto"/>
          <w:lang w:val="en"/>
        </w:rPr>
        <w:t>-19 Response Project </w:t>
      </w:r>
      <w:bookmarkEnd w:id="19"/>
      <w:r w:rsidR="0092165E" w:rsidRPr="00C13FE7">
        <w:rPr>
          <w:color w:val="auto"/>
          <w:lang w:val="en"/>
        </w:rPr>
        <w:t xml:space="preserve"> </w:t>
      </w:r>
    </w:p>
    <w:p w14:paraId="02C66B15" w14:textId="77777777" w:rsidR="005C00DA" w:rsidRPr="00547DC5" w:rsidRDefault="005C00DA" w:rsidP="005C00DA">
      <w:pPr>
        <w:rPr>
          <w:color w:val="000000" w:themeColor="text1"/>
        </w:rPr>
      </w:pPr>
      <w:r w:rsidRPr="00547DC5">
        <w:rPr>
          <w:color w:val="000000" w:themeColor="text1"/>
        </w:rPr>
        <w:t>Key findings:</w:t>
      </w:r>
    </w:p>
    <w:p w14:paraId="583BD8E2" w14:textId="35461759" w:rsidR="005C00DA" w:rsidRPr="00547DC5" w:rsidRDefault="005C00DA" w:rsidP="00C64AD4">
      <w:pPr>
        <w:pStyle w:val="ListParagraph"/>
        <w:numPr>
          <w:ilvl w:val="0"/>
          <w:numId w:val="24"/>
        </w:numPr>
        <w:rPr>
          <w:color w:val="000000" w:themeColor="text1"/>
        </w:rPr>
      </w:pPr>
      <w:r w:rsidRPr="00547DC5">
        <w:rPr>
          <w:color w:val="000000" w:themeColor="text1"/>
        </w:rPr>
        <w:t xml:space="preserve">This grant was effective in helping </w:t>
      </w:r>
      <w:proofErr w:type="spellStart"/>
      <w:r w:rsidRPr="00547DC5">
        <w:rPr>
          <w:color w:val="000000" w:themeColor="text1"/>
        </w:rPr>
        <w:t>GoP</w:t>
      </w:r>
      <w:proofErr w:type="spellEnd"/>
      <w:r w:rsidRPr="00547DC5">
        <w:rPr>
          <w:color w:val="000000" w:themeColor="text1"/>
        </w:rPr>
        <w:t xml:space="preserve"> forecast demand and quickly procure the medical supplies and equipment needed to respond to the </w:t>
      </w:r>
      <w:r w:rsidR="00B847C1" w:rsidRPr="00547DC5">
        <w:rPr>
          <w:color w:val="000000" w:themeColor="text1"/>
        </w:rPr>
        <w:t>COVID</w:t>
      </w:r>
      <w:r w:rsidRPr="00547DC5">
        <w:rPr>
          <w:color w:val="000000" w:themeColor="text1"/>
        </w:rPr>
        <w:t xml:space="preserve">-19 pandemic. </w:t>
      </w:r>
    </w:p>
    <w:p w14:paraId="7C9F09BE" w14:textId="77777777" w:rsidR="005C00DA" w:rsidRPr="00547DC5" w:rsidRDefault="005C00DA" w:rsidP="00C64AD4">
      <w:pPr>
        <w:pStyle w:val="ListParagraph"/>
        <w:numPr>
          <w:ilvl w:val="0"/>
          <w:numId w:val="24"/>
        </w:numPr>
        <w:rPr>
          <w:color w:val="000000" w:themeColor="text1"/>
        </w:rPr>
      </w:pPr>
      <w:r w:rsidRPr="00547DC5">
        <w:rPr>
          <w:color w:val="000000" w:themeColor="text1"/>
        </w:rPr>
        <w:t>Although this grant did not have specific activities for policy reform, the stakeholder consultations with persons with disabilities and vulnerable groups did result in operational guidelines adopted by the Health Department in improving the accessibility of health facilities in the country.</w:t>
      </w:r>
    </w:p>
    <w:p w14:paraId="2A4D52BC" w14:textId="1F2D43B0" w:rsidR="007C4CF0" w:rsidRDefault="007C4CF0" w:rsidP="005C00DA">
      <w:r w:rsidRPr="007F4F66">
        <w:t xml:space="preserve">With </w:t>
      </w:r>
      <w:proofErr w:type="spellStart"/>
      <w:r w:rsidRPr="007F4F66">
        <w:t>GoP</w:t>
      </w:r>
      <w:proofErr w:type="spellEnd"/>
      <w:r w:rsidRPr="007F4F66">
        <w:t xml:space="preserve"> request for financing and technical assistance to manage COVID response, and the pivot of WB’s and Australia’s country programs toward COVID-19 support, the </w:t>
      </w:r>
      <w:proofErr w:type="spellStart"/>
      <w:r w:rsidR="007628AF">
        <w:t>AGaP</w:t>
      </w:r>
      <w:proofErr w:type="spellEnd"/>
      <w:r w:rsidRPr="007F4F66">
        <w:t xml:space="preserve"> Steering Committee affirmed priority support for this </w:t>
      </w:r>
      <w:r>
        <w:t>grant</w:t>
      </w:r>
      <w:r w:rsidRPr="007F4F66">
        <w:t xml:space="preserve">. </w:t>
      </w:r>
      <w:r>
        <w:t>Its development objective is</w:t>
      </w:r>
      <w:r w:rsidRPr="00686A5A">
        <w:rPr>
          <w:i/>
          <w:iCs/>
        </w:rPr>
        <w:t xml:space="preserve"> to</w:t>
      </w:r>
      <w:r>
        <w:t xml:space="preserve"> </w:t>
      </w:r>
      <w:r w:rsidRPr="009D36A5">
        <w:rPr>
          <w:i/>
          <w:iCs/>
        </w:rPr>
        <w:t>strengthen the</w:t>
      </w:r>
      <w:r>
        <w:rPr>
          <w:i/>
          <w:iCs/>
        </w:rPr>
        <w:t xml:space="preserve"> </w:t>
      </w:r>
      <w:r w:rsidRPr="009D36A5">
        <w:rPr>
          <w:i/>
          <w:iCs/>
        </w:rPr>
        <w:t>Philippines</w:t>
      </w:r>
      <w:r w:rsidR="00C00B0F">
        <w:rPr>
          <w:i/>
          <w:iCs/>
        </w:rPr>
        <w:t>’</w:t>
      </w:r>
      <w:r w:rsidRPr="009D36A5">
        <w:rPr>
          <w:i/>
          <w:iCs/>
        </w:rPr>
        <w:t xml:space="preserve"> capacity to prevent, detect and respond to</w:t>
      </w:r>
      <w:r>
        <w:rPr>
          <w:i/>
          <w:iCs/>
        </w:rPr>
        <w:t xml:space="preserve"> </w:t>
      </w:r>
      <w:r w:rsidRPr="009D36A5">
        <w:rPr>
          <w:i/>
          <w:iCs/>
        </w:rPr>
        <w:t>the</w:t>
      </w:r>
      <w:r>
        <w:rPr>
          <w:i/>
          <w:iCs/>
        </w:rPr>
        <w:t xml:space="preserve"> </w:t>
      </w:r>
      <w:r w:rsidRPr="009D36A5">
        <w:rPr>
          <w:i/>
          <w:iCs/>
        </w:rPr>
        <w:t>threat</w:t>
      </w:r>
      <w:r>
        <w:rPr>
          <w:i/>
          <w:iCs/>
        </w:rPr>
        <w:t xml:space="preserve"> </w:t>
      </w:r>
      <w:r w:rsidRPr="009D36A5">
        <w:rPr>
          <w:i/>
          <w:iCs/>
        </w:rPr>
        <w:t>posed</w:t>
      </w:r>
      <w:r>
        <w:rPr>
          <w:i/>
          <w:iCs/>
        </w:rPr>
        <w:t xml:space="preserve"> </w:t>
      </w:r>
      <w:r w:rsidRPr="009D36A5">
        <w:rPr>
          <w:i/>
          <w:iCs/>
        </w:rPr>
        <w:t>by</w:t>
      </w:r>
      <w:r>
        <w:rPr>
          <w:i/>
          <w:iCs/>
        </w:rPr>
        <w:t xml:space="preserve"> </w:t>
      </w:r>
      <w:r w:rsidRPr="009D36A5">
        <w:rPr>
          <w:i/>
          <w:iCs/>
        </w:rPr>
        <w:t>COVID-19</w:t>
      </w:r>
      <w:r>
        <w:rPr>
          <w:i/>
          <w:iCs/>
        </w:rPr>
        <w:t xml:space="preserve"> </w:t>
      </w:r>
      <w:r w:rsidRPr="009D36A5">
        <w:rPr>
          <w:i/>
          <w:iCs/>
        </w:rPr>
        <w:t>and</w:t>
      </w:r>
      <w:r>
        <w:rPr>
          <w:i/>
          <w:iCs/>
        </w:rPr>
        <w:t xml:space="preserve"> </w:t>
      </w:r>
      <w:r w:rsidRPr="009D36A5">
        <w:rPr>
          <w:i/>
          <w:iCs/>
        </w:rPr>
        <w:t>strengthen national systems for public</w:t>
      </w:r>
      <w:r>
        <w:rPr>
          <w:i/>
          <w:iCs/>
        </w:rPr>
        <w:t xml:space="preserve"> </w:t>
      </w:r>
      <w:r w:rsidRPr="009D36A5">
        <w:rPr>
          <w:i/>
          <w:iCs/>
        </w:rPr>
        <w:t>health preparedness</w:t>
      </w:r>
      <w:r>
        <w:t xml:space="preserve">. </w:t>
      </w:r>
    </w:p>
    <w:p w14:paraId="736BB349" w14:textId="6987EA66" w:rsidR="007C4CF0" w:rsidRDefault="007C4CF0" w:rsidP="007C4CF0">
      <w:r>
        <w:t xml:space="preserve">This grant supports specific activities in the World Bank-assisted </w:t>
      </w:r>
      <w:r w:rsidRPr="001E6854">
        <w:t>Philippines COVID-19 Emergency Response Project</w:t>
      </w:r>
      <w:r>
        <w:t xml:space="preserve"> implemented by the Department of Health (DOH). These activities are: (</w:t>
      </w:r>
      <w:r w:rsidR="00F13EA1">
        <w:t>1</w:t>
      </w:r>
      <w:r>
        <w:t>) strengthening M&amp;E of the project; (</w:t>
      </w:r>
      <w:r w:rsidR="00F13EA1">
        <w:t>2</w:t>
      </w:r>
      <w:r>
        <w:t>) strengthening the project inclusiveness of gender and vulnerable populations through the project’s stakeholder consultation and engagement; (</w:t>
      </w:r>
      <w:r w:rsidR="00F13EA1">
        <w:t>3</w:t>
      </w:r>
      <w:r>
        <w:t>) improving the implementation of medical waste policies by DOH; and (</w:t>
      </w:r>
      <w:r w:rsidR="00F13EA1">
        <w:t>4</w:t>
      </w:r>
      <w:r>
        <w:t xml:space="preserve">) supporting the forecast of DOH’s requirements for medical supplies and equipment to be purchased under the project to be able to benefit from WB-facilitated procurement. </w:t>
      </w:r>
      <w:r w:rsidRPr="00AB712F">
        <w:t>One activity was not reported: South-to South learning exchanges to strengthen laboratory capacity at the national and subnational level.</w:t>
      </w:r>
    </w:p>
    <w:p w14:paraId="05C9F22E" w14:textId="6D1895D3" w:rsidR="007C4CF0" w:rsidRDefault="007C4CF0" w:rsidP="007C4CF0">
      <w:r w:rsidRPr="007F4F66">
        <w:t xml:space="preserve">The </w:t>
      </w:r>
      <w:proofErr w:type="gramStart"/>
      <w:r w:rsidRPr="007F4F66" w:rsidDel="00B847C1">
        <w:t>emergency</w:t>
      </w:r>
      <w:r w:rsidRPr="007F4F66">
        <w:t xml:space="preserve"> </w:t>
      </w:r>
      <w:r w:rsidR="00F13EA1">
        <w:t>situation</w:t>
      </w:r>
      <w:proofErr w:type="gramEnd"/>
      <w:r w:rsidR="00F13EA1">
        <w:t xml:space="preserve"> </w:t>
      </w:r>
      <w:r w:rsidRPr="007F4F66">
        <w:t xml:space="preserve">required quick turnaround in the acquisition and deployment of vaccines and medical supplies. To this end, </w:t>
      </w:r>
      <w:r>
        <w:t xml:space="preserve">the </w:t>
      </w:r>
      <w:r w:rsidRPr="00D55D4C">
        <w:t xml:space="preserve">grant was effective in helping </w:t>
      </w:r>
      <w:proofErr w:type="spellStart"/>
      <w:r w:rsidRPr="00D55D4C">
        <w:t>GoP</w:t>
      </w:r>
      <w:proofErr w:type="spellEnd"/>
      <w:r w:rsidRPr="00D55D4C">
        <w:t xml:space="preserve"> forecast demand and quickly procure the medical supplies and equipment needed to respond to the C</w:t>
      </w:r>
      <w:r>
        <w:t>OVID</w:t>
      </w:r>
      <w:r w:rsidRPr="00D55D4C">
        <w:t xml:space="preserve">-19 pandemic. </w:t>
      </w:r>
      <w:r>
        <w:t xml:space="preserve">Technical assistance was also extended to </w:t>
      </w:r>
      <w:r w:rsidRPr="007F4F66">
        <w:t>DOH in the conduct of vaccine readiness assessments that helped determine the country’s capacity to deliver the vaccines and identify the gaps and opportunities for enhanced readiness</w:t>
      </w:r>
      <w:r>
        <w:t xml:space="preserve">, along with the setup of </w:t>
      </w:r>
      <w:r w:rsidRPr="007F4F66">
        <w:t>ICT-enabled project monitoring tool</w:t>
      </w:r>
      <w:r>
        <w:t>s</w:t>
      </w:r>
      <w:r w:rsidRPr="007F4F66">
        <w:t xml:space="preserve"> for data collection and processing</w:t>
      </w:r>
      <w:r w:rsidR="00C64AD4">
        <w:t xml:space="preserve">. </w:t>
      </w:r>
    </w:p>
    <w:p w14:paraId="2F5C8F86" w14:textId="0AF66F16" w:rsidR="007C4CF0" w:rsidRDefault="007C4CF0" w:rsidP="007C4CF0">
      <w:r w:rsidRPr="007F4F66">
        <w:t xml:space="preserve">Although this grant did not have specific activities for policy reform, the stakeholder consultations with persons with disabilities, </w:t>
      </w:r>
      <w:r w:rsidR="00FC0C9B">
        <w:t>Indigenous Peoples</w:t>
      </w:r>
      <w:r w:rsidRPr="007F4F66">
        <w:t xml:space="preserve">, and other vulnerable groups did result in </w:t>
      </w:r>
      <w:r>
        <w:t xml:space="preserve">tools and </w:t>
      </w:r>
      <w:r w:rsidRPr="007F4F66">
        <w:t xml:space="preserve">guidelines adopted by DOH in assessing the accessibility </w:t>
      </w:r>
      <w:r>
        <w:t>(</w:t>
      </w:r>
      <w:r w:rsidRPr="007F4F66">
        <w:t xml:space="preserve">such as the presence </w:t>
      </w:r>
      <w:r w:rsidRPr="007F4F66">
        <w:lastRenderedPageBreak/>
        <w:t>of ramps for persons on wheelch</w:t>
      </w:r>
      <w:r>
        <w:t xml:space="preserve">air) </w:t>
      </w:r>
      <w:r w:rsidRPr="007F4F66">
        <w:t xml:space="preserve">of public health facilities in the </w:t>
      </w:r>
      <w:r w:rsidRPr="00220906">
        <w:t xml:space="preserve">country. </w:t>
      </w:r>
      <w:r>
        <w:t xml:space="preserve">Also, at </w:t>
      </w:r>
      <w:r w:rsidRPr="00220906">
        <w:t>the request of the Health</w:t>
      </w:r>
      <w:r>
        <w:t xml:space="preserve"> Department</w:t>
      </w:r>
      <w:r w:rsidRPr="00220906">
        <w:t xml:space="preserve">, the </w:t>
      </w:r>
      <w:r>
        <w:t xml:space="preserve">grant supported </w:t>
      </w:r>
      <w:r w:rsidRPr="00220906">
        <w:t xml:space="preserve">a qualitative assessment of </w:t>
      </w:r>
      <w:r>
        <w:t>v</w:t>
      </w:r>
      <w:r w:rsidRPr="00220906">
        <w:t xml:space="preserve">accine </w:t>
      </w:r>
      <w:r>
        <w:t>h</w:t>
      </w:r>
      <w:r w:rsidRPr="00220906">
        <w:t xml:space="preserve">esitancy </w:t>
      </w:r>
      <w:r>
        <w:t xml:space="preserve">to help </w:t>
      </w:r>
      <w:r w:rsidRPr="00220906">
        <w:t xml:space="preserve">shape communication campaigns. </w:t>
      </w:r>
      <w:r w:rsidRPr="007F4F66">
        <w:t xml:space="preserve">Another input to DOH’s </w:t>
      </w:r>
      <w:r>
        <w:t xml:space="preserve">operations </w:t>
      </w:r>
      <w:r w:rsidRPr="007F4F66">
        <w:t>is the guide developed through the grant for the safe collection, storage and disposal of contaminated materials and infectious wastes.</w:t>
      </w:r>
      <w:r>
        <w:t xml:space="preserve"> The accessibility assessment tool and medical waste management procedures are now part of DOH’s operational guidelines, and the </w:t>
      </w:r>
      <w:r w:rsidR="00B847C1">
        <w:t xml:space="preserve">WB </w:t>
      </w:r>
      <w:r>
        <w:t xml:space="preserve">task team reported that DOH committed to allocate funds to build accessible public health facilities in the future. </w:t>
      </w:r>
    </w:p>
    <w:p w14:paraId="4B490BC6" w14:textId="289AFCB2" w:rsidR="002900C0" w:rsidRPr="00FE08B0" w:rsidRDefault="007C4CF0" w:rsidP="002900C0">
      <w:r w:rsidRPr="00AB712F">
        <w:t xml:space="preserve">The </w:t>
      </w:r>
      <w:r w:rsidR="00362625" w:rsidRPr="00AB712F">
        <w:t>evaluation team</w:t>
      </w:r>
      <w:r w:rsidRPr="00AB712F">
        <w:t xml:space="preserve"> was not able to meet with </w:t>
      </w:r>
      <w:proofErr w:type="spellStart"/>
      <w:r w:rsidRPr="00AB712F">
        <w:t>GoP</w:t>
      </w:r>
      <w:proofErr w:type="spellEnd"/>
      <w:r w:rsidRPr="00AB712F">
        <w:t xml:space="preserve"> counterparts for this project, and hence cannot fully triangulate its findings</w:t>
      </w:r>
      <w:r>
        <w:t xml:space="preserve">. In addition, </w:t>
      </w:r>
      <w:r w:rsidRPr="00D04104">
        <w:t xml:space="preserve">while this grant delivered the expected outputs which were used to support DOH’s WB-assisted project and </w:t>
      </w:r>
      <w:proofErr w:type="spellStart"/>
      <w:r w:rsidRPr="00D04104">
        <w:rPr>
          <w:lang w:val="en-PH"/>
        </w:rPr>
        <w:t>GoP’s</w:t>
      </w:r>
      <w:proofErr w:type="spellEnd"/>
      <w:r w:rsidRPr="00D04104">
        <w:rPr>
          <w:lang w:val="en-PH"/>
        </w:rPr>
        <w:t xml:space="preserve"> national COVID</w:t>
      </w:r>
      <w:r w:rsidR="0000516C">
        <w:rPr>
          <w:lang w:val="en-PH"/>
        </w:rPr>
        <w:t>-19</w:t>
      </w:r>
      <w:r w:rsidRPr="00D04104">
        <w:rPr>
          <w:lang w:val="en-PH"/>
        </w:rPr>
        <w:t xml:space="preserve"> deployment and vaccination plan</w:t>
      </w:r>
      <w:r w:rsidRPr="00D04104">
        <w:t xml:space="preserve">, </w:t>
      </w:r>
      <w:r w:rsidRPr="00AB712F">
        <w:t xml:space="preserve">DFAT expressed the need for better alignment with the </w:t>
      </w:r>
      <w:proofErr w:type="spellStart"/>
      <w:r w:rsidR="007628AF">
        <w:t>AGaP</w:t>
      </w:r>
      <w:proofErr w:type="spellEnd"/>
      <w:r w:rsidRPr="00AB712F">
        <w:t xml:space="preserve"> results framework </w:t>
      </w:r>
      <w:r w:rsidRPr="00AB712F">
        <w:rPr>
          <w:lang w:val="en-PH"/>
        </w:rPr>
        <w:t xml:space="preserve">and </w:t>
      </w:r>
      <w:r w:rsidRPr="00AB712F">
        <w:t xml:space="preserve">indicated its preference for projects that contribute directly to policy reforms for rapid, sustainable, and inclusive growth. As with most other grant activities involving analytical work, DFAT would like to explore more opportunities </w:t>
      </w:r>
      <w:r w:rsidR="00B847C1" w:rsidRPr="00AB712F">
        <w:t>for collaboration</w:t>
      </w:r>
      <w:r w:rsidRPr="00AB712F">
        <w:t xml:space="preserve">, such as by contributing </w:t>
      </w:r>
      <w:r w:rsidR="0000516C">
        <w:t>to</w:t>
      </w:r>
      <w:r w:rsidRPr="00AB712F">
        <w:t xml:space="preserve"> technical reviews and dialogues</w:t>
      </w:r>
      <w:r w:rsidRPr="00AB712F" w:rsidDel="007E66C7">
        <w:t>.</w:t>
      </w:r>
      <w:r w:rsidRPr="00D04104" w:rsidDel="007E66C7">
        <w:t xml:space="preserve"> </w:t>
      </w:r>
    </w:p>
    <w:p w14:paraId="02995154" w14:textId="75B37E53" w:rsidR="004F1D23" w:rsidRDefault="003B38E1" w:rsidP="00E03DD0">
      <w:pPr>
        <w:pStyle w:val="Heading3"/>
        <w:rPr>
          <w:lang w:val="en"/>
        </w:rPr>
      </w:pPr>
      <w:bookmarkStart w:id="20" w:name="_Toc125560008"/>
      <w:r w:rsidRPr="00C13FE7">
        <w:rPr>
          <w:color w:val="auto"/>
          <w:lang w:val="en"/>
        </w:rPr>
        <w:t xml:space="preserve">Support </w:t>
      </w:r>
      <w:r w:rsidR="0092165E" w:rsidRPr="00C13FE7">
        <w:rPr>
          <w:color w:val="auto"/>
          <w:lang w:val="en"/>
        </w:rPr>
        <w:t xml:space="preserve">for Post </w:t>
      </w:r>
      <w:r w:rsidRPr="00C13FE7">
        <w:rPr>
          <w:color w:val="auto"/>
          <w:lang w:val="en"/>
        </w:rPr>
        <w:t>COVID</w:t>
      </w:r>
      <w:r w:rsidR="0092165E" w:rsidRPr="00C13FE7">
        <w:rPr>
          <w:color w:val="auto"/>
          <w:lang w:val="en"/>
        </w:rPr>
        <w:t xml:space="preserve">-19 Active Transport Development in </w:t>
      </w:r>
      <w:r w:rsidRPr="00C13FE7">
        <w:rPr>
          <w:color w:val="auto"/>
          <w:lang w:val="en"/>
        </w:rPr>
        <w:t>Metro Manila</w:t>
      </w:r>
      <w:bookmarkEnd w:id="20"/>
    </w:p>
    <w:p w14:paraId="698DC1ED" w14:textId="639A21EA" w:rsidR="00B847C1" w:rsidRPr="00547DC5" w:rsidRDefault="0064398F" w:rsidP="006E67F2">
      <w:pPr>
        <w:rPr>
          <w:color w:val="000000" w:themeColor="text1"/>
        </w:rPr>
      </w:pPr>
      <w:r w:rsidRPr="00547DC5">
        <w:rPr>
          <w:color w:val="000000" w:themeColor="text1"/>
        </w:rPr>
        <w:t xml:space="preserve">Key </w:t>
      </w:r>
      <w:r w:rsidR="00B847C1" w:rsidRPr="00547DC5">
        <w:rPr>
          <w:color w:val="000000" w:themeColor="text1"/>
        </w:rPr>
        <w:t>f</w:t>
      </w:r>
      <w:r w:rsidRPr="00547DC5">
        <w:rPr>
          <w:color w:val="000000" w:themeColor="text1"/>
        </w:rPr>
        <w:t>inding</w:t>
      </w:r>
      <w:r w:rsidR="00F57B4D">
        <w:rPr>
          <w:color w:val="000000" w:themeColor="text1"/>
        </w:rPr>
        <w:t>s</w:t>
      </w:r>
      <w:r w:rsidRPr="00547DC5">
        <w:rPr>
          <w:color w:val="000000" w:themeColor="text1"/>
        </w:rPr>
        <w:t xml:space="preserve">: </w:t>
      </w:r>
    </w:p>
    <w:p w14:paraId="7C7412E5" w14:textId="0EEB5712" w:rsidR="006E67F2" w:rsidRPr="00547DC5" w:rsidRDefault="006E67F2" w:rsidP="00C64AD4">
      <w:pPr>
        <w:pStyle w:val="ListParagraph"/>
        <w:numPr>
          <w:ilvl w:val="0"/>
          <w:numId w:val="25"/>
        </w:numPr>
        <w:rPr>
          <w:color w:val="000000" w:themeColor="text1"/>
        </w:rPr>
      </w:pPr>
      <w:r w:rsidRPr="00547DC5">
        <w:rPr>
          <w:color w:val="000000" w:themeColor="text1"/>
        </w:rPr>
        <w:t xml:space="preserve">Although this </w:t>
      </w:r>
      <w:r w:rsidR="00F57B4D">
        <w:rPr>
          <w:color w:val="000000" w:themeColor="text1"/>
        </w:rPr>
        <w:t>is</w:t>
      </w:r>
      <w:r w:rsidRPr="00547DC5">
        <w:rPr>
          <w:color w:val="000000" w:themeColor="text1"/>
        </w:rPr>
        <w:t xml:space="preserve"> a small grant, it </w:t>
      </w:r>
      <w:r w:rsidR="00F57B4D">
        <w:rPr>
          <w:color w:val="000000" w:themeColor="text1"/>
        </w:rPr>
        <w:t>is</w:t>
      </w:r>
      <w:r w:rsidRPr="00547DC5">
        <w:rPr>
          <w:color w:val="000000" w:themeColor="text1"/>
        </w:rPr>
        <w:t xml:space="preserve"> well aligned with both </w:t>
      </w:r>
      <w:proofErr w:type="spellStart"/>
      <w:r w:rsidR="007628AF">
        <w:rPr>
          <w:color w:val="000000" w:themeColor="text1"/>
        </w:rPr>
        <w:t>AGaP</w:t>
      </w:r>
      <w:proofErr w:type="spellEnd"/>
      <w:r w:rsidRPr="00547DC5">
        <w:rPr>
          <w:color w:val="000000" w:themeColor="text1"/>
        </w:rPr>
        <w:t xml:space="preserve"> objectives, cross-cutting themes, and </w:t>
      </w:r>
      <w:proofErr w:type="spellStart"/>
      <w:r w:rsidRPr="00547DC5">
        <w:rPr>
          <w:color w:val="000000" w:themeColor="text1"/>
        </w:rPr>
        <w:t>GoP</w:t>
      </w:r>
      <w:proofErr w:type="spellEnd"/>
      <w:r w:rsidRPr="00547DC5">
        <w:rPr>
          <w:color w:val="000000" w:themeColor="text1"/>
        </w:rPr>
        <w:t xml:space="preserve"> priorities. </w:t>
      </w:r>
    </w:p>
    <w:p w14:paraId="138CE9D1" w14:textId="48E76E35" w:rsidR="00FE3E83" w:rsidRPr="00FE3E83" w:rsidRDefault="00FE3E83" w:rsidP="00FE3E83">
      <w:r w:rsidRPr="00FE3E83">
        <w:t xml:space="preserve">The </w:t>
      </w:r>
      <w:r w:rsidR="00B847C1">
        <w:t>project design</w:t>
      </w:r>
      <w:r w:rsidRPr="00FE3E83" w:rsidDel="00B847C1">
        <w:t xml:space="preserve"> </w:t>
      </w:r>
      <w:r w:rsidR="00B847C1">
        <w:t>document</w:t>
      </w:r>
      <w:r w:rsidR="00B847C1" w:rsidRPr="00FE3E83">
        <w:t xml:space="preserve"> </w:t>
      </w:r>
      <w:r w:rsidRPr="00FE3E83">
        <w:t xml:space="preserve">does not explicitly connect the grant project to the </w:t>
      </w:r>
      <w:proofErr w:type="spellStart"/>
      <w:r w:rsidR="007628AF">
        <w:t>AGaP</w:t>
      </w:r>
      <w:proofErr w:type="spellEnd"/>
      <w:r w:rsidRPr="00FE3E83">
        <w:t xml:space="preserve"> objectives of </w:t>
      </w:r>
      <w:r w:rsidR="00F57B4D">
        <w:t>“</w:t>
      </w:r>
      <w:r w:rsidRPr="00FE3E83">
        <w:t>design and implementation of reforms toward sustainable and inclusive growth</w:t>
      </w:r>
      <w:r w:rsidR="00F57B4D">
        <w:t>”</w:t>
      </w:r>
      <w:r w:rsidRPr="00FE3E83">
        <w:t xml:space="preserve">, but this is implied </w:t>
      </w:r>
      <w:r w:rsidR="00F57B4D">
        <w:t>in</w:t>
      </w:r>
      <w:r w:rsidRPr="00FE3E83">
        <w:t xml:space="preserve"> the subject matter, which is concerned with bicycle lanes in urban areas. The project is consistent with DFAT priorities and as an innovative project</w:t>
      </w:r>
      <w:r w:rsidR="00F57B4D">
        <w:t>,</w:t>
      </w:r>
      <w:r w:rsidRPr="00FE3E83">
        <w:t xml:space="preserve"> this fits well with other DFAT programs (e.g.</w:t>
      </w:r>
      <w:r w:rsidR="0086413C">
        <w:t>,</w:t>
      </w:r>
      <w:r w:rsidRPr="00FE3E83">
        <w:t xml:space="preserve"> P4I/infrastructure) and the WB’s Metro Manila Bus Rapid Transit (MMBRT) project. The project performed particularly well against outcome area 3</w:t>
      </w:r>
      <w:r w:rsidR="00237CFB">
        <w:t xml:space="preserve"> </w:t>
      </w:r>
      <w:r w:rsidR="00C00B0F">
        <w:t>–</w:t>
      </w:r>
      <w:r w:rsidRPr="00FE3E83">
        <w:t xml:space="preserve"> </w:t>
      </w:r>
      <w:r w:rsidR="00237CFB" w:rsidRPr="00FE3E83">
        <w:t>public debate and awareness</w:t>
      </w:r>
      <w:r w:rsidRPr="00FE3E83">
        <w:t>, with extensive outreach to business groups and citizens, especially women, the elderly, and persons with disabilities.</w:t>
      </w:r>
      <w:r w:rsidRPr="00FE3E83">
        <w:rPr>
          <w:vertAlign w:val="superscript"/>
        </w:rPr>
        <w:footnoteReference w:id="22"/>
      </w:r>
      <w:r w:rsidRPr="00FE3E83">
        <w:t xml:space="preserve"> </w:t>
      </w:r>
    </w:p>
    <w:p w14:paraId="1FF2B14C" w14:textId="18FEDDCE" w:rsidR="00FE3E83" w:rsidRPr="00FE3E83" w:rsidRDefault="00FE3E83" w:rsidP="00FE3E83">
      <w:r w:rsidRPr="00FE3E83">
        <w:t xml:space="preserve">The purpose of the project was to support the </w:t>
      </w:r>
      <w:proofErr w:type="spellStart"/>
      <w:r w:rsidR="00765154">
        <w:t>GoP</w:t>
      </w:r>
      <w:proofErr w:type="spellEnd"/>
      <w:r w:rsidRPr="00FE3E83">
        <w:t xml:space="preserve"> Active Transport Development Program, which included an allocation of funding to construct a bike lane in </w:t>
      </w:r>
      <w:r w:rsidR="008C108F">
        <w:t>three</w:t>
      </w:r>
      <w:r w:rsidRPr="00FE3E83">
        <w:t xml:space="preserve"> metros/cities by providing technical and capacity building support to government agencies and selected LGUs. Active transport was included as a priority area for intervention under the </w:t>
      </w:r>
      <w:proofErr w:type="spellStart"/>
      <w:r w:rsidRPr="00FE3E83">
        <w:t>Bayanihan</w:t>
      </w:r>
      <w:proofErr w:type="spellEnd"/>
      <w:r w:rsidR="00585262">
        <w:t xml:space="preserve"> </w:t>
      </w:r>
      <w:r w:rsidRPr="00FE3E83">
        <w:t xml:space="preserve">2 </w:t>
      </w:r>
      <w:r w:rsidR="00585262">
        <w:t>L</w:t>
      </w:r>
      <w:r w:rsidR="00585262" w:rsidRPr="00FE3E83">
        <w:t xml:space="preserve">aw </w:t>
      </w:r>
      <w:r w:rsidRPr="00FE3E83">
        <w:t>to support COVID-19 response and recovery</w:t>
      </w:r>
      <w:r w:rsidR="00AE7666">
        <w:t xml:space="preserve"> </w:t>
      </w:r>
      <w:r w:rsidRPr="00FE3E83">
        <w:t xml:space="preserve">and allocated a budget of </w:t>
      </w:r>
      <w:r w:rsidR="002C433A">
        <w:t>$</w:t>
      </w:r>
      <w:r w:rsidRPr="00FE3E83">
        <w:t xml:space="preserve">26.6 million. The program is supported by several development partners and includes </w:t>
      </w:r>
      <w:proofErr w:type="gramStart"/>
      <w:r w:rsidRPr="00FE3E83">
        <w:t>a number of</w:t>
      </w:r>
      <w:proofErr w:type="gramEnd"/>
      <w:r w:rsidRPr="00FE3E83">
        <w:t xml:space="preserve"> government agencies. </w:t>
      </w:r>
      <w:proofErr w:type="spellStart"/>
      <w:r w:rsidR="007628AF">
        <w:t>AGaP</w:t>
      </w:r>
      <w:proofErr w:type="spellEnd"/>
      <w:r w:rsidRPr="00FE3E83">
        <w:t xml:space="preserve"> activities included conducting a safety assessment of the bicycle lane designs and reviewing the guidelines. The </w:t>
      </w:r>
      <w:proofErr w:type="spellStart"/>
      <w:r w:rsidRPr="00FE3E83">
        <w:t>GoP</w:t>
      </w:r>
      <w:proofErr w:type="spellEnd"/>
      <w:r w:rsidRPr="00FE3E83">
        <w:t xml:space="preserve"> engagement was primarily with the </w:t>
      </w:r>
      <w:r w:rsidR="006852EC">
        <w:t>Department of Transportation</w:t>
      </w:r>
      <w:r w:rsidR="006852EC" w:rsidRPr="00FE3E83">
        <w:t xml:space="preserve"> </w:t>
      </w:r>
      <w:r w:rsidRPr="00FE3E83">
        <w:t>(</w:t>
      </w:r>
      <w:proofErr w:type="spellStart"/>
      <w:r w:rsidR="00144F6F">
        <w:t>DOTr</w:t>
      </w:r>
      <w:proofErr w:type="spellEnd"/>
      <w:r w:rsidR="00144F6F">
        <w:t xml:space="preserve">, </w:t>
      </w:r>
      <w:r w:rsidRPr="00FE3E83">
        <w:t>which has a policy regulation role) and less so with the Department of Public Works and Highways (</w:t>
      </w:r>
      <w:r w:rsidR="00DC5E98">
        <w:t xml:space="preserve">DPWH, </w:t>
      </w:r>
      <w:r w:rsidR="000973B4">
        <w:t xml:space="preserve">which </w:t>
      </w:r>
      <w:proofErr w:type="gramStart"/>
      <w:r w:rsidR="000973B4">
        <w:t xml:space="preserve">is </w:t>
      </w:r>
      <w:r w:rsidRPr="00FE3E83">
        <w:t>in charge of</w:t>
      </w:r>
      <w:proofErr w:type="gramEnd"/>
      <w:r w:rsidRPr="00FE3E83">
        <w:t xml:space="preserve"> construction</w:t>
      </w:r>
      <w:r w:rsidRPr="00AB712F">
        <w:t xml:space="preserve">). This narrow focus means there is little evidence of </w:t>
      </w:r>
      <w:proofErr w:type="spellStart"/>
      <w:r w:rsidR="007628AF">
        <w:t>AGaP</w:t>
      </w:r>
      <w:proofErr w:type="spellEnd"/>
      <w:r w:rsidRPr="00AB712F">
        <w:t xml:space="preserve"> having influence on </w:t>
      </w:r>
      <w:proofErr w:type="spellStart"/>
      <w:r w:rsidRPr="00AB712F">
        <w:t>GoP’s</w:t>
      </w:r>
      <w:proofErr w:type="spellEnd"/>
      <w:r w:rsidRPr="00AB712F">
        <w:t xml:space="preserve"> active transport strategy, but there may be opportunities to enhance technical execution of aspects of the program in the future.</w:t>
      </w:r>
    </w:p>
    <w:p w14:paraId="5A5170AF" w14:textId="048FF17F" w:rsidR="00FE3E83" w:rsidRPr="00FE3E83" w:rsidRDefault="00FE3E83" w:rsidP="00FE3E83">
      <w:r w:rsidRPr="00FE3E83">
        <w:t xml:space="preserve">The </w:t>
      </w:r>
      <w:proofErr w:type="spellStart"/>
      <w:r w:rsidR="007628AF">
        <w:t>AGaP</w:t>
      </w:r>
      <w:proofErr w:type="spellEnd"/>
      <w:r w:rsidR="00C00B0F" w:rsidRPr="00FE3E83">
        <w:t xml:space="preserve"> </w:t>
      </w:r>
      <w:r w:rsidRPr="00FE3E83">
        <w:t xml:space="preserve">team sought insights from the WB </w:t>
      </w:r>
      <w:r w:rsidR="00AB7ED4">
        <w:t>s</w:t>
      </w:r>
      <w:r w:rsidR="00AB7ED4" w:rsidRPr="00FE3E83">
        <w:t xml:space="preserve">ocial </w:t>
      </w:r>
      <w:r w:rsidR="00AB7ED4">
        <w:t>s</w:t>
      </w:r>
      <w:r w:rsidR="00AB7ED4" w:rsidRPr="00FE3E83">
        <w:t xml:space="preserve">afeguards </w:t>
      </w:r>
      <w:r w:rsidR="00AB7ED4">
        <w:t>o</w:t>
      </w:r>
      <w:r w:rsidR="00AB7ED4" w:rsidRPr="00FE3E83">
        <w:t xml:space="preserve">fficer </w:t>
      </w:r>
      <w:r w:rsidRPr="00FE3E83">
        <w:t xml:space="preserve">to help design an inclusive consultation process, with particular attention to including </w:t>
      </w:r>
      <w:r w:rsidR="00D62E3D">
        <w:t>organisation</w:t>
      </w:r>
      <w:r w:rsidRPr="00FE3E83">
        <w:t xml:space="preserve">s representing </w:t>
      </w:r>
      <w:r w:rsidR="00AB7ED4">
        <w:t>persons</w:t>
      </w:r>
      <w:r w:rsidR="00AB7ED4" w:rsidRPr="00FE3E83">
        <w:t xml:space="preserve"> </w:t>
      </w:r>
      <w:r w:rsidRPr="00FE3E83">
        <w:t>with disabilities</w:t>
      </w:r>
      <w:r w:rsidR="00AB7ED4">
        <w:t xml:space="preserve"> (PWD)</w:t>
      </w:r>
      <w:r w:rsidRPr="00FE3E83">
        <w:t xml:space="preserve">. The WB team explained that this was building on lessons learned from an earlier transport-related project </w:t>
      </w:r>
      <w:r w:rsidR="006F7A55">
        <w:t>that</w:t>
      </w:r>
      <w:r w:rsidRPr="00FE3E83">
        <w:t xml:space="preserve"> failed to include PWD</w:t>
      </w:r>
      <w:r w:rsidR="00AB7ED4">
        <w:t>s</w:t>
      </w:r>
      <w:r w:rsidR="00AB7ED4" w:rsidRPr="00FE3E83">
        <w:t xml:space="preserve"> </w:t>
      </w:r>
      <w:r w:rsidRPr="00FE3E83">
        <w:t xml:space="preserve">in the consultation process. </w:t>
      </w:r>
      <w:r w:rsidRPr="00AB712F">
        <w:t xml:space="preserve">However, the </w:t>
      </w:r>
      <w:r w:rsidR="00AB7ED4" w:rsidRPr="00AB712F">
        <w:t>social</w:t>
      </w:r>
      <w:r w:rsidRPr="00AB712F" w:rsidDel="00AB7ED4">
        <w:t xml:space="preserve"> </w:t>
      </w:r>
      <w:r w:rsidR="00AB7ED4" w:rsidRPr="00AB712F">
        <w:t xml:space="preserve">safeguards </w:t>
      </w:r>
      <w:r w:rsidRPr="00AB712F">
        <w:t xml:space="preserve">officer was only involved at the start of the design and did not </w:t>
      </w:r>
      <w:r w:rsidRPr="00AB712F">
        <w:lastRenderedPageBreak/>
        <w:t>have sight of the results of the consultation, which the WB team acknowledged was a missed opportunity for further technical input. Equally, involving WB gender specialists could have strengthened the effectiveness of this activity, over and above the insights provided by the WB consultant who was a cycling advocate and provided access to her extensive network of cycling organisations.</w:t>
      </w:r>
      <w:r w:rsidRPr="00FE3E83">
        <w:t xml:space="preserve"> </w:t>
      </w:r>
    </w:p>
    <w:p w14:paraId="015CDA45" w14:textId="27C8AE6A" w:rsidR="00FE3E83" w:rsidRPr="00FE3E83" w:rsidRDefault="00FE3E83" w:rsidP="00FE3E83">
      <w:r w:rsidRPr="00FE3E83">
        <w:t>Despite the absence of input</w:t>
      </w:r>
      <w:r w:rsidRPr="00FE3E83" w:rsidDel="00D460A9">
        <w:t xml:space="preserve"> </w:t>
      </w:r>
      <w:r w:rsidR="00D460A9" w:rsidRPr="00FE3E83">
        <w:t>f</w:t>
      </w:r>
      <w:r w:rsidR="00D460A9">
        <w:t>ro</w:t>
      </w:r>
      <w:r w:rsidR="00D460A9" w:rsidRPr="00FE3E83">
        <w:t xml:space="preserve">m </w:t>
      </w:r>
      <w:r w:rsidRPr="00FE3E83">
        <w:t xml:space="preserve">the WB Gender team, the project conducted a good analysis of GESI issues, such as examining how gender is relevant to active transport choices and </w:t>
      </w:r>
      <w:r w:rsidR="00D45897" w:rsidRPr="00FE3E83">
        <w:t>consult</w:t>
      </w:r>
      <w:r w:rsidR="00D45897">
        <w:t>ing</w:t>
      </w:r>
      <w:r w:rsidR="00D45897" w:rsidRPr="00FE3E83">
        <w:t xml:space="preserve"> </w:t>
      </w:r>
      <w:r w:rsidRPr="00FE3E83">
        <w:t>with a diversity of stakeholder groups</w:t>
      </w:r>
      <w:r w:rsidR="00370B5A">
        <w:t>,</w:t>
      </w:r>
      <w:r w:rsidRPr="00FE3E83">
        <w:t xml:space="preserve"> including a network of persons with disabilities. The WB team noted the importance of consulting </w:t>
      </w:r>
      <w:r w:rsidR="00370B5A">
        <w:t>“</w:t>
      </w:r>
      <w:r w:rsidRPr="00FE3E83">
        <w:t>with the community on design standards and guidelines to ensure the built infrastructure will be safe for all users, particularly the more vulnerable groups</w:t>
      </w:r>
      <w:r w:rsidR="00814B88">
        <w:t>”.</w:t>
      </w:r>
      <w:r w:rsidRPr="00FE3E83">
        <w:rPr>
          <w:vertAlign w:val="superscript"/>
        </w:rPr>
        <w:footnoteReference w:id="23"/>
      </w:r>
      <w:r w:rsidRPr="00FE3E83">
        <w:t xml:space="preserve"> </w:t>
      </w:r>
      <w:r w:rsidRPr="00AB712F">
        <w:t xml:space="preserve">While this is a strength of the project, the analysis could have gained greater understanding of any differences in perceptions of transport modes based on gender or disability if the online </w:t>
      </w:r>
      <w:r w:rsidR="00CB1B4F">
        <w:t>“</w:t>
      </w:r>
      <w:r w:rsidRPr="00AB712F">
        <w:t>Perception Survey</w:t>
      </w:r>
      <w:r w:rsidR="00CB1B4F">
        <w:t>”</w:t>
      </w:r>
      <w:r w:rsidRPr="00AB712F">
        <w:t xml:space="preserve"> had disaggregated responses. Additionally, the approach seemed to focus on safeguarding rather than seeking opportunities for the active transport to benefit these groups, such as how the design could accommodate the different needs of PWD</w:t>
      </w:r>
      <w:r w:rsidR="009E6D46" w:rsidRPr="00AB712F">
        <w:t>s</w:t>
      </w:r>
      <w:r w:rsidRPr="00AB712F">
        <w:t xml:space="preserve"> in a way that would enable them to enjoy similar benefits from the bike lanes as other people.</w:t>
      </w:r>
      <w:r w:rsidRPr="00AB712F">
        <w:rPr>
          <w:vertAlign w:val="superscript"/>
        </w:rPr>
        <w:footnoteReference w:id="24"/>
      </w:r>
      <w:r w:rsidRPr="00AB712F">
        <w:t xml:space="preserve"> The drawback of viewing active transport through a safeguarding lens (instead of looking for opportunities for empowerment), is that it leads to framing errors. For example, it is incorrect to describe women cyclists as a </w:t>
      </w:r>
      <w:r w:rsidR="001F3AD3">
        <w:t>“</w:t>
      </w:r>
      <w:r w:rsidRPr="00AB712F">
        <w:t>vulnerable</w:t>
      </w:r>
      <w:r w:rsidR="001F3AD3">
        <w:t>”</w:t>
      </w:r>
      <w:r w:rsidRPr="00AB712F">
        <w:t xml:space="preserve"> group along with children and the elderly, when there is no meaningful gender-based difference between the vulnerability of men and women using bicycle lanes.</w:t>
      </w:r>
    </w:p>
    <w:p w14:paraId="23E965C1" w14:textId="009EA0EE" w:rsidR="00FE3E83" w:rsidRPr="00FE3E83" w:rsidRDefault="00FE3E83" w:rsidP="00FE3E83">
      <w:r w:rsidRPr="00FE3E83">
        <w:t xml:space="preserve">The WB team reported that </w:t>
      </w:r>
      <w:proofErr w:type="spellStart"/>
      <w:r w:rsidRPr="00FE3E83">
        <w:t>DOT</w:t>
      </w:r>
      <w:r w:rsidR="00A8546C">
        <w:t>r</w:t>
      </w:r>
      <w:proofErr w:type="spellEnd"/>
      <w:r w:rsidRPr="00FE3E83">
        <w:t xml:space="preserve"> was fully on board with research findings and recommendations but DPWH, the </w:t>
      </w:r>
      <w:r w:rsidR="00B456DD">
        <w:t>agency</w:t>
      </w:r>
      <w:r w:rsidRPr="00FE3E83">
        <w:t xml:space="preserve"> responsible for the design and construction, did not engage with the WB except to attend one or two meetings. </w:t>
      </w:r>
      <w:r w:rsidRPr="00AB712F">
        <w:t xml:space="preserve">When the WB team presented the results of the technical survey to DOTR, they agreed that many aspects of the bicycle lane construction needed to be improved. However, by this time the civil works contract procurement was already at an advanced stage so there was less flexibility to revise designs based on the </w:t>
      </w:r>
      <w:proofErr w:type="spellStart"/>
      <w:r w:rsidR="007628AF">
        <w:t>AGaP</w:t>
      </w:r>
      <w:proofErr w:type="spellEnd"/>
      <w:r w:rsidRPr="00AB712F">
        <w:t>-funded safety audit. This was a missed opportunity</w:t>
      </w:r>
      <w:r w:rsidRPr="00AB712F" w:rsidDel="007E66C7">
        <w:t xml:space="preserve">. </w:t>
      </w:r>
      <w:r w:rsidRPr="00AB712F">
        <w:t xml:space="preserve">However, as the </w:t>
      </w:r>
      <w:proofErr w:type="spellStart"/>
      <w:r w:rsidRPr="00AB712F">
        <w:t>DOT</w:t>
      </w:r>
      <w:r w:rsidR="00A8546C" w:rsidRPr="00AB712F">
        <w:t>r</w:t>
      </w:r>
      <w:proofErr w:type="spellEnd"/>
      <w:r w:rsidRPr="00AB712F">
        <w:t xml:space="preserve"> has a plan to roll out active transport to other parts of the country, the technical input will be useful in </w:t>
      </w:r>
      <w:r w:rsidR="00B456DD">
        <w:t xml:space="preserve">the </w:t>
      </w:r>
      <w:r w:rsidRPr="00AB712F">
        <w:t>future</w:t>
      </w:r>
      <w:r w:rsidRPr="00FE3E83">
        <w:t xml:space="preserve">. For example, </w:t>
      </w:r>
      <w:proofErr w:type="spellStart"/>
      <w:r w:rsidRPr="00FE3E83">
        <w:t>DOT</w:t>
      </w:r>
      <w:r w:rsidR="00A8546C">
        <w:t>r</w:t>
      </w:r>
      <w:proofErr w:type="spellEnd"/>
      <w:r w:rsidRPr="00FE3E83">
        <w:t xml:space="preserve"> has secured additional funds to further improve connections to local government units, presenting an opportunity to ensure </w:t>
      </w:r>
      <w:r w:rsidR="00B456DD">
        <w:t xml:space="preserve">that these </w:t>
      </w:r>
      <w:r w:rsidRPr="00FE3E83">
        <w:t xml:space="preserve">designs include the </w:t>
      </w:r>
      <w:proofErr w:type="spellStart"/>
      <w:r w:rsidR="007628AF">
        <w:t>AGaP</w:t>
      </w:r>
      <w:proofErr w:type="spellEnd"/>
      <w:r w:rsidR="00B456DD">
        <w:t xml:space="preserve"> </w:t>
      </w:r>
      <w:r w:rsidRPr="00FE3E83">
        <w:t xml:space="preserve">supported recommendations. </w:t>
      </w:r>
    </w:p>
    <w:p w14:paraId="0947E1FF" w14:textId="440B9AB8" w:rsidR="00FE3E83" w:rsidRPr="00FE3E83" w:rsidRDefault="00FE3E83" w:rsidP="00FE3E83">
      <w:r w:rsidRPr="00AB712F">
        <w:t xml:space="preserve">The limited scope of </w:t>
      </w:r>
      <w:r w:rsidR="00E61C1C">
        <w:t>project</w:t>
      </w:r>
      <w:r w:rsidRPr="00AB712F">
        <w:t xml:space="preserve"> may be partly due to the small budget. The WB team reported that</w:t>
      </w:r>
      <w:r w:rsidR="00107724">
        <w:t xml:space="preserve"> “</w:t>
      </w:r>
      <w:r w:rsidRPr="00AB712F">
        <w:t>the project team only received $50k which is not sufficient for the intended support on active transport development</w:t>
      </w:r>
      <w:r w:rsidR="00107724">
        <w:t>”.</w:t>
      </w:r>
      <w:r w:rsidRPr="00FE3E83">
        <w:rPr>
          <w:vertAlign w:val="superscript"/>
        </w:rPr>
        <w:footnoteReference w:id="25"/>
      </w:r>
      <w:r w:rsidRPr="00FE3E83">
        <w:t xml:space="preserve"> The </w:t>
      </w:r>
      <w:proofErr w:type="spellStart"/>
      <w:r w:rsidR="007628AF">
        <w:t>AGaP</w:t>
      </w:r>
      <w:proofErr w:type="spellEnd"/>
      <w:r w:rsidRPr="00FE3E83">
        <w:t xml:space="preserve"> grant was initially 50</w:t>
      </w:r>
      <w:r w:rsidR="0018665B">
        <w:t xml:space="preserve"> percent</w:t>
      </w:r>
      <w:r w:rsidR="0018665B" w:rsidRPr="00FE3E83">
        <w:t xml:space="preserve"> </w:t>
      </w:r>
      <w:r w:rsidRPr="00FE3E83">
        <w:t xml:space="preserve">of the budget (the other $50k was funded by Bloomberg Road Safety TF). However, this was insufficient and the team </w:t>
      </w:r>
      <w:r w:rsidR="00107724">
        <w:t>“</w:t>
      </w:r>
      <w:r w:rsidRPr="00FE3E83">
        <w:t>sought additional resources from the WB GRSF and Bloomberg Road Safety TF, plus additional resources received from the Netherlands Embassy</w:t>
      </w:r>
      <w:r w:rsidR="00107724">
        <w:t>”.</w:t>
      </w:r>
      <w:r w:rsidRPr="00FE3E83">
        <w:t xml:space="preserve">  </w:t>
      </w:r>
      <w:r w:rsidRPr="00AB712F">
        <w:t>Therefore, the attribution of the impact of this grant needs to be tempered by acknowledging the essential contribution from other donors</w:t>
      </w:r>
      <w:r w:rsidRPr="00AB712F" w:rsidDel="007E66C7">
        <w:t>.</w:t>
      </w:r>
      <w:r w:rsidRPr="00FE3E83" w:rsidDel="007E66C7">
        <w:t xml:space="preserve"> </w:t>
      </w:r>
      <w:r w:rsidRPr="00FE3E83">
        <w:t xml:space="preserve">However, the technical inputs marshalled by WB were appropriate and well-received, providing a credible foundation that invited close collaboration with the other donors and ongoing good relationships with </w:t>
      </w:r>
      <w:proofErr w:type="spellStart"/>
      <w:r w:rsidRPr="00FE3E83">
        <w:t>GoP</w:t>
      </w:r>
      <w:proofErr w:type="spellEnd"/>
      <w:r w:rsidRPr="00FE3E83">
        <w:t xml:space="preserve"> counterparts.</w:t>
      </w:r>
    </w:p>
    <w:p w14:paraId="25B5B5E0" w14:textId="77777777" w:rsidR="00FE3E83" w:rsidRPr="00FE3E83" w:rsidRDefault="00FE3E83" w:rsidP="00FE3E83"/>
    <w:p w14:paraId="4ED1A78E" w14:textId="242AC3C0" w:rsidR="004F1D23" w:rsidRDefault="003B38E1" w:rsidP="00E03DD0">
      <w:pPr>
        <w:pStyle w:val="Heading2"/>
      </w:pPr>
      <w:bookmarkStart w:id="21" w:name="_Toc125560009"/>
      <w:r w:rsidRPr="006B5349">
        <w:lastRenderedPageBreak/>
        <w:t>G</w:t>
      </w:r>
      <w:r>
        <w:t>ender equality</w:t>
      </w:r>
      <w:bookmarkEnd w:id="21"/>
    </w:p>
    <w:p w14:paraId="58730957" w14:textId="77777777" w:rsidR="000D737F" w:rsidRPr="00547DC5" w:rsidRDefault="000D737F" w:rsidP="000D737F">
      <w:pPr>
        <w:rPr>
          <w:color w:val="000000" w:themeColor="text1"/>
          <w:lang w:val="en"/>
        </w:rPr>
      </w:pPr>
      <w:r w:rsidRPr="00547DC5">
        <w:rPr>
          <w:color w:val="000000" w:themeColor="text1"/>
          <w:lang w:val="en"/>
        </w:rPr>
        <w:t>Key findings:</w:t>
      </w:r>
    </w:p>
    <w:p w14:paraId="503A393A" w14:textId="46DF2C30" w:rsidR="000D737F" w:rsidRPr="00547DC5" w:rsidRDefault="000D737F" w:rsidP="0089441D">
      <w:pPr>
        <w:numPr>
          <w:ilvl w:val="0"/>
          <w:numId w:val="16"/>
        </w:numPr>
        <w:rPr>
          <w:color w:val="000000" w:themeColor="text1"/>
          <w:lang w:val="en"/>
        </w:rPr>
      </w:pPr>
      <w:r w:rsidRPr="00547DC5">
        <w:rPr>
          <w:color w:val="000000" w:themeColor="text1"/>
          <w:lang w:val="en"/>
        </w:rPr>
        <w:t xml:space="preserve">The evidence of effective gender mainstreaming across the </w:t>
      </w:r>
      <w:proofErr w:type="spellStart"/>
      <w:r w:rsidR="007628AF">
        <w:rPr>
          <w:color w:val="000000" w:themeColor="text1"/>
          <w:lang w:val="en"/>
        </w:rPr>
        <w:t>AGaP</w:t>
      </w:r>
      <w:proofErr w:type="spellEnd"/>
      <w:r w:rsidRPr="00547DC5">
        <w:rPr>
          <w:color w:val="000000" w:themeColor="text1"/>
          <w:lang w:val="en"/>
        </w:rPr>
        <w:t xml:space="preserve"> grants is mixed.</w:t>
      </w:r>
      <w:r w:rsidR="00637309" w:rsidRPr="00547DC5">
        <w:rPr>
          <w:color w:val="000000" w:themeColor="text1"/>
          <w:lang w:val="en"/>
        </w:rPr>
        <w:t xml:space="preserve"> For example, gender equality and women’s economic empowerment is absent from the DPL progress reports.</w:t>
      </w:r>
    </w:p>
    <w:p w14:paraId="64B2521D" w14:textId="1AED322F" w:rsidR="000D737F" w:rsidRPr="00547DC5" w:rsidRDefault="000D737F" w:rsidP="0089441D">
      <w:pPr>
        <w:numPr>
          <w:ilvl w:val="0"/>
          <w:numId w:val="16"/>
        </w:numPr>
        <w:rPr>
          <w:color w:val="000000" w:themeColor="text1"/>
          <w:lang w:val="en"/>
        </w:rPr>
      </w:pPr>
      <w:r w:rsidRPr="00547DC5">
        <w:rPr>
          <w:color w:val="000000" w:themeColor="text1"/>
          <w:lang w:val="en"/>
        </w:rPr>
        <w:t xml:space="preserve">Sharing of good practices across DFAT-funded World Bank TFs contributed to </w:t>
      </w:r>
      <w:proofErr w:type="spellStart"/>
      <w:r w:rsidR="007628AF">
        <w:rPr>
          <w:color w:val="000000" w:themeColor="text1"/>
          <w:lang w:val="en"/>
        </w:rPr>
        <w:t>AGaP</w:t>
      </w:r>
      <w:proofErr w:type="spellEnd"/>
      <w:r w:rsidRPr="00547DC5">
        <w:rPr>
          <w:color w:val="000000" w:themeColor="text1"/>
          <w:lang w:val="en"/>
        </w:rPr>
        <w:t xml:space="preserve"> having a dedicated gender grant. </w:t>
      </w:r>
    </w:p>
    <w:p w14:paraId="28051FE4" w14:textId="17EC2EB0" w:rsidR="000D737F" w:rsidRPr="000D737F" w:rsidRDefault="000D737F" w:rsidP="000D737F">
      <w:pPr>
        <w:rPr>
          <w:lang w:val="en"/>
        </w:rPr>
      </w:pPr>
      <w:r w:rsidRPr="000D737F">
        <w:rPr>
          <w:lang w:val="en"/>
        </w:rPr>
        <w:t xml:space="preserve">Gender equality was integrated in the design of AMPED, consistent with both DFAT policy and the mainstreaming approach adopted by </w:t>
      </w:r>
      <w:r w:rsidR="00CB2414">
        <w:rPr>
          <w:lang w:val="en"/>
        </w:rPr>
        <w:t xml:space="preserve">the </w:t>
      </w:r>
      <w:r w:rsidRPr="000D737F">
        <w:rPr>
          <w:lang w:val="en"/>
        </w:rPr>
        <w:t>World Bank Group Gender Strategy 2016-2023. Thus, while there is no specific investment-level gender equality objective for AMPED, projects may have specific gender-related objectives</w:t>
      </w:r>
      <w:r w:rsidRPr="000D737F" w:rsidDel="007E66C7">
        <w:rPr>
          <w:lang w:val="en"/>
        </w:rPr>
        <w:t xml:space="preserve">. </w:t>
      </w:r>
      <w:r w:rsidRPr="000D737F">
        <w:rPr>
          <w:lang w:val="en"/>
        </w:rPr>
        <w:t>DFAT expected WB to apply</w:t>
      </w:r>
      <w:r w:rsidRPr="000D737F" w:rsidDel="00C05B7B">
        <w:rPr>
          <w:lang w:val="en"/>
        </w:rPr>
        <w:t xml:space="preserve"> </w:t>
      </w:r>
      <w:r w:rsidR="00C05B7B">
        <w:rPr>
          <w:lang w:val="en"/>
        </w:rPr>
        <w:t>its</w:t>
      </w:r>
      <w:r w:rsidR="00C05B7B" w:rsidRPr="000D737F">
        <w:rPr>
          <w:lang w:val="en"/>
        </w:rPr>
        <w:t xml:space="preserve"> </w:t>
      </w:r>
      <w:r w:rsidRPr="000D737F">
        <w:rPr>
          <w:lang w:val="en"/>
        </w:rPr>
        <w:t>own gender action plans and strategies to the respective AMPED-funded projects and the activity M&amp;E frameworks.</w:t>
      </w:r>
      <w:r w:rsidRPr="000D737F">
        <w:rPr>
          <w:vertAlign w:val="superscript"/>
          <w:lang w:val="en"/>
        </w:rPr>
        <w:footnoteReference w:id="26"/>
      </w:r>
    </w:p>
    <w:p w14:paraId="67A5433F" w14:textId="10FBA139" w:rsidR="000D737F" w:rsidRPr="000D737F" w:rsidRDefault="000D737F" w:rsidP="000D737F">
      <w:pPr>
        <w:rPr>
          <w:lang w:val="en"/>
        </w:rPr>
      </w:pPr>
      <w:r w:rsidRPr="00AB712F">
        <w:rPr>
          <w:lang w:val="en"/>
        </w:rPr>
        <w:t xml:space="preserve">However, the concept note for </w:t>
      </w:r>
      <w:proofErr w:type="spellStart"/>
      <w:r w:rsidR="007628AF">
        <w:rPr>
          <w:lang w:val="en"/>
        </w:rPr>
        <w:t>AGaP</w:t>
      </w:r>
      <w:proofErr w:type="spellEnd"/>
      <w:r w:rsidRPr="00AB712F">
        <w:rPr>
          <w:lang w:val="en"/>
        </w:rPr>
        <w:t xml:space="preserve"> did not include any reference to gender equality or women’s economic empowerment.</w:t>
      </w:r>
      <w:r w:rsidRPr="00AB712F">
        <w:rPr>
          <w:vertAlign w:val="superscript"/>
          <w:lang w:val="en"/>
        </w:rPr>
        <w:footnoteReference w:id="27"/>
      </w:r>
      <w:r w:rsidRPr="00AB712F">
        <w:rPr>
          <w:lang w:val="en"/>
        </w:rPr>
        <w:t xml:space="preserve"> Furthermore, the </w:t>
      </w:r>
      <w:proofErr w:type="spellStart"/>
      <w:r w:rsidR="007628AF">
        <w:rPr>
          <w:lang w:val="en"/>
        </w:rPr>
        <w:t>AGaP</w:t>
      </w:r>
      <w:proofErr w:type="spellEnd"/>
      <w:r w:rsidRPr="00AB712F">
        <w:rPr>
          <w:lang w:val="en"/>
        </w:rPr>
        <w:t xml:space="preserve"> results framework does not include any goals or indicators relating to gender, nor is there any reference to measuring gender equality indicators in the annual progress report template.</w:t>
      </w:r>
      <w:r w:rsidRPr="00AB712F">
        <w:rPr>
          <w:vertAlign w:val="superscript"/>
          <w:lang w:val="en"/>
        </w:rPr>
        <w:footnoteReference w:id="28"/>
      </w:r>
      <w:r w:rsidRPr="000D737F">
        <w:rPr>
          <w:lang w:val="en"/>
        </w:rPr>
        <w:t xml:space="preserve"> Nonetheless, the </w:t>
      </w:r>
      <w:proofErr w:type="spellStart"/>
      <w:r w:rsidR="007628AF">
        <w:rPr>
          <w:lang w:val="en"/>
        </w:rPr>
        <w:t>AGaP</w:t>
      </w:r>
      <w:proofErr w:type="spellEnd"/>
      <w:r w:rsidRPr="000D737F">
        <w:rPr>
          <w:lang w:val="en"/>
        </w:rPr>
        <w:t xml:space="preserve"> grant proposal templates included a specific section on how the project identified and would address gender issues as a cross-cutting theme; and how their </w:t>
      </w:r>
      <w:proofErr w:type="spellStart"/>
      <w:r w:rsidRPr="000D737F">
        <w:rPr>
          <w:lang w:val="en"/>
        </w:rPr>
        <w:t>GoP</w:t>
      </w:r>
      <w:proofErr w:type="spellEnd"/>
      <w:r w:rsidRPr="000D737F">
        <w:rPr>
          <w:lang w:val="en"/>
        </w:rPr>
        <w:t xml:space="preserve"> partner institutions would be enabled to pursue gender mainstreaming. </w:t>
      </w:r>
    </w:p>
    <w:p w14:paraId="4A11A46C" w14:textId="729D6C34" w:rsidR="000D737F" w:rsidRPr="000D737F" w:rsidRDefault="007628AF" w:rsidP="000D737F">
      <w:pPr>
        <w:rPr>
          <w:lang w:val="en"/>
        </w:rPr>
      </w:pPr>
      <w:proofErr w:type="spellStart"/>
      <w:r>
        <w:rPr>
          <w:lang w:val="en"/>
        </w:rPr>
        <w:t>AGaP</w:t>
      </w:r>
      <w:proofErr w:type="spellEnd"/>
      <w:r w:rsidR="000D737F" w:rsidRPr="000D737F">
        <w:rPr>
          <w:lang w:val="en"/>
        </w:rPr>
        <w:t xml:space="preserve"> did approve a grant dedicated to women’s economic empowerment, which is discussed in the </w:t>
      </w:r>
      <w:r w:rsidR="00633C7A">
        <w:rPr>
          <w:lang w:val="en"/>
        </w:rPr>
        <w:t>E</w:t>
      </w:r>
      <w:r w:rsidR="000D737F" w:rsidRPr="000D737F">
        <w:rPr>
          <w:lang w:val="en"/>
        </w:rPr>
        <w:t>ffectiveness</w:t>
      </w:r>
      <w:r w:rsidR="00633C7A">
        <w:rPr>
          <w:lang w:val="en"/>
        </w:rPr>
        <w:t xml:space="preserve"> </w:t>
      </w:r>
      <w:r w:rsidR="000D737F" w:rsidRPr="000D737F">
        <w:rPr>
          <w:lang w:val="en"/>
        </w:rPr>
        <w:t>section of this report</w:t>
      </w:r>
      <w:r w:rsidR="000D737F" w:rsidRPr="000D737F" w:rsidDel="007E66C7">
        <w:rPr>
          <w:lang w:val="en"/>
        </w:rPr>
        <w:t xml:space="preserve">. </w:t>
      </w:r>
      <w:r w:rsidR="000D737F" w:rsidRPr="000D737F">
        <w:rPr>
          <w:lang w:val="en"/>
        </w:rPr>
        <w:t xml:space="preserve">The aims of this grant were well </w:t>
      </w:r>
      <w:r w:rsidR="00610780" w:rsidRPr="000D737F">
        <w:rPr>
          <w:lang w:val="en"/>
        </w:rPr>
        <w:t>aligned with</w:t>
      </w:r>
      <w:r w:rsidR="000D737F" w:rsidRPr="000D737F">
        <w:rPr>
          <w:lang w:val="en"/>
        </w:rPr>
        <w:t xml:space="preserve"> the Philippines’ strategic development priorities of inclusive and sustainable economic </w:t>
      </w:r>
      <w:r w:rsidR="00D45897" w:rsidRPr="000D737F">
        <w:rPr>
          <w:lang w:val="en"/>
        </w:rPr>
        <w:t>growth and</w:t>
      </w:r>
      <w:r w:rsidR="000D737F" w:rsidRPr="000D737F">
        <w:rPr>
          <w:lang w:val="en"/>
        </w:rPr>
        <w:t xml:space="preserve"> strengthening human capital. However, it is important that gender is also mainstreamed across other grants, otherwise there is a risk that the gender-related activities are not connected to the broader development aims of both </w:t>
      </w:r>
      <w:proofErr w:type="spellStart"/>
      <w:r>
        <w:rPr>
          <w:lang w:val="en"/>
        </w:rPr>
        <w:t>AGaP</w:t>
      </w:r>
      <w:proofErr w:type="spellEnd"/>
      <w:r w:rsidR="000D737F" w:rsidRPr="000D737F">
        <w:rPr>
          <w:lang w:val="en"/>
        </w:rPr>
        <w:t xml:space="preserve"> and AMPED.</w:t>
      </w:r>
    </w:p>
    <w:p w14:paraId="21DDA997" w14:textId="6A331D43" w:rsidR="000D737F" w:rsidRPr="000D737F" w:rsidRDefault="000D737F" w:rsidP="000D737F">
      <w:pPr>
        <w:rPr>
          <w:lang w:val="en"/>
        </w:rPr>
      </w:pPr>
      <w:r w:rsidRPr="00AB712F">
        <w:rPr>
          <w:lang w:val="en"/>
        </w:rPr>
        <w:t xml:space="preserve">In interviews for this evaluation, DFAT staff explained how they consistently raised with Bank counterparts the need for </w:t>
      </w:r>
      <w:proofErr w:type="spellStart"/>
      <w:r w:rsidR="007628AF">
        <w:rPr>
          <w:lang w:val="en"/>
        </w:rPr>
        <w:t>AGaP</w:t>
      </w:r>
      <w:proofErr w:type="spellEnd"/>
      <w:r w:rsidRPr="00AB712F">
        <w:rPr>
          <w:lang w:val="en"/>
        </w:rPr>
        <w:t xml:space="preserve"> to focus more on mainstreaming gender equality and women’s economic empowerment themes.</w:t>
      </w:r>
      <w:r w:rsidRPr="000D737F">
        <w:rPr>
          <w:lang w:val="en"/>
        </w:rPr>
        <w:t xml:space="preserve"> The December 2020 SC meeting is the first reference to gender in minutes from the formal governance structures, in which an extension of the WEE grant was agreed (in</w:t>
      </w:r>
      <w:r w:rsidR="00903E6C">
        <w:rPr>
          <w:lang w:val="en"/>
        </w:rPr>
        <w:t xml:space="preserve"> </w:t>
      </w:r>
      <w:r w:rsidRPr="000D737F">
        <w:rPr>
          <w:lang w:val="en"/>
        </w:rPr>
        <w:t xml:space="preserve">principle), noting the possibility of an </w:t>
      </w:r>
      <w:r w:rsidR="00903E6C">
        <w:rPr>
          <w:lang w:val="en"/>
        </w:rPr>
        <w:t>“</w:t>
      </w:r>
      <w:r w:rsidRPr="000D737F">
        <w:rPr>
          <w:lang w:val="en"/>
        </w:rPr>
        <w:t>increase in funding for additional gender activities</w:t>
      </w:r>
      <w:r w:rsidR="00903E6C">
        <w:rPr>
          <w:lang w:val="en"/>
        </w:rPr>
        <w:t>”.</w:t>
      </w:r>
      <w:r w:rsidRPr="000D737F">
        <w:rPr>
          <w:vertAlign w:val="superscript"/>
          <w:lang w:val="en"/>
        </w:rPr>
        <w:footnoteReference w:id="29"/>
      </w:r>
      <w:r w:rsidRPr="000D737F">
        <w:rPr>
          <w:lang w:val="en"/>
        </w:rPr>
        <w:t xml:space="preserve">  </w:t>
      </w:r>
      <w:r w:rsidRPr="00AB712F">
        <w:rPr>
          <w:lang w:val="en"/>
        </w:rPr>
        <w:t xml:space="preserve">The Operations Committee in September 2021 called for </w:t>
      </w:r>
      <w:proofErr w:type="spellStart"/>
      <w:r w:rsidR="007628AF">
        <w:rPr>
          <w:lang w:val="en"/>
        </w:rPr>
        <w:t>AGaP</w:t>
      </w:r>
      <w:proofErr w:type="spellEnd"/>
      <w:r w:rsidRPr="00AB712F">
        <w:rPr>
          <w:lang w:val="en"/>
        </w:rPr>
        <w:t xml:space="preserve"> to apply resources to </w:t>
      </w:r>
      <w:r w:rsidR="00903E6C">
        <w:rPr>
          <w:lang w:val="en"/>
        </w:rPr>
        <w:t>“</w:t>
      </w:r>
      <w:r w:rsidRPr="00AB712F">
        <w:rPr>
          <w:lang w:val="en"/>
        </w:rPr>
        <w:t>further work on gender</w:t>
      </w:r>
      <w:r w:rsidR="00903E6C">
        <w:rPr>
          <w:lang w:val="en"/>
        </w:rPr>
        <w:t xml:space="preserve">” </w:t>
      </w:r>
      <w:r w:rsidRPr="00AB712F">
        <w:rPr>
          <w:lang w:val="en"/>
        </w:rPr>
        <w:t xml:space="preserve">as a priority for programming remaining </w:t>
      </w:r>
      <w:proofErr w:type="spellStart"/>
      <w:r w:rsidR="007628AF">
        <w:rPr>
          <w:lang w:val="en"/>
        </w:rPr>
        <w:t>AGaP</w:t>
      </w:r>
      <w:proofErr w:type="spellEnd"/>
      <w:r w:rsidRPr="00AB712F">
        <w:rPr>
          <w:lang w:val="en"/>
        </w:rPr>
        <w:t xml:space="preserve"> resources.</w:t>
      </w:r>
      <w:r w:rsidRPr="00AB712F">
        <w:rPr>
          <w:vertAlign w:val="superscript"/>
          <w:lang w:val="en"/>
        </w:rPr>
        <w:footnoteReference w:id="30"/>
      </w:r>
      <w:r w:rsidRPr="00AB712F">
        <w:rPr>
          <w:lang w:val="en"/>
        </w:rPr>
        <w:t xml:space="preserve">  It</w:t>
      </w:r>
      <w:r w:rsidR="00A601D4" w:rsidRPr="00AB712F">
        <w:rPr>
          <w:lang w:val="en"/>
        </w:rPr>
        <w:t xml:space="preserve"> i</w:t>
      </w:r>
      <w:r w:rsidRPr="00AB712F">
        <w:rPr>
          <w:lang w:val="en"/>
        </w:rPr>
        <w:t>s not clear whether this referred to work under the WEE grant and/or broader gender equality mainstreaming.</w:t>
      </w:r>
    </w:p>
    <w:p w14:paraId="4FBFBDFA" w14:textId="4E35E70B" w:rsidR="000D737F" w:rsidRPr="00BB07E0" w:rsidRDefault="00DF7998" w:rsidP="000D737F">
      <w:r w:rsidRPr="00DF7998">
        <w:t>Women and girls have been disproportionately disadvantaged by the impacts of COVID-19</w:t>
      </w:r>
      <w:r w:rsidR="006B1B27">
        <w:t xml:space="preserve">, and this </w:t>
      </w:r>
      <w:r w:rsidR="000D737F" w:rsidRPr="000D737F">
        <w:rPr>
          <w:lang w:val="en"/>
        </w:rPr>
        <w:t xml:space="preserve">brought attention to gender equality issues to which </w:t>
      </w:r>
      <w:proofErr w:type="spellStart"/>
      <w:r w:rsidR="007628AF">
        <w:rPr>
          <w:lang w:val="en"/>
        </w:rPr>
        <w:t>AGaP</w:t>
      </w:r>
      <w:proofErr w:type="spellEnd"/>
      <w:r w:rsidR="000D737F" w:rsidRPr="000D737F">
        <w:rPr>
          <w:lang w:val="en"/>
        </w:rPr>
        <w:t xml:space="preserve"> needed to respond. The program did so in </w:t>
      </w:r>
      <w:r w:rsidR="00DB0D8A" w:rsidRPr="000D737F">
        <w:rPr>
          <w:lang w:val="en"/>
        </w:rPr>
        <w:t>several</w:t>
      </w:r>
      <w:r w:rsidR="000D737F" w:rsidRPr="000D737F">
        <w:rPr>
          <w:lang w:val="en"/>
        </w:rPr>
        <w:t xml:space="preserve"> ways</w:t>
      </w:r>
      <w:r w:rsidR="00CE33B2">
        <w:rPr>
          <w:lang w:val="en"/>
        </w:rPr>
        <w:t>. F</w:t>
      </w:r>
      <w:r w:rsidR="000D737F" w:rsidRPr="000D737F">
        <w:rPr>
          <w:lang w:val="en"/>
        </w:rPr>
        <w:t xml:space="preserve">or example, the activities under the post COVID-19 Active Transport Development in Metro Manila grant included </w:t>
      </w:r>
      <w:r w:rsidR="00292AB2">
        <w:rPr>
          <w:lang w:val="en"/>
        </w:rPr>
        <w:t xml:space="preserve">some </w:t>
      </w:r>
      <w:r w:rsidR="007E5FC7">
        <w:rPr>
          <w:lang w:val="en"/>
        </w:rPr>
        <w:t xml:space="preserve">insights on </w:t>
      </w:r>
      <w:r w:rsidR="000D737F" w:rsidRPr="000D737F">
        <w:rPr>
          <w:lang w:val="en"/>
        </w:rPr>
        <w:t xml:space="preserve">gender. Based on progress reports and interviews with teams, the data and evidence generated from analyses supported by </w:t>
      </w:r>
      <w:proofErr w:type="spellStart"/>
      <w:r w:rsidR="007628AF">
        <w:rPr>
          <w:lang w:val="en"/>
        </w:rPr>
        <w:t>AGaP</w:t>
      </w:r>
      <w:proofErr w:type="spellEnd"/>
      <w:r w:rsidR="000D737F" w:rsidRPr="000D737F">
        <w:rPr>
          <w:lang w:val="en"/>
        </w:rPr>
        <w:t xml:space="preserve"> informed the </w:t>
      </w:r>
      <w:r w:rsidR="00B36E5E">
        <w:rPr>
          <w:lang w:val="en"/>
        </w:rPr>
        <w:t>g</w:t>
      </w:r>
      <w:r w:rsidR="000D737F" w:rsidRPr="000D737F">
        <w:rPr>
          <w:lang w:val="en"/>
        </w:rPr>
        <w:t xml:space="preserve">overnment response and recovery </w:t>
      </w:r>
      <w:r w:rsidR="00B36E5E">
        <w:rPr>
          <w:lang w:val="en"/>
        </w:rPr>
        <w:t xml:space="preserve">efforts </w:t>
      </w:r>
      <w:r w:rsidR="000D737F" w:rsidRPr="000D737F">
        <w:rPr>
          <w:lang w:val="en"/>
        </w:rPr>
        <w:t xml:space="preserve">of the </w:t>
      </w:r>
      <w:r w:rsidR="00357855">
        <w:rPr>
          <w:lang w:val="en"/>
        </w:rPr>
        <w:t>D</w:t>
      </w:r>
      <w:r w:rsidR="000D737F" w:rsidRPr="000D737F">
        <w:rPr>
          <w:lang w:val="en"/>
        </w:rPr>
        <w:t xml:space="preserve">epartment of Finance, </w:t>
      </w:r>
      <w:r w:rsidR="000D737F" w:rsidRPr="000D737F">
        <w:rPr>
          <w:lang w:val="en"/>
        </w:rPr>
        <w:lastRenderedPageBreak/>
        <w:t>National Economic and Development Authority, Department of Social Welfare and Development</w:t>
      </w:r>
      <w:r w:rsidR="00357855">
        <w:rPr>
          <w:lang w:val="en"/>
        </w:rPr>
        <w:t>,</w:t>
      </w:r>
      <w:r w:rsidR="000D737F" w:rsidRPr="000D737F">
        <w:rPr>
          <w:lang w:val="en"/>
        </w:rPr>
        <w:t xml:space="preserve"> and </w:t>
      </w:r>
      <w:r w:rsidR="00357855">
        <w:rPr>
          <w:lang w:val="en"/>
        </w:rPr>
        <w:t xml:space="preserve">Department </w:t>
      </w:r>
      <w:r w:rsidR="000D737F" w:rsidRPr="000D737F">
        <w:rPr>
          <w:lang w:val="en"/>
        </w:rPr>
        <w:t xml:space="preserve">of Health. The </w:t>
      </w:r>
      <w:r w:rsidR="00362625">
        <w:rPr>
          <w:lang w:val="en"/>
        </w:rPr>
        <w:t>evaluation team</w:t>
      </w:r>
      <w:r w:rsidR="000D737F" w:rsidRPr="000D737F">
        <w:rPr>
          <w:lang w:val="en"/>
        </w:rPr>
        <w:t xml:space="preserve"> was not able to meet </w:t>
      </w:r>
      <w:r w:rsidR="00B36E5E">
        <w:rPr>
          <w:lang w:val="en"/>
        </w:rPr>
        <w:t xml:space="preserve">with </w:t>
      </w:r>
      <w:r w:rsidR="000D737F" w:rsidRPr="000D737F">
        <w:rPr>
          <w:lang w:val="en"/>
        </w:rPr>
        <w:t xml:space="preserve">any </w:t>
      </w:r>
      <w:proofErr w:type="spellStart"/>
      <w:r w:rsidR="000D737F" w:rsidRPr="000D737F">
        <w:rPr>
          <w:lang w:val="en"/>
        </w:rPr>
        <w:t>GoP</w:t>
      </w:r>
      <w:proofErr w:type="spellEnd"/>
      <w:r w:rsidR="000D737F" w:rsidRPr="000D737F">
        <w:rPr>
          <w:lang w:val="en"/>
        </w:rPr>
        <w:t xml:space="preserve"> representatives to validate these findings. </w:t>
      </w:r>
    </w:p>
    <w:p w14:paraId="09E7FB89" w14:textId="3E795EF5" w:rsidR="000D737F" w:rsidRPr="000D737F" w:rsidRDefault="000D737F" w:rsidP="000D737F">
      <w:pPr>
        <w:rPr>
          <w:lang w:val="en"/>
        </w:rPr>
      </w:pPr>
      <w:r w:rsidRPr="000D737F">
        <w:rPr>
          <w:lang w:val="en"/>
        </w:rPr>
        <w:t xml:space="preserve">The evidence of </w:t>
      </w:r>
      <w:proofErr w:type="spellStart"/>
      <w:r w:rsidR="007628AF">
        <w:rPr>
          <w:lang w:val="en"/>
        </w:rPr>
        <w:t>AGaP</w:t>
      </w:r>
      <w:proofErr w:type="spellEnd"/>
      <w:r w:rsidRPr="000D737F">
        <w:rPr>
          <w:lang w:val="en"/>
        </w:rPr>
        <w:t xml:space="preserve"> advancing gender equality goals through the DPL and the subnational finance and decentralization grant is less clear. </w:t>
      </w:r>
      <w:r w:rsidRPr="00AB712F">
        <w:rPr>
          <w:lang w:val="en"/>
        </w:rPr>
        <w:t xml:space="preserve">In general, </w:t>
      </w:r>
      <w:r w:rsidRPr="00637309">
        <w:rPr>
          <w:lang w:val="en"/>
        </w:rPr>
        <w:t xml:space="preserve">gender equality and women’s economic empowerment is absent from the DPL progress reports, and it is unclear from the literature the extent to which the economic and social impact assessment of the implementation of </w:t>
      </w:r>
      <w:proofErr w:type="spellStart"/>
      <w:r w:rsidRPr="00637309">
        <w:rPr>
          <w:lang w:val="en"/>
        </w:rPr>
        <w:t>Mandanas</w:t>
      </w:r>
      <w:proofErr w:type="spellEnd"/>
      <w:r w:rsidRPr="00637309">
        <w:rPr>
          <w:lang w:val="en"/>
        </w:rPr>
        <w:t xml:space="preserve"> ruling included gender in the analysis.</w:t>
      </w:r>
      <w:r w:rsidRPr="000D737F">
        <w:rPr>
          <w:lang w:val="en"/>
        </w:rPr>
        <w:t xml:space="preserve"> </w:t>
      </w:r>
    </w:p>
    <w:p w14:paraId="23A976D6" w14:textId="487050E4" w:rsidR="000D737F" w:rsidRPr="000D737F" w:rsidRDefault="000D737F" w:rsidP="000D737F">
      <w:pPr>
        <w:rPr>
          <w:lang w:val="en"/>
        </w:rPr>
      </w:pPr>
      <w:r w:rsidRPr="000D737F">
        <w:rPr>
          <w:lang w:val="en"/>
        </w:rPr>
        <w:t xml:space="preserve">As detailed under the Effectiveness section, </w:t>
      </w:r>
      <w:proofErr w:type="spellStart"/>
      <w:r w:rsidR="007628AF">
        <w:rPr>
          <w:lang w:val="en"/>
        </w:rPr>
        <w:t>AGaP</w:t>
      </w:r>
      <w:proofErr w:type="spellEnd"/>
      <w:r w:rsidRPr="000D737F">
        <w:rPr>
          <w:lang w:val="en"/>
        </w:rPr>
        <w:t xml:space="preserve"> funding enabled more support to be provided to WB task teams to ensure</w:t>
      </w:r>
      <w:r w:rsidR="00A822E8">
        <w:rPr>
          <w:lang w:val="en"/>
        </w:rPr>
        <w:t xml:space="preserve"> that</w:t>
      </w:r>
      <w:r w:rsidRPr="000D737F">
        <w:rPr>
          <w:lang w:val="en"/>
        </w:rPr>
        <w:t xml:space="preserve"> new operations addressed gender through the internal WB process of gender tagging. </w:t>
      </w:r>
      <w:r w:rsidRPr="00AB712F">
        <w:rPr>
          <w:lang w:val="en"/>
        </w:rPr>
        <w:t xml:space="preserve">The </w:t>
      </w:r>
      <w:r w:rsidR="00362625" w:rsidRPr="00AB712F">
        <w:rPr>
          <w:lang w:val="en"/>
        </w:rPr>
        <w:t>evaluation team</w:t>
      </w:r>
      <w:r w:rsidRPr="00AB712F">
        <w:rPr>
          <w:lang w:val="en"/>
        </w:rPr>
        <w:t xml:space="preserve"> was informed</w:t>
      </w:r>
      <w:r w:rsidR="00715496" w:rsidRPr="00AB712F">
        <w:rPr>
          <w:lang w:val="en"/>
        </w:rPr>
        <w:t xml:space="preserve"> that</w:t>
      </w:r>
      <w:r w:rsidRPr="00AB712F">
        <w:rPr>
          <w:lang w:val="en"/>
        </w:rPr>
        <w:t xml:space="preserve"> the DPL grant was designed much earlier than the WEE grant</w:t>
      </w:r>
      <w:r w:rsidR="00D92963">
        <w:rPr>
          <w:lang w:val="en"/>
        </w:rPr>
        <w:t>,</w:t>
      </w:r>
      <w:r w:rsidRPr="00AB712F">
        <w:rPr>
          <w:lang w:val="en"/>
        </w:rPr>
        <w:t xml:space="preserve"> resulting in </w:t>
      </w:r>
      <w:r w:rsidR="00D92963">
        <w:rPr>
          <w:lang w:val="en"/>
        </w:rPr>
        <w:t xml:space="preserve">the </w:t>
      </w:r>
      <w:r w:rsidRPr="00AB712F">
        <w:rPr>
          <w:lang w:val="en"/>
        </w:rPr>
        <w:t xml:space="preserve">DPL not being included in the gender tagging under </w:t>
      </w:r>
      <w:proofErr w:type="spellStart"/>
      <w:r w:rsidR="007628AF">
        <w:rPr>
          <w:lang w:val="en"/>
        </w:rPr>
        <w:t>AGaP</w:t>
      </w:r>
      <w:proofErr w:type="spellEnd"/>
      <w:r w:rsidRPr="00AB712F">
        <w:rPr>
          <w:lang w:val="en"/>
        </w:rPr>
        <w:t xml:space="preserve">. This is a missed opportunity. WB acknowledged that gender is an area that needs to be strengthened in </w:t>
      </w:r>
      <w:proofErr w:type="spellStart"/>
      <w:r w:rsidR="007628AF">
        <w:rPr>
          <w:lang w:val="en"/>
        </w:rPr>
        <w:t>AGaP</w:t>
      </w:r>
      <w:proofErr w:type="spellEnd"/>
      <w:r w:rsidRPr="00AB712F">
        <w:rPr>
          <w:lang w:val="en"/>
        </w:rPr>
        <w:t xml:space="preserve"> and interviews also revealed they felt that some sectors (human and social development) are more </w:t>
      </w:r>
      <w:r w:rsidR="00D92963">
        <w:rPr>
          <w:lang w:val="en"/>
        </w:rPr>
        <w:t>“</w:t>
      </w:r>
      <w:r w:rsidRPr="00AB712F">
        <w:rPr>
          <w:lang w:val="en"/>
        </w:rPr>
        <w:t>naturally geared</w:t>
      </w:r>
      <w:r w:rsidR="00D92963">
        <w:rPr>
          <w:lang w:val="en"/>
        </w:rPr>
        <w:t>”</w:t>
      </w:r>
      <w:r w:rsidRPr="00AB712F">
        <w:rPr>
          <w:lang w:val="en"/>
        </w:rPr>
        <w:t xml:space="preserve"> towards integrating gender than others. DFAT also acknowledged challenges integrating gender in economic activities. WB now has an in-country TTL for gender</w:t>
      </w:r>
      <w:r w:rsidR="00BD3AFD">
        <w:rPr>
          <w:lang w:val="en"/>
        </w:rPr>
        <w:t>,</w:t>
      </w:r>
      <w:r w:rsidRPr="00AB712F">
        <w:rPr>
          <w:lang w:val="en"/>
        </w:rPr>
        <w:t xml:space="preserve"> which according to DFAT has already elevated women’s economic empowerment into economic discussions, and DFAT informed the </w:t>
      </w:r>
      <w:r w:rsidR="00362625" w:rsidRPr="00AB712F">
        <w:rPr>
          <w:lang w:val="en"/>
        </w:rPr>
        <w:t>evaluation team</w:t>
      </w:r>
      <w:r w:rsidRPr="00AB712F">
        <w:rPr>
          <w:lang w:val="en"/>
        </w:rPr>
        <w:t xml:space="preserve"> they will be boosting their gender resources at Post. These are positive signs for advancing gender equality goals in phase 2 of </w:t>
      </w:r>
      <w:proofErr w:type="spellStart"/>
      <w:r w:rsidR="007628AF">
        <w:rPr>
          <w:lang w:val="en"/>
        </w:rPr>
        <w:t>AGaP</w:t>
      </w:r>
      <w:proofErr w:type="spellEnd"/>
      <w:r w:rsidRPr="00AB712F">
        <w:rPr>
          <w:lang w:val="en"/>
        </w:rPr>
        <w:t>.</w:t>
      </w:r>
    </w:p>
    <w:p w14:paraId="477FF8F8" w14:textId="5C0ED885" w:rsidR="000D737F" w:rsidRPr="000D737F" w:rsidRDefault="000D737F" w:rsidP="000D737F">
      <w:r w:rsidRPr="000D737F">
        <w:rPr>
          <w:lang w:val="en"/>
        </w:rPr>
        <w:t xml:space="preserve">The new Australian administration has already highlighted gender as an increasing priority. </w:t>
      </w:r>
      <w:r w:rsidR="009B6880" w:rsidRPr="00AB712F">
        <w:rPr>
          <w:lang w:val="en"/>
        </w:rPr>
        <w:t xml:space="preserve">Discussions with Post indicated GOA might </w:t>
      </w:r>
      <w:r w:rsidR="009B6880" w:rsidRPr="00AB712F">
        <w:t>r</w:t>
      </w:r>
      <w:r w:rsidR="000747C1" w:rsidRPr="00AB712F">
        <w:t>einstat</w:t>
      </w:r>
      <w:r w:rsidR="009B6880" w:rsidRPr="00AB712F">
        <w:t>e</w:t>
      </w:r>
      <w:r w:rsidR="000747C1" w:rsidRPr="00AB712F">
        <w:t xml:space="preserve"> the gender performance target that 80</w:t>
      </w:r>
      <w:r w:rsidR="00715496" w:rsidRPr="00AB712F">
        <w:t xml:space="preserve"> percent </w:t>
      </w:r>
      <w:r w:rsidR="000747C1" w:rsidRPr="00AB712F">
        <w:t>of aid investments address gender issues in their implementation</w:t>
      </w:r>
      <w:r w:rsidR="00FE0CDF">
        <w:t xml:space="preserve">. </w:t>
      </w:r>
      <w:r w:rsidRPr="000D737F">
        <w:rPr>
          <w:lang w:val="en"/>
        </w:rPr>
        <w:t xml:space="preserve">Therefore, </w:t>
      </w:r>
      <w:proofErr w:type="spellStart"/>
      <w:r w:rsidR="007628AF">
        <w:rPr>
          <w:lang w:val="en"/>
        </w:rPr>
        <w:t>AGaP</w:t>
      </w:r>
      <w:proofErr w:type="spellEnd"/>
      <w:r w:rsidRPr="000D737F">
        <w:rPr>
          <w:lang w:val="en"/>
        </w:rPr>
        <w:t xml:space="preserve"> </w:t>
      </w:r>
      <w:r w:rsidR="007E5FC7">
        <w:rPr>
          <w:lang w:val="en"/>
        </w:rPr>
        <w:t xml:space="preserve">should take </w:t>
      </w:r>
      <w:r w:rsidRPr="000D737F">
        <w:rPr>
          <w:lang w:val="en"/>
        </w:rPr>
        <w:t xml:space="preserve">the opportunity to lead in this area. DFAT’s umbrella investment AMPED does not currently have a gender strategy or gender action plan at investment level and </w:t>
      </w:r>
      <w:proofErr w:type="spellStart"/>
      <w:r w:rsidR="007628AF">
        <w:rPr>
          <w:lang w:val="en"/>
        </w:rPr>
        <w:t>AGaP</w:t>
      </w:r>
      <w:r w:rsidRPr="000D737F">
        <w:rPr>
          <w:lang w:val="en"/>
        </w:rPr>
        <w:t>s</w:t>
      </w:r>
      <w:proofErr w:type="spellEnd"/>
      <w:r w:rsidRPr="000D737F">
        <w:rPr>
          <w:lang w:val="en"/>
        </w:rPr>
        <w:t xml:space="preserve">’ contribution to rectifying this shortcoming will be an important step in strengthening the development impact of DFAT resources. </w:t>
      </w:r>
    </w:p>
    <w:p w14:paraId="137F28E6" w14:textId="51288805" w:rsidR="000D737F" w:rsidRPr="000D737F" w:rsidRDefault="007628AF" w:rsidP="000D737F">
      <w:pPr>
        <w:rPr>
          <w:lang w:val="en"/>
        </w:rPr>
      </w:pPr>
      <w:proofErr w:type="spellStart"/>
      <w:r>
        <w:rPr>
          <w:lang w:val="en"/>
        </w:rPr>
        <w:t>AGaP</w:t>
      </w:r>
      <w:proofErr w:type="spellEnd"/>
      <w:r w:rsidR="000D737F" w:rsidRPr="000D737F">
        <w:rPr>
          <w:lang w:val="en"/>
        </w:rPr>
        <w:t xml:space="preserve"> has demonstrated that in some sectors</w:t>
      </w:r>
      <w:r w:rsidR="004D7715">
        <w:rPr>
          <w:lang w:val="en"/>
        </w:rPr>
        <w:t>,</w:t>
      </w:r>
      <w:r w:rsidR="000D737F" w:rsidRPr="000D737F">
        <w:rPr>
          <w:lang w:val="en"/>
        </w:rPr>
        <w:t xml:space="preserve"> gender equality themes can be integrated quite easily (for example</w:t>
      </w:r>
      <w:r w:rsidR="004D7715">
        <w:rPr>
          <w:lang w:val="en"/>
        </w:rPr>
        <w:t>, in</w:t>
      </w:r>
      <w:r w:rsidR="000D737F" w:rsidRPr="000D737F">
        <w:rPr>
          <w:lang w:val="en"/>
        </w:rPr>
        <w:t xml:space="preserve"> COVID-19 recovery), but integration into other sectors requires deeper understanding of how gender issues influence economic growth, human capital</w:t>
      </w:r>
      <w:r w:rsidR="0053578C">
        <w:rPr>
          <w:lang w:val="en"/>
        </w:rPr>
        <w:t>,</w:t>
      </w:r>
      <w:r w:rsidR="000D737F" w:rsidRPr="000D737F">
        <w:rPr>
          <w:lang w:val="en"/>
        </w:rPr>
        <w:t xml:space="preserve"> and productivity. The report produced by the </w:t>
      </w:r>
      <w:r w:rsidR="00F91EB9">
        <w:rPr>
          <w:lang w:val="en"/>
        </w:rPr>
        <w:t>W</w:t>
      </w:r>
      <w:r w:rsidR="000D737F" w:rsidRPr="000D737F">
        <w:rPr>
          <w:lang w:val="en"/>
        </w:rPr>
        <w:t xml:space="preserve">omen’s </w:t>
      </w:r>
      <w:r w:rsidR="00F91EB9">
        <w:rPr>
          <w:lang w:val="en"/>
        </w:rPr>
        <w:t>E</w:t>
      </w:r>
      <w:r w:rsidR="000D737F" w:rsidRPr="000D737F">
        <w:rPr>
          <w:lang w:val="en"/>
        </w:rPr>
        <w:t xml:space="preserve">conomic </w:t>
      </w:r>
      <w:r w:rsidR="00F91EB9">
        <w:rPr>
          <w:lang w:val="en"/>
        </w:rPr>
        <w:t>E</w:t>
      </w:r>
      <w:r w:rsidR="000D737F" w:rsidRPr="000D737F">
        <w:rPr>
          <w:lang w:val="en"/>
        </w:rPr>
        <w:t>mpowerment grant is an excellent example of how data and insights can indicate new entry points for advancing gender equality.</w:t>
      </w:r>
    </w:p>
    <w:p w14:paraId="1050BB20" w14:textId="77777777" w:rsidR="000D737F" w:rsidRPr="00A056A4" w:rsidRDefault="000D737F" w:rsidP="000D737F">
      <w:pPr>
        <w:rPr>
          <w:b/>
          <w:color w:val="000000" w:themeColor="text1"/>
          <w:lang w:val="en"/>
        </w:rPr>
      </w:pPr>
      <w:r w:rsidRPr="00A056A4">
        <w:rPr>
          <w:b/>
          <w:color w:val="000000" w:themeColor="text1"/>
          <w:lang w:val="en"/>
        </w:rPr>
        <w:t>Recommendations</w:t>
      </w:r>
    </w:p>
    <w:p w14:paraId="04277D9D" w14:textId="787BC0D5" w:rsidR="000D737F" w:rsidRPr="00A056A4" w:rsidRDefault="000D737F" w:rsidP="0089441D">
      <w:pPr>
        <w:numPr>
          <w:ilvl w:val="0"/>
          <w:numId w:val="15"/>
        </w:numPr>
        <w:rPr>
          <w:color w:val="000000" w:themeColor="text1"/>
          <w:lang w:val="en"/>
        </w:rPr>
      </w:pPr>
      <w:r w:rsidRPr="00A056A4">
        <w:rPr>
          <w:color w:val="000000" w:themeColor="text1"/>
          <w:lang w:val="en"/>
        </w:rPr>
        <w:t xml:space="preserve">Revise the Operations </w:t>
      </w:r>
      <w:r w:rsidR="00F91EB9" w:rsidRPr="00A056A4">
        <w:rPr>
          <w:color w:val="000000" w:themeColor="text1"/>
          <w:lang w:val="en"/>
        </w:rPr>
        <w:t>M</w:t>
      </w:r>
      <w:r w:rsidRPr="00A056A4">
        <w:rPr>
          <w:color w:val="000000" w:themeColor="text1"/>
          <w:lang w:val="en"/>
        </w:rPr>
        <w:t>anual to include clearer expectations on gender equality and women’s economic empowerment.</w:t>
      </w:r>
      <w:r w:rsidR="005234AE" w:rsidRPr="00A056A4">
        <w:rPr>
          <w:rStyle w:val="FootnoteReference"/>
          <w:color w:val="000000" w:themeColor="text1"/>
          <w:lang w:val="en"/>
        </w:rPr>
        <w:footnoteReference w:id="31"/>
      </w:r>
      <w:r w:rsidRPr="00A056A4">
        <w:rPr>
          <w:color w:val="000000" w:themeColor="text1"/>
          <w:lang w:val="en"/>
        </w:rPr>
        <w:t xml:space="preserve"> </w:t>
      </w:r>
    </w:p>
    <w:p w14:paraId="7A0AB258" w14:textId="408B5F69" w:rsidR="000D737F" w:rsidRPr="00A056A4" w:rsidRDefault="000D737F" w:rsidP="0089441D">
      <w:pPr>
        <w:numPr>
          <w:ilvl w:val="0"/>
          <w:numId w:val="15"/>
        </w:numPr>
        <w:rPr>
          <w:color w:val="000000" w:themeColor="text1"/>
          <w:lang w:val="en"/>
        </w:rPr>
      </w:pPr>
      <w:r w:rsidRPr="00A056A4">
        <w:rPr>
          <w:color w:val="000000" w:themeColor="text1"/>
          <w:lang w:val="en"/>
        </w:rPr>
        <w:t xml:space="preserve">Revise the </w:t>
      </w:r>
      <w:proofErr w:type="spellStart"/>
      <w:r w:rsidR="007628AF" w:rsidRPr="00A056A4">
        <w:rPr>
          <w:color w:val="000000" w:themeColor="text1"/>
          <w:lang w:val="en"/>
        </w:rPr>
        <w:t>AGaP</w:t>
      </w:r>
      <w:proofErr w:type="spellEnd"/>
      <w:r w:rsidRPr="00A056A4">
        <w:rPr>
          <w:color w:val="000000" w:themeColor="text1"/>
          <w:lang w:val="en"/>
        </w:rPr>
        <w:t xml:space="preserve"> results framework to include gender as a cross-cutting theme, consistent with the grant proposals and reporting templates.</w:t>
      </w:r>
    </w:p>
    <w:p w14:paraId="22DAE1DD" w14:textId="77777777" w:rsidR="0039018C" w:rsidRDefault="0039018C" w:rsidP="00E03DD0">
      <w:pPr>
        <w:pStyle w:val="Heading2"/>
      </w:pPr>
      <w:bookmarkStart w:id="22" w:name="_Toc125560010"/>
      <w:r>
        <w:t>Disability</w:t>
      </w:r>
      <w:bookmarkEnd w:id="22"/>
      <w:r>
        <w:t xml:space="preserve"> </w:t>
      </w:r>
    </w:p>
    <w:p w14:paraId="167A4855" w14:textId="1CA663E6" w:rsidR="00D42F1D" w:rsidRPr="00547DC5" w:rsidRDefault="00D42F1D" w:rsidP="00E3206A">
      <w:pPr>
        <w:rPr>
          <w:color w:val="000000" w:themeColor="text1"/>
          <w:lang w:eastAsia="en-US"/>
        </w:rPr>
      </w:pPr>
      <w:r w:rsidRPr="00547DC5">
        <w:rPr>
          <w:color w:val="000000" w:themeColor="text1"/>
          <w:lang w:eastAsia="en-US"/>
        </w:rPr>
        <w:t xml:space="preserve">Key </w:t>
      </w:r>
      <w:r w:rsidR="00F91EB9">
        <w:rPr>
          <w:color w:val="000000" w:themeColor="text1"/>
          <w:lang w:eastAsia="en-US"/>
        </w:rPr>
        <w:t>f</w:t>
      </w:r>
      <w:r w:rsidRPr="00547DC5">
        <w:rPr>
          <w:color w:val="000000" w:themeColor="text1"/>
          <w:lang w:eastAsia="en-US"/>
        </w:rPr>
        <w:t>inding</w:t>
      </w:r>
      <w:r w:rsidR="00F91EB9">
        <w:rPr>
          <w:color w:val="000000" w:themeColor="text1"/>
          <w:lang w:eastAsia="en-US"/>
        </w:rPr>
        <w:t>s</w:t>
      </w:r>
      <w:r w:rsidRPr="00547DC5">
        <w:rPr>
          <w:color w:val="000000" w:themeColor="text1"/>
          <w:lang w:eastAsia="en-US"/>
        </w:rPr>
        <w:t>:</w:t>
      </w:r>
    </w:p>
    <w:p w14:paraId="2FB9778D" w14:textId="048BC5D2" w:rsidR="00D42F1D" w:rsidRPr="00547DC5" w:rsidRDefault="00D42F1D" w:rsidP="0089441D">
      <w:pPr>
        <w:numPr>
          <w:ilvl w:val="0"/>
          <w:numId w:val="16"/>
        </w:numPr>
        <w:rPr>
          <w:color w:val="000000" w:themeColor="text1"/>
          <w:lang w:val="en"/>
        </w:rPr>
      </w:pPr>
      <w:r w:rsidRPr="00547DC5">
        <w:rPr>
          <w:color w:val="000000" w:themeColor="text1"/>
          <w:lang w:val="en"/>
        </w:rPr>
        <w:t xml:space="preserve">The evidence of effective disability inclusion across the </w:t>
      </w:r>
      <w:proofErr w:type="spellStart"/>
      <w:r w:rsidR="007628AF">
        <w:rPr>
          <w:color w:val="000000" w:themeColor="text1"/>
          <w:lang w:val="en"/>
        </w:rPr>
        <w:t>AGaP</w:t>
      </w:r>
      <w:proofErr w:type="spellEnd"/>
      <w:r w:rsidRPr="00547DC5">
        <w:rPr>
          <w:color w:val="000000" w:themeColor="text1"/>
          <w:lang w:val="en"/>
        </w:rPr>
        <w:t xml:space="preserve"> grants is mixed.</w:t>
      </w:r>
    </w:p>
    <w:p w14:paraId="4D4C817B" w14:textId="3A7FAF35" w:rsidR="0039018C" w:rsidRPr="00BB07E0" w:rsidRDefault="0039018C" w:rsidP="0039018C">
      <w:pPr>
        <w:rPr>
          <w:rFonts w:cstheme="minorHAnsi"/>
          <w:szCs w:val="22"/>
        </w:rPr>
      </w:pPr>
      <w:proofErr w:type="gramStart"/>
      <w:r w:rsidRPr="00AB712F">
        <w:rPr>
          <w:rFonts w:cstheme="minorHAnsi"/>
          <w:szCs w:val="22"/>
        </w:rPr>
        <w:lastRenderedPageBreak/>
        <w:t>Similar to</w:t>
      </w:r>
      <w:proofErr w:type="gramEnd"/>
      <w:r w:rsidRPr="00AB712F">
        <w:rPr>
          <w:rFonts w:cstheme="minorHAnsi"/>
          <w:szCs w:val="22"/>
        </w:rPr>
        <w:t xml:space="preserve"> the position of gender equality, there is no specific investment-level disability inclusion objective for AMPED, and the concept note and results framework for </w:t>
      </w:r>
      <w:proofErr w:type="spellStart"/>
      <w:r w:rsidR="007628AF">
        <w:rPr>
          <w:rFonts w:cstheme="minorHAnsi"/>
          <w:szCs w:val="22"/>
        </w:rPr>
        <w:t>AGaP</w:t>
      </w:r>
      <w:proofErr w:type="spellEnd"/>
      <w:r w:rsidRPr="00AB712F">
        <w:rPr>
          <w:rFonts w:cstheme="minorHAnsi"/>
          <w:szCs w:val="22"/>
        </w:rPr>
        <w:t xml:space="preserve"> did not include any reference to disability inclusion</w:t>
      </w:r>
      <w:r w:rsidRPr="00BB07E0">
        <w:rPr>
          <w:rFonts w:cstheme="minorHAnsi"/>
          <w:szCs w:val="22"/>
        </w:rPr>
        <w:t xml:space="preserve">. Nonetheless, the </w:t>
      </w:r>
      <w:proofErr w:type="spellStart"/>
      <w:r w:rsidR="007628AF">
        <w:rPr>
          <w:rFonts w:cstheme="minorHAnsi"/>
          <w:szCs w:val="22"/>
        </w:rPr>
        <w:t>AGaP</w:t>
      </w:r>
      <w:proofErr w:type="spellEnd"/>
      <w:r w:rsidRPr="00BB07E0">
        <w:rPr>
          <w:rFonts w:cstheme="minorHAnsi"/>
          <w:szCs w:val="22"/>
        </w:rPr>
        <w:t xml:space="preserve"> grant proposal templates included a specific section on how the project identified and would address</w:t>
      </w:r>
      <w:r w:rsidR="000858F7">
        <w:rPr>
          <w:rFonts w:cstheme="minorHAnsi"/>
          <w:szCs w:val="22"/>
        </w:rPr>
        <w:t xml:space="preserve"> </w:t>
      </w:r>
      <w:r w:rsidRPr="00BB07E0">
        <w:rPr>
          <w:rFonts w:cstheme="minorHAnsi"/>
          <w:szCs w:val="22"/>
        </w:rPr>
        <w:t>disability inclusion issues as a cross-cutting theme. </w:t>
      </w:r>
    </w:p>
    <w:p w14:paraId="0E113B84" w14:textId="51D1DE24" w:rsidR="00C00B0F" w:rsidRDefault="0039018C" w:rsidP="00C00B0F">
      <w:pPr>
        <w:rPr>
          <w:rFonts w:cstheme="minorHAnsi"/>
          <w:szCs w:val="22"/>
        </w:rPr>
      </w:pPr>
      <w:r w:rsidRPr="00BB07E0">
        <w:rPr>
          <w:rFonts w:cstheme="minorHAnsi"/>
          <w:szCs w:val="22"/>
        </w:rPr>
        <w:t xml:space="preserve">There are some good examples of </w:t>
      </w:r>
      <w:proofErr w:type="spellStart"/>
      <w:r w:rsidR="007628AF">
        <w:rPr>
          <w:rFonts w:cstheme="minorHAnsi"/>
          <w:szCs w:val="22"/>
        </w:rPr>
        <w:t>AGaP</w:t>
      </w:r>
      <w:proofErr w:type="spellEnd"/>
      <w:r w:rsidRPr="00BB07E0">
        <w:rPr>
          <w:rFonts w:cstheme="minorHAnsi"/>
          <w:szCs w:val="22"/>
        </w:rPr>
        <w:t xml:space="preserve"> activities considering the needs of people living with disabilit</w:t>
      </w:r>
      <w:r w:rsidR="000858F7">
        <w:rPr>
          <w:rFonts w:cstheme="minorHAnsi"/>
          <w:szCs w:val="22"/>
        </w:rPr>
        <w:t>ies</w:t>
      </w:r>
      <w:r w:rsidR="00F23547">
        <w:rPr>
          <w:rFonts w:cstheme="minorHAnsi"/>
          <w:szCs w:val="22"/>
        </w:rPr>
        <w:t>,</w:t>
      </w:r>
      <w:r w:rsidRPr="00BB07E0">
        <w:rPr>
          <w:rFonts w:cstheme="minorHAnsi"/>
          <w:szCs w:val="22"/>
        </w:rPr>
        <w:t xml:space="preserve"> with the majority of these being part of the COVID-19 response efforts</w:t>
      </w:r>
      <w:r w:rsidR="00C64AD4">
        <w:rPr>
          <w:rFonts w:cstheme="minorHAnsi"/>
          <w:szCs w:val="22"/>
        </w:rPr>
        <w:t xml:space="preserve">. </w:t>
      </w:r>
      <w:r w:rsidR="008D07A6">
        <w:rPr>
          <w:rFonts w:cstheme="minorHAnsi"/>
          <w:szCs w:val="22"/>
        </w:rPr>
        <w:t xml:space="preserve"> For example, i</w:t>
      </w:r>
      <w:r w:rsidR="00EC0DD7">
        <w:rPr>
          <w:rFonts w:cstheme="minorHAnsi"/>
          <w:szCs w:val="22"/>
        </w:rPr>
        <w:t xml:space="preserve">n </w:t>
      </w:r>
      <w:r w:rsidR="00C00B0F" w:rsidRPr="00C00B0F">
        <w:rPr>
          <w:rFonts w:cstheme="minorHAnsi"/>
          <w:szCs w:val="22"/>
        </w:rPr>
        <w:t xml:space="preserve">Strengthening Support for the </w:t>
      </w:r>
      <w:proofErr w:type="spellStart"/>
      <w:r w:rsidR="00C00B0F" w:rsidRPr="00C00B0F">
        <w:rPr>
          <w:rFonts w:cstheme="minorHAnsi"/>
          <w:szCs w:val="22"/>
        </w:rPr>
        <w:t>Pantawid</w:t>
      </w:r>
      <w:proofErr w:type="spellEnd"/>
      <w:r w:rsidR="00C00B0F" w:rsidRPr="00C00B0F">
        <w:rPr>
          <w:rFonts w:cstheme="minorHAnsi"/>
          <w:szCs w:val="22"/>
        </w:rPr>
        <w:t xml:space="preserve"> Program and Philippine Social Protection Systems, the program’s beneficiaries are vulnerable groups, persons with disabilities among them. The grant supported analytical work that considered the specific needs of persons with disabilities, such as in identifying beneficiaries and in digital cash transfer payments. Moreover, the enhancement of the content and delivery of family and youth development sessions as well as the design of </w:t>
      </w:r>
      <w:proofErr w:type="spellStart"/>
      <w:r w:rsidR="00C00B0F" w:rsidRPr="00C00B0F">
        <w:rPr>
          <w:rFonts w:cstheme="minorHAnsi"/>
          <w:szCs w:val="22"/>
        </w:rPr>
        <w:t>Pantawid’s</w:t>
      </w:r>
      <w:proofErr w:type="spellEnd"/>
      <w:r w:rsidR="00C00B0F" w:rsidRPr="00C00B0F">
        <w:rPr>
          <w:rFonts w:cstheme="minorHAnsi"/>
          <w:szCs w:val="22"/>
        </w:rPr>
        <w:t xml:space="preserve"> impact evaluation accounted for disability and inclusion. </w:t>
      </w:r>
      <w:r w:rsidR="009D6DD0">
        <w:rPr>
          <w:rFonts w:cstheme="minorHAnsi"/>
          <w:szCs w:val="22"/>
        </w:rPr>
        <w:t xml:space="preserve">In </w:t>
      </w:r>
      <w:r w:rsidR="00C00B0F" w:rsidRPr="00C00B0F">
        <w:rPr>
          <w:rFonts w:cstheme="minorHAnsi"/>
          <w:szCs w:val="22"/>
        </w:rPr>
        <w:t>Real Time Monitoring of COVID-19 Impacts in the Philippines</w:t>
      </w:r>
      <w:r w:rsidR="009D6DD0">
        <w:rPr>
          <w:rFonts w:cstheme="minorHAnsi"/>
          <w:szCs w:val="22"/>
        </w:rPr>
        <w:t>, the s</w:t>
      </w:r>
      <w:r w:rsidR="00C00B0F" w:rsidRPr="00C00B0F">
        <w:rPr>
          <w:rFonts w:cstheme="minorHAnsi"/>
          <w:szCs w:val="22"/>
        </w:rPr>
        <w:t>urvey questions, desk research, analys</w:t>
      </w:r>
      <w:r w:rsidR="009D6DD0">
        <w:rPr>
          <w:rFonts w:cstheme="minorHAnsi"/>
          <w:szCs w:val="22"/>
        </w:rPr>
        <w:t>e</w:t>
      </w:r>
      <w:r w:rsidR="00C00B0F" w:rsidRPr="00C00B0F">
        <w:rPr>
          <w:rFonts w:cstheme="minorHAnsi"/>
          <w:szCs w:val="22"/>
        </w:rPr>
        <w:t>s and key findings captured the needs and conditions of persons with disabilities over time during the pandemic</w:t>
      </w:r>
      <w:r w:rsidR="009D6DD0">
        <w:rPr>
          <w:rFonts w:cstheme="minorHAnsi"/>
          <w:szCs w:val="22"/>
        </w:rPr>
        <w:t xml:space="preserve">. In </w:t>
      </w:r>
      <w:r w:rsidR="00C00B0F" w:rsidRPr="00C00B0F">
        <w:rPr>
          <w:rFonts w:cstheme="minorHAnsi"/>
          <w:szCs w:val="22"/>
        </w:rPr>
        <w:t>Strengthening Implementation Support for the Philippines COVID-19 Response Project</w:t>
      </w:r>
      <w:r w:rsidR="009D6DD0">
        <w:rPr>
          <w:rFonts w:cstheme="minorHAnsi"/>
          <w:szCs w:val="22"/>
        </w:rPr>
        <w:t xml:space="preserve">, the </w:t>
      </w:r>
      <w:r w:rsidR="00C00B0F" w:rsidRPr="00C00B0F">
        <w:rPr>
          <w:rFonts w:cstheme="minorHAnsi"/>
          <w:szCs w:val="22"/>
        </w:rPr>
        <w:t>stakeholder consultations with persons with disabilities resulted in the development of a self-assessment tool to determine the accessibility of public health facilities</w:t>
      </w:r>
    </w:p>
    <w:p w14:paraId="0B103AA8" w14:textId="7B43F3AD" w:rsidR="0039018C" w:rsidRPr="00BB07E0" w:rsidRDefault="0039018C" w:rsidP="0039018C">
      <w:pPr>
        <w:rPr>
          <w:rFonts w:cstheme="minorHAnsi"/>
          <w:szCs w:val="22"/>
        </w:rPr>
      </w:pPr>
      <w:r w:rsidRPr="00BB07E0">
        <w:rPr>
          <w:rFonts w:cstheme="minorHAnsi"/>
          <w:szCs w:val="22"/>
        </w:rPr>
        <w:t xml:space="preserve">The intersectionality of how </w:t>
      </w:r>
      <w:proofErr w:type="spellStart"/>
      <w:r w:rsidR="007628AF">
        <w:rPr>
          <w:rFonts w:cstheme="minorHAnsi"/>
          <w:szCs w:val="22"/>
        </w:rPr>
        <w:t>AGaP</w:t>
      </w:r>
      <w:proofErr w:type="spellEnd"/>
      <w:r w:rsidRPr="00BB07E0">
        <w:rPr>
          <w:rFonts w:cstheme="minorHAnsi"/>
          <w:szCs w:val="22"/>
        </w:rPr>
        <w:t xml:space="preserve"> grants </w:t>
      </w:r>
      <w:r w:rsidR="00F23547">
        <w:rPr>
          <w:rFonts w:cstheme="minorHAnsi"/>
          <w:szCs w:val="22"/>
        </w:rPr>
        <w:t>“</w:t>
      </w:r>
      <w:r w:rsidRPr="00BB07E0">
        <w:rPr>
          <w:rFonts w:cstheme="minorHAnsi"/>
          <w:szCs w:val="22"/>
        </w:rPr>
        <w:t>geared towards COVID response address challenges to disability inclusion</w:t>
      </w:r>
      <w:r w:rsidR="00F23547">
        <w:rPr>
          <w:rFonts w:cstheme="minorHAnsi"/>
          <w:szCs w:val="22"/>
        </w:rPr>
        <w:t>”</w:t>
      </w:r>
      <w:r w:rsidRPr="00BB07E0">
        <w:rPr>
          <w:rFonts w:cstheme="minorHAnsi"/>
          <w:szCs w:val="22"/>
        </w:rPr>
        <w:t xml:space="preserve"> was discussed at an </w:t>
      </w:r>
      <w:proofErr w:type="gramStart"/>
      <w:r w:rsidRPr="00BB07E0">
        <w:rPr>
          <w:rFonts w:cstheme="minorHAnsi"/>
          <w:szCs w:val="22"/>
        </w:rPr>
        <w:t>Operations</w:t>
      </w:r>
      <w:proofErr w:type="gramEnd"/>
      <w:r w:rsidRPr="00BB07E0">
        <w:rPr>
          <w:rFonts w:cstheme="minorHAnsi"/>
          <w:szCs w:val="22"/>
        </w:rPr>
        <w:t xml:space="preserve"> Committee </w:t>
      </w:r>
      <w:r w:rsidR="002A4D45">
        <w:rPr>
          <w:rFonts w:cstheme="minorHAnsi"/>
          <w:szCs w:val="22"/>
        </w:rPr>
        <w:t xml:space="preserve">meeting </w:t>
      </w:r>
      <w:r w:rsidRPr="00BB07E0">
        <w:rPr>
          <w:rFonts w:cstheme="minorHAnsi"/>
          <w:szCs w:val="22"/>
        </w:rPr>
        <w:t xml:space="preserve">in 2020. These grants included a clear objective of inclusiveness and a diversity </w:t>
      </w:r>
      <w:r w:rsidR="00CA2522" w:rsidRPr="00CA2522">
        <w:rPr>
          <w:rFonts w:cstheme="minorHAnsi"/>
          <w:szCs w:val="22"/>
        </w:rPr>
        <w:t>of stakeholder</w:t>
      </w:r>
      <w:r w:rsidRPr="00BB07E0">
        <w:rPr>
          <w:rFonts w:cstheme="minorHAnsi"/>
          <w:szCs w:val="22"/>
        </w:rPr>
        <w:t xml:space="preserve"> engagement </w:t>
      </w:r>
      <w:r w:rsidR="00BB07E0" w:rsidRPr="00BB07E0">
        <w:rPr>
          <w:rFonts w:cstheme="minorHAnsi"/>
          <w:szCs w:val="22"/>
        </w:rPr>
        <w:t>with</w:t>
      </w:r>
      <w:r w:rsidRPr="00BB07E0">
        <w:rPr>
          <w:rFonts w:cstheme="minorHAnsi"/>
          <w:szCs w:val="22"/>
        </w:rPr>
        <w:t xml:space="preserve"> women, </w:t>
      </w:r>
      <w:r w:rsidR="00FC0C9B">
        <w:rPr>
          <w:rFonts w:cstheme="minorHAnsi"/>
          <w:szCs w:val="22"/>
        </w:rPr>
        <w:t>I</w:t>
      </w:r>
      <w:r w:rsidRPr="00BB07E0">
        <w:rPr>
          <w:rFonts w:cstheme="minorHAnsi"/>
          <w:szCs w:val="22"/>
        </w:rPr>
        <w:t xml:space="preserve">ndigenous </w:t>
      </w:r>
      <w:r w:rsidR="00FC0C9B">
        <w:rPr>
          <w:rFonts w:cstheme="minorHAnsi"/>
          <w:szCs w:val="22"/>
        </w:rPr>
        <w:t>P</w:t>
      </w:r>
      <w:r w:rsidRPr="00BB07E0">
        <w:rPr>
          <w:rFonts w:cstheme="minorHAnsi"/>
          <w:szCs w:val="22"/>
        </w:rPr>
        <w:t>eoples, and persons with disabilities</w:t>
      </w:r>
      <w:r w:rsidRPr="00AB712F">
        <w:rPr>
          <w:rFonts w:cstheme="minorHAnsi"/>
          <w:szCs w:val="22"/>
        </w:rPr>
        <w:t>. According to interviews with the WB, for some government counterparts, conducting stakeholder engagement to inform a design was novel, and routine funding for such an activity is not readily available. The virtual nature of stakeholder engagement under COVID-19 restrictions reduced some accessibility issues and resulted in increased and more diverse participation.</w:t>
      </w:r>
      <w:r w:rsidRPr="00BB07E0">
        <w:rPr>
          <w:rFonts w:cstheme="minorHAnsi"/>
          <w:szCs w:val="22"/>
        </w:rPr>
        <w:t> </w:t>
      </w:r>
    </w:p>
    <w:p w14:paraId="08A6F2E3" w14:textId="04C5E416" w:rsidR="0039018C" w:rsidRPr="00BB07E0" w:rsidRDefault="0039018C" w:rsidP="0039018C">
      <w:pPr>
        <w:rPr>
          <w:rFonts w:cstheme="minorHAnsi"/>
          <w:szCs w:val="22"/>
        </w:rPr>
      </w:pPr>
      <w:r w:rsidRPr="00BB07E0">
        <w:rPr>
          <w:rFonts w:cstheme="minorHAnsi"/>
          <w:szCs w:val="22"/>
        </w:rPr>
        <w:t xml:space="preserve">COVID-19 highlighted the importance of inclusion in design and implementation of reforms. As </w:t>
      </w:r>
      <w:proofErr w:type="spellStart"/>
      <w:r w:rsidR="007628AF">
        <w:rPr>
          <w:rFonts w:cstheme="minorHAnsi"/>
          <w:szCs w:val="22"/>
        </w:rPr>
        <w:t>AGaP</w:t>
      </w:r>
      <w:proofErr w:type="spellEnd"/>
      <w:r w:rsidRPr="00BB07E0">
        <w:rPr>
          <w:rFonts w:cstheme="minorHAnsi"/>
          <w:szCs w:val="22"/>
        </w:rPr>
        <w:t xml:space="preserve"> enters phase 2 and future priorities, the challenge will be to mainstream these considerations across all </w:t>
      </w:r>
      <w:proofErr w:type="spellStart"/>
      <w:r w:rsidR="007628AF">
        <w:rPr>
          <w:rFonts w:cstheme="minorHAnsi"/>
          <w:szCs w:val="22"/>
        </w:rPr>
        <w:t>AGaP</w:t>
      </w:r>
      <w:proofErr w:type="spellEnd"/>
      <w:r w:rsidRPr="00BB07E0">
        <w:rPr>
          <w:rFonts w:cstheme="minorHAnsi"/>
          <w:szCs w:val="22"/>
        </w:rPr>
        <w:t xml:space="preserve"> grants</w:t>
      </w:r>
      <w:r w:rsidR="00877763">
        <w:rPr>
          <w:rFonts w:cstheme="minorHAnsi"/>
          <w:szCs w:val="22"/>
        </w:rPr>
        <w:t>.</w:t>
      </w:r>
    </w:p>
    <w:p w14:paraId="39ECF4BB" w14:textId="18BCA830" w:rsidR="005234AE" w:rsidRPr="00A056A4" w:rsidRDefault="005234AE" w:rsidP="005234AE">
      <w:pPr>
        <w:rPr>
          <w:rFonts w:ascii="Times New Roman" w:hAnsi="Times New Roman"/>
          <w:color w:val="000000" w:themeColor="text1"/>
          <w:sz w:val="24"/>
        </w:rPr>
      </w:pPr>
      <w:r w:rsidRPr="00A056A4">
        <w:rPr>
          <w:rFonts w:ascii="Calibri" w:hAnsi="Calibri" w:cs="Calibri"/>
          <w:b/>
          <w:bCs/>
          <w:color w:val="000000" w:themeColor="text1"/>
          <w:szCs w:val="22"/>
        </w:rPr>
        <w:t>Recommendation</w:t>
      </w:r>
    </w:p>
    <w:p w14:paraId="626B1F8B" w14:textId="40B5C316" w:rsidR="00D17511" w:rsidRPr="00A056A4" w:rsidRDefault="005234AE" w:rsidP="00D17511">
      <w:pPr>
        <w:pStyle w:val="ListParagraph"/>
        <w:numPr>
          <w:ilvl w:val="0"/>
          <w:numId w:val="52"/>
        </w:numPr>
        <w:rPr>
          <w:color w:val="000000" w:themeColor="text1"/>
        </w:rPr>
      </w:pPr>
      <w:r w:rsidRPr="00A056A4">
        <w:rPr>
          <w:color w:val="000000" w:themeColor="text1"/>
        </w:rPr>
        <w:t xml:space="preserve">Revise the Operations </w:t>
      </w:r>
      <w:r w:rsidR="00FF6FEB" w:rsidRPr="00A056A4">
        <w:rPr>
          <w:color w:val="000000" w:themeColor="text1"/>
        </w:rPr>
        <w:t>M</w:t>
      </w:r>
      <w:r w:rsidRPr="00A056A4">
        <w:rPr>
          <w:color w:val="000000" w:themeColor="text1"/>
        </w:rPr>
        <w:t>anual to include clearer expectations on disability</w:t>
      </w:r>
      <w:r w:rsidR="00D17511" w:rsidRPr="00A056A4">
        <w:rPr>
          <w:color w:val="000000" w:themeColor="text1"/>
        </w:rPr>
        <w:t xml:space="preserve"> </w:t>
      </w:r>
      <w:r w:rsidR="00F20941" w:rsidRPr="00A056A4">
        <w:rPr>
          <w:color w:val="000000" w:themeColor="text1"/>
        </w:rPr>
        <w:t>and social inclusion considerations more broadly.</w:t>
      </w:r>
    </w:p>
    <w:p w14:paraId="50456061" w14:textId="1173A1F9" w:rsidR="005234AE" w:rsidRDefault="005234AE" w:rsidP="005234AE">
      <w:pPr>
        <w:rPr>
          <w:rFonts w:ascii="Calibri" w:hAnsi="Calibri" w:cs="Calibri"/>
          <w:color w:val="44546A"/>
          <w:szCs w:val="22"/>
        </w:rPr>
      </w:pPr>
    </w:p>
    <w:p w14:paraId="1C19801C" w14:textId="77777777" w:rsidR="005234AE" w:rsidRPr="0039018C" w:rsidRDefault="005234AE" w:rsidP="005234AE">
      <w:pPr>
        <w:rPr>
          <w:rFonts w:ascii="Arial" w:hAnsi="Arial" w:cs="Arial"/>
          <w:sz w:val="20"/>
          <w:szCs w:val="20"/>
        </w:rPr>
      </w:pPr>
    </w:p>
    <w:p w14:paraId="2CE3EEA9" w14:textId="3CE11B23" w:rsidR="004F1D23" w:rsidRDefault="004F1D23">
      <w:pPr>
        <w:rPr>
          <w:rFonts w:ascii="Arial" w:hAnsi="Arial" w:cs="Arial"/>
          <w:sz w:val="20"/>
          <w:szCs w:val="20"/>
        </w:rPr>
      </w:pPr>
      <w:r>
        <w:rPr>
          <w:rFonts w:ascii="Arial" w:hAnsi="Arial" w:cs="Arial"/>
          <w:sz w:val="20"/>
          <w:szCs w:val="20"/>
        </w:rPr>
        <w:br w:type="page"/>
      </w:r>
    </w:p>
    <w:p w14:paraId="5C15DA96" w14:textId="2B0B2D90" w:rsidR="003B38E1" w:rsidRDefault="003B38E1" w:rsidP="00E03DD0">
      <w:pPr>
        <w:pStyle w:val="Heading2"/>
      </w:pPr>
      <w:bookmarkStart w:id="23" w:name="_Toc125560011"/>
      <w:r>
        <w:lastRenderedPageBreak/>
        <w:t>Monitoring</w:t>
      </w:r>
      <w:r w:rsidR="001302F1">
        <w:t xml:space="preserve">, </w:t>
      </w:r>
      <w:proofErr w:type="gramStart"/>
      <w:r>
        <w:t>evaluation</w:t>
      </w:r>
      <w:proofErr w:type="gramEnd"/>
      <w:r w:rsidR="001302F1">
        <w:t xml:space="preserve"> and reporting</w:t>
      </w:r>
      <w:bookmarkEnd w:id="23"/>
      <w:r>
        <w:t xml:space="preserve"> </w:t>
      </w:r>
    </w:p>
    <w:p w14:paraId="72CA6523" w14:textId="1C6004DC" w:rsidR="005951BD" w:rsidRPr="00547DC5" w:rsidRDefault="005951BD" w:rsidP="005951BD">
      <w:pPr>
        <w:suppressAutoHyphens/>
        <w:spacing w:after="60" w:line="260" w:lineRule="atLeast"/>
        <w:rPr>
          <w:color w:val="000000" w:themeColor="text1"/>
        </w:rPr>
      </w:pPr>
      <w:r w:rsidRPr="00547DC5">
        <w:rPr>
          <w:color w:val="000000" w:themeColor="text1"/>
        </w:rPr>
        <w:t>Key finding</w:t>
      </w:r>
      <w:r w:rsidR="00F44418" w:rsidRPr="00547DC5">
        <w:rPr>
          <w:color w:val="000000" w:themeColor="text1"/>
        </w:rPr>
        <w:t>s</w:t>
      </w:r>
      <w:r w:rsidRPr="00547DC5">
        <w:rPr>
          <w:color w:val="000000" w:themeColor="text1"/>
        </w:rPr>
        <w:t>:</w:t>
      </w:r>
    </w:p>
    <w:p w14:paraId="5996DD69" w14:textId="1809F604" w:rsidR="005951BD" w:rsidRPr="00547DC5" w:rsidRDefault="005951BD" w:rsidP="0089441D">
      <w:pPr>
        <w:numPr>
          <w:ilvl w:val="0"/>
          <w:numId w:val="17"/>
        </w:numPr>
        <w:suppressAutoHyphens/>
        <w:spacing w:before="120" w:after="60" w:line="260" w:lineRule="atLeast"/>
        <w:rPr>
          <w:color w:val="000000" w:themeColor="text1"/>
        </w:rPr>
      </w:pPr>
      <w:r w:rsidRPr="00547DC5">
        <w:rPr>
          <w:color w:val="000000" w:themeColor="text1"/>
        </w:rPr>
        <w:t>Reporting on grant activities and results was mostly diligent and comprehensive. However, there was less attention paid to linking program</w:t>
      </w:r>
      <w:r w:rsidR="00B0635E">
        <w:rPr>
          <w:color w:val="000000" w:themeColor="text1"/>
        </w:rPr>
        <w:t xml:space="preserve"> </w:t>
      </w:r>
      <w:r w:rsidRPr="00547DC5">
        <w:rPr>
          <w:color w:val="000000" w:themeColor="text1"/>
        </w:rPr>
        <w:t xml:space="preserve">outputs and outcomes to </w:t>
      </w:r>
      <w:proofErr w:type="spellStart"/>
      <w:r w:rsidR="007628AF">
        <w:rPr>
          <w:color w:val="000000" w:themeColor="text1"/>
        </w:rPr>
        <w:t>AGaP</w:t>
      </w:r>
      <w:r w:rsidRPr="00547DC5">
        <w:rPr>
          <w:color w:val="000000" w:themeColor="text1"/>
        </w:rPr>
        <w:t>'s</w:t>
      </w:r>
      <w:proofErr w:type="spellEnd"/>
      <w:r w:rsidRPr="00547DC5">
        <w:rPr>
          <w:color w:val="000000" w:themeColor="text1"/>
        </w:rPr>
        <w:t xml:space="preserve"> results framework</w:t>
      </w:r>
      <w:r w:rsidR="0060617C" w:rsidRPr="00547DC5">
        <w:rPr>
          <w:color w:val="000000" w:themeColor="text1"/>
        </w:rPr>
        <w:t>.</w:t>
      </w:r>
    </w:p>
    <w:p w14:paraId="0BB8DBFD" w14:textId="5E6946E1" w:rsidR="005951BD" w:rsidRPr="00547DC5" w:rsidRDefault="005951BD" w:rsidP="0089441D">
      <w:pPr>
        <w:numPr>
          <w:ilvl w:val="0"/>
          <w:numId w:val="17"/>
        </w:numPr>
        <w:suppressAutoHyphens/>
        <w:spacing w:before="120" w:after="60" w:line="260" w:lineRule="atLeast"/>
        <w:rPr>
          <w:color w:val="000000" w:themeColor="text1"/>
        </w:rPr>
      </w:pPr>
      <w:r w:rsidRPr="00547DC5">
        <w:rPr>
          <w:color w:val="000000" w:themeColor="text1"/>
        </w:rPr>
        <w:t>There is weak evidence that M&amp;E processes stimulated a process of reflection, adaptation, and learning to inform strategic decisions</w:t>
      </w:r>
      <w:r w:rsidRPr="00547DC5" w:rsidDel="007E66C7">
        <w:rPr>
          <w:color w:val="000000" w:themeColor="text1"/>
        </w:rPr>
        <w:t xml:space="preserve">. </w:t>
      </w:r>
    </w:p>
    <w:p w14:paraId="6361BC2D" w14:textId="4F54114F" w:rsidR="005760AB" w:rsidRDefault="005951BD" w:rsidP="005760AB">
      <w:pPr>
        <w:suppressAutoHyphens/>
        <w:spacing w:after="60" w:line="260" w:lineRule="atLeast"/>
      </w:pPr>
      <w:r w:rsidRPr="005951BD">
        <w:t xml:space="preserve">Although </w:t>
      </w:r>
      <w:proofErr w:type="spellStart"/>
      <w:r w:rsidR="007628AF">
        <w:t>AGaP</w:t>
      </w:r>
      <w:proofErr w:type="spellEnd"/>
      <w:r w:rsidRPr="005951BD">
        <w:t xml:space="preserve"> sits under the AMPED investment framework, DFAT requires </w:t>
      </w:r>
      <w:proofErr w:type="spellStart"/>
      <w:r w:rsidR="007628AF">
        <w:t>AGaP</w:t>
      </w:r>
      <w:proofErr w:type="spellEnd"/>
      <w:r w:rsidRPr="005951BD">
        <w:t xml:space="preserve"> to have its own monitoring and evaluation (M&amp;E) mechanisms, with DFAT coordinating at the investment level to ensure outputs and intermediate outcomes contribute to the AMPED </w:t>
      </w:r>
      <w:r w:rsidR="00FA1E48">
        <w:t>end of program outcomes (</w:t>
      </w:r>
      <w:r w:rsidRPr="005951BD">
        <w:t>EOPOs</w:t>
      </w:r>
      <w:r w:rsidR="00FA1E48">
        <w:t>)</w:t>
      </w:r>
      <w:r w:rsidRPr="005951BD">
        <w:t xml:space="preserve">. </w:t>
      </w:r>
      <w:r w:rsidR="005760AB">
        <w:t xml:space="preserve">DFAT’s Design and Monitoring &amp; Evaluation Standards provide a guideline that 4-7 percent of the budget </w:t>
      </w:r>
      <w:r w:rsidR="00FA325F">
        <w:t xml:space="preserve">should be </w:t>
      </w:r>
      <w:r w:rsidR="005760AB">
        <w:t xml:space="preserve">allocated for M&amp;E resourcing and costing, including a clear process and frequency for updating the M&amp;E Plan. </w:t>
      </w:r>
      <w:proofErr w:type="spellStart"/>
      <w:r w:rsidR="007628AF">
        <w:t>AGaP</w:t>
      </w:r>
      <w:r w:rsidR="005760AB">
        <w:t>’s</w:t>
      </w:r>
      <w:proofErr w:type="spellEnd"/>
      <w:r w:rsidR="005760AB">
        <w:t xml:space="preserve"> M&amp;E budget is included under the Program Management and Grant Allocation envelope</w:t>
      </w:r>
      <w:r w:rsidR="004D7391">
        <w:t>,</w:t>
      </w:r>
      <w:r w:rsidR="005760AB">
        <w:t xml:space="preserve"> which makes it hard to track allocation and spend dedicated to M&amp;E. </w:t>
      </w:r>
    </w:p>
    <w:p w14:paraId="4DDC4064" w14:textId="1437F389" w:rsidR="005951BD" w:rsidRPr="005951BD" w:rsidRDefault="005951BD" w:rsidP="005951BD">
      <w:pPr>
        <w:suppressAutoHyphens/>
        <w:spacing w:after="60" w:line="260" w:lineRule="atLeast"/>
      </w:pPr>
      <w:r w:rsidRPr="005951BD">
        <w:t xml:space="preserve">The Bank and DFAT worked closely to develop the results framework at the design stage of </w:t>
      </w:r>
      <w:proofErr w:type="spellStart"/>
      <w:r w:rsidR="007628AF">
        <w:t>AGaP</w:t>
      </w:r>
      <w:proofErr w:type="spellEnd"/>
      <w:r w:rsidRPr="005951BD">
        <w:t xml:space="preserve">, acting on a recommendation from the previous DFAT-WB Trust Fund. According to Bank staff, they also met with the M&amp;E adviser from the AMPED M&amp;E resource hub who approved the results framework. This framework guided </w:t>
      </w:r>
      <w:proofErr w:type="spellStart"/>
      <w:r w:rsidR="007628AF">
        <w:t>AGaP</w:t>
      </w:r>
      <w:r w:rsidRPr="005951BD">
        <w:t>’s</w:t>
      </w:r>
      <w:proofErr w:type="spellEnd"/>
      <w:r w:rsidRPr="005951BD">
        <w:t xml:space="preserve"> M&amp;E activities, including the preparation of project reporting templates for WB task teams and use of its M&amp;E process to monitor </w:t>
      </w:r>
      <w:proofErr w:type="spellStart"/>
      <w:r w:rsidR="007628AF">
        <w:t>AGaP</w:t>
      </w:r>
      <w:r w:rsidR="0065414E" w:rsidRPr="005951BD">
        <w:t>’s</w:t>
      </w:r>
      <w:proofErr w:type="spellEnd"/>
      <w:r w:rsidR="0065414E" w:rsidRPr="005951BD">
        <w:t xml:space="preserve"> </w:t>
      </w:r>
      <w:r w:rsidRPr="005951BD">
        <w:t>implementation (e.g.</w:t>
      </w:r>
      <w:r w:rsidR="005E740A">
        <w:t>,</w:t>
      </w:r>
      <w:r w:rsidRPr="005951BD">
        <w:t xml:space="preserve"> through WB’s Annual Progress Review). </w:t>
      </w:r>
    </w:p>
    <w:p w14:paraId="159F211C" w14:textId="3516A7DB" w:rsidR="005951BD" w:rsidRPr="005951BD" w:rsidRDefault="005951BD" w:rsidP="005951BD">
      <w:pPr>
        <w:suppressAutoHyphens/>
        <w:spacing w:after="60" w:line="260" w:lineRule="atLeast"/>
      </w:pPr>
      <w:r w:rsidRPr="005951BD">
        <w:t>Reporting by TTLs in charge of each grant is an important part of the M&amp;E system because it provides the raw material from which a complete picture of the program’s effectiveness can be compiled</w:t>
      </w:r>
      <w:r w:rsidRPr="005951BD" w:rsidDel="007E66C7">
        <w:t>.</w:t>
      </w:r>
      <w:r w:rsidR="007E66C7">
        <w:t xml:space="preserve"> </w:t>
      </w:r>
      <w:r w:rsidRPr="005951BD">
        <w:t xml:space="preserve">In </w:t>
      </w:r>
      <w:proofErr w:type="spellStart"/>
      <w:r w:rsidR="007628AF">
        <w:t>AGaP</w:t>
      </w:r>
      <w:proofErr w:type="spellEnd"/>
      <w:r w:rsidRPr="005951BD">
        <w:t xml:space="preserve">, </w:t>
      </w:r>
      <w:r w:rsidR="00BB07E0" w:rsidRPr="005951BD">
        <w:t>semi-annual</w:t>
      </w:r>
      <w:r w:rsidRPr="005951BD">
        <w:t xml:space="preserve"> and annual progress reports are completed at the grant level, and that content is used for </w:t>
      </w:r>
      <w:proofErr w:type="spellStart"/>
      <w:r w:rsidR="007628AF">
        <w:t>AGaP</w:t>
      </w:r>
      <w:proofErr w:type="spellEnd"/>
      <w:r w:rsidRPr="005951BD">
        <w:t xml:space="preserve"> level reporting to DFAT which is also biannual. The facility secretariat works with task managers to address bottlenecks. The WB acknowledged that the standard internal WB reporting templates did not capture all the information DFAT needed, and so</w:t>
      </w:r>
      <w:r w:rsidR="002A68CF">
        <w:t xml:space="preserve"> it</w:t>
      </w:r>
      <w:r w:rsidRPr="005951BD">
        <w:t xml:space="preserve"> developed a new reporting template for </w:t>
      </w:r>
      <w:proofErr w:type="spellStart"/>
      <w:r w:rsidR="007628AF">
        <w:t>AGaP</w:t>
      </w:r>
      <w:proofErr w:type="spellEnd"/>
      <w:r w:rsidRPr="005951BD">
        <w:t>. </w:t>
      </w:r>
    </w:p>
    <w:p w14:paraId="14C5EE6A" w14:textId="438B1454" w:rsidR="005951BD" w:rsidRPr="005951BD" w:rsidRDefault="005951BD" w:rsidP="005951BD">
      <w:pPr>
        <w:suppressAutoHyphens/>
        <w:spacing w:after="60" w:line="260" w:lineRule="atLeast"/>
      </w:pPr>
      <w:r w:rsidRPr="005951BD">
        <w:t>The literature review shows that during the period covered by the MTR</w:t>
      </w:r>
      <w:r w:rsidR="00EE7189">
        <w:t>,</w:t>
      </w:r>
      <w:r w:rsidRPr="005951BD">
        <w:t xml:space="preserve"> there has been inconsistent reporting across the life of some </w:t>
      </w:r>
      <w:proofErr w:type="spellStart"/>
      <w:r w:rsidR="007628AF">
        <w:t>AGaP</w:t>
      </w:r>
      <w:proofErr w:type="spellEnd"/>
      <w:r w:rsidRPr="005951BD">
        <w:t xml:space="preserve"> grants</w:t>
      </w:r>
      <w:r w:rsidR="00EE7189">
        <w:t xml:space="preserve"> </w:t>
      </w:r>
      <w:r w:rsidRPr="005951BD">
        <w:t xml:space="preserve">as well as against the </w:t>
      </w:r>
      <w:proofErr w:type="spellStart"/>
      <w:r w:rsidR="007628AF">
        <w:t>AGaP</w:t>
      </w:r>
      <w:proofErr w:type="spellEnd"/>
      <w:r w:rsidRPr="005951BD">
        <w:t xml:space="preserve"> </w:t>
      </w:r>
      <w:r w:rsidR="00EE7189">
        <w:t>r</w:t>
      </w:r>
      <w:r w:rsidRPr="005951BD">
        <w:t xml:space="preserve">esults </w:t>
      </w:r>
      <w:r w:rsidR="00EE7189">
        <w:t>f</w:t>
      </w:r>
      <w:r w:rsidRPr="005951BD">
        <w:t>ramework. For example, an impediment to tracking the progress of the DPL grant is the inconsistency in the way the project is structured. The proposal sets out five objectives for the grant, but the progress reports do not follow this structure</w:t>
      </w:r>
      <w:r w:rsidRPr="005951BD" w:rsidDel="007E66C7">
        <w:t>.</w:t>
      </w:r>
      <w:r w:rsidR="007E66C7">
        <w:t xml:space="preserve"> </w:t>
      </w:r>
      <w:r w:rsidRPr="005951BD">
        <w:t xml:space="preserve">It is, of course, acceptable (and often sensible) to change activities </w:t>
      </w:r>
      <w:proofErr w:type="gramStart"/>
      <w:r w:rsidRPr="005951BD">
        <w:t>during the course of</w:t>
      </w:r>
      <w:proofErr w:type="gramEnd"/>
      <w:r w:rsidRPr="005951BD">
        <w:t xml:space="preserve"> a grant to reflect changing circumstances (e.g.</w:t>
      </w:r>
      <w:r w:rsidR="006359C9">
        <w:t>,</w:t>
      </w:r>
      <w:r w:rsidRPr="005951BD">
        <w:t xml:space="preserve"> COVID-19 </w:t>
      </w:r>
      <w:r w:rsidR="006359C9">
        <w:t>p</w:t>
      </w:r>
      <w:r w:rsidRPr="005951BD">
        <w:t>andemic), but the original objectives of the grant would still need to be preserved. The inconsistent approach to recording results against the original objectives makes it difficult for an outsider to understand the overarching story. </w:t>
      </w:r>
    </w:p>
    <w:p w14:paraId="085817AD" w14:textId="5DDD427C" w:rsidR="005951BD" w:rsidRDefault="005951BD" w:rsidP="005951BD">
      <w:pPr>
        <w:suppressAutoHyphens/>
        <w:spacing w:before="120" w:after="60" w:line="260" w:lineRule="atLeast"/>
      </w:pPr>
      <w:r w:rsidRPr="00AB712F">
        <w:t>The need to demonstrate how project outputs contribute to the</w:t>
      </w:r>
      <w:r w:rsidR="007E5FC7">
        <w:t xml:space="preserve">ir </w:t>
      </w:r>
      <w:r w:rsidRPr="00AB712F">
        <w:t xml:space="preserve">purpose is not only important within </w:t>
      </w:r>
      <w:proofErr w:type="spellStart"/>
      <w:r w:rsidR="007628AF">
        <w:t>AGaP</w:t>
      </w:r>
      <w:proofErr w:type="spellEnd"/>
      <w:r w:rsidRPr="00AB712F">
        <w:t xml:space="preserve"> itself. DFAT highlighted the need to strengthen the line of sight between the activities in </w:t>
      </w:r>
      <w:proofErr w:type="spellStart"/>
      <w:r w:rsidR="007628AF">
        <w:t>AGaP</w:t>
      </w:r>
      <w:proofErr w:type="spellEnd"/>
      <w:r w:rsidRPr="00AB712F">
        <w:t xml:space="preserve"> and DFAT’s broader AMPED investment</w:t>
      </w:r>
      <w:r w:rsidR="003D6994">
        <w:t>, a</w:t>
      </w:r>
      <w:r w:rsidRPr="00AB712F">
        <w:t>lthough this appears to be a finding relevant for all AMPED partner programs.</w:t>
      </w:r>
    </w:p>
    <w:p w14:paraId="4FD8E5CF" w14:textId="6D51BC40" w:rsidR="009C4F38" w:rsidRPr="009C4F38" w:rsidRDefault="009C4F38" w:rsidP="009C4F38">
      <w:pPr>
        <w:suppressAutoHyphens/>
        <w:spacing w:before="120" w:after="60" w:line="260" w:lineRule="atLeast"/>
      </w:pPr>
      <w:r w:rsidRPr="009C4F38">
        <w:t>Like other development partners, the World Bank and DFAT are grappling with the challenge of finding the best ways to measure and report on the impact of policy development support. Development partners can, at best, share skills, knowledge, experience, and fresh perspectives that contribute to informed decision</w:t>
      </w:r>
      <w:r w:rsidR="007053A9">
        <w:t xml:space="preserve"> </w:t>
      </w:r>
      <w:r w:rsidRPr="009C4F38">
        <w:t xml:space="preserve">making by </w:t>
      </w:r>
      <w:r w:rsidR="007053A9">
        <w:t>g</w:t>
      </w:r>
      <w:r w:rsidRPr="009C4F38">
        <w:t xml:space="preserve">overnments that are themselves fully </w:t>
      </w:r>
      <w:r w:rsidRPr="009C4F38">
        <w:lastRenderedPageBreak/>
        <w:t>responsible for their policies.</w:t>
      </w:r>
      <w:r>
        <w:rPr>
          <w:rStyle w:val="FootnoteReference"/>
        </w:rPr>
        <w:footnoteReference w:id="32"/>
      </w:r>
      <w:r>
        <w:t xml:space="preserve">  </w:t>
      </w:r>
      <w:r w:rsidRPr="009C4F38">
        <w:t xml:space="preserve">Influencing policy reform in the way envisaged by programs such as </w:t>
      </w:r>
      <w:proofErr w:type="spellStart"/>
      <w:r w:rsidR="007628AF">
        <w:t>AGaP</w:t>
      </w:r>
      <w:proofErr w:type="spellEnd"/>
      <w:r w:rsidRPr="009C4F38">
        <w:t xml:space="preserve"> requires continuous engagement with policy makers and those who influence them. The </w:t>
      </w:r>
      <w:proofErr w:type="spellStart"/>
      <w:r w:rsidR="007628AF">
        <w:t>AGaP</w:t>
      </w:r>
      <w:proofErr w:type="spellEnd"/>
      <w:r w:rsidRPr="009C4F38">
        <w:t xml:space="preserve"> team is seeing results with this approach, as illustrated by the DPL grant, but it is difficult to measure the value of this impact. To be successful, the process needs to operate in the background and allow space for policy makers to find their own way towards executing the reforms. Claims of attribution by a donor can even be counterproductive to the relationship with the partner government.</w:t>
      </w:r>
    </w:p>
    <w:p w14:paraId="32782B6F" w14:textId="73AFDD75" w:rsidR="009C4F38" w:rsidRPr="005951BD" w:rsidRDefault="009C4F38" w:rsidP="009C4F38">
      <w:pPr>
        <w:suppressAutoHyphens/>
        <w:spacing w:before="120" w:after="60" w:line="260" w:lineRule="atLeast"/>
      </w:pPr>
      <w:r w:rsidRPr="009C4F38">
        <w:t>Therefore, the M&amp;E function of the program needs to find ways to measure the degree of influence on policy reform that can be attributed to the activities and how these outcomes confirm the validity of the p</w:t>
      </w:r>
      <w:r w:rsidR="007E5FC7">
        <w:t>r</w:t>
      </w:r>
      <w:r w:rsidRPr="009C4F38">
        <w:t xml:space="preserve">ogram’s theory of change. The </w:t>
      </w:r>
      <w:proofErr w:type="spellStart"/>
      <w:r w:rsidR="007628AF">
        <w:t>AGaP</w:t>
      </w:r>
      <w:proofErr w:type="spellEnd"/>
      <w:r w:rsidRPr="009C4F38">
        <w:t xml:space="preserve"> team should review the tools available that aim to do this. One example is Qualitative Impact Protocol (</w:t>
      </w:r>
      <w:proofErr w:type="spellStart"/>
      <w:r w:rsidRPr="009C4F38">
        <w:t>QuIP</w:t>
      </w:r>
      <w:proofErr w:type="spellEnd"/>
      <w:r w:rsidRPr="009C4F38">
        <w:t>), which uses double-blind surveys to un</w:t>
      </w:r>
      <w:r w:rsidR="007E5FC7">
        <w:t>ravel</w:t>
      </w:r>
      <w:r w:rsidRPr="009C4F38">
        <w:t xml:space="preserve"> the textured nature of how different influences interact to induce change</w:t>
      </w:r>
      <w:r>
        <w:t>.</w:t>
      </w:r>
      <w:r>
        <w:rPr>
          <w:rStyle w:val="FootnoteReference"/>
        </w:rPr>
        <w:footnoteReference w:id="33"/>
      </w:r>
    </w:p>
    <w:p w14:paraId="3691000B" w14:textId="1A34CF68" w:rsidR="005951BD" w:rsidRDefault="005951BD" w:rsidP="005951BD">
      <w:pPr>
        <w:suppressAutoHyphens/>
        <w:spacing w:after="60" w:line="260" w:lineRule="atLeast"/>
      </w:pPr>
      <w:r w:rsidRPr="005951BD">
        <w:t xml:space="preserve">The Operations Manual states that the results framework is essential for measuring achievements by the </w:t>
      </w:r>
      <w:r w:rsidR="00E63D57" w:rsidRPr="005951BD">
        <w:t>program and</w:t>
      </w:r>
      <w:r w:rsidRPr="005951BD">
        <w:t xml:space="preserve"> will be updated as needed to reflect any adjustments agreed by the Operations </w:t>
      </w:r>
      <w:r w:rsidR="00250090">
        <w:t xml:space="preserve">Committee </w:t>
      </w:r>
      <w:r w:rsidRPr="005951BD">
        <w:t>or Steering Committee during implementation</w:t>
      </w:r>
      <w:r w:rsidRPr="005951BD" w:rsidDel="007E66C7">
        <w:t>.</w:t>
      </w:r>
      <w:r w:rsidR="007E66C7">
        <w:t xml:space="preserve"> </w:t>
      </w:r>
      <w:r w:rsidRPr="00AB712F">
        <w:t xml:space="preserve">However, the evaluation team found that the outcomes have been altered without any record of that change being agreed at the </w:t>
      </w:r>
      <w:r w:rsidR="00250090" w:rsidRPr="00AB712F">
        <w:t xml:space="preserve">Steering Committee </w:t>
      </w:r>
      <w:r w:rsidRPr="00AB712F">
        <w:t>level. The outcomes tabled in the Operations Manual are</w:t>
      </w:r>
      <w:r w:rsidR="00250090" w:rsidRPr="00AB712F">
        <w:t xml:space="preserve"> as follows</w:t>
      </w:r>
      <w:r w:rsidRPr="00AB712F">
        <w:t>:</w:t>
      </w:r>
    </w:p>
    <w:p w14:paraId="28F85C17" w14:textId="77777777" w:rsidR="00804A46" w:rsidRPr="005951BD" w:rsidRDefault="00804A46" w:rsidP="00804A46">
      <w:pPr>
        <w:suppressAutoHyphens/>
        <w:spacing w:line="260" w:lineRule="atLeast"/>
        <w:rPr>
          <w:b/>
        </w:rPr>
      </w:pPr>
      <w:r w:rsidRPr="005951BD">
        <w:rPr>
          <w:b/>
        </w:rPr>
        <w:t>Project development and preparation</w:t>
      </w:r>
    </w:p>
    <w:p w14:paraId="77057F7A" w14:textId="5B312281" w:rsidR="00804A46" w:rsidRDefault="00804A46" w:rsidP="00804A46">
      <w:pPr>
        <w:suppressAutoHyphens/>
        <w:spacing w:after="60" w:line="260" w:lineRule="atLeast"/>
        <w:rPr>
          <w:b/>
        </w:rPr>
      </w:pPr>
      <w:r w:rsidRPr="005951BD">
        <w:rPr>
          <w:b/>
        </w:rPr>
        <w:t>Policy reform and dialogue</w:t>
      </w:r>
    </w:p>
    <w:p w14:paraId="7E98C22C" w14:textId="77777777" w:rsidR="00804A46" w:rsidRPr="005951BD" w:rsidRDefault="00804A46" w:rsidP="00804A46">
      <w:pPr>
        <w:suppressAutoHyphens/>
        <w:spacing w:line="260" w:lineRule="atLeast"/>
        <w:rPr>
          <w:b/>
        </w:rPr>
      </w:pPr>
      <w:r w:rsidRPr="005951BD">
        <w:rPr>
          <w:b/>
        </w:rPr>
        <w:t>Public debate and awareness</w:t>
      </w:r>
    </w:p>
    <w:p w14:paraId="455E20DF" w14:textId="77777777" w:rsidR="00804A46" w:rsidRPr="005951BD" w:rsidRDefault="00804A46" w:rsidP="00804A46">
      <w:pPr>
        <w:suppressAutoHyphens/>
        <w:spacing w:line="260" w:lineRule="atLeast"/>
        <w:rPr>
          <w:b/>
        </w:rPr>
      </w:pPr>
      <w:r w:rsidRPr="005951BD">
        <w:rPr>
          <w:b/>
        </w:rPr>
        <w:t>Partnerships and implementation platforms</w:t>
      </w:r>
    </w:p>
    <w:p w14:paraId="20EC8D5F" w14:textId="71F47DCF" w:rsidR="005951BD" w:rsidRDefault="005951BD" w:rsidP="005951BD">
      <w:pPr>
        <w:suppressAutoHyphens/>
        <w:spacing w:after="60" w:line="260" w:lineRule="atLeast"/>
      </w:pPr>
      <w:r w:rsidRPr="005951BD">
        <w:t xml:space="preserve">In contrast, the 2020 </w:t>
      </w:r>
      <w:r w:rsidR="00AC2872">
        <w:t>A</w:t>
      </w:r>
      <w:r w:rsidRPr="005951BD">
        <w:t xml:space="preserve">nnual </w:t>
      </w:r>
      <w:r w:rsidR="00AC2872">
        <w:t>R</w:t>
      </w:r>
      <w:r w:rsidRPr="005951BD">
        <w:t>eport</w:t>
      </w:r>
      <w:r w:rsidR="00AC2872">
        <w:t xml:space="preserve"> </w:t>
      </w:r>
      <w:r w:rsidRPr="005951BD">
        <w:t>and subsequent reports</w:t>
      </w:r>
      <w:r w:rsidR="00AC2872">
        <w:t xml:space="preserve"> </w:t>
      </w:r>
      <w:r w:rsidRPr="005951BD">
        <w:t>include this depiction of the overall objective and outcomes:</w:t>
      </w:r>
    </w:p>
    <w:p w14:paraId="6143F7A1" w14:textId="2A294389" w:rsidR="004633F1" w:rsidRPr="00BE03F6" w:rsidRDefault="004633F1" w:rsidP="004633F1">
      <w:pPr>
        <w:suppressAutoHyphens/>
        <w:spacing w:after="60" w:line="260" w:lineRule="atLeast"/>
        <w:rPr>
          <w:b/>
          <w:bCs/>
        </w:rPr>
      </w:pPr>
      <w:r w:rsidRPr="00BE03F6">
        <w:rPr>
          <w:b/>
          <w:bCs/>
        </w:rPr>
        <w:t xml:space="preserve">To facilitate knowledge exchange and assist the </w:t>
      </w:r>
      <w:r w:rsidR="00C66F8D">
        <w:rPr>
          <w:b/>
          <w:bCs/>
        </w:rPr>
        <w:t>Gov’t</w:t>
      </w:r>
      <w:r w:rsidRPr="00BE03F6">
        <w:rPr>
          <w:b/>
          <w:bCs/>
        </w:rPr>
        <w:t xml:space="preserve"> in the design and impl</w:t>
      </w:r>
      <w:r w:rsidR="0022019C">
        <w:rPr>
          <w:b/>
          <w:bCs/>
        </w:rPr>
        <w:t>e</w:t>
      </w:r>
      <w:r w:rsidRPr="00BE03F6">
        <w:rPr>
          <w:b/>
          <w:bCs/>
        </w:rPr>
        <w:t xml:space="preserve">mentation of policy reforms and programs. </w:t>
      </w:r>
    </w:p>
    <w:p w14:paraId="4C6FC5C0" w14:textId="52BA9303" w:rsidR="004633F1" w:rsidRPr="00BE03F6" w:rsidRDefault="004633F1" w:rsidP="00C64AD4">
      <w:pPr>
        <w:pStyle w:val="ListParagraph"/>
        <w:numPr>
          <w:ilvl w:val="0"/>
          <w:numId w:val="27"/>
        </w:numPr>
        <w:rPr>
          <w:b/>
          <w:bCs/>
        </w:rPr>
      </w:pPr>
      <w:r w:rsidRPr="00BE03F6">
        <w:rPr>
          <w:b/>
          <w:bCs/>
        </w:rPr>
        <w:t xml:space="preserve">Project development, </w:t>
      </w:r>
      <w:proofErr w:type="gramStart"/>
      <w:r w:rsidRPr="00BE03F6">
        <w:rPr>
          <w:b/>
          <w:bCs/>
        </w:rPr>
        <w:t>preparation</w:t>
      </w:r>
      <w:proofErr w:type="gramEnd"/>
      <w:r w:rsidRPr="00BE03F6">
        <w:rPr>
          <w:b/>
          <w:bCs/>
        </w:rPr>
        <w:t xml:space="preserve"> and implementation support</w:t>
      </w:r>
    </w:p>
    <w:p w14:paraId="770245DE" w14:textId="1825E700" w:rsidR="004633F1" w:rsidRPr="00BE03F6" w:rsidRDefault="004633F1" w:rsidP="00C64AD4">
      <w:pPr>
        <w:pStyle w:val="ListParagraph"/>
        <w:numPr>
          <w:ilvl w:val="0"/>
          <w:numId w:val="27"/>
        </w:numPr>
        <w:rPr>
          <w:b/>
          <w:bCs/>
        </w:rPr>
      </w:pPr>
      <w:r w:rsidRPr="00BE03F6">
        <w:rPr>
          <w:b/>
          <w:bCs/>
        </w:rPr>
        <w:t xml:space="preserve">Policy </w:t>
      </w:r>
      <w:r w:rsidR="005D36FD">
        <w:rPr>
          <w:b/>
          <w:bCs/>
        </w:rPr>
        <w:t>R</w:t>
      </w:r>
      <w:r w:rsidRPr="00BE03F6">
        <w:rPr>
          <w:b/>
          <w:bCs/>
        </w:rPr>
        <w:t xml:space="preserve">eform and </w:t>
      </w:r>
      <w:r w:rsidR="005D36FD">
        <w:rPr>
          <w:b/>
          <w:bCs/>
        </w:rPr>
        <w:t>D</w:t>
      </w:r>
      <w:r w:rsidRPr="00BE03F6">
        <w:rPr>
          <w:b/>
          <w:bCs/>
        </w:rPr>
        <w:t>ialogue</w:t>
      </w:r>
    </w:p>
    <w:p w14:paraId="2D3F3DCD" w14:textId="11C4AB7D" w:rsidR="004633F1" w:rsidRPr="00BE03F6" w:rsidRDefault="004633F1" w:rsidP="00C64AD4">
      <w:pPr>
        <w:pStyle w:val="ListParagraph"/>
        <w:numPr>
          <w:ilvl w:val="0"/>
          <w:numId w:val="27"/>
        </w:numPr>
        <w:rPr>
          <w:b/>
          <w:bCs/>
        </w:rPr>
      </w:pPr>
      <w:r w:rsidRPr="00BE03F6">
        <w:rPr>
          <w:b/>
          <w:bCs/>
        </w:rPr>
        <w:t xml:space="preserve">Public </w:t>
      </w:r>
      <w:r w:rsidR="005D36FD">
        <w:rPr>
          <w:b/>
          <w:bCs/>
        </w:rPr>
        <w:t>D</w:t>
      </w:r>
      <w:r w:rsidRPr="00BE03F6">
        <w:rPr>
          <w:b/>
          <w:bCs/>
        </w:rPr>
        <w:t xml:space="preserve">ebate and </w:t>
      </w:r>
      <w:r w:rsidR="005D36FD">
        <w:rPr>
          <w:b/>
          <w:bCs/>
        </w:rPr>
        <w:t>A</w:t>
      </w:r>
      <w:r w:rsidRPr="00BE03F6">
        <w:rPr>
          <w:b/>
          <w:bCs/>
        </w:rPr>
        <w:t>wareness</w:t>
      </w:r>
    </w:p>
    <w:p w14:paraId="0B509689" w14:textId="4333EAA1" w:rsidR="0011420B" w:rsidRPr="00BE03F6" w:rsidRDefault="004633F1" w:rsidP="00C64AD4">
      <w:pPr>
        <w:pStyle w:val="ListParagraph"/>
        <w:numPr>
          <w:ilvl w:val="0"/>
          <w:numId w:val="27"/>
        </w:numPr>
        <w:rPr>
          <w:b/>
          <w:bCs/>
        </w:rPr>
      </w:pPr>
      <w:r w:rsidRPr="00BE03F6">
        <w:rPr>
          <w:b/>
          <w:bCs/>
        </w:rPr>
        <w:t xml:space="preserve">Partnerships and </w:t>
      </w:r>
      <w:r w:rsidR="000B12F1">
        <w:rPr>
          <w:b/>
          <w:bCs/>
        </w:rPr>
        <w:t>C</w:t>
      </w:r>
      <w:r w:rsidRPr="00BE03F6">
        <w:rPr>
          <w:b/>
          <w:bCs/>
        </w:rPr>
        <w:t xml:space="preserve">ollaboration </w:t>
      </w:r>
      <w:r w:rsidR="000B12F1">
        <w:rPr>
          <w:b/>
          <w:bCs/>
        </w:rPr>
        <w:t>P</w:t>
      </w:r>
      <w:r w:rsidRPr="00BE03F6">
        <w:rPr>
          <w:b/>
          <w:bCs/>
        </w:rPr>
        <w:t>latforms</w:t>
      </w:r>
    </w:p>
    <w:p w14:paraId="24ED1C36" w14:textId="1ECE102F" w:rsidR="005951BD" w:rsidRPr="005951BD" w:rsidRDefault="005951BD" w:rsidP="005951BD">
      <w:pPr>
        <w:suppressAutoHyphens/>
        <w:spacing w:after="60" w:line="260" w:lineRule="atLeast"/>
      </w:pPr>
      <w:r w:rsidRPr="00AB712F">
        <w:t xml:space="preserve">The overall objective is the same (forgiving the minor spelling mistake), but outcomes 1 and 4 are slightly different. In the case of </w:t>
      </w:r>
      <w:r w:rsidR="00774C6E">
        <w:t>o</w:t>
      </w:r>
      <w:r w:rsidRPr="00AB712F">
        <w:t>utcome 4</w:t>
      </w:r>
      <w:r w:rsidR="00774C6E">
        <w:t>,</w:t>
      </w:r>
      <w:r w:rsidRPr="00AB712F">
        <w:t xml:space="preserve"> there is a material difference between </w:t>
      </w:r>
      <w:r w:rsidR="00774C6E">
        <w:t>“</w:t>
      </w:r>
      <w:r w:rsidRPr="00AB712F">
        <w:t>collaboration platforms</w:t>
      </w:r>
      <w:r w:rsidR="00774C6E">
        <w:t xml:space="preserve">” </w:t>
      </w:r>
      <w:r w:rsidRPr="00AB712F">
        <w:t xml:space="preserve">and </w:t>
      </w:r>
      <w:r w:rsidR="00774C6E">
        <w:t>“</w:t>
      </w:r>
      <w:r w:rsidRPr="00AB712F">
        <w:t>implementation platforms</w:t>
      </w:r>
      <w:r w:rsidR="00774C6E">
        <w:t>”</w:t>
      </w:r>
      <w:r w:rsidRPr="00AB712F">
        <w:t>. This has bearing on how this outcome is measured.</w:t>
      </w:r>
    </w:p>
    <w:p w14:paraId="37601849" w14:textId="07688FA6" w:rsidR="005951BD" w:rsidRPr="005951BD" w:rsidRDefault="005951BD" w:rsidP="005951BD">
      <w:pPr>
        <w:suppressAutoHyphens/>
        <w:spacing w:after="60" w:line="260" w:lineRule="atLeast"/>
      </w:pPr>
      <w:r w:rsidRPr="005951BD">
        <w:t xml:space="preserve">This MTR is no substitute for an M&amp;E </w:t>
      </w:r>
      <w:r w:rsidR="008F69A7" w:rsidRPr="005951BD">
        <w:t>report and</w:t>
      </w:r>
      <w:r w:rsidRPr="005951BD">
        <w:t xml:space="preserve"> is not designed to measure detailed progress against indicators. </w:t>
      </w:r>
      <w:r w:rsidRPr="00AB712F">
        <w:t xml:space="preserve">In summary, there is strong focus under </w:t>
      </w:r>
      <w:proofErr w:type="spellStart"/>
      <w:r w:rsidR="007628AF">
        <w:t>AGaP</w:t>
      </w:r>
      <w:proofErr w:type="spellEnd"/>
      <w:r w:rsidRPr="00AB712F">
        <w:t xml:space="preserve"> against the first 2 outcome areas. This makes sense for an economic policy reform program </w:t>
      </w:r>
      <w:r w:rsidR="00F14BFA" w:rsidRPr="00AB712F">
        <w:t xml:space="preserve">that </w:t>
      </w:r>
      <w:r w:rsidRPr="00AB712F">
        <w:t xml:space="preserve">intends to be responsive to </w:t>
      </w:r>
      <w:proofErr w:type="spellStart"/>
      <w:r w:rsidRPr="00AB712F">
        <w:lastRenderedPageBreak/>
        <w:t>GoP</w:t>
      </w:r>
      <w:proofErr w:type="spellEnd"/>
      <w:r w:rsidRPr="00AB712F">
        <w:t xml:space="preserve"> policy reform momentum</w:t>
      </w:r>
      <w:r w:rsidRPr="00AB712F" w:rsidDel="007E66C7">
        <w:t>.</w:t>
      </w:r>
      <w:r w:rsidR="007E66C7" w:rsidRPr="00AB712F">
        <w:t xml:space="preserve"> </w:t>
      </w:r>
      <w:r w:rsidRPr="00AB712F">
        <w:t xml:space="preserve">Outcome 3 came into prominence when the COVID-19 pandemic triggered activities with more public engagement, and meetings with </w:t>
      </w:r>
      <w:proofErr w:type="spellStart"/>
      <w:r w:rsidRPr="00AB712F">
        <w:t>GoP</w:t>
      </w:r>
      <w:proofErr w:type="spellEnd"/>
      <w:r w:rsidRPr="00AB712F">
        <w:t>, DPs, UN</w:t>
      </w:r>
      <w:r w:rsidR="00F14BFA" w:rsidRPr="00AB712F">
        <w:t>,</w:t>
      </w:r>
      <w:r w:rsidRPr="00AB712F">
        <w:t xml:space="preserve"> </w:t>
      </w:r>
      <w:r w:rsidR="00F14BFA" w:rsidRPr="00AB712F">
        <w:t>and other partners</w:t>
      </w:r>
      <w:r w:rsidRPr="00AB712F">
        <w:t>. However, in the next phase</w:t>
      </w:r>
      <w:r w:rsidR="00507243">
        <w:t>,</w:t>
      </w:r>
      <w:r w:rsidRPr="00AB712F">
        <w:t xml:space="preserve"> </w:t>
      </w:r>
      <w:proofErr w:type="spellStart"/>
      <w:r w:rsidR="007628AF">
        <w:t>AGaP</w:t>
      </w:r>
      <w:proofErr w:type="spellEnd"/>
      <w:r w:rsidRPr="00AB712F">
        <w:t xml:space="preserve"> will need to broaden the scope of debate to include the </w:t>
      </w:r>
      <w:proofErr w:type="gramStart"/>
      <w:r w:rsidRPr="00AB712F">
        <w:t>general public</w:t>
      </w:r>
      <w:proofErr w:type="gramEnd"/>
      <w:r w:rsidRPr="00AB712F">
        <w:t xml:space="preserve"> and civil society.</w:t>
      </w:r>
    </w:p>
    <w:p w14:paraId="7C908C19" w14:textId="3F4018FA" w:rsidR="005951BD" w:rsidRPr="005951BD" w:rsidRDefault="005951BD" w:rsidP="005951BD">
      <w:pPr>
        <w:suppressAutoHyphens/>
        <w:spacing w:after="60" w:line="260" w:lineRule="atLeast"/>
      </w:pPr>
      <w:r w:rsidRPr="00AB712F">
        <w:t xml:space="preserve">Outcome area 4 is ambiguous, partly because of the lack of clarity over the </w:t>
      </w:r>
      <w:r w:rsidR="00534ECF">
        <w:t>“</w:t>
      </w:r>
      <w:r w:rsidRPr="00AB712F">
        <w:t>collaboration</w:t>
      </w:r>
      <w:r w:rsidR="00534ECF">
        <w:t>”</w:t>
      </w:r>
      <w:r w:rsidRPr="00AB712F">
        <w:t xml:space="preserve"> or </w:t>
      </w:r>
      <w:r w:rsidR="00534ECF">
        <w:t>“</w:t>
      </w:r>
      <w:r w:rsidRPr="00AB712F">
        <w:t>implementation</w:t>
      </w:r>
      <w:r w:rsidR="00534ECF">
        <w:t>”</w:t>
      </w:r>
      <w:r w:rsidRPr="00AB712F">
        <w:t xml:space="preserve">. The indicator is for </w:t>
      </w:r>
      <w:r w:rsidR="00534ECF">
        <w:t>“</w:t>
      </w:r>
      <w:r w:rsidRPr="00AB712F">
        <w:t>number of collaborative activities conducted</w:t>
      </w:r>
      <w:r w:rsidR="00534ECF">
        <w:t>”</w:t>
      </w:r>
      <w:r w:rsidRPr="00AB712F">
        <w:t>. In grant reports</w:t>
      </w:r>
      <w:r w:rsidR="005323BB">
        <w:t>,</w:t>
      </w:r>
      <w:r w:rsidRPr="00AB712F">
        <w:t xml:space="preserve"> these activities have </w:t>
      </w:r>
      <w:r w:rsidR="00F41656" w:rsidRPr="00AB712F">
        <w:t>been</w:t>
      </w:r>
      <w:r w:rsidRPr="00AB712F">
        <w:t xml:space="preserve"> meetings</w:t>
      </w:r>
      <w:r w:rsidR="005323BB">
        <w:t>,</w:t>
      </w:r>
      <w:r w:rsidRPr="00AB712F">
        <w:t xml:space="preserve"> which would have been expected to happen anyway</w:t>
      </w:r>
      <w:r w:rsidR="009A4A26">
        <w:t xml:space="preserve">, </w:t>
      </w:r>
      <w:r w:rsidR="009A4A26" w:rsidRPr="00547DC5">
        <w:t xml:space="preserve">and the emphasis is on </w:t>
      </w:r>
      <w:r w:rsidR="002835A5">
        <w:t>“</w:t>
      </w:r>
      <w:r w:rsidR="009A4A26" w:rsidRPr="00547DC5">
        <w:t>informing</w:t>
      </w:r>
      <w:r w:rsidR="002835A5">
        <w:t>”</w:t>
      </w:r>
      <w:r w:rsidR="009A4A26" w:rsidRPr="00547DC5">
        <w:t xml:space="preserve"> the public debate with evidence, instead of inviting stakeholders to </w:t>
      </w:r>
      <w:proofErr w:type="gramStart"/>
      <w:r w:rsidR="009A4A26" w:rsidRPr="00547DC5">
        <w:t>enter into</w:t>
      </w:r>
      <w:proofErr w:type="gramEnd"/>
      <w:r w:rsidR="009A4A26" w:rsidRPr="00547DC5">
        <w:t xml:space="preserve"> a dialogue that helps shape the policy</w:t>
      </w:r>
      <w:r w:rsidRPr="009A4A26">
        <w:t>.</w:t>
      </w:r>
      <w:r w:rsidRPr="00AB712F">
        <w:t xml:space="preserve"> There is a risk that this pillar of </w:t>
      </w:r>
      <w:proofErr w:type="spellStart"/>
      <w:r w:rsidR="007628AF">
        <w:t>AGaP</w:t>
      </w:r>
      <w:proofErr w:type="spellEnd"/>
      <w:r w:rsidRPr="00AB712F">
        <w:t xml:space="preserve"> conflates activities with outcomes, which will weaken the story the program is otherwise capable of telling</w:t>
      </w:r>
      <w:r w:rsidRPr="00AB712F" w:rsidDel="007E66C7">
        <w:t>.</w:t>
      </w:r>
      <w:r w:rsidR="007E66C7" w:rsidRPr="00AB712F">
        <w:t xml:space="preserve"> </w:t>
      </w:r>
      <w:r w:rsidRPr="00AB712F">
        <w:t>This outcome pillar could benefit from further explanation in future progress reports</w:t>
      </w:r>
      <w:r w:rsidR="009A4A26">
        <w:t xml:space="preserve">, and </w:t>
      </w:r>
      <w:proofErr w:type="spellStart"/>
      <w:r w:rsidR="007628AF">
        <w:t>AGaP</w:t>
      </w:r>
      <w:proofErr w:type="spellEnd"/>
      <w:r w:rsidR="009A4A26">
        <w:t xml:space="preserve"> should consider </w:t>
      </w:r>
      <w:r w:rsidR="009A4A26" w:rsidRPr="00547DC5">
        <w:t>shifting the approach to be more collaborative and inviting DFAT to become more involved in that process of dialogue.</w:t>
      </w:r>
      <w:r w:rsidRPr="005951BD">
        <w:t> </w:t>
      </w:r>
    </w:p>
    <w:p w14:paraId="505B8448" w14:textId="190AF674" w:rsidR="005951BD" w:rsidRDefault="005951BD" w:rsidP="005951BD">
      <w:pPr>
        <w:suppressAutoHyphens/>
        <w:spacing w:after="60" w:line="260" w:lineRule="atLeast"/>
      </w:pPr>
      <w:r w:rsidRPr="005951BD">
        <w:t xml:space="preserve">In interviews, DFAT staff explained how they appreciate the high quality of WB reporting and the increased attention given to results vis-à-vis program objectives and cross-cutting themes in the most recent annual report. </w:t>
      </w:r>
      <w:r w:rsidRPr="00AB712F">
        <w:t xml:space="preserve">However, they would like reporting to expand beyond inputs and outputs to include greater reference to the policy development nuance such as the risks and sensitivities around aspects of </w:t>
      </w:r>
      <w:proofErr w:type="spellStart"/>
      <w:r w:rsidRPr="00AB712F">
        <w:t>GoP</w:t>
      </w:r>
      <w:proofErr w:type="spellEnd"/>
      <w:r w:rsidRPr="00AB712F">
        <w:t xml:space="preserve"> decision making. Upgrading M&amp;E as a function within </w:t>
      </w:r>
      <w:proofErr w:type="spellStart"/>
      <w:r w:rsidR="007628AF">
        <w:t>AGaP</w:t>
      </w:r>
      <w:proofErr w:type="spellEnd"/>
      <w:r w:rsidRPr="00AB712F">
        <w:t xml:space="preserve"> could facilitate connections across pillars, encourage sharing lessons learned and enhance its use as a planning tool. There is budget available for this in the program management allocation (which is largely underspent, as discussed in the </w:t>
      </w:r>
      <w:r w:rsidR="005F52E7">
        <w:t>D</w:t>
      </w:r>
      <w:r w:rsidRPr="00AB712F">
        <w:t>isbursements</w:t>
      </w:r>
      <w:r w:rsidR="005F52E7">
        <w:t xml:space="preserve"> </w:t>
      </w:r>
      <w:r w:rsidRPr="00AB712F">
        <w:t>section of this report).</w:t>
      </w:r>
      <w:r w:rsidRPr="005951BD">
        <w:t> </w:t>
      </w:r>
    </w:p>
    <w:p w14:paraId="31B59EE0" w14:textId="608B9932" w:rsidR="006C1FEE" w:rsidRPr="005951BD" w:rsidRDefault="006C1FEE" w:rsidP="005951BD">
      <w:pPr>
        <w:suppressAutoHyphens/>
        <w:spacing w:after="60" w:line="260" w:lineRule="atLeast"/>
      </w:pPr>
      <w:r>
        <w:t>The MTR team found it difficult to reconcile the expenditure data with the annual report</w:t>
      </w:r>
      <w:r w:rsidR="005F52E7">
        <w:t>s</w:t>
      </w:r>
      <w:r>
        <w:t xml:space="preserve"> and the </w:t>
      </w:r>
      <w:r w:rsidR="005F52E7">
        <w:t>S</w:t>
      </w:r>
      <w:r>
        <w:t xml:space="preserve">teering </w:t>
      </w:r>
      <w:r w:rsidR="005F52E7">
        <w:t>C</w:t>
      </w:r>
      <w:r>
        <w:t>ommittee minutes</w:t>
      </w:r>
      <w:r w:rsidR="00C64AD4">
        <w:t xml:space="preserve">. </w:t>
      </w:r>
      <w:r>
        <w:t xml:space="preserve">For instance, the </w:t>
      </w:r>
      <w:r w:rsidR="0056199D">
        <w:t xml:space="preserve">draft </w:t>
      </w:r>
      <w:r w:rsidR="005F52E7">
        <w:t>A</w:t>
      </w:r>
      <w:r w:rsidR="0056199D">
        <w:t xml:space="preserve">nnual </w:t>
      </w:r>
      <w:r w:rsidR="005F52E7">
        <w:t>R</w:t>
      </w:r>
      <w:r w:rsidR="0056199D">
        <w:t>eport (2021, page 14) states ‘DFAT’s overall funding commitment’ as $4.01 million.</w:t>
      </w:r>
      <w:r w:rsidR="00F5114D" w:rsidRPr="00F5114D">
        <w:t xml:space="preserve"> </w:t>
      </w:r>
      <w:r w:rsidR="00F5114D">
        <w:t xml:space="preserve">WB staff explained that DFAT will understand </w:t>
      </w:r>
      <w:r w:rsidR="006628C0">
        <w:t>“</w:t>
      </w:r>
      <w:r w:rsidR="00F5114D">
        <w:t>committed</w:t>
      </w:r>
      <w:r w:rsidR="006628C0">
        <w:t>”</w:t>
      </w:r>
      <w:r w:rsidR="00F5114D">
        <w:t xml:space="preserve"> to be the same as the </w:t>
      </w:r>
      <w:r w:rsidR="006628C0">
        <w:t>“</w:t>
      </w:r>
      <w:r w:rsidR="00F5114D">
        <w:t>approved</w:t>
      </w:r>
      <w:r w:rsidR="006628C0">
        <w:t>”</w:t>
      </w:r>
      <w:r w:rsidR="00F5114D">
        <w:t xml:space="preserve"> amount. </w:t>
      </w:r>
      <w:r w:rsidR="0056199D">
        <w:t xml:space="preserve">However, the table of </w:t>
      </w:r>
      <w:r w:rsidR="006628C0">
        <w:t>“</w:t>
      </w:r>
      <w:r w:rsidR="0056199D">
        <w:t>di</w:t>
      </w:r>
      <w:r w:rsidR="00F5114D">
        <w:t>s</w:t>
      </w:r>
      <w:r w:rsidR="0056199D">
        <w:t>bursement performance</w:t>
      </w:r>
      <w:r w:rsidR="006628C0">
        <w:t>”</w:t>
      </w:r>
      <w:r w:rsidR="0056199D">
        <w:t xml:space="preserve"> shows the total transferred</w:t>
      </w:r>
      <w:r w:rsidR="00F5114D">
        <w:t xml:space="preserve"> (i.e.</w:t>
      </w:r>
      <w:r w:rsidR="006628C0">
        <w:t>,</w:t>
      </w:r>
      <w:r w:rsidR="00F5114D">
        <w:t xml:space="preserve"> committed)</w:t>
      </w:r>
      <w:r w:rsidR="0056199D">
        <w:t xml:space="preserve"> to the grant account as </w:t>
      </w:r>
      <w:r w:rsidR="00F5114D">
        <w:t>$3.75 million, with no explanation of the discrepancy</w:t>
      </w:r>
      <w:r w:rsidR="00C64AD4">
        <w:t xml:space="preserve">. </w:t>
      </w:r>
      <w:r w:rsidR="00F5114D">
        <w:t xml:space="preserve">Furthermore, the amount committed to the </w:t>
      </w:r>
      <w:r w:rsidR="00F5114D" w:rsidRPr="00F5114D">
        <w:rPr>
          <w:lang w:val="en-US"/>
        </w:rPr>
        <w:t>Subnational Finance and Decentralization</w:t>
      </w:r>
      <w:r w:rsidR="00F5114D">
        <w:rPr>
          <w:lang w:val="en-US"/>
        </w:rPr>
        <w:t xml:space="preserve"> grant was $400,000, which was later changed to $275,000 </w:t>
      </w:r>
      <w:r w:rsidR="006628C0">
        <w:rPr>
          <w:lang w:val="en-US"/>
        </w:rPr>
        <w:t xml:space="preserve">to </w:t>
      </w:r>
      <w:r w:rsidR="00F5114D">
        <w:rPr>
          <w:lang w:val="en-US"/>
        </w:rPr>
        <w:t xml:space="preserve">reflect the underspend. </w:t>
      </w:r>
      <w:r w:rsidR="00875218">
        <w:rPr>
          <w:lang w:val="en-US"/>
        </w:rPr>
        <w:t xml:space="preserve">The view of DFAT staff is that the original allocations should not change between reports. Instead, the underspend represents a surplus that can be later allocated to other grants. </w:t>
      </w:r>
    </w:p>
    <w:p w14:paraId="61EE98E5" w14:textId="77777777" w:rsidR="005951BD" w:rsidRPr="002D6CE8" w:rsidRDefault="005951BD" w:rsidP="005951BD">
      <w:pPr>
        <w:suppressAutoHyphens/>
        <w:spacing w:after="60" w:line="260" w:lineRule="atLeast"/>
        <w:rPr>
          <w:color w:val="000000" w:themeColor="text1"/>
        </w:rPr>
      </w:pPr>
      <w:r w:rsidRPr="002D6CE8">
        <w:rPr>
          <w:b/>
          <w:bCs/>
          <w:color w:val="000000" w:themeColor="text1"/>
        </w:rPr>
        <w:t>Recommendations</w:t>
      </w:r>
    </w:p>
    <w:p w14:paraId="5D69AD9C" w14:textId="77777777" w:rsidR="004351B9" w:rsidRPr="004351B9" w:rsidRDefault="004351B9" w:rsidP="004351B9">
      <w:pPr>
        <w:numPr>
          <w:ilvl w:val="0"/>
          <w:numId w:val="18"/>
        </w:numPr>
        <w:suppressAutoHyphens/>
        <w:spacing w:after="60" w:line="260" w:lineRule="atLeast"/>
        <w:rPr>
          <w:rFonts w:eastAsiaTheme="minorHAnsi" w:cstheme="minorHAnsi"/>
          <w:color w:val="000000" w:themeColor="text1"/>
          <w:szCs w:val="22"/>
          <w:lang w:eastAsia="en-US"/>
        </w:rPr>
      </w:pPr>
      <w:r w:rsidRPr="004351B9">
        <w:rPr>
          <w:rFonts w:eastAsiaTheme="minorHAnsi" w:cstheme="minorHAnsi"/>
          <w:color w:val="000000" w:themeColor="text1"/>
          <w:szCs w:val="22"/>
          <w:lang w:eastAsia="en-US"/>
        </w:rPr>
        <w:t>Discuss and agree in the Operations Committee allocation of sufficient M&amp;E resources and costing, including a clear process and frequency for updating the M&amp;E Plan.</w:t>
      </w:r>
      <w:r w:rsidRPr="004351B9">
        <w:rPr>
          <w:rFonts w:eastAsiaTheme="minorHAnsi" w:cstheme="minorHAnsi"/>
          <w:color w:val="000000" w:themeColor="text1"/>
          <w:szCs w:val="22"/>
          <w:vertAlign w:val="superscript"/>
          <w:lang w:eastAsia="en-US"/>
        </w:rPr>
        <w:footnoteReference w:id="34"/>
      </w:r>
    </w:p>
    <w:p w14:paraId="27E9818F" w14:textId="16D5F6DF" w:rsidR="0015183C" w:rsidRPr="002D6CE8" w:rsidRDefault="00F351AD" w:rsidP="006F738B">
      <w:pPr>
        <w:pStyle w:val="ListParagraph"/>
        <w:numPr>
          <w:ilvl w:val="0"/>
          <w:numId w:val="18"/>
        </w:numPr>
        <w:rPr>
          <w:rFonts w:ascii="Arial" w:hAnsi="Arial" w:cs="Arial"/>
          <w:color w:val="000000" w:themeColor="text1"/>
          <w:sz w:val="20"/>
          <w:szCs w:val="20"/>
        </w:rPr>
      </w:pPr>
      <w:r w:rsidRPr="002D6CE8">
        <w:rPr>
          <w:rFonts w:cstheme="minorHAnsi"/>
          <w:color w:val="000000" w:themeColor="text1"/>
        </w:rPr>
        <w:t xml:space="preserve">Explore appropriate impact measurement methodologies that </w:t>
      </w:r>
      <w:proofErr w:type="gramStart"/>
      <w:r w:rsidRPr="002D6CE8">
        <w:rPr>
          <w:rFonts w:cstheme="minorHAnsi"/>
          <w:color w:val="000000" w:themeColor="text1"/>
        </w:rPr>
        <w:t>are capable of tracking</w:t>
      </w:r>
      <w:proofErr w:type="gramEnd"/>
      <w:r w:rsidRPr="002D6CE8">
        <w:rPr>
          <w:rFonts w:cstheme="minorHAnsi"/>
          <w:color w:val="000000" w:themeColor="text1"/>
        </w:rPr>
        <w:t xml:space="preserve"> the complex variables inherent in governance reform programs</w:t>
      </w:r>
      <w:r w:rsidR="00E93095" w:rsidRPr="002D6CE8">
        <w:rPr>
          <w:rFonts w:cstheme="minorHAnsi"/>
          <w:color w:val="000000" w:themeColor="text1"/>
        </w:rPr>
        <w:t>, including ways to measure the degree of influence on policy reform that can be attributed to the activities, and how these outcomes confirm the validity of the program’s theory of change.</w:t>
      </w:r>
      <w:r w:rsidR="00E93095" w:rsidRPr="002D6CE8" w:rsidDel="00E93095">
        <w:rPr>
          <w:rFonts w:cstheme="minorHAnsi"/>
          <w:color w:val="000000" w:themeColor="text1"/>
        </w:rPr>
        <w:t xml:space="preserve"> </w:t>
      </w:r>
    </w:p>
    <w:p w14:paraId="196C61C2" w14:textId="441C01A6" w:rsidR="005951BD" w:rsidRPr="002D6CE8" w:rsidRDefault="005951BD" w:rsidP="006F738B">
      <w:pPr>
        <w:pStyle w:val="ListParagraph"/>
        <w:numPr>
          <w:ilvl w:val="0"/>
          <w:numId w:val="18"/>
        </w:numPr>
        <w:rPr>
          <w:color w:val="000000" w:themeColor="text1"/>
        </w:rPr>
      </w:pPr>
      <w:r w:rsidRPr="002D6CE8">
        <w:rPr>
          <w:color w:val="000000" w:themeColor="text1"/>
        </w:rPr>
        <w:t>Clarify the version of the results framework the program is reporting against and add more detail for objectively verifiable indicators and means of verification.</w:t>
      </w:r>
    </w:p>
    <w:p w14:paraId="6DEF1DC6" w14:textId="296C9896" w:rsidR="005951BD" w:rsidRPr="002D6CE8" w:rsidRDefault="005951BD" w:rsidP="0089441D">
      <w:pPr>
        <w:numPr>
          <w:ilvl w:val="0"/>
          <w:numId w:val="18"/>
        </w:numPr>
        <w:suppressAutoHyphens/>
        <w:spacing w:before="120" w:after="60" w:line="260" w:lineRule="atLeast"/>
        <w:rPr>
          <w:color w:val="000000" w:themeColor="text1"/>
        </w:rPr>
      </w:pPr>
      <w:r w:rsidRPr="002D6CE8">
        <w:rPr>
          <w:color w:val="000000" w:themeColor="text1"/>
        </w:rPr>
        <w:t xml:space="preserve">Use the annual reports to thread the grant outputs together to show how the </w:t>
      </w:r>
      <w:proofErr w:type="spellStart"/>
      <w:r w:rsidR="007628AF" w:rsidRPr="002D6CE8">
        <w:rPr>
          <w:color w:val="000000" w:themeColor="text1"/>
        </w:rPr>
        <w:t>AGaP</w:t>
      </w:r>
      <w:proofErr w:type="spellEnd"/>
      <w:r w:rsidRPr="002D6CE8">
        <w:rPr>
          <w:color w:val="000000" w:themeColor="text1"/>
        </w:rPr>
        <w:t xml:space="preserve"> approach is leading to changes, and how these relate to the broader AMPED objectives</w:t>
      </w:r>
      <w:r w:rsidR="003C5C9C" w:rsidRPr="002D6CE8">
        <w:rPr>
          <w:color w:val="000000" w:themeColor="text1"/>
        </w:rPr>
        <w:t>.</w:t>
      </w:r>
    </w:p>
    <w:p w14:paraId="3925E536" w14:textId="070551D9" w:rsidR="002900C0" w:rsidRPr="003D5BA2" w:rsidRDefault="00875218" w:rsidP="002900C0">
      <w:pPr>
        <w:numPr>
          <w:ilvl w:val="0"/>
          <w:numId w:val="18"/>
        </w:numPr>
        <w:suppressAutoHyphens/>
        <w:spacing w:before="120" w:after="60" w:line="260" w:lineRule="atLeast"/>
        <w:rPr>
          <w:color w:val="000000" w:themeColor="text1"/>
        </w:rPr>
      </w:pPr>
      <w:r w:rsidRPr="002D6CE8">
        <w:rPr>
          <w:color w:val="000000" w:themeColor="text1"/>
        </w:rPr>
        <w:t>Amend the Operations Manual to set out a consistent financial reporting template, with explanation of terms and process for approving transfers between accounts.</w:t>
      </w:r>
    </w:p>
    <w:p w14:paraId="71EE947C" w14:textId="7CEE31DF" w:rsidR="004F1D23" w:rsidRPr="006B29C1" w:rsidRDefault="003B38E1" w:rsidP="00E03DD0">
      <w:pPr>
        <w:pStyle w:val="Heading1"/>
        <w:rPr>
          <w:rFonts w:ascii="Arial" w:hAnsi="Arial" w:cs="Arial"/>
          <w:sz w:val="20"/>
          <w:szCs w:val="20"/>
        </w:rPr>
      </w:pPr>
      <w:bookmarkStart w:id="24" w:name="_Toc125560012"/>
      <w:r>
        <w:lastRenderedPageBreak/>
        <w:t>Risk Management</w:t>
      </w:r>
      <w:bookmarkEnd w:id="24"/>
    </w:p>
    <w:p w14:paraId="08505311" w14:textId="77777777" w:rsidR="009C123D" w:rsidRPr="00547DC5" w:rsidRDefault="009C123D" w:rsidP="005540F8">
      <w:pPr>
        <w:rPr>
          <w:color w:val="000000" w:themeColor="text1"/>
        </w:rPr>
      </w:pPr>
      <w:r w:rsidRPr="00547DC5">
        <w:rPr>
          <w:color w:val="000000" w:themeColor="text1"/>
        </w:rPr>
        <w:t>Key findings:</w:t>
      </w:r>
    </w:p>
    <w:p w14:paraId="3C865542" w14:textId="46268896" w:rsidR="00C628A7" w:rsidRPr="00547DC5" w:rsidRDefault="007628AF" w:rsidP="00C64AD4">
      <w:pPr>
        <w:pStyle w:val="ListParagraph"/>
        <w:numPr>
          <w:ilvl w:val="0"/>
          <w:numId w:val="25"/>
        </w:numPr>
        <w:rPr>
          <w:color w:val="000000" w:themeColor="text1"/>
        </w:rPr>
      </w:pPr>
      <w:proofErr w:type="spellStart"/>
      <w:r>
        <w:rPr>
          <w:color w:val="000000" w:themeColor="text1"/>
        </w:rPr>
        <w:t>AGaP</w:t>
      </w:r>
      <w:proofErr w:type="spellEnd"/>
      <w:r w:rsidR="005540F8" w:rsidRPr="00547DC5">
        <w:rPr>
          <w:color w:val="000000" w:themeColor="text1"/>
        </w:rPr>
        <w:t xml:space="preserve"> effectively managed multiple staff transitions on both the DFAT and WB side with minimal disruption to the program. This has also taken place in the context of a global pandemic</w:t>
      </w:r>
      <w:r w:rsidR="006E5B15">
        <w:rPr>
          <w:color w:val="000000" w:themeColor="text1"/>
        </w:rPr>
        <w:t>—</w:t>
      </w:r>
      <w:r w:rsidR="005540F8" w:rsidRPr="00547DC5">
        <w:rPr>
          <w:color w:val="000000" w:themeColor="text1"/>
        </w:rPr>
        <w:t>which was unlikely to have been on the risk register</w:t>
      </w:r>
      <w:r w:rsidR="005540F8" w:rsidRPr="00547DC5" w:rsidDel="007E66C7">
        <w:rPr>
          <w:color w:val="000000" w:themeColor="text1"/>
        </w:rPr>
        <w:t xml:space="preserve">. </w:t>
      </w:r>
    </w:p>
    <w:p w14:paraId="0A7105D2" w14:textId="1396C6BA" w:rsidR="005540F8" w:rsidRPr="00547DC5" w:rsidRDefault="005540F8" w:rsidP="00C64AD4">
      <w:pPr>
        <w:pStyle w:val="ListParagraph"/>
        <w:numPr>
          <w:ilvl w:val="0"/>
          <w:numId w:val="25"/>
        </w:numPr>
        <w:rPr>
          <w:color w:val="000000" w:themeColor="text1"/>
        </w:rPr>
      </w:pPr>
      <w:r w:rsidRPr="00547DC5">
        <w:rPr>
          <w:color w:val="000000" w:themeColor="text1"/>
        </w:rPr>
        <w:t>The transition to new ways of working</w:t>
      </w:r>
      <w:r w:rsidR="00BA0A6D">
        <w:rPr>
          <w:color w:val="000000" w:themeColor="text1"/>
        </w:rPr>
        <w:t xml:space="preserve"> </w:t>
      </w:r>
      <w:r w:rsidRPr="00547DC5">
        <w:rPr>
          <w:color w:val="000000" w:themeColor="text1"/>
        </w:rPr>
        <w:t xml:space="preserve">such as virtual meetings was handled well, without a negative impact on relationships. </w:t>
      </w:r>
    </w:p>
    <w:p w14:paraId="2CF90D7A" w14:textId="325DCE15" w:rsidR="005540F8" w:rsidRDefault="005540F8" w:rsidP="005540F8">
      <w:r>
        <w:t>With staff transitions</w:t>
      </w:r>
      <w:r>
        <w:rPr>
          <w:lang w:val="en-PH"/>
        </w:rPr>
        <w:t xml:space="preserve">, tenure overlaps and mentoring between incoming and outgoing </w:t>
      </w:r>
      <w:r>
        <w:t xml:space="preserve">staff worked well with WB and DFAT. To better manage future transitions, especially at high level posts, </w:t>
      </w:r>
      <w:proofErr w:type="spellStart"/>
      <w:r w:rsidR="007628AF">
        <w:t>AGaP</w:t>
      </w:r>
      <w:proofErr w:type="spellEnd"/>
      <w:r>
        <w:t xml:space="preserve"> briefings are recommended—which the WB Secretariat had offered to provide to DFAT counterparts to ensure program continuity and familiarity with </w:t>
      </w:r>
      <w:proofErr w:type="spellStart"/>
      <w:r w:rsidR="007628AF">
        <w:t>AGaP</w:t>
      </w:r>
      <w:proofErr w:type="spellEnd"/>
      <w:r>
        <w:t xml:space="preserve"> processes, including the WB project development cycle and the opportunities in the cycle for WB and DFAT collaboration.</w:t>
      </w:r>
    </w:p>
    <w:p w14:paraId="6986C008" w14:textId="53B7B71F" w:rsidR="005540F8" w:rsidRDefault="005540F8" w:rsidP="005540F8">
      <w:r>
        <w:t xml:space="preserve">Outside of the formal meetings in the </w:t>
      </w:r>
      <w:proofErr w:type="spellStart"/>
      <w:r w:rsidR="007628AF">
        <w:t>AGaP</w:t>
      </w:r>
      <w:proofErr w:type="spellEnd"/>
      <w:r>
        <w:t xml:space="preserve"> governance structure, the discussions between WB and DFAT task teams in social protection and the trade </w:t>
      </w:r>
      <w:r w:rsidR="0052089C">
        <w:t xml:space="preserve">facilitation </w:t>
      </w:r>
      <w:r>
        <w:t xml:space="preserve">component of the Technical Assistance for DPL Reforms were useful in managing sector </w:t>
      </w:r>
      <w:r w:rsidR="008F69A7">
        <w:t>issues and</w:t>
      </w:r>
      <w:r>
        <w:t xml:space="preserve"> is one practice that should be encouraged across other projects. </w:t>
      </w:r>
    </w:p>
    <w:p w14:paraId="1FC8CC0C" w14:textId="1ED8254D" w:rsidR="002363C3" w:rsidRDefault="005540F8" w:rsidP="002363C3">
      <w:r>
        <w:t xml:space="preserve">The rapidly evolving situation during the height of the pandemic expectedly brought on </w:t>
      </w:r>
      <w:proofErr w:type="spellStart"/>
      <w:r>
        <w:t>GoP</w:t>
      </w:r>
      <w:proofErr w:type="spellEnd"/>
      <w:r>
        <w:t xml:space="preserve"> requests that had implications on the activities as originally conceived for </w:t>
      </w:r>
      <w:proofErr w:type="spellStart"/>
      <w:r w:rsidR="007628AF">
        <w:t>AGaP</w:t>
      </w:r>
      <w:proofErr w:type="spellEnd"/>
      <w:r>
        <w:t xml:space="preserve">-supported projects. In some cases, these were </w:t>
      </w:r>
      <w:r w:rsidRPr="00395153">
        <w:t>ad</w:t>
      </w:r>
      <w:r w:rsidR="00F41656" w:rsidRPr="00395153">
        <w:t xml:space="preserve"> </w:t>
      </w:r>
      <w:r w:rsidRPr="00395153">
        <w:t>hoc</w:t>
      </w:r>
      <w:r>
        <w:t xml:space="preserve"> requests such as in the </w:t>
      </w:r>
      <w:r w:rsidRPr="002B344F">
        <w:t>Support to Active Transport in Metro Manila</w:t>
      </w:r>
      <w:r>
        <w:t xml:space="preserve"> where, to respond to </w:t>
      </w:r>
      <w:proofErr w:type="spellStart"/>
      <w:r>
        <w:t>GoP</w:t>
      </w:r>
      <w:proofErr w:type="spellEnd"/>
      <w:r>
        <w:t xml:space="preserve"> request, the WB task team tapped resources from </w:t>
      </w:r>
      <w:r w:rsidR="00EA4FC7">
        <w:t xml:space="preserve">the </w:t>
      </w:r>
      <w:r w:rsidR="00EA4FC7" w:rsidRPr="00EA4FC7">
        <w:t>Bloomberg Road Safety TF</w:t>
      </w:r>
      <w:r w:rsidR="00D1388F">
        <w:t xml:space="preserve"> and </w:t>
      </w:r>
      <w:r>
        <w:t>the Netherlands Embassy</w:t>
      </w:r>
      <w:r w:rsidR="00B45513">
        <w:t xml:space="preserve"> </w:t>
      </w:r>
      <w:r>
        <w:t xml:space="preserve">to complement </w:t>
      </w:r>
      <w:proofErr w:type="spellStart"/>
      <w:r w:rsidR="007628AF">
        <w:t>AGaP</w:t>
      </w:r>
      <w:proofErr w:type="spellEnd"/>
      <w:r>
        <w:t xml:space="preserve"> and WB resources for capacity building. In the case of </w:t>
      </w:r>
      <w:r w:rsidRPr="00F44C12">
        <w:t xml:space="preserve">Real Time Monitoring </w:t>
      </w:r>
      <w:r>
        <w:t>o</w:t>
      </w:r>
      <w:r w:rsidRPr="00F44C12">
        <w:t xml:space="preserve">f COVID-19 Impacts </w:t>
      </w:r>
      <w:r>
        <w:t xml:space="preserve">in the </w:t>
      </w:r>
      <w:r w:rsidRPr="00F44C12">
        <w:t>Philippines</w:t>
      </w:r>
      <w:r>
        <w:t xml:space="preserve">, additional firm surveys were </w:t>
      </w:r>
      <w:proofErr w:type="gramStart"/>
      <w:r>
        <w:t>conducted</w:t>
      </w:r>
      <w:proofErr w:type="gramEnd"/>
      <w:r>
        <w:t xml:space="preserve"> and other activities were not pursued. In all, the responsibility and flexibility given to WB staff in managing projects helped them manage risks in </w:t>
      </w:r>
      <w:proofErr w:type="spellStart"/>
      <w:r w:rsidR="007628AF">
        <w:t>AGaP</w:t>
      </w:r>
      <w:proofErr w:type="spellEnd"/>
      <w:r>
        <w:t xml:space="preserve">-supported projects. </w:t>
      </w:r>
      <w:r w:rsidR="00924ACD">
        <w:t>Moreover, r</w:t>
      </w:r>
      <w:r w:rsidR="002363C3">
        <w:t xml:space="preserve">isk management is adequately covered especially because </w:t>
      </w:r>
      <w:proofErr w:type="spellStart"/>
      <w:r w:rsidR="007628AF">
        <w:t>AGaP</w:t>
      </w:r>
      <w:proofErr w:type="spellEnd"/>
      <w:r w:rsidR="002363C3">
        <w:t xml:space="preserve"> benefits from the risk management capacity and resources embedded in the WB projects that it supports. </w:t>
      </w:r>
    </w:p>
    <w:p w14:paraId="218928A6" w14:textId="7405AC2B" w:rsidR="005540F8" w:rsidRDefault="00EC4400" w:rsidP="009647EE">
      <w:r w:rsidRPr="00AB712F">
        <w:t xml:space="preserve">However, as noted in the Monitoring and </w:t>
      </w:r>
      <w:r w:rsidR="00B45513">
        <w:t>E</w:t>
      </w:r>
      <w:r w:rsidRPr="00AB712F">
        <w:t>valuation section of this report,</w:t>
      </w:r>
      <w:r w:rsidR="002E5C61" w:rsidRPr="00AB712F">
        <w:t xml:space="preserve"> task teams could do well to ensure that changes </w:t>
      </w:r>
      <w:r w:rsidR="00A9097D" w:rsidRPr="00AB712F">
        <w:t xml:space="preserve">emanating from risk management decisions </w:t>
      </w:r>
      <w:r w:rsidR="002E5C61" w:rsidRPr="00AB712F">
        <w:t xml:space="preserve">are not only consistent with the </w:t>
      </w:r>
      <w:proofErr w:type="spellStart"/>
      <w:r w:rsidR="007628AF">
        <w:t>AGaP</w:t>
      </w:r>
      <w:proofErr w:type="spellEnd"/>
      <w:r w:rsidR="002E5C61" w:rsidRPr="00AB712F">
        <w:t xml:space="preserve"> results fr</w:t>
      </w:r>
      <w:r w:rsidR="00EC4654" w:rsidRPr="00AB712F">
        <w:t>amework but as well reflected in the grant reports</w:t>
      </w:r>
      <w:r w:rsidR="00C64AD4">
        <w:t xml:space="preserve">. </w:t>
      </w:r>
      <w:r w:rsidR="009647EE" w:rsidRPr="00AB712F">
        <w:t>In fact, w</w:t>
      </w:r>
      <w:r w:rsidR="005540F8" w:rsidRPr="00AB712F">
        <w:t xml:space="preserve">ith the country’s gradual recovery from the impacts of the pandemic, M&amp;E is one area of </w:t>
      </w:r>
      <w:proofErr w:type="spellStart"/>
      <w:r w:rsidR="007628AF">
        <w:t>AGaP</w:t>
      </w:r>
      <w:proofErr w:type="spellEnd"/>
      <w:r w:rsidR="005540F8" w:rsidRPr="00AB712F">
        <w:t xml:space="preserve"> operations that require</w:t>
      </w:r>
      <w:r w:rsidR="00120B06" w:rsidRPr="00AB712F">
        <w:t>s</w:t>
      </w:r>
      <w:r w:rsidR="005540F8" w:rsidRPr="00AB712F">
        <w:t xml:space="preserve"> more focus. This is affirmed by one DFAT official who alluded to M&amp;E having been not top priority as the partners dealt with the COVID crisis.</w:t>
      </w:r>
      <w:r w:rsidR="005540F8">
        <w:t xml:space="preserve"> </w:t>
      </w:r>
    </w:p>
    <w:p w14:paraId="319D9D54" w14:textId="77777777" w:rsidR="004F1D23" w:rsidRDefault="004F1D23" w:rsidP="005540F8">
      <w:r>
        <w:br w:type="page"/>
      </w:r>
    </w:p>
    <w:p w14:paraId="68C33DAC" w14:textId="75F8ABF0" w:rsidR="004F1D23" w:rsidRDefault="003B38E1" w:rsidP="00E03DD0">
      <w:pPr>
        <w:pStyle w:val="Heading2"/>
      </w:pPr>
      <w:bookmarkStart w:id="25" w:name="_Toc125560013"/>
      <w:r>
        <w:lastRenderedPageBreak/>
        <w:t>Sustainability</w:t>
      </w:r>
      <w:bookmarkEnd w:id="25"/>
      <w:r>
        <w:t xml:space="preserve"> </w:t>
      </w:r>
    </w:p>
    <w:p w14:paraId="330E5083" w14:textId="56DE87CB" w:rsidR="00A76B57" w:rsidRPr="00547DC5" w:rsidRDefault="00A412CB" w:rsidP="005D7F61">
      <w:pPr>
        <w:rPr>
          <w:color w:val="000000" w:themeColor="text1"/>
        </w:rPr>
      </w:pPr>
      <w:r w:rsidRPr="00547DC5">
        <w:rPr>
          <w:color w:val="000000" w:themeColor="text1"/>
        </w:rPr>
        <w:t xml:space="preserve">Key </w:t>
      </w:r>
      <w:r w:rsidR="002845F9">
        <w:rPr>
          <w:color w:val="000000" w:themeColor="text1"/>
        </w:rPr>
        <w:t>f</w:t>
      </w:r>
      <w:r w:rsidRPr="00547DC5">
        <w:rPr>
          <w:color w:val="000000" w:themeColor="text1"/>
        </w:rPr>
        <w:t>inding</w:t>
      </w:r>
      <w:r w:rsidR="002845F9">
        <w:rPr>
          <w:color w:val="000000" w:themeColor="text1"/>
        </w:rPr>
        <w:t>s</w:t>
      </w:r>
      <w:r w:rsidRPr="00547DC5">
        <w:rPr>
          <w:color w:val="000000" w:themeColor="text1"/>
        </w:rPr>
        <w:t xml:space="preserve">: </w:t>
      </w:r>
    </w:p>
    <w:p w14:paraId="07AD06EC" w14:textId="18AAE07D" w:rsidR="00A412CB" w:rsidRPr="00547DC5" w:rsidRDefault="00A412CB" w:rsidP="00C64AD4">
      <w:pPr>
        <w:pStyle w:val="ListParagraph"/>
        <w:numPr>
          <w:ilvl w:val="0"/>
          <w:numId w:val="40"/>
        </w:numPr>
        <w:rPr>
          <w:color w:val="000000" w:themeColor="text1"/>
        </w:rPr>
      </w:pPr>
      <w:r w:rsidRPr="00547DC5">
        <w:rPr>
          <w:color w:val="000000" w:themeColor="text1"/>
        </w:rPr>
        <w:t xml:space="preserve">The sustainability of </w:t>
      </w:r>
      <w:proofErr w:type="spellStart"/>
      <w:r w:rsidR="007628AF">
        <w:rPr>
          <w:color w:val="000000" w:themeColor="text1"/>
        </w:rPr>
        <w:t>AGaP</w:t>
      </w:r>
      <w:proofErr w:type="spellEnd"/>
      <w:r w:rsidRPr="00547DC5">
        <w:rPr>
          <w:color w:val="000000" w:themeColor="text1"/>
        </w:rPr>
        <w:t xml:space="preserve">-supported projects is likely given that they are embedded in investment lending, policy loans, and broader technical assistance and analytical work whose implementation precedes or extends beyond the grants' effective date. Moreover, they are underpinned by laws and policies and have strong government ownership. </w:t>
      </w:r>
    </w:p>
    <w:p w14:paraId="25A757E2" w14:textId="48184DE0" w:rsidR="004921AF" w:rsidRPr="004921AF" w:rsidRDefault="004921AF" w:rsidP="004921AF">
      <w:r w:rsidRPr="004921AF">
        <w:t xml:space="preserve">The rationale for </w:t>
      </w:r>
      <w:proofErr w:type="spellStart"/>
      <w:r w:rsidR="007628AF">
        <w:t>AGaP</w:t>
      </w:r>
      <w:proofErr w:type="spellEnd"/>
      <w:r w:rsidRPr="004921AF">
        <w:t xml:space="preserve"> as outlined in the </w:t>
      </w:r>
      <w:r w:rsidR="005279C8">
        <w:t>c</w:t>
      </w:r>
      <w:r w:rsidRPr="004921AF">
        <w:t xml:space="preserve">oncept </w:t>
      </w:r>
      <w:r w:rsidR="005279C8">
        <w:t>n</w:t>
      </w:r>
      <w:r w:rsidRPr="004921AF">
        <w:t>ote provides a good foundation for sustainability, namely</w:t>
      </w:r>
      <w:r w:rsidR="005279C8">
        <w:t>, “</w:t>
      </w:r>
      <w:r w:rsidRPr="004921AF">
        <w:t>to further strengthen a long-standing partnership through a continued close collaboration and support to a program of financing and technical assistance that is well aligned with the strategic priorities of the country</w:t>
      </w:r>
      <w:r w:rsidR="00943E93">
        <w:t xml:space="preserve">”. </w:t>
      </w:r>
      <w:r w:rsidRPr="004921AF">
        <w:t>Moreover, </w:t>
      </w:r>
      <w:proofErr w:type="spellStart"/>
      <w:r w:rsidR="007628AF">
        <w:t>AGaP</w:t>
      </w:r>
      <w:r w:rsidRPr="004921AF">
        <w:t>’s</w:t>
      </w:r>
      <w:proofErr w:type="spellEnd"/>
      <w:r w:rsidRPr="004921AF">
        <w:t xml:space="preserve"> objective is ultimately to support sustainable and inclusive growth with a large focus through the DPL grant on supporting fiscal sustainability.</w:t>
      </w:r>
    </w:p>
    <w:p w14:paraId="1FE33B44" w14:textId="2231675F" w:rsidR="004921AF" w:rsidRPr="004921AF" w:rsidRDefault="004921AF" w:rsidP="004921AF">
      <w:r w:rsidRPr="004921AF">
        <w:t>World Bank staff interviewed for this MTR highlighted how sustainability had been built into their ways of working</w:t>
      </w:r>
      <w:r w:rsidR="00C64AD4">
        <w:t xml:space="preserve">. </w:t>
      </w:r>
      <w:proofErr w:type="spellStart"/>
      <w:r w:rsidR="007628AF">
        <w:t>AGaP</w:t>
      </w:r>
      <w:proofErr w:type="spellEnd"/>
      <w:r w:rsidRPr="004921AF">
        <w:t xml:space="preserve"> activities are designed to support reform priorities agreed jointly by </w:t>
      </w:r>
      <w:proofErr w:type="spellStart"/>
      <w:r w:rsidRPr="004921AF">
        <w:t>GoP</w:t>
      </w:r>
      <w:proofErr w:type="spellEnd"/>
      <w:r w:rsidRPr="004921AF">
        <w:t xml:space="preserve"> and the Bank</w:t>
      </w:r>
      <w:r w:rsidR="00C64AD4">
        <w:t xml:space="preserve">. </w:t>
      </w:r>
      <w:r w:rsidRPr="004921AF">
        <w:t>Prioritising support for longer-term national initiatives increases the prospects for sustainability</w:t>
      </w:r>
      <w:r w:rsidR="00C64AD4">
        <w:t xml:space="preserve">. </w:t>
      </w:r>
      <w:r w:rsidRPr="004921AF">
        <w:t>For example, providing the analytical underpinnings for new reforms, su</w:t>
      </w:r>
      <w:r w:rsidRPr="005F4233">
        <w:t>ch as updating regulations to encourage investment in telecom,</w:t>
      </w:r>
      <w:r w:rsidRPr="004921AF">
        <w:t xml:space="preserve"> increased the chance the reform will be well executed. Similarly, </w:t>
      </w:r>
      <w:r w:rsidR="001840C8">
        <w:t>when</w:t>
      </w:r>
      <w:r w:rsidRPr="004921AF">
        <w:t xml:space="preserve"> </w:t>
      </w:r>
      <w:proofErr w:type="spellStart"/>
      <w:r w:rsidR="007628AF">
        <w:t>AGaP</w:t>
      </w:r>
      <w:proofErr w:type="spellEnd"/>
      <w:r w:rsidRPr="004921AF">
        <w:t xml:space="preserve"> has given just</w:t>
      </w:r>
      <w:r w:rsidR="000E0982">
        <w:t>-</w:t>
      </w:r>
      <w:r w:rsidRPr="004921AF">
        <w:t>in</w:t>
      </w:r>
      <w:r w:rsidR="000E0982">
        <w:t>-</w:t>
      </w:r>
      <w:r w:rsidRPr="004921AF">
        <w:t>time</w:t>
      </w:r>
      <w:r w:rsidR="000E0982">
        <w:t xml:space="preserve"> </w:t>
      </w:r>
      <w:r w:rsidRPr="004921AF">
        <w:t xml:space="preserve">support for the implementation of complex reforms such as </w:t>
      </w:r>
      <w:r w:rsidR="000E0982">
        <w:t>r</w:t>
      </w:r>
      <w:r w:rsidRPr="004921AF">
        <w:t xml:space="preserve">ice </w:t>
      </w:r>
      <w:r w:rsidR="000E0982">
        <w:t>l</w:t>
      </w:r>
      <w:r w:rsidRPr="004921AF">
        <w:t xml:space="preserve">iberalization and </w:t>
      </w:r>
      <w:proofErr w:type="spellStart"/>
      <w:r w:rsidRPr="004921AF">
        <w:t>PhilSys</w:t>
      </w:r>
      <w:proofErr w:type="spellEnd"/>
      <w:r w:rsidRPr="004921AF">
        <w:t xml:space="preserve">. However, it is not always clear from the progress reports how some recommendations are being introduced to the </w:t>
      </w:r>
      <w:proofErr w:type="spellStart"/>
      <w:r w:rsidRPr="004921AF">
        <w:t>GoP</w:t>
      </w:r>
      <w:proofErr w:type="spellEnd"/>
      <w:r w:rsidRPr="004921AF">
        <w:t xml:space="preserve"> for formation into policy. </w:t>
      </w:r>
      <w:r w:rsidR="00ED690A">
        <w:t xml:space="preserve">The M&amp;E section in this report highlights the need for </w:t>
      </w:r>
      <w:proofErr w:type="spellStart"/>
      <w:r w:rsidR="007628AF">
        <w:t>AGaP</w:t>
      </w:r>
      <w:proofErr w:type="spellEnd"/>
      <w:r w:rsidR="00ED690A">
        <w:t xml:space="preserve"> </w:t>
      </w:r>
      <w:r w:rsidR="00ED690A" w:rsidRPr="00ED690A">
        <w:t>to find ways to measure the degree of influence on policy reform that can be attributed to the activities</w:t>
      </w:r>
      <w:r w:rsidR="00ED690A">
        <w:t>. This would strengthen the evidence for</w:t>
      </w:r>
      <w:r w:rsidR="00807A7A">
        <w:t>, and likelihood of,</w:t>
      </w:r>
      <w:r w:rsidR="00ED690A">
        <w:t xml:space="preserve"> sustainability. </w:t>
      </w:r>
      <w:r w:rsidRPr="004921AF">
        <w:t>Indeed, in the case of the Overcoming Barriers</w:t>
      </w:r>
      <w:r w:rsidR="00255FEE">
        <w:t xml:space="preserve"> to W</w:t>
      </w:r>
      <w:r w:rsidRPr="004921AF">
        <w:t xml:space="preserve">omen’s </w:t>
      </w:r>
      <w:r w:rsidR="00255FEE">
        <w:t>E</w:t>
      </w:r>
      <w:r w:rsidRPr="004921AF">
        <w:t xml:space="preserve">conomic </w:t>
      </w:r>
      <w:r w:rsidR="00255FEE">
        <w:t>E</w:t>
      </w:r>
      <w:r w:rsidRPr="004921AF">
        <w:t>mpowerment</w:t>
      </w:r>
      <w:r w:rsidR="00255FEE">
        <w:t xml:space="preserve"> report</w:t>
      </w:r>
      <w:r w:rsidRPr="004921AF">
        <w:t xml:space="preserve">, the Bank admitted that </w:t>
      </w:r>
      <w:r w:rsidR="00255FEE">
        <w:t>the</w:t>
      </w:r>
      <w:r w:rsidRPr="004921AF">
        <w:t xml:space="preserve"> analytical work lacked sponsorship from within </w:t>
      </w:r>
      <w:proofErr w:type="spellStart"/>
      <w:r w:rsidRPr="004921AF">
        <w:t>GoP</w:t>
      </w:r>
      <w:proofErr w:type="spellEnd"/>
      <w:r w:rsidRPr="004921AF">
        <w:t>, making it harder for policy reform to be sustained. However, the WB also pointed out</w:t>
      </w:r>
      <w:r w:rsidR="00DB31F8">
        <w:t xml:space="preserve"> that</w:t>
      </w:r>
      <w:r w:rsidRPr="004921AF">
        <w:t xml:space="preserve"> they were confident this was a reform area of interest for </w:t>
      </w:r>
      <w:proofErr w:type="spellStart"/>
      <w:proofErr w:type="gramStart"/>
      <w:r w:rsidRPr="004921AF">
        <w:t>G</w:t>
      </w:r>
      <w:r w:rsidR="006E4A32">
        <w:t>o</w:t>
      </w:r>
      <w:r w:rsidRPr="004921AF">
        <w:t>P</w:t>
      </w:r>
      <w:proofErr w:type="spellEnd"/>
      <w:proofErr w:type="gramEnd"/>
      <w:r w:rsidRPr="004921AF">
        <w:t xml:space="preserve"> and the analytical work would help identify specific policies. This will be something to follow up during </w:t>
      </w:r>
      <w:r w:rsidR="00F41656">
        <w:t xml:space="preserve">the next </w:t>
      </w:r>
      <w:r w:rsidRPr="004921AF">
        <w:t xml:space="preserve">phase </w:t>
      </w:r>
      <w:r w:rsidR="00F41656">
        <w:t>of the program</w:t>
      </w:r>
      <w:r w:rsidRPr="004921AF">
        <w:t>. </w:t>
      </w:r>
    </w:p>
    <w:p w14:paraId="6B656216" w14:textId="40074309" w:rsidR="004921AF" w:rsidRDefault="007628AF" w:rsidP="004921AF">
      <w:proofErr w:type="spellStart"/>
      <w:r>
        <w:t>AGaP</w:t>
      </w:r>
      <w:proofErr w:type="spellEnd"/>
      <w:r w:rsidR="00ED690A" w:rsidRPr="00ED690A">
        <w:t xml:space="preserve"> is designed to be flexible to respond to emerging needs, and as policy priorities evolve over time, including during changeovers in administration</w:t>
      </w:r>
      <w:r w:rsidR="00ED690A">
        <w:t>. The evaluation found t</w:t>
      </w:r>
      <w:r w:rsidR="004921AF" w:rsidRPr="004921AF">
        <w:t xml:space="preserve">he WB </w:t>
      </w:r>
      <w:r w:rsidR="00ED690A">
        <w:t xml:space="preserve">to be </w:t>
      </w:r>
      <w:r w:rsidR="004921AF" w:rsidRPr="004921AF">
        <w:t xml:space="preserve">prepared for the transition to the new administration in the Philippines, aware of the likelihood of new counterparts, and their own set of priorities. </w:t>
      </w:r>
      <w:r w:rsidR="00F41656">
        <w:t xml:space="preserve">President </w:t>
      </w:r>
      <w:r w:rsidR="00807A7A" w:rsidRPr="00807A7A">
        <w:t xml:space="preserve">Marcos began his six-year term on 30 June 2022, with an economic team that brings together economic managers who served in previous administrations. Thus far, the indications are that the economic team will pursue an economic recovery plan that is built on improving the quality and access to social services, particularly health and education. This resonates with the inclusive growth objectives of </w:t>
      </w:r>
      <w:proofErr w:type="spellStart"/>
      <w:r>
        <w:t>AGaP</w:t>
      </w:r>
      <w:proofErr w:type="spellEnd"/>
      <w:r w:rsidR="00807A7A" w:rsidRPr="00807A7A">
        <w:t xml:space="preserve">. </w:t>
      </w:r>
      <w:r w:rsidR="00F41656">
        <w:t>The WB team</w:t>
      </w:r>
      <w:r w:rsidR="004921AF" w:rsidRPr="004921AF">
        <w:t xml:space="preserve"> will need to maintain momentum behind ongoing reforms in some areas, while</w:t>
      </w:r>
      <w:r w:rsidR="00807A7A">
        <w:t xml:space="preserve"> </w:t>
      </w:r>
      <w:r w:rsidR="004921AF" w:rsidRPr="004921AF">
        <w:t xml:space="preserve">understanding and getting to know the new administration and their priorities. </w:t>
      </w:r>
      <w:r w:rsidR="004921AF" w:rsidRPr="00AB712F">
        <w:t xml:space="preserve">To improve the likelihood of sustainability, </w:t>
      </w:r>
      <w:proofErr w:type="spellStart"/>
      <w:r>
        <w:t>AGaP</w:t>
      </w:r>
      <w:proofErr w:type="spellEnd"/>
      <w:r w:rsidR="004921AF" w:rsidRPr="00AB712F">
        <w:t xml:space="preserve"> could better utilise resources and diplomacy from the DFAT side of the partnership.</w:t>
      </w:r>
    </w:p>
    <w:p w14:paraId="788D4B9E" w14:textId="70D5EC83" w:rsidR="00807A7A" w:rsidRPr="002D6CE8" w:rsidRDefault="00807A7A" w:rsidP="004921AF">
      <w:pPr>
        <w:rPr>
          <w:b/>
          <w:bCs/>
          <w:color w:val="000000" w:themeColor="text1"/>
        </w:rPr>
      </w:pPr>
      <w:r w:rsidRPr="002D6CE8">
        <w:rPr>
          <w:b/>
          <w:bCs/>
          <w:color w:val="000000" w:themeColor="text1"/>
        </w:rPr>
        <w:t xml:space="preserve">Recommendation: </w:t>
      </w:r>
    </w:p>
    <w:p w14:paraId="5FE90694" w14:textId="4CA31055" w:rsidR="004F1D23" w:rsidRPr="002D6CE8" w:rsidRDefault="00807A7A" w:rsidP="00C64AD4">
      <w:pPr>
        <w:pStyle w:val="ListParagraph"/>
        <w:numPr>
          <w:ilvl w:val="0"/>
          <w:numId w:val="40"/>
        </w:numPr>
        <w:rPr>
          <w:rFonts w:cs="Times New Roman"/>
          <w:color w:val="000000" w:themeColor="text1"/>
          <w:szCs w:val="24"/>
        </w:rPr>
      </w:pPr>
      <w:r w:rsidRPr="002D6CE8">
        <w:rPr>
          <w:color w:val="000000" w:themeColor="text1"/>
        </w:rPr>
        <w:t xml:space="preserve">The partnership should better utilise resources and diplomacy from DFAT, </w:t>
      </w:r>
      <w:proofErr w:type="gramStart"/>
      <w:r w:rsidRPr="002D6CE8">
        <w:rPr>
          <w:color w:val="000000" w:themeColor="text1"/>
        </w:rPr>
        <w:t>in particular the</w:t>
      </w:r>
      <w:proofErr w:type="gramEnd"/>
      <w:r w:rsidRPr="002D6CE8">
        <w:rPr>
          <w:color w:val="000000" w:themeColor="text1"/>
        </w:rPr>
        <w:t xml:space="preserve"> Ambassador, to improve the sustainability of </w:t>
      </w:r>
      <w:proofErr w:type="spellStart"/>
      <w:r w:rsidR="007628AF" w:rsidRPr="002D6CE8">
        <w:rPr>
          <w:color w:val="000000" w:themeColor="text1"/>
        </w:rPr>
        <w:t>AGaP</w:t>
      </w:r>
      <w:proofErr w:type="spellEnd"/>
      <w:r w:rsidRPr="002D6CE8">
        <w:rPr>
          <w:color w:val="000000" w:themeColor="text1"/>
        </w:rPr>
        <w:t>.</w:t>
      </w:r>
      <w:r w:rsidR="00446904">
        <w:rPr>
          <w:rStyle w:val="FootnoteReference"/>
          <w:color w:val="000000" w:themeColor="text1"/>
        </w:rPr>
        <w:footnoteReference w:id="35"/>
      </w:r>
    </w:p>
    <w:p w14:paraId="2521ED97" w14:textId="77777777" w:rsidR="003B38E1" w:rsidRDefault="003B38E1" w:rsidP="00E03DD0">
      <w:pPr>
        <w:pStyle w:val="Heading2"/>
      </w:pPr>
      <w:bookmarkStart w:id="26" w:name="_Toc125560014"/>
      <w:r>
        <w:lastRenderedPageBreak/>
        <w:t>Program management</w:t>
      </w:r>
      <w:bookmarkEnd w:id="26"/>
    </w:p>
    <w:p w14:paraId="21A4883C" w14:textId="63857FA9" w:rsidR="003B38E1" w:rsidRDefault="003B38E1" w:rsidP="00E03DD0">
      <w:pPr>
        <w:pStyle w:val="Heading3"/>
      </w:pPr>
      <w:bookmarkStart w:id="27" w:name="_Toc125560015"/>
      <w:r w:rsidRPr="00C13FE7">
        <w:rPr>
          <w:color w:val="auto"/>
        </w:rPr>
        <w:t>Program governance arrangements</w:t>
      </w:r>
      <w:bookmarkEnd w:id="27"/>
      <w:r w:rsidRPr="00C13FE7">
        <w:rPr>
          <w:color w:val="auto"/>
        </w:rPr>
        <w:t xml:space="preserve"> </w:t>
      </w:r>
    </w:p>
    <w:p w14:paraId="7B8EA70A" w14:textId="4A1DC701" w:rsidR="00865066" w:rsidRPr="00547DC5" w:rsidRDefault="00643C06" w:rsidP="00643C06">
      <w:pPr>
        <w:rPr>
          <w:color w:val="000000" w:themeColor="text1"/>
        </w:rPr>
      </w:pPr>
      <w:r w:rsidRPr="00547DC5">
        <w:rPr>
          <w:color w:val="000000" w:themeColor="text1"/>
        </w:rPr>
        <w:t xml:space="preserve">Key finding: </w:t>
      </w:r>
    </w:p>
    <w:p w14:paraId="63AE85B2" w14:textId="54058BE5" w:rsidR="00643C06" w:rsidRPr="00547DC5" w:rsidRDefault="00643C06" w:rsidP="00C64AD4">
      <w:pPr>
        <w:pStyle w:val="ListParagraph"/>
        <w:numPr>
          <w:ilvl w:val="0"/>
          <w:numId w:val="26"/>
        </w:numPr>
        <w:rPr>
          <w:color w:val="000000" w:themeColor="text1"/>
        </w:rPr>
      </w:pPr>
      <w:r w:rsidRPr="00547DC5">
        <w:rPr>
          <w:color w:val="000000" w:themeColor="text1"/>
        </w:rPr>
        <w:t>The governance structure has worked well overall, especially during the height of the crisis</w:t>
      </w:r>
      <w:r w:rsidRPr="00694948">
        <w:rPr>
          <w:color w:val="000000" w:themeColor="text1"/>
        </w:rPr>
        <w:t>.</w:t>
      </w:r>
      <w:r w:rsidR="005F4233" w:rsidRPr="00694948">
        <w:rPr>
          <w:color w:val="000000" w:themeColor="text1"/>
        </w:rPr>
        <w:t xml:space="preserve"> However, the Steering Committee has recently become involved in a level of detail </w:t>
      </w:r>
      <w:r w:rsidR="00B56D78">
        <w:rPr>
          <w:color w:val="000000" w:themeColor="text1"/>
        </w:rPr>
        <w:t>that</w:t>
      </w:r>
      <w:r w:rsidR="005F4233" w:rsidRPr="00694948">
        <w:rPr>
          <w:color w:val="000000" w:themeColor="text1"/>
        </w:rPr>
        <w:t xml:space="preserve"> should properly be agreed at lower levels of the governance structure.</w:t>
      </w:r>
    </w:p>
    <w:p w14:paraId="3148F6FD" w14:textId="14D2FA62" w:rsidR="00643C06" w:rsidRPr="00643C06" w:rsidRDefault="007628AF" w:rsidP="00643C06">
      <w:proofErr w:type="spellStart"/>
      <w:r>
        <w:t>AGaP</w:t>
      </w:r>
      <w:r w:rsidR="00643C06" w:rsidRPr="00643C06">
        <w:t>’s</w:t>
      </w:r>
      <w:proofErr w:type="spellEnd"/>
      <w:r w:rsidR="00643C06" w:rsidRPr="00643C06">
        <w:t xml:space="preserve"> governance structure consists of three bodies: (1) the Steering Committee, co-chaired by the Australian Embassy Deputy Head of Mission and the World Bank’s Country Director, which is the overall policy and decision-making body; (2) the Operations Committee, co-chaired by DFAT’s Development Counsellor and the WB’s  Operations Manager, which supports the Steering Committee and oversees the progress of </w:t>
      </w:r>
      <w:r>
        <w:t>AGAP</w:t>
      </w:r>
      <w:r w:rsidR="00643C06" w:rsidRPr="00643C06">
        <w:t>-funded activities and resolves implementation issues as they arise; and (3) the Secretariat, which serves management and administrative functions with representatives from both DFAT and the World Bank. </w:t>
      </w:r>
    </w:p>
    <w:p w14:paraId="57381430" w14:textId="7CDC3766" w:rsidR="00643C06" w:rsidRPr="00643C06" w:rsidRDefault="00643C06" w:rsidP="00643C06">
      <w:r w:rsidRPr="00643C06">
        <w:t xml:space="preserve">The </w:t>
      </w:r>
      <w:proofErr w:type="spellStart"/>
      <w:r w:rsidR="007628AF">
        <w:t>AGaP</w:t>
      </w:r>
      <w:proofErr w:type="spellEnd"/>
      <w:r w:rsidRPr="00643C06">
        <w:t xml:space="preserve"> TF Coordinator performs an interface role between TTLs and DFAT. Interviews indicated that for the period covered by the evaluation, this role worked well</w:t>
      </w:r>
      <w:r w:rsidRPr="00643C06" w:rsidDel="007E66C7">
        <w:t>.</w:t>
      </w:r>
      <w:r w:rsidR="007E66C7">
        <w:t xml:space="preserve"> </w:t>
      </w:r>
      <w:r w:rsidRPr="00643C06">
        <w:t>Some interviewees referred specifically to the responsiveness and effectiveness of the Secretariat, which relieves other levels of the partnership from administrative burdens.</w:t>
      </w:r>
    </w:p>
    <w:p w14:paraId="1D6B4BD5" w14:textId="65AE7B25" w:rsidR="00643C06" w:rsidRPr="00643C06" w:rsidRDefault="00643C06" w:rsidP="00643C06">
      <w:r w:rsidRPr="00643C06">
        <w:t xml:space="preserve">The administration agreement requires that the Steering Committee meet at least once a year. Despite the challenges presented by the COVID-19 pandemic, the governance mechanisms continued to function and facilitate joint decision making. In fact, the Steering Committee and overall governance structure proved to be agile and responsive to the crisis and significant and timely decisions were made in response to increased and changing needs and demands for </w:t>
      </w:r>
      <w:proofErr w:type="spellStart"/>
      <w:r w:rsidR="007628AF">
        <w:t>AGaP</w:t>
      </w:r>
      <w:proofErr w:type="spellEnd"/>
      <w:r w:rsidR="00765BB5" w:rsidRPr="00643C06">
        <w:t xml:space="preserve"> </w:t>
      </w:r>
      <w:r w:rsidRPr="00643C06">
        <w:t xml:space="preserve">support. </w:t>
      </w:r>
      <w:r w:rsidRPr="00AB712F">
        <w:t>However, during this time</w:t>
      </w:r>
      <w:r w:rsidR="0070148A">
        <w:t>,</w:t>
      </w:r>
      <w:r w:rsidRPr="00AB712F">
        <w:t xml:space="preserve"> less attention was paid to ensuring</w:t>
      </w:r>
      <w:r w:rsidR="0070148A">
        <w:t xml:space="preserve"> that</w:t>
      </w:r>
      <w:r w:rsidRPr="00AB712F">
        <w:t xml:space="preserve"> there was methodical record keeping of decisions between DFAT and WB, making it challenging to track what and when things were agreed.</w:t>
      </w:r>
    </w:p>
    <w:p w14:paraId="3848EE6A" w14:textId="1B7A32D3" w:rsidR="00643C06" w:rsidRPr="00643C06" w:rsidRDefault="00643C06" w:rsidP="00643C06">
      <w:r w:rsidRPr="00643C06">
        <w:t xml:space="preserve">The </w:t>
      </w:r>
      <w:proofErr w:type="spellStart"/>
      <w:r w:rsidR="007628AF">
        <w:t>AGaP</w:t>
      </w:r>
      <w:proofErr w:type="spellEnd"/>
      <w:r w:rsidRPr="00643C06">
        <w:t xml:space="preserve"> Operations Manual is the guide to managing the grants funded by </w:t>
      </w:r>
      <w:proofErr w:type="spellStart"/>
      <w:r w:rsidR="007628AF">
        <w:t>AGaP</w:t>
      </w:r>
      <w:proofErr w:type="spellEnd"/>
      <w:r w:rsidRPr="00643C06">
        <w:t xml:space="preserve">. The manual sensibly avoids being overly prescriptive for a </w:t>
      </w:r>
      <w:r w:rsidR="00776011">
        <w:t>t</w:t>
      </w:r>
      <w:r w:rsidRPr="00643C06">
        <w:t xml:space="preserve">rust </w:t>
      </w:r>
      <w:r w:rsidR="00776011">
        <w:t>f</w:t>
      </w:r>
      <w:r w:rsidR="00776011" w:rsidRPr="00643C06">
        <w:t xml:space="preserve">und </w:t>
      </w:r>
      <w:r w:rsidRPr="00643C06">
        <w:t xml:space="preserve">that needs flexibility to be effective. </w:t>
      </w:r>
      <w:r w:rsidRPr="00AB712F">
        <w:t>However, a balance is needed if the document is to be an effective guide for DFAT and the WB, especially when key personnel changes occur. For example, the manual includes a list of functions of the Steering Committee but not for the Operations Committee, which may help to explain why some of the problems described below have occurred.</w:t>
      </w:r>
      <w:r w:rsidRPr="00643C06">
        <w:t> </w:t>
      </w:r>
    </w:p>
    <w:p w14:paraId="60EF2FA6" w14:textId="77777777" w:rsidR="00643C06" w:rsidRPr="00643C06" w:rsidRDefault="00643C06" w:rsidP="00643C06">
      <w:r w:rsidRPr="00AB712F">
        <w:t>Interviews with both DFAT and Bank staff have revealed an emerging mismatch concerning how the most recent governance processes have been followed in practice. This has occasionally led to a sense of frustration on both sides. This mismatch is most evident in the way grant proposals are developed and approved and the available entry points for DFAT in that process.</w:t>
      </w:r>
      <w:r w:rsidRPr="00643C06">
        <w:t> </w:t>
      </w:r>
    </w:p>
    <w:p w14:paraId="5303D6A9" w14:textId="39FC9382" w:rsidR="00643C06" w:rsidRPr="00643C06" w:rsidRDefault="00643C06" w:rsidP="00643C06">
      <w:r w:rsidRPr="00643C06">
        <w:t xml:space="preserve">The TF </w:t>
      </w:r>
      <w:r w:rsidR="00F62A46">
        <w:t>A</w:t>
      </w:r>
      <w:r w:rsidRPr="00643C06">
        <w:t xml:space="preserve">dministration </w:t>
      </w:r>
      <w:r w:rsidR="00F62A46">
        <w:t>A</w:t>
      </w:r>
      <w:r w:rsidRPr="00643C06">
        <w:t xml:space="preserve">greement, which empowers the Bank to enter into grant agreements on behalf of the donor, does not specify how the donor is to be involved at the concept development stage. However, the Operations Manual allows for the TTLs to </w:t>
      </w:r>
      <w:r w:rsidR="00B62AEC">
        <w:t>“</w:t>
      </w:r>
      <w:r w:rsidRPr="00643C06">
        <w:t>reach out to DFAT counterparts to solicit their inputs/feedback in refining the proposals, as appropriate</w:t>
      </w:r>
      <w:r w:rsidR="004A6236">
        <w:t>”</w:t>
      </w:r>
      <w:r w:rsidRPr="00643C06">
        <w:t xml:space="preserve">. The Bank sees at least two advantages to this pragmatic approach: </w:t>
      </w:r>
      <w:r w:rsidR="00313B77">
        <w:t>f</w:t>
      </w:r>
      <w:r w:rsidR="00313B77" w:rsidRPr="00643C06">
        <w:t>irstly</w:t>
      </w:r>
      <w:r w:rsidRPr="00643C06">
        <w:t xml:space="preserve">, it ensures that by the time a grant proposal reaches the Steering Committee for approval, it is already familiar to the donor, and should not require further amendment; and secondly, this enables </w:t>
      </w:r>
      <w:proofErr w:type="spellStart"/>
      <w:r w:rsidR="007628AF">
        <w:t>AGaP</w:t>
      </w:r>
      <w:proofErr w:type="spellEnd"/>
      <w:r w:rsidRPr="00643C06">
        <w:t xml:space="preserve"> to access DFAT expertise and networks. Therefore, proposals brought to the Steering Committee should have already been through an internal technical review within the World Bank, engagement between DFAT and TTL counterparts, and a detailed discussion and agreement by the Operations Committee. </w:t>
      </w:r>
    </w:p>
    <w:p w14:paraId="554EE5B0" w14:textId="29B3A750" w:rsidR="00643C06" w:rsidRPr="00643C06" w:rsidRDefault="00643C06" w:rsidP="00643C06">
      <w:r w:rsidRPr="00643C06">
        <w:lastRenderedPageBreak/>
        <w:t xml:space="preserve">However, the </w:t>
      </w:r>
      <w:r w:rsidRPr="005F4233">
        <w:t xml:space="preserve">Steering Committee has recently become involved in a level of detail </w:t>
      </w:r>
      <w:r w:rsidR="004562CC">
        <w:t xml:space="preserve">that </w:t>
      </w:r>
      <w:r w:rsidRPr="005F4233">
        <w:t xml:space="preserve">should </w:t>
      </w:r>
      <w:r w:rsidR="004562CC">
        <w:t xml:space="preserve">have been </w:t>
      </w:r>
      <w:r w:rsidRPr="005F4233">
        <w:t xml:space="preserve">properly agreed at lower levels of the governance structure. Recent minutes have recorded that proposed grant activities are </w:t>
      </w:r>
      <w:r w:rsidR="00E0704E">
        <w:t>“</w:t>
      </w:r>
      <w:r w:rsidRPr="005F4233">
        <w:t>agreed in principle</w:t>
      </w:r>
      <w:r w:rsidR="00E0704E">
        <w:t>”</w:t>
      </w:r>
      <w:r w:rsidRPr="005F4233">
        <w:t xml:space="preserve">, instead of </w:t>
      </w:r>
      <w:r w:rsidR="00E0704E">
        <w:t>“</w:t>
      </w:r>
      <w:r w:rsidRPr="005F4233">
        <w:t>approved</w:t>
      </w:r>
      <w:r w:rsidR="00E0704E">
        <w:t>”</w:t>
      </w:r>
      <w:r w:rsidRPr="005F4233">
        <w:t xml:space="preserve">, implying that some detail is still up for debate. When the Steering Committee fails to provide a definitive decision, the process slows down and </w:t>
      </w:r>
      <w:proofErr w:type="spellStart"/>
      <w:r w:rsidR="007628AF">
        <w:t>AGaP</w:t>
      </w:r>
      <w:proofErr w:type="spellEnd"/>
      <w:r w:rsidRPr="005F4233">
        <w:t xml:space="preserve"> becomes less flexible and responsive.</w:t>
      </w:r>
      <w:r w:rsidRPr="00643C06">
        <w:t> </w:t>
      </w:r>
    </w:p>
    <w:p w14:paraId="61DFEF13" w14:textId="6C266DAB" w:rsidR="00643C06" w:rsidRPr="00643C06" w:rsidRDefault="00643C06" w:rsidP="00643C06">
      <w:r w:rsidRPr="00643C06">
        <w:t xml:space="preserve">In the judgment of the evaluation team, this issue should not detract from the hitherto smooth operation of </w:t>
      </w:r>
      <w:proofErr w:type="spellStart"/>
      <w:r w:rsidR="007628AF">
        <w:t>AGaP</w:t>
      </w:r>
      <w:proofErr w:type="spellEnd"/>
      <w:r w:rsidRPr="00643C06">
        <w:t>. It would not be sensible to introduce overly rigid procedures that would undermine its effectiveness</w:t>
      </w:r>
      <w:r w:rsidR="00C20929">
        <w:t xml:space="preserve">, however, </w:t>
      </w:r>
      <w:r w:rsidR="00591B01">
        <w:t xml:space="preserve">DFAT and the WB should </w:t>
      </w:r>
      <w:r w:rsidR="00591B01">
        <w:rPr>
          <w:lang w:val="en"/>
        </w:rPr>
        <w:t>revisit and commit to</w:t>
      </w:r>
      <w:r w:rsidR="00591B01" w:rsidRPr="00591B01">
        <w:rPr>
          <w:lang w:val="en"/>
        </w:rPr>
        <w:t xml:space="preserve"> grant proposal workflow decision points and milestones.</w:t>
      </w:r>
      <w:r w:rsidR="007E66C7" w:rsidRPr="00AB712F">
        <w:t xml:space="preserve"> </w:t>
      </w:r>
      <w:r w:rsidRPr="005F4233">
        <w:t>At issue is the degree to which DFAT is given opportunities to engage with the concept development</w:t>
      </w:r>
      <w:r w:rsidR="003D3DA6" w:rsidRPr="005F4233">
        <w:t>—</w:t>
      </w:r>
      <w:r w:rsidRPr="005F4233">
        <w:t>including</w:t>
      </w:r>
      <w:r w:rsidR="003D3DA6" w:rsidRPr="005F4233">
        <w:t xml:space="preserve"> </w:t>
      </w:r>
      <w:r w:rsidRPr="005F4233">
        <w:t>in meetings with government</w:t>
      </w:r>
      <w:r w:rsidR="003B6844" w:rsidRPr="005F4233">
        <w:t>—</w:t>
      </w:r>
      <w:r w:rsidRPr="005F4233">
        <w:t xml:space="preserve">how their feedback should be reflected in the final version presented to the Steering Committee; and the missing role of the Operations Committee in mediating the process. The Bank team could do more to brief their DFAT counterparts early in the concept development process; agree </w:t>
      </w:r>
      <w:r w:rsidR="003B6844" w:rsidRPr="005F4233">
        <w:t xml:space="preserve">on </w:t>
      </w:r>
      <w:r w:rsidRPr="005F4233">
        <w:t>areas where DFAT can bring in expertise; and ensure the grant will contribute to end of program outcomes and cross</w:t>
      </w:r>
      <w:r w:rsidR="00C90006">
        <w:t>-</w:t>
      </w:r>
      <w:r w:rsidRPr="005F4233">
        <w:t xml:space="preserve">cutting themes. DFAT could ensure that appropriate resources are applied to engage with the concept development in a timely manner; agree </w:t>
      </w:r>
      <w:r w:rsidR="004206AF" w:rsidRPr="005F4233">
        <w:t xml:space="preserve">on </w:t>
      </w:r>
      <w:r w:rsidRPr="005F4233">
        <w:t xml:space="preserve">the proposal in full before the Steering Committee; and acknowledge how the Trust Fund </w:t>
      </w:r>
      <w:r w:rsidR="00153A3B">
        <w:t>A</w:t>
      </w:r>
      <w:r w:rsidRPr="005F4233">
        <w:t xml:space="preserve">dministration </w:t>
      </w:r>
      <w:r w:rsidR="00153A3B">
        <w:t>A</w:t>
      </w:r>
      <w:r w:rsidRPr="005F4233">
        <w:t>greement delegates the allocation and supervision of grants to the Bank</w:t>
      </w:r>
      <w:r w:rsidRPr="005F4233" w:rsidDel="007E66C7">
        <w:t>.</w:t>
      </w:r>
      <w:r w:rsidR="007E66C7">
        <w:t xml:space="preserve"> </w:t>
      </w:r>
    </w:p>
    <w:p w14:paraId="66E384C4" w14:textId="323E008A" w:rsidR="00643C06" w:rsidRPr="00643C06" w:rsidRDefault="00643C06" w:rsidP="00643C06">
      <w:r w:rsidRPr="00643C06">
        <w:t xml:space="preserve">Despite </w:t>
      </w:r>
      <w:r w:rsidR="004B4E31">
        <w:t>these</w:t>
      </w:r>
      <w:r w:rsidRPr="00643C06">
        <w:t xml:space="preserve"> challenges, interviewees emphasised the strength of the partnership. This could be enhanced by more systematic reporting and record keeping, so the respective teams are well informed about decisions and strategy. Some of this is already in hand, for example efforts have been made to strengthen the Operations Committee and record minutes.</w:t>
      </w:r>
    </w:p>
    <w:p w14:paraId="33BFD276" w14:textId="77777777" w:rsidR="00820FED" w:rsidRDefault="00643C06" w:rsidP="00E03DD0">
      <w:pPr>
        <w:pStyle w:val="Heading3"/>
      </w:pPr>
      <w:bookmarkStart w:id="28" w:name="_Toc125560016"/>
      <w:r w:rsidRPr="00C13FE7">
        <w:rPr>
          <w:color w:val="auto"/>
        </w:rPr>
        <w:t>The Partnership between DFAT and World Bank</w:t>
      </w:r>
      <w:bookmarkEnd w:id="28"/>
    </w:p>
    <w:p w14:paraId="5486532D" w14:textId="50909511" w:rsidR="00643C06" w:rsidRPr="000F6B15" w:rsidRDefault="00643C06" w:rsidP="00643C06">
      <w:r w:rsidRPr="000F6B15">
        <w:t xml:space="preserve">Key </w:t>
      </w:r>
      <w:r w:rsidR="000F6B15">
        <w:t>f</w:t>
      </w:r>
      <w:r w:rsidRPr="000F6B15">
        <w:t>indings</w:t>
      </w:r>
      <w:r w:rsidR="000F6B15">
        <w:t>:</w:t>
      </w:r>
      <w:r w:rsidRPr="000F6B15">
        <w:t> </w:t>
      </w:r>
    </w:p>
    <w:p w14:paraId="4031C64E" w14:textId="194A2F83" w:rsidR="00643C06" w:rsidRPr="00643C06" w:rsidRDefault="00643C06" w:rsidP="0089441D">
      <w:pPr>
        <w:numPr>
          <w:ilvl w:val="0"/>
          <w:numId w:val="14"/>
        </w:numPr>
      </w:pPr>
      <w:r w:rsidRPr="00643C06">
        <w:t xml:space="preserve">There are some good examples of </w:t>
      </w:r>
      <w:proofErr w:type="spellStart"/>
      <w:r w:rsidR="007628AF">
        <w:t>AGaP</w:t>
      </w:r>
      <w:proofErr w:type="spellEnd"/>
      <w:r w:rsidRPr="00643C06">
        <w:t xml:space="preserve"> enabling a constructive partnership. For example, through encouraging an exchange of ideas and not just acting as a delegated trust fund. This is most evident where counterparts in the partnership are naturally aligned, for example social protection and economic development teams exist in both DFAT and the WB. Finding fertile common ground in other areas will require a new approach to collaboration and facilitation</w:t>
      </w:r>
      <w:r w:rsidRPr="00643C06" w:rsidDel="007E66C7">
        <w:t>.</w:t>
      </w:r>
      <w:r w:rsidR="007E66C7">
        <w:t xml:space="preserve"> </w:t>
      </w:r>
    </w:p>
    <w:p w14:paraId="77FB652C" w14:textId="4E0D67C4" w:rsidR="00643C06" w:rsidRPr="00AB712F" w:rsidRDefault="007628AF" w:rsidP="0089441D">
      <w:pPr>
        <w:numPr>
          <w:ilvl w:val="0"/>
          <w:numId w:val="14"/>
        </w:numPr>
      </w:pPr>
      <w:proofErr w:type="spellStart"/>
      <w:r>
        <w:t>AGaP</w:t>
      </w:r>
      <w:proofErr w:type="spellEnd"/>
      <w:r w:rsidR="00643C06" w:rsidRPr="00AB712F">
        <w:t xml:space="preserve"> has not entirely met DFAT’s expectations for the </w:t>
      </w:r>
      <w:r w:rsidR="001B2091">
        <w:t>Trust Fund</w:t>
      </w:r>
      <w:r w:rsidR="00643C06" w:rsidRPr="00AB712F">
        <w:t xml:space="preserve"> to be a vehicle to enhance DFAT’s relationship </w:t>
      </w:r>
      <w:r w:rsidR="00EB3681" w:rsidRPr="00AB712F">
        <w:t xml:space="preserve">and visibility </w:t>
      </w:r>
      <w:r w:rsidR="00643C06" w:rsidRPr="00AB712F">
        <w:t xml:space="preserve">with </w:t>
      </w:r>
      <w:proofErr w:type="spellStart"/>
      <w:r w:rsidR="00643C06" w:rsidRPr="00AB712F">
        <w:t>GoP</w:t>
      </w:r>
      <w:proofErr w:type="spellEnd"/>
      <w:r w:rsidR="00643C06" w:rsidRPr="00AB712F">
        <w:t xml:space="preserve"> and facilitate increased DFAT involvement in policy dialogue around key reform areas.</w:t>
      </w:r>
    </w:p>
    <w:p w14:paraId="008DA105" w14:textId="7352A65D" w:rsidR="00643C06" w:rsidRPr="00643C06" w:rsidRDefault="00643C06" w:rsidP="00643C06">
      <w:r w:rsidRPr="00643C06">
        <w:t xml:space="preserve">The overall quality of the partnership is very good. DFAT and the World Bank build upon each other’s comparative advantages and both welcome the coherence </w:t>
      </w:r>
      <w:proofErr w:type="spellStart"/>
      <w:r w:rsidR="007628AF">
        <w:t>AGaP</w:t>
      </w:r>
      <w:proofErr w:type="spellEnd"/>
      <w:r w:rsidRPr="00643C06">
        <w:t xml:space="preserve"> brings to the shared priorities of economic reform and inclusion in the Philippines. </w:t>
      </w:r>
    </w:p>
    <w:p w14:paraId="0AEF837F" w14:textId="3FDD3251" w:rsidR="00643C06" w:rsidRPr="00643C06" w:rsidRDefault="00643C06" w:rsidP="00643C06">
      <w:r w:rsidRPr="00643C06">
        <w:t xml:space="preserve">It was highlighted in interviews how DFAT’s locally engaged staff play an effective and valuable role in providing an institutional memory of </w:t>
      </w:r>
      <w:proofErr w:type="spellStart"/>
      <w:r w:rsidR="007628AF">
        <w:t>AGaP</w:t>
      </w:r>
      <w:proofErr w:type="spellEnd"/>
      <w:r w:rsidRPr="00643C06">
        <w:t xml:space="preserve">, ensuring a sense of continuity despite the frequent changes of personnel (for instance, three DFAT Counsellors since 2019). In addition to the disruption caused by the COVID-19 pandemic, the second half of 2020 saw DFAT restructure the Philippines Post with the merger of the Economic and Development Counsellor roles. </w:t>
      </w:r>
      <w:r w:rsidR="00D62FC1">
        <w:t xml:space="preserve">This </w:t>
      </w:r>
      <w:r w:rsidRPr="00643C06">
        <w:t xml:space="preserve">created an additional workload for the Counsellor now responsible for a broader </w:t>
      </w:r>
      <w:r w:rsidR="00251119" w:rsidRPr="00643C06">
        <w:t>portfolio</w:t>
      </w:r>
      <w:r w:rsidR="00251119">
        <w:t xml:space="preserve"> but</w:t>
      </w:r>
      <w:r w:rsidRPr="00643C06">
        <w:t xml:space="preserve"> has the potential to strengthen the link between DFAT’s economic portfolio and its other development investments</w:t>
      </w:r>
      <w:r w:rsidRPr="00643C06" w:rsidDel="007E66C7">
        <w:t>.</w:t>
      </w:r>
      <w:r w:rsidR="007E66C7">
        <w:t xml:space="preserve"> </w:t>
      </w:r>
    </w:p>
    <w:p w14:paraId="5542DF66" w14:textId="46449DF9" w:rsidR="00643C06" w:rsidRPr="00643C06" w:rsidRDefault="00643C06" w:rsidP="00643C06">
      <w:r w:rsidRPr="00643C06">
        <w:t xml:space="preserve">The response to COVID-19 exhibited the strength of the partnership. When the pandemic began, everyone transitioned to remote working, and the focus of DFAT and the WB was on pivoting </w:t>
      </w:r>
      <w:r w:rsidRPr="00643C06">
        <w:lastRenderedPageBreak/>
        <w:t xml:space="preserve">the program to COVID-19 response and recovery while also maintaining the established areas of work under </w:t>
      </w:r>
      <w:proofErr w:type="spellStart"/>
      <w:r w:rsidR="007628AF">
        <w:t>AGaP</w:t>
      </w:r>
      <w:proofErr w:type="spellEnd"/>
      <w:r w:rsidRPr="00643C06">
        <w:t xml:space="preserve">. The DFAT Counsellor at that time expressed appreciation for how quickly the WB established a responsive mechanism for COVID-19 focused projects and was impressed with how flexible </w:t>
      </w:r>
      <w:proofErr w:type="spellStart"/>
      <w:r w:rsidR="007628AF">
        <w:t>AGaP</w:t>
      </w:r>
      <w:r w:rsidRPr="00643C06">
        <w:t>’s</w:t>
      </w:r>
      <w:proofErr w:type="spellEnd"/>
      <w:r w:rsidRPr="00643C06">
        <w:t xml:space="preserve"> structure was to be able to adapt to a very different operating environment. </w:t>
      </w:r>
    </w:p>
    <w:p w14:paraId="56660805" w14:textId="516D2702" w:rsidR="00643C06" w:rsidRPr="00643C06" w:rsidRDefault="00643C06" w:rsidP="00643C06">
      <w:r w:rsidRPr="00643C06">
        <w:t xml:space="preserve">During the MTR interviews, the World Bank team welcomed DFAT’s request for more engagement to strengthen </w:t>
      </w:r>
      <w:proofErr w:type="spellStart"/>
      <w:r w:rsidR="007628AF">
        <w:t>AGaP</w:t>
      </w:r>
      <w:r w:rsidRPr="00643C06">
        <w:t>’s</w:t>
      </w:r>
      <w:proofErr w:type="spellEnd"/>
      <w:r w:rsidRPr="00643C06">
        <w:t xml:space="preserve"> ability to meet its goals and facilitate greater visibility for Australia through the partnership. Interviews highlighted the sincere belief on the part of the Bank that DFAT can provide added value in </w:t>
      </w:r>
      <w:proofErr w:type="spellStart"/>
      <w:r w:rsidRPr="00643C06">
        <w:t>GoP</w:t>
      </w:r>
      <w:proofErr w:type="spellEnd"/>
      <w:r w:rsidRPr="00643C06">
        <w:t xml:space="preserve"> engagements and well-informed technical responses to proposal designs. Some of these matters relate to formal program governance and are explained in the previous section</w:t>
      </w:r>
      <w:r w:rsidRPr="00643C06" w:rsidDel="007E66C7">
        <w:t>.</w:t>
      </w:r>
      <w:r w:rsidR="007E66C7">
        <w:t xml:space="preserve"> </w:t>
      </w:r>
      <w:r w:rsidRPr="00643C06">
        <w:t>In other areas, achieving this next level of partnership will require clarity and</w:t>
      </w:r>
      <w:r w:rsidR="00FE28A2">
        <w:t xml:space="preserve"> </w:t>
      </w:r>
      <w:r w:rsidRPr="00643C06">
        <w:t>expectation on both sides</w:t>
      </w:r>
      <w:r w:rsidRPr="00643C06" w:rsidDel="007E66C7">
        <w:t>.</w:t>
      </w:r>
      <w:r w:rsidR="007E66C7">
        <w:t xml:space="preserve"> </w:t>
      </w:r>
      <w:r w:rsidRPr="00AB712F">
        <w:t xml:space="preserve">For example, DFAT teams would like to receive more policy development nuance and insights into </w:t>
      </w:r>
      <w:proofErr w:type="spellStart"/>
      <w:r w:rsidRPr="00AB712F">
        <w:t>GoP</w:t>
      </w:r>
      <w:proofErr w:type="spellEnd"/>
      <w:r w:rsidRPr="00AB712F">
        <w:t xml:space="preserve"> priorities.</w:t>
      </w:r>
      <w:r w:rsidRPr="00643C06">
        <w:t> </w:t>
      </w:r>
    </w:p>
    <w:p w14:paraId="67C52205" w14:textId="637E517D" w:rsidR="00D30C8E" w:rsidRPr="00D30C8E" w:rsidRDefault="00D30C8E" w:rsidP="00D30C8E">
      <w:r w:rsidRPr="001E02DF">
        <w:t>T</w:t>
      </w:r>
      <w:r w:rsidRPr="00D30C8E">
        <w:t>he World Bank team mentioned the importance of receiving timely inputs on reports so as not to diminish the value of the feedback</w:t>
      </w:r>
      <w:r w:rsidR="008829F2">
        <w:t xml:space="preserve">, for example </w:t>
      </w:r>
      <w:r w:rsidR="006166BA">
        <w:t xml:space="preserve">the outstanding feedback on the </w:t>
      </w:r>
      <w:r w:rsidR="008829F2">
        <w:t xml:space="preserve">2021 </w:t>
      </w:r>
      <w:proofErr w:type="spellStart"/>
      <w:r w:rsidR="007628AF">
        <w:t>AGaP</w:t>
      </w:r>
      <w:proofErr w:type="spellEnd"/>
      <w:r w:rsidR="008829F2">
        <w:t xml:space="preserve"> </w:t>
      </w:r>
      <w:r w:rsidR="000F4C7E">
        <w:t>A</w:t>
      </w:r>
      <w:r w:rsidR="008829F2">
        <w:t xml:space="preserve">nnual </w:t>
      </w:r>
      <w:r w:rsidR="000F4C7E">
        <w:t>R</w:t>
      </w:r>
      <w:r w:rsidR="008829F2">
        <w:t>eport</w:t>
      </w:r>
      <w:r w:rsidRPr="00D30C8E">
        <w:t>.</w:t>
      </w:r>
      <w:r w:rsidR="008829F2">
        <w:t xml:space="preserve"> </w:t>
      </w:r>
      <w:r w:rsidRPr="001E02DF">
        <w:t xml:space="preserve">Communication issues may be behind these delays, in which case they should be easily overcome </w:t>
      </w:r>
      <w:r w:rsidR="001E02DF" w:rsidRPr="001E02DF">
        <w:t xml:space="preserve">by ensuring </w:t>
      </w:r>
      <w:r w:rsidR="00912EA0">
        <w:t xml:space="preserve">that </w:t>
      </w:r>
      <w:r w:rsidR="001E02DF" w:rsidRPr="001E02DF">
        <w:t>the World Bank team’s expectations for feedback are clearly expressed, and the DFAT team is given ample notice of when reports are likely to require review.</w:t>
      </w:r>
    </w:p>
    <w:p w14:paraId="144CB4C4" w14:textId="78233AD4" w:rsidR="00EB1CE2" w:rsidRPr="00643C06" w:rsidRDefault="00643C06" w:rsidP="00643C06">
      <w:r w:rsidRPr="00643C06">
        <w:t xml:space="preserve">In summary, there is a desire on both sides for greater ambition for the partnership. It was reported that the new Australian Ambassador to the Philippines has spoken about the need for increased diplomatic visibility in ODA programs. This chimes with the strong message from DFAT throughout the MTR process regarding </w:t>
      </w:r>
      <w:r w:rsidR="0055313A">
        <w:t>its</w:t>
      </w:r>
      <w:r w:rsidR="0055313A" w:rsidRPr="00643C06">
        <w:t xml:space="preserve"> </w:t>
      </w:r>
      <w:r w:rsidRPr="00643C06">
        <w:t xml:space="preserve">aim to improve engagement with </w:t>
      </w:r>
      <w:proofErr w:type="spellStart"/>
      <w:r w:rsidRPr="00643C06">
        <w:t>GoP</w:t>
      </w:r>
      <w:proofErr w:type="spellEnd"/>
      <w:r w:rsidRPr="00643C06">
        <w:t xml:space="preserve"> counterparts and involvement in policy reform discussions. Because </w:t>
      </w:r>
      <w:proofErr w:type="spellStart"/>
      <w:r w:rsidR="007628AF">
        <w:t>AGaP</w:t>
      </w:r>
      <w:proofErr w:type="spellEnd"/>
      <w:r w:rsidRPr="00643C06">
        <w:t xml:space="preserve"> is interlinked with the Bank’s broader support to </w:t>
      </w:r>
      <w:proofErr w:type="spellStart"/>
      <w:r w:rsidRPr="00643C06">
        <w:t>GoP</w:t>
      </w:r>
      <w:proofErr w:type="spellEnd"/>
      <w:r w:rsidRPr="00643C06">
        <w:t xml:space="preserve"> for policy reform, involving the Embassy at the most senior level could open more opportunities for collaboration. </w:t>
      </w:r>
      <w:proofErr w:type="spellStart"/>
      <w:r w:rsidR="007628AF">
        <w:t>AGaP</w:t>
      </w:r>
      <w:proofErr w:type="spellEnd"/>
      <w:r w:rsidRPr="00643C06">
        <w:t xml:space="preserve"> could look to other DFAT-WB partnerships, such as ABP2 in Vietnam, where this feature of the partnership is working particularly well.</w:t>
      </w:r>
    </w:p>
    <w:p w14:paraId="7739B421" w14:textId="77777777" w:rsidR="00AE1A39" w:rsidRPr="00A5359A" w:rsidRDefault="00AE1A39" w:rsidP="00AE1A39">
      <w:pPr>
        <w:rPr>
          <w:color w:val="000000" w:themeColor="text1"/>
        </w:rPr>
      </w:pPr>
      <w:r w:rsidRPr="00A5359A">
        <w:rPr>
          <w:b/>
          <w:bCs/>
          <w:color w:val="000000" w:themeColor="text1"/>
        </w:rPr>
        <w:t>Recommendations</w:t>
      </w:r>
    </w:p>
    <w:p w14:paraId="7BC03CB6" w14:textId="7A94CB3A" w:rsidR="00AE1A39" w:rsidRPr="00A5359A" w:rsidRDefault="00AE1A39" w:rsidP="00AE1A39">
      <w:pPr>
        <w:rPr>
          <w:color w:val="000000" w:themeColor="text1"/>
        </w:rPr>
      </w:pPr>
      <w:r w:rsidRPr="00A5359A">
        <w:rPr>
          <w:color w:val="000000" w:themeColor="text1"/>
        </w:rPr>
        <w:t>Each level of</w:t>
      </w:r>
      <w:r w:rsidR="004714CA" w:rsidRPr="00A5359A">
        <w:rPr>
          <w:color w:val="000000" w:themeColor="text1"/>
        </w:rPr>
        <w:t xml:space="preserve"> the</w:t>
      </w:r>
      <w:r w:rsidRPr="00A5359A">
        <w:rPr>
          <w:color w:val="000000" w:themeColor="text1"/>
        </w:rPr>
        <w:t xml:space="preserve"> </w:t>
      </w:r>
      <w:proofErr w:type="spellStart"/>
      <w:r w:rsidR="007628AF" w:rsidRPr="00A5359A">
        <w:rPr>
          <w:color w:val="000000" w:themeColor="text1"/>
        </w:rPr>
        <w:t>AGaP</w:t>
      </w:r>
      <w:proofErr w:type="spellEnd"/>
      <w:r w:rsidRPr="00A5359A">
        <w:rPr>
          <w:color w:val="000000" w:themeColor="text1"/>
        </w:rPr>
        <w:t xml:space="preserve"> governance</w:t>
      </w:r>
      <w:r w:rsidR="003144E9" w:rsidRPr="00A5359A">
        <w:rPr>
          <w:color w:val="000000" w:themeColor="text1"/>
        </w:rPr>
        <w:t xml:space="preserve"> structure</w:t>
      </w:r>
      <w:r w:rsidRPr="00A5359A">
        <w:rPr>
          <w:color w:val="000000" w:themeColor="text1"/>
        </w:rPr>
        <w:t xml:space="preserve"> needs clear parameters and functions, with the Operations Manual updated accordingly. For example:</w:t>
      </w:r>
    </w:p>
    <w:p w14:paraId="18E61385" w14:textId="74EA1ED8" w:rsidR="00AE1A39" w:rsidRPr="00A5359A" w:rsidRDefault="00AE1A39" w:rsidP="00C64AD4">
      <w:pPr>
        <w:numPr>
          <w:ilvl w:val="0"/>
          <w:numId w:val="56"/>
        </w:numPr>
        <w:rPr>
          <w:color w:val="000000" w:themeColor="text1"/>
        </w:rPr>
      </w:pPr>
      <w:r w:rsidRPr="00A5359A">
        <w:rPr>
          <w:color w:val="000000" w:themeColor="text1"/>
        </w:rPr>
        <w:t xml:space="preserve">The Operations Committee should discuss the issues raised in this section </w:t>
      </w:r>
      <w:r w:rsidR="003144E9" w:rsidRPr="00A5359A">
        <w:rPr>
          <w:color w:val="000000" w:themeColor="text1"/>
        </w:rPr>
        <w:t xml:space="preserve">(Program governance arrangements and Partnership) </w:t>
      </w:r>
      <w:r w:rsidRPr="00A5359A">
        <w:rPr>
          <w:color w:val="000000" w:themeColor="text1"/>
        </w:rPr>
        <w:t xml:space="preserve">and agree a new working method including an updated </w:t>
      </w:r>
      <w:r w:rsidRPr="00A5359A">
        <w:rPr>
          <w:color w:val="000000" w:themeColor="text1"/>
          <w:lang w:val="en"/>
        </w:rPr>
        <w:t>grant proposal workflow, decision points, milestones</w:t>
      </w:r>
      <w:r w:rsidR="001963B2" w:rsidRPr="00A5359A">
        <w:rPr>
          <w:color w:val="000000" w:themeColor="text1"/>
          <w:lang w:val="en"/>
        </w:rPr>
        <w:t>,</w:t>
      </w:r>
      <w:r w:rsidRPr="00A5359A">
        <w:rPr>
          <w:color w:val="000000" w:themeColor="text1"/>
          <w:lang w:val="en"/>
        </w:rPr>
        <w:t xml:space="preserve"> and responsibilities across the partnership.</w:t>
      </w:r>
    </w:p>
    <w:p w14:paraId="4D87A377" w14:textId="77777777" w:rsidR="00AE1A39" w:rsidRPr="00A5359A" w:rsidRDefault="00AE1A39" w:rsidP="00C64AD4">
      <w:pPr>
        <w:numPr>
          <w:ilvl w:val="0"/>
          <w:numId w:val="56"/>
        </w:numPr>
        <w:rPr>
          <w:color w:val="000000" w:themeColor="text1"/>
        </w:rPr>
      </w:pPr>
      <w:r w:rsidRPr="00A5359A">
        <w:rPr>
          <w:color w:val="000000" w:themeColor="text1"/>
        </w:rPr>
        <w:t>The Operations Committee is responsible for detailed discussion of the grant proposals and needs to allocate time and resources to do this effectively. Meeting minutes will be drafted and shared. This committee also decides when a proposal is ready to be submitted to the Steering Committee for approval.</w:t>
      </w:r>
    </w:p>
    <w:p w14:paraId="6796F760" w14:textId="1E1DB06F" w:rsidR="00AE1A39" w:rsidRPr="00A5359A" w:rsidRDefault="00AE1A39" w:rsidP="00C64AD4">
      <w:pPr>
        <w:numPr>
          <w:ilvl w:val="0"/>
          <w:numId w:val="56"/>
        </w:numPr>
        <w:rPr>
          <w:color w:val="000000" w:themeColor="text1"/>
        </w:rPr>
      </w:pPr>
      <w:r w:rsidRPr="00A5359A">
        <w:rPr>
          <w:color w:val="000000" w:themeColor="text1"/>
        </w:rPr>
        <w:t>The Steering Committee takes a strategic view of the program and approves grants, discussion of which should be confined to how the grant contributes to the strategic goals of the program.</w:t>
      </w:r>
    </w:p>
    <w:p w14:paraId="74065BAD" w14:textId="3945736C" w:rsidR="001963B2" w:rsidRDefault="007628AF" w:rsidP="00DF1633">
      <w:proofErr w:type="spellStart"/>
      <w:r>
        <w:t>AGaP</w:t>
      </w:r>
      <w:proofErr w:type="spellEnd"/>
      <w:r w:rsidR="001963B2" w:rsidRPr="00FC7246">
        <w:t xml:space="preserve"> grant</w:t>
      </w:r>
      <w:r w:rsidR="00801721" w:rsidRPr="00FC7246">
        <w:t xml:space="preserve"> </w:t>
      </w:r>
      <w:r w:rsidR="001963B2" w:rsidRPr="00FC7246">
        <w:t>team</w:t>
      </w:r>
      <w:r w:rsidR="00801721" w:rsidRPr="00FC7246">
        <w:t>s</w:t>
      </w:r>
      <w:r w:rsidR="001963B2" w:rsidRPr="00FC7246">
        <w:t xml:space="preserve"> (Post and WB) should agree </w:t>
      </w:r>
      <w:r w:rsidR="00801721" w:rsidRPr="00FC7246">
        <w:t xml:space="preserve">parameters for communication to ensure </w:t>
      </w:r>
      <w:r w:rsidR="00EE5B46">
        <w:t xml:space="preserve">that </w:t>
      </w:r>
      <w:r w:rsidR="00801721" w:rsidRPr="00FC7246">
        <w:t>regular meetings take place. For this to be successful</w:t>
      </w:r>
      <w:r w:rsidR="009007B7">
        <w:t>,</w:t>
      </w:r>
      <w:r w:rsidR="00801721" w:rsidRPr="00FC7246">
        <w:t xml:space="preserve"> it should include examining why meetings are</w:t>
      </w:r>
      <w:r w:rsidR="00FC7246">
        <w:t xml:space="preserve"> no</w:t>
      </w:r>
      <w:r w:rsidR="00801721" w:rsidRPr="00FC7246">
        <w:t xml:space="preserve">t happening as frequently as </w:t>
      </w:r>
      <w:r w:rsidR="003144E9" w:rsidRPr="00FC7246">
        <w:t xml:space="preserve">in some grants </w:t>
      </w:r>
      <w:r w:rsidR="00801721" w:rsidRPr="00FC7246">
        <w:t xml:space="preserve">they used to. </w:t>
      </w:r>
    </w:p>
    <w:p w14:paraId="71AEA0EA" w14:textId="77777777" w:rsidR="001F32C7" w:rsidRDefault="001F32C7">
      <w:pPr>
        <w:spacing w:before="0"/>
        <w:rPr>
          <w:rFonts w:asciiTheme="majorHAnsi" w:eastAsiaTheme="majorEastAsia" w:hAnsiTheme="majorHAnsi" w:cstheme="majorBidi"/>
          <w:color w:val="5B9BD5" w:themeColor="accent5"/>
          <w:lang w:eastAsia="en-US"/>
        </w:rPr>
      </w:pPr>
      <w:r>
        <w:br w:type="page"/>
      </w:r>
    </w:p>
    <w:p w14:paraId="400B1920" w14:textId="38E2D914" w:rsidR="003B38E1" w:rsidRDefault="003B38E1" w:rsidP="00E03DD0">
      <w:pPr>
        <w:pStyle w:val="Heading3"/>
      </w:pPr>
      <w:bookmarkStart w:id="29" w:name="_Toc125560017"/>
      <w:r w:rsidRPr="00C13FE7">
        <w:rPr>
          <w:color w:val="auto"/>
        </w:rPr>
        <w:lastRenderedPageBreak/>
        <w:t>Communication and Visibility</w:t>
      </w:r>
      <w:bookmarkEnd w:id="29"/>
    </w:p>
    <w:p w14:paraId="6DB9DE09" w14:textId="22B7622C" w:rsidR="00340677" w:rsidRDefault="00340677" w:rsidP="00340677">
      <w:pPr>
        <w:rPr>
          <w:lang w:val="en-PH"/>
        </w:rPr>
      </w:pPr>
      <w:r>
        <w:rPr>
          <w:lang w:val="en-PH"/>
        </w:rPr>
        <w:t xml:space="preserve">Key </w:t>
      </w:r>
      <w:r w:rsidR="009007B7">
        <w:rPr>
          <w:lang w:val="en-PH"/>
        </w:rPr>
        <w:t>f</w:t>
      </w:r>
      <w:r>
        <w:rPr>
          <w:lang w:val="en-PH"/>
        </w:rPr>
        <w:t>inding</w:t>
      </w:r>
      <w:r w:rsidR="00E31B47">
        <w:rPr>
          <w:lang w:val="en-PH"/>
        </w:rPr>
        <w:t>s</w:t>
      </w:r>
      <w:r>
        <w:rPr>
          <w:lang w:val="en-PH"/>
        </w:rPr>
        <w:t>:</w:t>
      </w:r>
    </w:p>
    <w:p w14:paraId="0E87EF37" w14:textId="3869B9BF" w:rsidR="00340677" w:rsidRPr="00FC7246" w:rsidRDefault="007628AF" w:rsidP="00C64AD4">
      <w:pPr>
        <w:pStyle w:val="ListParagraph"/>
        <w:numPr>
          <w:ilvl w:val="0"/>
          <w:numId w:val="40"/>
        </w:numPr>
        <w:rPr>
          <w:color w:val="auto"/>
        </w:rPr>
      </w:pPr>
      <w:proofErr w:type="spellStart"/>
      <w:r>
        <w:rPr>
          <w:color w:val="auto"/>
          <w:lang w:val="en-PH"/>
        </w:rPr>
        <w:t>AGaP</w:t>
      </w:r>
      <w:r w:rsidR="00340677" w:rsidRPr="00FC7246">
        <w:rPr>
          <w:color w:val="auto"/>
          <w:lang w:val="en-PH"/>
        </w:rPr>
        <w:t>’s</w:t>
      </w:r>
      <w:proofErr w:type="spellEnd"/>
      <w:r w:rsidR="00340677" w:rsidRPr="00FC7246">
        <w:rPr>
          <w:color w:val="auto"/>
        </w:rPr>
        <w:t xml:space="preserve"> visibility and branding objectives, as outlined in the Operations Manual, were not achieved across all grants and at the </w:t>
      </w:r>
      <w:r w:rsidR="001B2091">
        <w:rPr>
          <w:color w:val="auto"/>
        </w:rPr>
        <w:t>t</w:t>
      </w:r>
      <w:r w:rsidR="00340677" w:rsidRPr="00FC7246">
        <w:rPr>
          <w:color w:val="auto"/>
        </w:rPr>
        <w:t xml:space="preserve">rust </w:t>
      </w:r>
      <w:r w:rsidR="001B2091">
        <w:rPr>
          <w:color w:val="auto"/>
        </w:rPr>
        <w:t>f</w:t>
      </w:r>
      <w:r w:rsidR="00340677" w:rsidRPr="00FC7246">
        <w:rPr>
          <w:color w:val="auto"/>
        </w:rPr>
        <w:t xml:space="preserve">und level. </w:t>
      </w:r>
    </w:p>
    <w:p w14:paraId="5A96FAAC" w14:textId="67B5A896" w:rsidR="00340677" w:rsidRPr="00FC7246" w:rsidRDefault="00340677" w:rsidP="00C64AD4">
      <w:pPr>
        <w:pStyle w:val="ListParagraph"/>
        <w:numPr>
          <w:ilvl w:val="0"/>
          <w:numId w:val="40"/>
        </w:numPr>
        <w:rPr>
          <w:color w:val="auto"/>
        </w:rPr>
      </w:pPr>
      <w:r w:rsidRPr="00FC7246">
        <w:rPr>
          <w:color w:val="auto"/>
        </w:rPr>
        <w:t>There is shared ambition at the senior level for more visibility of the partnership</w:t>
      </w:r>
      <w:r w:rsidR="00DF1633">
        <w:rPr>
          <w:color w:val="auto"/>
        </w:rPr>
        <w:t>,</w:t>
      </w:r>
      <w:r w:rsidRPr="00FC7246">
        <w:rPr>
          <w:color w:val="auto"/>
        </w:rPr>
        <w:t xml:space="preserve"> however this is yet to be achieved.</w:t>
      </w:r>
    </w:p>
    <w:p w14:paraId="1DA25743" w14:textId="7EBCAF5F" w:rsidR="0037114A" w:rsidRDefault="000D582E" w:rsidP="0037114A">
      <w:pPr>
        <w:rPr>
          <w:lang w:val="en-PH"/>
        </w:rPr>
      </w:pPr>
      <w:r>
        <w:t xml:space="preserve">The </w:t>
      </w:r>
      <w:proofErr w:type="spellStart"/>
      <w:r w:rsidR="007628AF">
        <w:t>AGaP</w:t>
      </w:r>
      <w:proofErr w:type="spellEnd"/>
      <w:r>
        <w:t xml:space="preserve"> communication strategy, branding and visibility guidelines are part of the Operations Manual, which was approved by the Steering Committee in December 2020. It is clear about the visibility aspired in </w:t>
      </w:r>
      <w:proofErr w:type="spellStart"/>
      <w:r w:rsidR="007628AF">
        <w:t>AGaP</w:t>
      </w:r>
      <w:proofErr w:type="spellEnd"/>
      <w:r>
        <w:t xml:space="preserve"> whereby the focus is </w:t>
      </w:r>
      <w:r w:rsidR="001F32C7">
        <w:t xml:space="preserve">on </w:t>
      </w:r>
      <w:r>
        <w:t xml:space="preserve">the </w:t>
      </w:r>
      <w:r w:rsidRPr="009D706D">
        <w:t xml:space="preserve">partnership between </w:t>
      </w:r>
      <w:r>
        <w:rPr>
          <w:lang w:val="en-PH"/>
        </w:rPr>
        <w:t xml:space="preserve">WB and Australia, Australia’s support, and impacts of the partnership. </w:t>
      </w:r>
    </w:p>
    <w:p w14:paraId="1BB9A9D9" w14:textId="27A0C78C" w:rsidR="000D582E" w:rsidRDefault="000D582E" w:rsidP="000D582E">
      <w:pPr>
        <w:rPr>
          <w:lang w:val="en-PH"/>
        </w:rPr>
      </w:pPr>
      <w:r>
        <w:rPr>
          <w:lang w:val="en-PH"/>
        </w:rPr>
        <w:t>Four grants—social protection, COVID</w:t>
      </w:r>
      <w:r w:rsidR="007D606A">
        <w:rPr>
          <w:lang w:val="en-PH"/>
        </w:rPr>
        <w:t>-19</w:t>
      </w:r>
      <w:r>
        <w:rPr>
          <w:lang w:val="en-PH"/>
        </w:rPr>
        <w:t xml:space="preserve"> monitoring surveys, active transport, and women’s economic empowerment—acknowledged DFAT support in its knowledge products, and in most cases, included the Australian logo. Of the four, social protection and the COVID</w:t>
      </w:r>
      <w:r w:rsidR="007D606A">
        <w:rPr>
          <w:lang w:val="en-PH"/>
        </w:rPr>
        <w:t>-19</w:t>
      </w:r>
      <w:r>
        <w:rPr>
          <w:lang w:val="en-PH"/>
        </w:rPr>
        <w:t xml:space="preserve"> surveys are notable in applying the branding guidelines. </w:t>
      </w:r>
      <w:r w:rsidR="00C7350E">
        <w:rPr>
          <w:lang w:val="en-PH"/>
        </w:rPr>
        <w:t xml:space="preserve">For example, </w:t>
      </w:r>
      <w:r w:rsidR="00C7350E" w:rsidRPr="00C7350E">
        <w:t xml:space="preserve">the </w:t>
      </w:r>
      <w:r w:rsidR="00C7350E">
        <w:t>COVID</w:t>
      </w:r>
      <w:r w:rsidR="007D606A">
        <w:t>-19</w:t>
      </w:r>
      <w:r w:rsidR="00C7350E">
        <w:t xml:space="preserve"> </w:t>
      </w:r>
      <w:r w:rsidR="00C7350E" w:rsidRPr="00C7350E">
        <w:t xml:space="preserve">survey findings </w:t>
      </w:r>
      <w:r w:rsidR="00C7350E">
        <w:t xml:space="preserve">are </w:t>
      </w:r>
      <w:r w:rsidR="00C7350E" w:rsidRPr="00C7350E">
        <w:t xml:space="preserve">publicly disclosed in the </w:t>
      </w:r>
      <w:hyperlink r:id="rId11" w:history="1">
        <w:r w:rsidR="00C7350E" w:rsidRPr="00C7350E">
          <w:rPr>
            <w:rStyle w:val="Hyperlink"/>
          </w:rPr>
          <w:t>grant’s webpage</w:t>
        </w:r>
      </w:hyperlink>
      <w:r w:rsidR="00C7350E" w:rsidRPr="00C7350E">
        <w:t xml:space="preserve">, all of which acknowledge Australia’s support (researchers can also download editable data from WB’s open-source </w:t>
      </w:r>
      <w:hyperlink r:id="rId12" w:history="1">
        <w:r w:rsidR="00C7350E" w:rsidRPr="00C7350E">
          <w:rPr>
            <w:rStyle w:val="Hyperlink"/>
          </w:rPr>
          <w:t>microdata library</w:t>
        </w:r>
      </w:hyperlink>
      <w:r w:rsidR="00C7350E" w:rsidRPr="00C7350E">
        <w:t>).</w:t>
      </w:r>
      <w:r w:rsidR="00C7350E">
        <w:t xml:space="preserve"> </w:t>
      </w:r>
      <w:r w:rsidR="00C7350E">
        <w:rPr>
          <w:lang w:val="en-PH"/>
        </w:rPr>
        <w:t>However, w</w:t>
      </w:r>
      <w:r>
        <w:rPr>
          <w:lang w:val="en-PH"/>
        </w:rPr>
        <w:t xml:space="preserve">ith the other </w:t>
      </w:r>
      <w:proofErr w:type="spellStart"/>
      <w:r w:rsidR="007628AF">
        <w:rPr>
          <w:lang w:val="en-PH"/>
        </w:rPr>
        <w:t>AGaP</w:t>
      </w:r>
      <w:proofErr w:type="spellEnd"/>
      <w:r w:rsidR="00C7350E">
        <w:rPr>
          <w:lang w:val="en-PH"/>
        </w:rPr>
        <w:t xml:space="preserve"> </w:t>
      </w:r>
      <w:r>
        <w:rPr>
          <w:lang w:val="en-PH"/>
        </w:rPr>
        <w:t xml:space="preserve">grants, there is no evidence to show that the guidelines were used, in part because most of the activities involved technical advice (no public document involved) and analytical work presented directly to </w:t>
      </w:r>
      <w:proofErr w:type="spellStart"/>
      <w:r>
        <w:rPr>
          <w:lang w:val="en-PH"/>
        </w:rPr>
        <w:t>GoP</w:t>
      </w:r>
      <w:proofErr w:type="spellEnd"/>
      <w:r>
        <w:rPr>
          <w:lang w:val="en-PH"/>
        </w:rPr>
        <w:t xml:space="preserve"> counterparts as </w:t>
      </w:r>
      <w:r w:rsidR="00D63437">
        <w:rPr>
          <w:lang w:val="en-PH"/>
        </w:rPr>
        <w:t>“</w:t>
      </w:r>
      <w:r w:rsidR="00FE4AD8">
        <w:rPr>
          <w:lang w:val="en-PH"/>
        </w:rPr>
        <w:t>O</w:t>
      </w:r>
      <w:r>
        <w:rPr>
          <w:lang w:val="en-PH"/>
        </w:rPr>
        <w:t>fficial</w:t>
      </w:r>
      <w:r w:rsidDel="00FE4AD8">
        <w:rPr>
          <w:lang w:val="en-PH"/>
        </w:rPr>
        <w:t xml:space="preserve"> </w:t>
      </w:r>
      <w:r w:rsidR="00FE4AD8">
        <w:rPr>
          <w:lang w:val="en-PH"/>
        </w:rPr>
        <w:t xml:space="preserve">Use </w:t>
      </w:r>
      <w:r>
        <w:rPr>
          <w:lang w:val="en-PH"/>
        </w:rPr>
        <w:t>only</w:t>
      </w:r>
      <w:r w:rsidR="00D63437">
        <w:rPr>
          <w:lang w:val="en-PH"/>
        </w:rPr>
        <w:t>”</w:t>
      </w:r>
      <w:r>
        <w:rPr>
          <w:lang w:val="en-PH"/>
        </w:rPr>
        <w:t xml:space="preserve"> documents. </w:t>
      </w:r>
    </w:p>
    <w:p w14:paraId="79622237" w14:textId="770C0606" w:rsidR="00FE6A32" w:rsidRDefault="000D582E" w:rsidP="000D582E">
      <w:r w:rsidRPr="00AB712F">
        <w:rPr>
          <w:lang w:val="en-PH"/>
        </w:rPr>
        <w:t xml:space="preserve">While DFAT noted that it participated in joint project missions, public events, and some meetings with </w:t>
      </w:r>
      <w:proofErr w:type="spellStart"/>
      <w:r w:rsidRPr="00AB712F">
        <w:rPr>
          <w:lang w:val="en-PH"/>
        </w:rPr>
        <w:t>GoP</w:t>
      </w:r>
      <w:proofErr w:type="spellEnd"/>
      <w:r w:rsidRPr="00AB712F">
        <w:rPr>
          <w:lang w:val="en-PH"/>
        </w:rPr>
        <w:t xml:space="preserve"> counterparts—and again, these were mostly with the same grants that did well in applying the branding guidelines—DFAT is of the view that there are </w:t>
      </w:r>
      <w:proofErr w:type="gramStart"/>
      <w:r w:rsidRPr="00AB712F">
        <w:rPr>
          <w:lang w:val="en-PH"/>
        </w:rPr>
        <w:t>a number of</w:t>
      </w:r>
      <w:proofErr w:type="gramEnd"/>
      <w:r w:rsidRPr="00AB712F">
        <w:rPr>
          <w:lang w:val="en-PH"/>
        </w:rPr>
        <w:t xml:space="preserve"> missed opportunities for visibility, specifically in highlighting the partnership between WB and DFAT. </w:t>
      </w:r>
      <w:r w:rsidR="001454AA">
        <w:rPr>
          <w:lang w:val="en-PH"/>
        </w:rPr>
        <w:t>For example, DFAT</w:t>
      </w:r>
      <w:r w:rsidR="00FE6A32">
        <w:rPr>
          <w:lang w:val="en-PH"/>
        </w:rPr>
        <w:t xml:space="preserve"> </w:t>
      </w:r>
      <w:r w:rsidR="00FE6A32">
        <w:t>noted</w:t>
      </w:r>
      <w:r w:rsidR="00665F02">
        <w:t xml:space="preserve"> that</w:t>
      </w:r>
      <w:r w:rsidR="00FE6A32">
        <w:t xml:space="preserve"> they have</w:t>
      </w:r>
      <w:r w:rsidR="001454AA" w:rsidRPr="001454AA">
        <w:t xml:space="preserve"> </w:t>
      </w:r>
      <w:r w:rsidR="00FE6A32">
        <w:t>not</w:t>
      </w:r>
      <w:r w:rsidR="001454AA" w:rsidRPr="001454AA">
        <w:t xml:space="preserve"> been invited</w:t>
      </w:r>
      <w:r w:rsidR="00FE6A32">
        <w:t xml:space="preserve"> </w:t>
      </w:r>
      <w:r w:rsidR="001454AA" w:rsidRPr="001454AA">
        <w:t>to join</w:t>
      </w:r>
      <w:r w:rsidR="00FE6A32">
        <w:t xml:space="preserve"> the WB</w:t>
      </w:r>
      <w:r w:rsidR="001454AA" w:rsidRPr="001454AA">
        <w:t xml:space="preserve"> in their </w:t>
      </w:r>
      <w:r w:rsidR="001454AA" w:rsidRPr="007D606A">
        <w:t>meetings with DSWD</w:t>
      </w:r>
      <w:r w:rsidR="006B3633">
        <w:t>,</w:t>
      </w:r>
      <w:r w:rsidR="001454AA" w:rsidRPr="001454AA">
        <w:t xml:space="preserve"> </w:t>
      </w:r>
      <w:r w:rsidR="00FE6A32">
        <w:t xml:space="preserve">consequently missing </w:t>
      </w:r>
      <w:r w:rsidR="001454AA" w:rsidRPr="001454AA">
        <w:t xml:space="preserve">the opportunity to reinforce both WB and </w:t>
      </w:r>
      <w:r w:rsidR="00FE6A32">
        <w:t xml:space="preserve">the Government of </w:t>
      </w:r>
      <w:r w:rsidR="001454AA" w:rsidRPr="001454AA">
        <w:t xml:space="preserve">Australia’s key </w:t>
      </w:r>
      <w:r w:rsidR="00FE6A32">
        <w:t xml:space="preserve">social protection </w:t>
      </w:r>
      <w:r w:rsidR="001454AA" w:rsidRPr="001454AA">
        <w:t>messages.</w:t>
      </w:r>
    </w:p>
    <w:p w14:paraId="524F8AF4" w14:textId="6DCF3AE5" w:rsidR="00D455EB" w:rsidRDefault="00D455EB" w:rsidP="000D582E">
      <w:r>
        <w:t>The MTR team notes that visibility</w:t>
      </w:r>
      <w:r w:rsidR="006B3633">
        <w:t xml:space="preserve"> </w:t>
      </w:r>
      <w:r>
        <w:t>and branding</w:t>
      </w:r>
      <w:r w:rsidR="006B3633">
        <w:t xml:space="preserve"> </w:t>
      </w:r>
      <w:r>
        <w:t xml:space="preserve">are conflated in the Operations Manual, whereas they have different meanings. Ensuring that branding is correct, or that DFAT officers are invited to speak at launch meetings, is to ensure that Australia’s contribution is visible to partners. However, visibility works both ways. DFAT staff need to be part of the dialogue with </w:t>
      </w:r>
      <w:proofErr w:type="spellStart"/>
      <w:r>
        <w:t>GoP</w:t>
      </w:r>
      <w:proofErr w:type="spellEnd"/>
      <w:r>
        <w:t xml:space="preserve"> and stakeholders. </w:t>
      </w:r>
      <w:r w:rsidR="00E066D8">
        <w:t xml:space="preserve">As the Office of Development Effectiveness concluded: </w:t>
      </w:r>
      <w:r w:rsidR="006B3633">
        <w:t>“</w:t>
      </w:r>
      <w:r w:rsidR="00E066D8" w:rsidRPr="00E066D8">
        <w:t>Experience shows that trust funds work better when DFAT is actively involved with programs.</w:t>
      </w:r>
      <w:r w:rsidR="006B3633">
        <w:t>”</w:t>
      </w:r>
      <w:r w:rsidR="00E066D8">
        <w:rPr>
          <w:rStyle w:val="FootnoteReference"/>
        </w:rPr>
        <w:footnoteReference w:id="36"/>
      </w:r>
    </w:p>
    <w:p w14:paraId="3CB5B117" w14:textId="45056837" w:rsidR="000D582E" w:rsidRPr="00547DC5" w:rsidRDefault="000D582E" w:rsidP="000D582E">
      <w:r w:rsidRPr="00AB712F">
        <w:rPr>
          <w:lang w:val="en-PH"/>
        </w:rPr>
        <w:t xml:space="preserve">The </w:t>
      </w:r>
      <w:r w:rsidR="00236C51">
        <w:rPr>
          <w:lang w:val="en-PH"/>
        </w:rPr>
        <w:t xml:space="preserve">Operations Manual includes an </w:t>
      </w:r>
      <w:r w:rsidR="00236C51" w:rsidRPr="0062405E">
        <w:rPr>
          <w:b/>
          <w:bCs/>
        </w:rPr>
        <w:t>Option to Waive</w:t>
      </w:r>
      <w:r w:rsidR="00236C51" w:rsidRPr="00236C51">
        <w:rPr>
          <w:b/>
          <w:bCs/>
        </w:rPr>
        <w:t xml:space="preserve"> </w:t>
      </w:r>
      <w:r w:rsidR="0062405E">
        <w:t>the guidelines and</w:t>
      </w:r>
      <w:r w:rsidR="00236C51" w:rsidRPr="00547DC5">
        <w:t xml:space="preserve"> </w:t>
      </w:r>
      <w:r w:rsidRPr="00AB712F">
        <w:rPr>
          <w:lang w:val="en-PH"/>
        </w:rPr>
        <w:t xml:space="preserve">according to </w:t>
      </w:r>
      <w:r w:rsidR="0062405E">
        <w:rPr>
          <w:lang w:val="en-PH"/>
        </w:rPr>
        <w:t xml:space="preserve">the </w:t>
      </w:r>
      <w:r w:rsidRPr="00AB712F">
        <w:rPr>
          <w:lang w:val="en-PH"/>
        </w:rPr>
        <w:t>WB</w:t>
      </w:r>
      <w:r w:rsidR="006B3633">
        <w:rPr>
          <w:lang w:val="en-PH"/>
        </w:rPr>
        <w:t>,</w:t>
      </w:r>
      <w:r w:rsidR="0062405E">
        <w:rPr>
          <w:lang w:val="en-PH"/>
        </w:rPr>
        <w:t xml:space="preserve"> </w:t>
      </w:r>
      <w:proofErr w:type="gramStart"/>
      <w:r w:rsidR="0062405E">
        <w:rPr>
          <w:lang w:val="en-PH"/>
        </w:rPr>
        <w:t>a number of</w:t>
      </w:r>
      <w:proofErr w:type="gramEnd"/>
      <w:r w:rsidR="0062405E">
        <w:rPr>
          <w:lang w:val="en-PH"/>
        </w:rPr>
        <w:t xml:space="preserve"> government meetings were </w:t>
      </w:r>
      <w:r w:rsidRPr="00AB712F">
        <w:rPr>
          <w:lang w:val="en-PH"/>
        </w:rPr>
        <w:t xml:space="preserve">confidential and time-critical </w:t>
      </w:r>
      <w:r w:rsidR="0062405E">
        <w:rPr>
          <w:lang w:val="en-PH"/>
        </w:rPr>
        <w:t xml:space="preserve">in </w:t>
      </w:r>
      <w:r w:rsidRPr="00AB712F">
        <w:rPr>
          <w:lang w:val="en-PH"/>
        </w:rPr>
        <w:t>nature</w:t>
      </w:r>
      <w:r w:rsidR="0062405E">
        <w:rPr>
          <w:lang w:val="en-PH"/>
        </w:rPr>
        <w:t xml:space="preserve">, which is covered by this option. Nevertheless, there are </w:t>
      </w:r>
      <w:proofErr w:type="spellStart"/>
      <w:r w:rsidR="007628AF">
        <w:rPr>
          <w:lang w:val="en-PH"/>
        </w:rPr>
        <w:t>AGaP</w:t>
      </w:r>
      <w:proofErr w:type="spellEnd"/>
      <w:r w:rsidR="0062405E">
        <w:rPr>
          <w:lang w:val="en-PH"/>
        </w:rPr>
        <w:t xml:space="preserve"> meeting</w:t>
      </w:r>
      <w:r w:rsidR="004D103C">
        <w:rPr>
          <w:lang w:val="en-PH"/>
        </w:rPr>
        <w:t>s</w:t>
      </w:r>
      <w:r w:rsidR="0062405E">
        <w:rPr>
          <w:lang w:val="en-PH"/>
        </w:rPr>
        <w:t xml:space="preserve"> that do not fall into these categories </w:t>
      </w:r>
      <w:r w:rsidR="00C13DDF">
        <w:rPr>
          <w:lang w:val="en-PH"/>
        </w:rPr>
        <w:t xml:space="preserve">and </w:t>
      </w:r>
      <w:r w:rsidR="004D103C">
        <w:rPr>
          <w:lang w:val="en-PH"/>
        </w:rPr>
        <w:t xml:space="preserve">where DFAT could have been invited. </w:t>
      </w:r>
      <w:r w:rsidR="005206BB">
        <w:rPr>
          <w:lang w:val="en-PH"/>
        </w:rPr>
        <w:t xml:space="preserve">The </w:t>
      </w:r>
      <w:r w:rsidR="005206BB" w:rsidRPr="005206BB">
        <w:t xml:space="preserve">WB suggested that </w:t>
      </w:r>
      <w:r w:rsidR="00471FAF">
        <w:t>in future</w:t>
      </w:r>
      <w:r w:rsidR="00C13DDF">
        <w:t>,</w:t>
      </w:r>
      <w:r w:rsidR="00471FAF">
        <w:t xml:space="preserve"> </w:t>
      </w:r>
      <w:r w:rsidR="005206BB" w:rsidRPr="005206BB">
        <w:t xml:space="preserve">a schedule of upcoming </w:t>
      </w:r>
      <w:proofErr w:type="spellStart"/>
      <w:r w:rsidR="007628AF">
        <w:t>AGaP</w:t>
      </w:r>
      <w:proofErr w:type="spellEnd"/>
      <w:r w:rsidR="005206BB" w:rsidRPr="005206BB">
        <w:t xml:space="preserve"> events </w:t>
      </w:r>
      <w:r w:rsidR="005206BB">
        <w:t xml:space="preserve">could </w:t>
      </w:r>
      <w:r w:rsidR="005206BB" w:rsidRPr="005206BB">
        <w:t>be shared so that DFAT could plan its participation accordingly.</w:t>
      </w:r>
    </w:p>
    <w:p w14:paraId="21578F3B" w14:textId="7B7BEFDA" w:rsidR="000D582E" w:rsidRDefault="004D103C" w:rsidP="000D582E">
      <w:r>
        <w:rPr>
          <w:lang w:val="en-PH"/>
        </w:rPr>
        <w:t xml:space="preserve">The evaluation found the </w:t>
      </w:r>
      <w:r w:rsidR="000D582E">
        <w:rPr>
          <w:lang w:val="en-PH"/>
        </w:rPr>
        <w:t xml:space="preserve">WB </w:t>
      </w:r>
      <w:r>
        <w:rPr>
          <w:lang w:val="en-PH"/>
        </w:rPr>
        <w:t xml:space="preserve">at a senior level </w:t>
      </w:r>
      <w:r w:rsidR="000D582E">
        <w:rPr>
          <w:lang w:val="en-PH"/>
        </w:rPr>
        <w:t>shared the same aspiration for visibility and proactiveness</w:t>
      </w:r>
      <w:r>
        <w:rPr>
          <w:lang w:val="en-PH"/>
        </w:rPr>
        <w:t xml:space="preserve"> as DFAT</w:t>
      </w:r>
      <w:r w:rsidR="005206BB">
        <w:rPr>
          <w:lang w:val="en-PH"/>
        </w:rPr>
        <w:t xml:space="preserve">. </w:t>
      </w:r>
      <w:r w:rsidR="005206BB">
        <w:t>T</w:t>
      </w:r>
      <w:r w:rsidR="000D582E">
        <w:t xml:space="preserve">he heads of both institutions </w:t>
      </w:r>
      <w:r w:rsidR="005206BB">
        <w:t>have a role</w:t>
      </w:r>
      <w:r w:rsidR="000D582E">
        <w:t xml:space="preserve"> in reinforcing the </w:t>
      </w:r>
      <w:proofErr w:type="spellStart"/>
      <w:r w:rsidR="007628AF">
        <w:t>AGaP</w:t>
      </w:r>
      <w:proofErr w:type="spellEnd"/>
      <w:r w:rsidR="000D582E">
        <w:t xml:space="preserve"> key messages in support of the reforms, for example, in their meetings with government counterparts and in public events. </w:t>
      </w:r>
    </w:p>
    <w:p w14:paraId="371E960A" w14:textId="6537901B" w:rsidR="000D582E" w:rsidRDefault="007628AF" w:rsidP="000D582E">
      <w:pPr>
        <w:rPr>
          <w:lang w:val="en-PH"/>
        </w:rPr>
      </w:pPr>
      <w:proofErr w:type="spellStart"/>
      <w:r>
        <w:rPr>
          <w:lang w:val="en-PH"/>
        </w:rPr>
        <w:t>AGaP</w:t>
      </w:r>
      <w:r w:rsidR="00FE774F">
        <w:rPr>
          <w:lang w:val="en-PH"/>
        </w:rPr>
        <w:t>’s</w:t>
      </w:r>
      <w:proofErr w:type="spellEnd"/>
      <w:r w:rsidR="000D582E">
        <w:rPr>
          <w:lang w:val="en-PH"/>
        </w:rPr>
        <w:t xml:space="preserve"> key messages and the communication strategy</w:t>
      </w:r>
      <w:r w:rsidR="00FE774F">
        <w:rPr>
          <w:lang w:val="en-PH"/>
        </w:rPr>
        <w:t xml:space="preserve"> </w:t>
      </w:r>
      <w:r w:rsidR="000D582E">
        <w:rPr>
          <w:lang w:val="en-PH"/>
        </w:rPr>
        <w:t xml:space="preserve">were </w:t>
      </w:r>
      <w:r w:rsidR="000D582E">
        <w:t xml:space="preserve">discussed and agreed upon by WB’s External and </w:t>
      </w:r>
      <w:r w:rsidR="000D582E" w:rsidRPr="002E407E">
        <w:t xml:space="preserve">Corporate Relations </w:t>
      </w:r>
      <w:r w:rsidR="000D582E">
        <w:t xml:space="preserve">team </w:t>
      </w:r>
      <w:r w:rsidR="000D582E" w:rsidRPr="002E407E">
        <w:t>and</w:t>
      </w:r>
      <w:r w:rsidR="000D582E">
        <w:t xml:space="preserve"> the Australian Embassy’s </w:t>
      </w:r>
      <w:r w:rsidR="000D582E" w:rsidRPr="002E407E">
        <w:t>Public Diplomacy team</w:t>
      </w:r>
      <w:r w:rsidR="000D582E">
        <w:t xml:space="preserve">. </w:t>
      </w:r>
      <w:r w:rsidR="000D582E">
        <w:lastRenderedPageBreak/>
        <w:t>However, the strategy should be reviewed and updated as these have not been done since the strategy was approved two years ago. While the key messages do have a reference to COVID</w:t>
      </w:r>
      <w:r w:rsidR="007D606A">
        <w:t>-19</w:t>
      </w:r>
      <w:r w:rsidR="000D582E">
        <w:t xml:space="preserve"> response, the situation has evolved and </w:t>
      </w:r>
      <w:proofErr w:type="spellStart"/>
      <w:r>
        <w:t>AGaP</w:t>
      </w:r>
      <w:proofErr w:type="spellEnd"/>
      <w:r w:rsidR="000D582E">
        <w:t xml:space="preserve"> now has some results to add to the narrative, especially its contribution to policy dialogues and reforms during the pandemic. </w:t>
      </w:r>
      <w:r w:rsidR="000D582E" w:rsidRPr="00AB712F">
        <w:t>Again, as DFAT said, “there needs to be a narrative and clear message or story about the partnership, a communication in the context of collaboration</w:t>
      </w:r>
      <w:r w:rsidR="000D582E">
        <w:t xml:space="preserve">.” </w:t>
      </w:r>
      <w:r w:rsidR="00E24F67">
        <w:t xml:space="preserve">To support this endeavour, </w:t>
      </w:r>
      <w:proofErr w:type="spellStart"/>
      <w:r>
        <w:t>AGaP</w:t>
      </w:r>
      <w:proofErr w:type="spellEnd"/>
      <w:r w:rsidR="00E24F67">
        <w:t xml:space="preserve"> could better utilise the existing WB and DFAT </w:t>
      </w:r>
      <w:r w:rsidR="000D582E">
        <w:t>social media and website</w:t>
      </w:r>
      <w:r w:rsidR="00E24F67">
        <w:t xml:space="preserve"> resources. </w:t>
      </w:r>
      <w:proofErr w:type="spellStart"/>
      <w:r>
        <w:rPr>
          <w:lang w:val="en-PH"/>
        </w:rPr>
        <w:t>AGaP</w:t>
      </w:r>
      <w:proofErr w:type="spellEnd"/>
      <w:r w:rsidR="000D582E" w:rsidRPr="00525919">
        <w:rPr>
          <w:lang w:val="en-PH"/>
        </w:rPr>
        <w:t xml:space="preserve"> impact stories</w:t>
      </w:r>
      <w:r w:rsidR="00E24F67">
        <w:rPr>
          <w:lang w:val="en-PH"/>
        </w:rPr>
        <w:t>, for example</w:t>
      </w:r>
      <w:r w:rsidR="000D582E" w:rsidRPr="00525919">
        <w:rPr>
          <w:lang w:val="en-PH"/>
        </w:rPr>
        <w:t xml:space="preserve"> </w:t>
      </w:r>
      <w:r w:rsidR="00E24F67">
        <w:rPr>
          <w:lang w:val="en-PH"/>
        </w:rPr>
        <w:t xml:space="preserve">using </w:t>
      </w:r>
      <w:r w:rsidR="000D582E" w:rsidRPr="00525919">
        <w:rPr>
          <w:lang w:val="en-PH"/>
        </w:rPr>
        <w:t xml:space="preserve">DFAT’s Significant Policy Change </w:t>
      </w:r>
      <w:r w:rsidR="00F24402" w:rsidRPr="00525919">
        <w:rPr>
          <w:lang w:val="en-PH"/>
        </w:rPr>
        <w:t>[</w:t>
      </w:r>
      <w:r w:rsidR="000D582E" w:rsidRPr="00525919">
        <w:rPr>
          <w:lang w:val="en-PH"/>
        </w:rPr>
        <w:t>SPC</w:t>
      </w:r>
      <w:r w:rsidR="00F24402" w:rsidRPr="00525919">
        <w:rPr>
          <w:lang w:val="en-PH"/>
        </w:rPr>
        <w:t xml:space="preserve">] </w:t>
      </w:r>
      <w:r w:rsidR="000D582E" w:rsidRPr="00525919">
        <w:rPr>
          <w:lang w:val="en-PH"/>
        </w:rPr>
        <w:t>Process and Templates for Qualitative Reporting</w:t>
      </w:r>
      <w:r w:rsidR="00EA3F5D">
        <w:rPr>
          <w:lang w:val="en-PH"/>
        </w:rPr>
        <w:t>,</w:t>
      </w:r>
      <w:r w:rsidR="000D582E" w:rsidRPr="00525919">
        <w:rPr>
          <w:lang w:val="en-PH"/>
        </w:rPr>
        <w:t xml:space="preserve"> could be used as a guide</w:t>
      </w:r>
      <w:r w:rsidR="00E24F67">
        <w:rPr>
          <w:lang w:val="en-PH"/>
        </w:rPr>
        <w:t>.</w:t>
      </w:r>
    </w:p>
    <w:p w14:paraId="2E535D53" w14:textId="5CFC313B" w:rsidR="00343BA9" w:rsidRPr="00A5359A" w:rsidRDefault="00343BA9" w:rsidP="000D582E">
      <w:pPr>
        <w:rPr>
          <w:b/>
          <w:bCs/>
          <w:color w:val="000000" w:themeColor="text1"/>
        </w:rPr>
      </w:pPr>
      <w:r w:rsidRPr="00A5359A">
        <w:rPr>
          <w:b/>
          <w:bCs/>
          <w:color w:val="000000" w:themeColor="text1"/>
        </w:rPr>
        <w:t>Recommendation</w:t>
      </w:r>
      <w:r w:rsidR="005206BB" w:rsidRPr="00A5359A">
        <w:rPr>
          <w:b/>
          <w:bCs/>
          <w:color w:val="000000" w:themeColor="text1"/>
        </w:rPr>
        <w:t>s</w:t>
      </w:r>
    </w:p>
    <w:p w14:paraId="219C463B" w14:textId="6D88A284" w:rsidR="00343BA9" w:rsidRPr="00A5359A" w:rsidRDefault="00343BA9" w:rsidP="00C64AD4">
      <w:pPr>
        <w:pStyle w:val="ListParagraph"/>
        <w:numPr>
          <w:ilvl w:val="0"/>
          <w:numId w:val="40"/>
        </w:numPr>
        <w:rPr>
          <w:color w:val="000000" w:themeColor="text1"/>
        </w:rPr>
      </w:pPr>
      <w:r w:rsidRPr="00A5359A">
        <w:rPr>
          <w:color w:val="000000" w:themeColor="text1"/>
        </w:rPr>
        <w:t xml:space="preserve">Review the </w:t>
      </w:r>
      <w:r w:rsidR="00694948" w:rsidRPr="00A5359A">
        <w:rPr>
          <w:color w:val="000000" w:themeColor="text1"/>
        </w:rPr>
        <w:t>communication</w:t>
      </w:r>
      <w:r w:rsidRPr="00A5359A">
        <w:rPr>
          <w:color w:val="000000" w:themeColor="text1"/>
        </w:rPr>
        <w:t xml:space="preserve"> guidelines</w:t>
      </w:r>
      <w:r w:rsidR="00694948" w:rsidRPr="00A5359A">
        <w:rPr>
          <w:color w:val="000000" w:themeColor="text1"/>
        </w:rPr>
        <w:t xml:space="preserve"> in the Operations Manual</w:t>
      </w:r>
      <w:r w:rsidRPr="00A5359A">
        <w:rPr>
          <w:color w:val="000000" w:themeColor="text1"/>
        </w:rPr>
        <w:t xml:space="preserve"> for consistency with the level of ambition for visibility of the partnership. Agree ways of working across DFAT and the WB to achieve this ambition.</w:t>
      </w:r>
    </w:p>
    <w:p w14:paraId="14DF5179" w14:textId="643924CE" w:rsidR="00FE774F" w:rsidRPr="00A5359A" w:rsidRDefault="00FE774F" w:rsidP="00C64AD4">
      <w:pPr>
        <w:pStyle w:val="ListParagraph"/>
        <w:numPr>
          <w:ilvl w:val="0"/>
          <w:numId w:val="40"/>
        </w:numPr>
        <w:rPr>
          <w:color w:val="000000" w:themeColor="text1"/>
        </w:rPr>
      </w:pPr>
      <w:r w:rsidRPr="00A5359A">
        <w:rPr>
          <w:color w:val="000000" w:themeColor="text1"/>
        </w:rPr>
        <w:t xml:space="preserve">Review and update the </w:t>
      </w:r>
      <w:r w:rsidR="00EA3F5D" w:rsidRPr="00A5359A">
        <w:rPr>
          <w:color w:val="000000" w:themeColor="text1"/>
        </w:rPr>
        <w:t>c</w:t>
      </w:r>
      <w:r w:rsidRPr="00A5359A">
        <w:rPr>
          <w:color w:val="000000" w:themeColor="text1"/>
        </w:rPr>
        <w:t xml:space="preserve">ommunications </w:t>
      </w:r>
      <w:r w:rsidR="00EA3F5D" w:rsidRPr="00A5359A">
        <w:rPr>
          <w:color w:val="000000" w:themeColor="text1"/>
        </w:rPr>
        <w:t>s</w:t>
      </w:r>
      <w:r w:rsidRPr="00A5359A">
        <w:rPr>
          <w:color w:val="000000" w:themeColor="text1"/>
        </w:rPr>
        <w:t xml:space="preserve">trategy, including </w:t>
      </w:r>
      <w:proofErr w:type="spellStart"/>
      <w:r w:rsidR="007628AF" w:rsidRPr="00A5359A">
        <w:rPr>
          <w:color w:val="000000" w:themeColor="text1"/>
        </w:rPr>
        <w:t>AGaP</w:t>
      </w:r>
      <w:r w:rsidRPr="00A5359A">
        <w:rPr>
          <w:color w:val="000000" w:themeColor="text1"/>
        </w:rPr>
        <w:t>’s</w:t>
      </w:r>
      <w:proofErr w:type="spellEnd"/>
      <w:r w:rsidRPr="00A5359A">
        <w:rPr>
          <w:color w:val="000000" w:themeColor="text1"/>
        </w:rPr>
        <w:t xml:space="preserve"> key messages</w:t>
      </w:r>
      <w:r w:rsidR="00E24F67" w:rsidRPr="00A5359A">
        <w:rPr>
          <w:color w:val="000000" w:themeColor="text1"/>
        </w:rPr>
        <w:t xml:space="preserve">, and how to document and disseminate </w:t>
      </w:r>
      <w:proofErr w:type="spellStart"/>
      <w:r w:rsidR="007628AF" w:rsidRPr="00A5359A">
        <w:rPr>
          <w:color w:val="000000" w:themeColor="text1"/>
        </w:rPr>
        <w:t>AGaP</w:t>
      </w:r>
      <w:proofErr w:type="spellEnd"/>
      <w:r w:rsidR="00E24F67" w:rsidRPr="00A5359A">
        <w:rPr>
          <w:color w:val="000000" w:themeColor="text1"/>
        </w:rPr>
        <w:t xml:space="preserve"> impact stories.</w:t>
      </w:r>
    </w:p>
    <w:p w14:paraId="1BE0D396" w14:textId="3DC23C07" w:rsidR="00343BA9" w:rsidRPr="00A5359A" w:rsidRDefault="007628AF" w:rsidP="00C64AD4">
      <w:pPr>
        <w:pStyle w:val="ListParagraph"/>
        <w:numPr>
          <w:ilvl w:val="0"/>
          <w:numId w:val="40"/>
        </w:numPr>
        <w:rPr>
          <w:color w:val="000000" w:themeColor="text1"/>
          <w:lang w:val="en-PH"/>
        </w:rPr>
      </w:pPr>
      <w:proofErr w:type="spellStart"/>
      <w:r w:rsidRPr="00A5359A">
        <w:rPr>
          <w:color w:val="000000" w:themeColor="text1"/>
        </w:rPr>
        <w:t>AGaP</w:t>
      </w:r>
      <w:proofErr w:type="spellEnd"/>
      <w:r w:rsidR="00343BA9" w:rsidRPr="00A5359A">
        <w:rPr>
          <w:color w:val="000000" w:themeColor="text1"/>
        </w:rPr>
        <w:t xml:space="preserve"> Secretariat to draft and share a schedule of upcoming </w:t>
      </w:r>
      <w:proofErr w:type="spellStart"/>
      <w:r w:rsidRPr="00A5359A">
        <w:rPr>
          <w:color w:val="000000" w:themeColor="text1"/>
        </w:rPr>
        <w:t>AGaP</w:t>
      </w:r>
      <w:proofErr w:type="spellEnd"/>
      <w:r w:rsidR="00343BA9" w:rsidRPr="00A5359A">
        <w:rPr>
          <w:color w:val="000000" w:themeColor="text1"/>
        </w:rPr>
        <w:t xml:space="preserve"> events and meetings so that DFAT can plan its participation accordingly. Include </w:t>
      </w:r>
      <w:r w:rsidR="00340677" w:rsidRPr="00A5359A">
        <w:rPr>
          <w:color w:val="000000" w:themeColor="text1"/>
        </w:rPr>
        <w:t>a review of progress</w:t>
      </w:r>
      <w:r w:rsidR="0071705F" w:rsidRPr="00A5359A">
        <w:rPr>
          <w:color w:val="000000" w:themeColor="text1"/>
        </w:rPr>
        <w:t xml:space="preserve"> </w:t>
      </w:r>
      <w:r w:rsidR="00BA1B38" w:rsidRPr="00A5359A">
        <w:rPr>
          <w:color w:val="000000" w:themeColor="text1"/>
        </w:rPr>
        <w:t xml:space="preserve">(including any issues, risks, and uptake of outputs by the government) </w:t>
      </w:r>
      <w:r w:rsidR="00340677" w:rsidRPr="00A5359A">
        <w:rPr>
          <w:color w:val="000000" w:themeColor="text1"/>
        </w:rPr>
        <w:t xml:space="preserve">as a fixed agenda item at Operations Committee </w:t>
      </w:r>
      <w:r w:rsidR="004F62CD" w:rsidRPr="00A5359A">
        <w:rPr>
          <w:color w:val="000000" w:themeColor="text1"/>
        </w:rPr>
        <w:t>m</w:t>
      </w:r>
      <w:r w:rsidR="00340677" w:rsidRPr="00A5359A">
        <w:rPr>
          <w:color w:val="000000" w:themeColor="text1"/>
        </w:rPr>
        <w:t xml:space="preserve">eetings. </w:t>
      </w:r>
    </w:p>
    <w:p w14:paraId="04CFA45D" w14:textId="03FC31CD" w:rsidR="004F1D23" w:rsidRDefault="003B38E1" w:rsidP="00E03DD0">
      <w:pPr>
        <w:pStyle w:val="Heading2"/>
      </w:pPr>
      <w:bookmarkStart w:id="30" w:name="_Toc125560018"/>
      <w:r w:rsidRPr="00E40E75">
        <w:t>Conclusions</w:t>
      </w:r>
      <w:bookmarkEnd w:id="30"/>
      <w:r w:rsidRPr="00E40E75">
        <w:t xml:space="preserve"> </w:t>
      </w:r>
    </w:p>
    <w:p w14:paraId="00AA6DC8" w14:textId="5F85B527" w:rsidR="000E5C84" w:rsidRPr="00E3206A" w:rsidRDefault="007628AF" w:rsidP="000E5C84">
      <w:pPr>
        <w:suppressAutoHyphens/>
        <w:spacing w:before="120" w:after="60" w:line="260" w:lineRule="atLeast"/>
        <w:rPr>
          <w:rFonts w:eastAsiaTheme="minorHAnsi" w:cstheme="minorBidi"/>
          <w:color w:val="000000" w:themeColor="text1"/>
          <w:szCs w:val="22"/>
          <w:lang w:eastAsia="en-US"/>
        </w:rPr>
      </w:pPr>
      <w:proofErr w:type="spellStart"/>
      <w:r>
        <w:rPr>
          <w:rFonts w:eastAsiaTheme="minorHAnsi" w:cstheme="minorBidi"/>
          <w:color w:val="000000" w:themeColor="text1"/>
          <w:szCs w:val="22"/>
          <w:lang w:eastAsia="en-US"/>
        </w:rPr>
        <w:t>AGaP</w:t>
      </w:r>
      <w:proofErr w:type="spellEnd"/>
      <w:r w:rsidR="000E5C84" w:rsidRPr="00E3206A">
        <w:rPr>
          <w:rFonts w:eastAsiaTheme="minorHAnsi" w:cstheme="minorBidi"/>
          <w:color w:val="000000" w:themeColor="text1"/>
          <w:szCs w:val="22"/>
          <w:lang w:eastAsia="en-US"/>
        </w:rPr>
        <w:t xml:space="preserve"> is now in its second phase, with the remaining </w:t>
      </w:r>
      <w:r w:rsidR="00C54C1F" w:rsidRPr="00E3206A">
        <w:rPr>
          <w:rFonts w:eastAsiaTheme="minorHAnsi" w:cstheme="minorBidi"/>
          <w:color w:val="000000" w:themeColor="text1"/>
          <w:szCs w:val="22"/>
          <w:lang w:eastAsia="en-US"/>
        </w:rPr>
        <w:t>period</w:t>
      </w:r>
      <w:r w:rsidR="000E5C84" w:rsidRPr="00E3206A">
        <w:rPr>
          <w:rFonts w:eastAsiaTheme="minorHAnsi" w:cstheme="minorBidi"/>
          <w:color w:val="000000" w:themeColor="text1"/>
          <w:szCs w:val="22"/>
          <w:lang w:eastAsia="en-US"/>
        </w:rPr>
        <w:t xml:space="preserve"> (up to </w:t>
      </w:r>
      <w:r w:rsidR="004F62CD">
        <w:rPr>
          <w:rFonts w:eastAsiaTheme="minorHAnsi" w:cstheme="minorBidi"/>
          <w:color w:val="000000" w:themeColor="text1"/>
          <w:szCs w:val="22"/>
          <w:lang w:eastAsia="en-US"/>
        </w:rPr>
        <w:t xml:space="preserve">30 </w:t>
      </w:r>
      <w:r w:rsidR="006C2A19" w:rsidRPr="00E3206A">
        <w:rPr>
          <w:rFonts w:eastAsiaTheme="minorHAnsi" w:cstheme="minorBidi"/>
          <w:color w:val="000000" w:themeColor="text1"/>
          <w:szCs w:val="22"/>
          <w:lang w:eastAsia="en-US"/>
        </w:rPr>
        <w:t xml:space="preserve">June </w:t>
      </w:r>
      <w:r w:rsidR="000E5C84" w:rsidRPr="00E3206A">
        <w:rPr>
          <w:rFonts w:eastAsiaTheme="minorHAnsi" w:cstheme="minorBidi"/>
          <w:color w:val="000000" w:themeColor="text1"/>
          <w:szCs w:val="22"/>
          <w:lang w:eastAsia="en-US"/>
        </w:rPr>
        <w:t>2024) broadly pre</w:t>
      </w:r>
      <w:r w:rsidR="007D606A">
        <w:rPr>
          <w:rFonts w:eastAsiaTheme="minorHAnsi" w:cstheme="minorBidi"/>
          <w:color w:val="000000" w:themeColor="text1"/>
          <w:szCs w:val="22"/>
          <w:lang w:eastAsia="en-US"/>
        </w:rPr>
        <w:t>-</w:t>
      </w:r>
      <w:r w:rsidR="000E5C84" w:rsidRPr="00E3206A">
        <w:rPr>
          <w:rFonts w:eastAsiaTheme="minorHAnsi" w:cstheme="minorBidi"/>
          <w:color w:val="000000" w:themeColor="text1"/>
          <w:szCs w:val="22"/>
          <w:lang w:eastAsia="en-US"/>
        </w:rPr>
        <w:t xml:space="preserve">programmed, although there remains flexibility to respond to emerging priorities. The strategic background has shifted since the </w:t>
      </w:r>
      <w:r w:rsidR="001B2091">
        <w:rPr>
          <w:rFonts w:eastAsiaTheme="minorHAnsi" w:cstheme="minorBidi"/>
          <w:color w:val="000000" w:themeColor="text1"/>
          <w:szCs w:val="22"/>
          <w:lang w:eastAsia="en-US"/>
        </w:rPr>
        <w:t>Trust Fund</w:t>
      </w:r>
      <w:r w:rsidR="000E5C84" w:rsidRPr="00E3206A">
        <w:rPr>
          <w:rFonts w:eastAsiaTheme="minorHAnsi" w:cstheme="minorBidi"/>
          <w:color w:val="000000" w:themeColor="text1"/>
          <w:szCs w:val="22"/>
          <w:lang w:eastAsia="en-US"/>
        </w:rPr>
        <w:t xml:space="preserve"> was first conceived</w:t>
      </w:r>
      <w:r w:rsidR="00C64AD4">
        <w:rPr>
          <w:rFonts w:eastAsiaTheme="minorHAnsi" w:cstheme="minorBidi"/>
          <w:color w:val="000000" w:themeColor="text1"/>
          <w:szCs w:val="22"/>
          <w:lang w:eastAsia="en-US"/>
        </w:rPr>
        <w:t xml:space="preserve">. </w:t>
      </w:r>
      <w:r w:rsidR="000E5C84" w:rsidRPr="00E3206A">
        <w:rPr>
          <w:rFonts w:eastAsiaTheme="minorHAnsi" w:cstheme="minorBidi"/>
          <w:color w:val="000000" w:themeColor="text1"/>
          <w:szCs w:val="22"/>
          <w:lang w:eastAsia="en-US"/>
        </w:rPr>
        <w:t>There are new government</w:t>
      </w:r>
      <w:r w:rsidR="00383EDB">
        <w:rPr>
          <w:rFonts w:eastAsiaTheme="minorHAnsi" w:cstheme="minorBidi"/>
          <w:color w:val="000000" w:themeColor="text1"/>
          <w:szCs w:val="22"/>
          <w:lang w:eastAsia="en-US"/>
        </w:rPr>
        <w:t xml:space="preserve"> administration</w:t>
      </w:r>
      <w:r w:rsidR="000E5C84" w:rsidRPr="00E3206A">
        <w:rPr>
          <w:rFonts w:eastAsiaTheme="minorHAnsi" w:cstheme="minorBidi"/>
          <w:color w:val="000000" w:themeColor="text1"/>
          <w:szCs w:val="22"/>
          <w:lang w:eastAsia="en-US"/>
        </w:rPr>
        <w:t>s in both Australia and the Philippines, heralding shifts in emphasis and new priorities.</w:t>
      </w:r>
    </w:p>
    <w:p w14:paraId="25424549" w14:textId="1999ABA8" w:rsidR="000E5C84" w:rsidRPr="00E3206A" w:rsidRDefault="000E5C84" w:rsidP="000E5C84">
      <w:pPr>
        <w:suppressAutoHyphens/>
        <w:spacing w:before="120" w:after="60" w:line="260" w:lineRule="atLeast"/>
        <w:rPr>
          <w:rFonts w:eastAsiaTheme="minorHAnsi" w:cstheme="minorBidi"/>
          <w:color w:val="000000" w:themeColor="text1"/>
          <w:szCs w:val="22"/>
          <w:lang w:eastAsia="en-US"/>
        </w:rPr>
      </w:pPr>
      <w:r w:rsidRPr="00E3206A">
        <w:rPr>
          <w:rFonts w:eastAsiaTheme="minorHAnsi" w:cstheme="minorBidi"/>
          <w:color w:val="000000" w:themeColor="text1"/>
          <w:szCs w:val="22"/>
          <w:lang w:eastAsia="en-US"/>
        </w:rPr>
        <w:t xml:space="preserve">Based on the strength of the partnership with the WB and the success of </w:t>
      </w:r>
      <w:proofErr w:type="spellStart"/>
      <w:r w:rsidR="007628AF">
        <w:rPr>
          <w:rFonts w:eastAsiaTheme="minorHAnsi" w:cstheme="minorBidi"/>
          <w:color w:val="000000" w:themeColor="text1"/>
          <w:szCs w:val="22"/>
          <w:lang w:eastAsia="en-US"/>
        </w:rPr>
        <w:t>AGaP</w:t>
      </w:r>
      <w:proofErr w:type="spellEnd"/>
      <w:r w:rsidRPr="00E3206A">
        <w:rPr>
          <w:rFonts w:eastAsiaTheme="minorHAnsi" w:cstheme="minorBidi"/>
          <w:color w:val="000000" w:themeColor="text1"/>
          <w:szCs w:val="22"/>
          <w:lang w:eastAsia="en-US"/>
        </w:rPr>
        <w:t xml:space="preserve"> to date, </w:t>
      </w:r>
      <w:r w:rsidRPr="00525919">
        <w:rPr>
          <w:rFonts w:eastAsiaTheme="minorHAnsi" w:cstheme="minorBidi"/>
          <w:color w:val="000000" w:themeColor="text1"/>
          <w:szCs w:val="22"/>
          <w:lang w:eastAsia="en-US"/>
        </w:rPr>
        <w:t xml:space="preserve">DFAT interviews during the MTR </w:t>
      </w:r>
      <w:r w:rsidRPr="00704ED6">
        <w:rPr>
          <w:rFonts w:eastAsiaTheme="minorHAnsi" w:cstheme="minorBidi"/>
          <w:color w:val="000000" w:themeColor="text1"/>
          <w:szCs w:val="22"/>
          <w:lang w:eastAsia="en-US"/>
        </w:rPr>
        <w:t>indicated a preference for the program to continue beyond 2024.</w:t>
      </w:r>
      <w:r w:rsidRPr="00E3206A">
        <w:rPr>
          <w:rFonts w:eastAsiaTheme="minorHAnsi" w:cstheme="minorBidi"/>
          <w:color w:val="000000" w:themeColor="text1"/>
          <w:szCs w:val="22"/>
          <w:lang w:eastAsia="en-US"/>
        </w:rPr>
        <w:t xml:space="preserve"> This arises from DFAT’s understanding </w:t>
      </w:r>
      <w:r w:rsidR="008A2D8D" w:rsidRPr="00E3206A">
        <w:rPr>
          <w:rFonts w:eastAsiaTheme="minorHAnsi" w:cstheme="minorBidi"/>
          <w:color w:val="000000" w:themeColor="text1"/>
          <w:szCs w:val="22"/>
          <w:lang w:eastAsia="en-US"/>
        </w:rPr>
        <w:t>that</w:t>
      </w:r>
      <w:r w:rsidRPr="00E3206A">
        <w:rPr>
          <w:rFonts w:eastAsiaTheme="minorHAnsi" w:cstheme="minorBidi"/>
          <w:color w:val="000000" w:themeColor="text1"/>
          <w:szCs w:val="22"/>
          <w:lang w:eastAsia="en-US"/>
        </w:rPr>
        <w:t xml:space="preserve"> </w:t>
      </w:r>
      <w:proofErr w:type="spellStart"/>
      <w:r w:rsidR="007628AF">
        <w:rPr>
          <w:rFonts w:eastAsiaTheme="minorHAnsi" w:cstheme="minorBidi"/>
          <w:color w:val="000000" w:themeColor="text1"/>
          <w:szCs w:val="22"/>
          <w:lang w:eastAsia="en-US"/>
        </w:rPr>
        <w:t>AGaP</w:t>
      </w:r>
      <w:r w:rsidRPr="00E3206A">
        <w:rPr>
          <w:rFonts w:eastAsiaTheme="minorHAnsi" w:cstheme="minorBidi"/>
          <w:color w:val="000000" w:themeColor="text1"/>
          <w:szCs w:val="22"/>
          <w:lang w:eastAsia="en-US"/>
        </w:rPr>
        <w:t>’s</w:t>
      </w:r>
      <w:proofErr w:type="spellEnd"/>
      <w:r w:rsidRPr="00E3206A">
        <w:rPr>
          <w:rFonts w:eastAsiaTheme="minorHAnsi" w:cstheme="minorBidi"/>
          <w:color w:val="000000" w:themeColor="text1"/>
          <w:szCs w:val="22"/>
          <w:lang w:eastAsia="en-US"/>
        </w:rPr>
        <w:t xml:space="preserve"> strength is its broad reach across sectors. </w:t>
      </w:r>
      <w:r w:rsidR="006F72B5">
        <w:rPr>
          <w:rFonts w:eastAsiaTheme="minorHAnsi" w:cstheme="minorBidi"/>
          <w:color w:val="000000" w:themeColor="text1"/>
          <w:szCs w:val="22"/>
          <w:lang w:eastAsia="en-US"/>
        </w:rPr>
        <w:t xml:space="preserve">Based on the findings </w:t>
      </w:r>
      <w:r w:rsidR="0083308B">
        <w:rPr>
          <w:rFonts w:eastAsiaTheme="minorHAnsi" w:cstheme="minorBidi"/>
          <w:color w:val="000000" w:themeColor="text1"/>
          <w:szCs w:val="22"/>
          <w:lang w:eastAsia="en-US"/>
        </w:rPr>
        <w:t>outlined in each section above</w:t>
      </w:r>
      <w:r w:rsidR="008D2C74">
        <w:rPr>
          <w:rFonts w:eastAsiaTheme="minorHAnsi" w:cstheme="minorBidi"/>
          <w:color w:val="000000" w:themeColor="text1"/>
          <w:szCs w:val="22"/>
          <w:lang w:eastAsia="en-US"/>
        </w:rPr>
        <w:t>,</w:t>
      </w:r>
      <w:r w:rsidR="0083308B">
        <w:rPr>
          <w:rFonts w:eastAsiaTheme="minorHAnsi" w:cstheme="minorBidi"/>
          <w:color w:val="000000" w:themeColor="text1"/>
          <w:szCs w:val="22"/>
          <w:lang w:eastAsia="en-US"/>
        </w:rPr>
        <w:t xml:space="preserve"> the </w:t>
      </w:r>
      <w:r w:rsidR="00822EE1">
        <w:rPr>
          <w:rFonts w:eastAsiaTheme="minorHAnsi" w:cstheme="minorBidi"/>
          <w:color w:val="000000" w:themeColor="text1"/>
          <w:szCs w:val="22"/>
          <w:lang w:eastAsia="en-US"/>
        </w:rPr>
        <w:t xml:space="preserve">MTR recommends </w:t>
      </w:r>
      <w:proofErr w:type="spellStart"/>
      <w:r w:rsidR="007628AF">
        <w:rPr>
          <w:rFonts w:eastAsiaTheme="minorHAnsi" w:cstheme="minorBidi"/>
          <w:color w:val="000000" w:themeColor="text1"/>
          <w:szCs w:val="22"/>
          <w:lang w:eastAsia="en-US"/>
        </w:rPr>
        <w:t>AGaP</w:t>
      </w:r>
      <w:proofErr w:type="spellEnd"/>
      <w:r w:rsidR="00D41303" w:rsidRPr="00D41303">
        <w:rPr>
          <w:rFonts w:eastAsiaTheme="minorHAnsi" w:cstheme="minorBidi"/>
          <w:color w:val="000000" w:themeColor="text1"/>
          <w:szCs w:val="22"/>
          <w:lang w:eastAsia="en-US"/>
        </w:rPr>
        <w:t xml:space="preserve"> should continue as a single donor programmatic instrument, a modality </w:t>
      </w:r>
      <w:r w:rsidR="00067F0C">
        <w:rPr>
          <w:rFonts w:eastAsiaTheme="minorHAnsi" w:cstheme="minorBidi"/>
          <w:color w:val="000000" w:themeColor="text1"/>
          <w:szCs w:val="22"/>
          <w:lang w:eastAsia="en-US"/>
        </w:rPr>
        <w:t>that</w:t>
      </w:r>
      <w:r w:rsidR="00D41303" w:rsidRPr="00D41303">
        <w:rPr>
          <w:rFonts w:eastAsiaTheme="minorHAnsi" w:cstheme="minorBidi"/>
          <w:color w:val="000000" w:themeColor="text1"/>
          <w:szCs w:val="22"/>
          <w:lang w:eastAsia="en-US"/>
        </w:rPr>
        <w:t xml:space="preserve"> balances the effectiveness of the Bank’s delivery with the benefits of a bilateral mechanism.</w:t>
      </w:r>
      <w:r w:rsidR="00D41303">
        <w:rPr>
          <w:rFonts w:eastAsiaTheme="minorHAnsi" w:cstheme="minorBidi"/>
          <w:color w:val="000000" w:themeColor="text1"/>
          <w:szCs w:val="22"/>
          <w:lang w:eastAsia="en-US"/>
        </w:rPr>
        <w:t xml:space="preserve"> </w:t>
      </w:r>
      <w:r w:rsidRPr="00525919">
        <w:rPr>
          <w:rFonts w:eastAsiaTheme="minorHAnsi" w:cstheme="minorBidi"/>
          <w:color w:val="000000" w:themeColor="text1"/>
          <w:szCs w:val="22"/>
          <w:lang w:eastAsia="en-US"/>
        </w:rPr>
        <w:t xml:space="preserve">The next phase of </w:t>
      </w:r>
      <w:proofErr w:type="spellStart"/>
      <w:r w:rsidR="007628AF">
        <w:rPr>
          <w:rFonts w:eastAsiaTheme="minorHAnsi" w:cstheme="minorBidi"/>
          <w:color w:val="000000" w:themeColor="text1"/>
          <w:szCs w:val="22"/>
          <w:lang w:eastAsia="en-US"/>
        </w:rPr>
        <w:t>AGaP</w:t>
      </w:r>
      <w:proofErr w:type="spellEnd"/>
      <w:r w:rsidRPr="00525919">
        <w:rPr>
          <w:rFonts w:eastAsiaTheme="minorHAnsi" w:cstheme="minorBidi"/>
          <w:color w:val="000000" w:themeColor="text1"/>
          <w:szCs w:val="22"/>
          <w:lang w:eastAsia="en-US"/>
        </w:rPr>
        <w:t xml:space="preserve"> should retain the flexible and responsive nature of the program. However, this breadth and flexibility should not be at the expense of informative reporting, which DFAT now expects to provide insights and signal future entry points for the partnership. They would also like to see more collaboration on decision making and alignment of priorities, which are likely to shift when the new Australian government launches its revised development strategy in the coming months</w:t>
      </w:r>
      <w:r w:rsidRPr="00E3206A">
        <w:rPr>
          <w:rFonts w:eastAsiaTheme="minorHAnsi" w:cstheme="minorBidi"/>
          <w:color w:val="000000" w:themeColor="text1"/>
          <w:szCs w:val="22"/>
          <w:lang w:eastAsia="en-US"/>
        </w:rPr>
        <w:t xml:space="preserve">. In anticipation of this, the </w:t>
      </w:r>
      <w:proofErr w:type="spellStart"/>
      <w:r w:rsidR="007628AF">
        <w:rPr>
          <w:rFonts w:eastAsiaTheme="minorHAnsi" w:cstheme="minorBidi"/>
          <w:color w:val="000000" w:themeColor="text1"/>
          <w:szCs w:val="22"/>
          <w:lang w:eastAsia="en-US"/>
        </w:rPr>
        <w:t>AGaP</w:t>
      </w:r>
      <w:proofErr w:type="spellEnd"/>
      <w:r w:rsidRPr="00E3206A">
        <w:rPr>
          <w:rFonts w:eastAsiaTheme="minorHAnsi" w:cstheme="minorBidi"/>
          <w:color w:val="000000" w:themeColor="text1"/>
          <w:szCs w:val="22"/>
          <w:lang w:eastAsia="en-US"/>
        </w:rPr>
        <w:t xml:space="preserve"> team could facilitate a deeper examination of the types of economic reforms that can facilitate poverty reduction </w:t>
      </w:r>
      <w:proofErr w:type="gramStart"/>
      <w:r w:rsidRPr="00E3206A">
        <w:rPr>
          <w:rFonts w:eastAsiaTheme="minorHAnsi" w:cstheme="minorBidi"/>
          <w:color w:val="000000" w:themeColor="text1"/>
          <w:szCs w:val="22"/>
          <w:lang w:eastAsia="en-US"/>
        </w:rPr>
        <w:t>as a means to</w:t>
      </w:r>
      <w:proofErr w:type="gramEnd"/>
      <w:r w:rsidRPr="00E3206A">
        <w:rPr>
          <w:rFonts w:eastAsiaTheme="minorHAnsi" w:cstheme="minorBidi"/>
          <w:color w:val="000000" w:themeColor="text1"/>
          <w:szCs w:val="22"/>
          <w:lang w:eastAsia="en-US"/>
        </w:rPr>
        <w:t xml:space="preserve"> improving the quality and resilience of economic growth. </w:t>
      </w:r>
    </w:p>
    <w:p w14:paraId="7A68BAC3" w14:textId="375AFAA3" w:rsidR="000E5C84" w:rsidRPr="00E3206A" w:rsidRDefault="000E5C84" w:rsidP="000E5C84">
      <w:pPr>
        <w:suppressAutoHyphens/>
        <w:spacing w:before="120" w:after="60" w:line="260" w:lineRule="atLeast"/>
        <w:rPr>
          <w:rFonts w:eastAsiaTheme="minorHAnsi" w:cstheme="minorBidi"/>
          <w:color w:val="000000" w:themeColor="text1"/>
          <w:szCs w:val="22"/>
          <w:lang w:eastAsia="en-US"/>
        </w:rPr>
      </w:pPr>
      <w:r w:rsidRPr="00E3206A">
        <w:rPr>
          <w:rFonts w:eastAsiaTheme="minorHAnsi" w:cstheme="minorBidi"/>
          <w:color w:val="000000" w:themeColor="text1"/>
          <w:szCs w:val="22"/>
          <w:lang w:eastAsia="en-US"/>
        </w:rPr>
        <w:t xml:space="preserve">The new strategy is also likely to emphasise DFAT’s commitment </w:t>
      </w:r>
      <w:r w:rsidR="00325100" w:rsidRPr="00E3206A">
        <w:rPr>
          <w:rFonts w:eastAsiaTheme="minorHAnsi" w:cstheme="minorBidi"/>
          <w:color w:val="000000" w:themeColor="text1"/>
          <w:szCs w:val="22"/>
          <w:lang w:eastAsia="en-US"/>
        </w:rPr>
        <w:t>to gender</w:t>
      </w:r>
      <w:r w:rsidRPr="00E3206A">
        <w:rPr>
          <w:rFonts w:eastAsiaTheme="minorHAnsi" w:cstheme="minorBidi"/>
          <w:color w:val="000000" w:themeColor="text1"/>
          <w:szCs w:val="22"/>
          <w:lang w:eastAsia="en-US"/>
        </w:rPr>
        <w:t xml:space="preserve"> equality (for example, by reintroducing the target that 80</w:t>
      </w:r>
      <w:r w:rsidR="00455627">
        <w:rPr>
          <w:rFonts w:eastAsiaTheme="minorHAnsi" w:cstheme="minorBidi"/>
          <w:color w:val="000000" w:themeColor="text1"/>
          <w:szCs w:val="22"/>
          <w:lang w:eastAsia="en-US"/>
        </w:rPr>
        <w:t xml:space="preserve"> percent </w:t>
      </w:r>
      <w:r w:rsidRPr="00E3206A">
        <w:rPr>
          <w:rFonts w:eastAsiaTheme="minorHAnsi" w:cstheme="minorBidi"/>
          <w:color w:val="000000" w:themeColor="text1"/>
          <w:szCs w:val="22"/>
          <w:lang w:eastAsia="en-US"/>
        </w:rPr>
        <w:t xml:space="preserve">of programs must include gender-related outcomes) and the rights of Indigenous </w:t>
      </w:r>
      <w:r w:rsidR="00B24EA9" w:rsidRPr="00E3206A">
        <w:rPr>
          <w:rFonts w:eastAsiaTheme="minorHAnsi" w:cstheme="minorBidi"/>
          <w:color w:val="000000" w:themeColor="text1"/>
          <w:szCs w:val="22"/>
          <w:lang w:eastAsia="en-US"/>
        </w:rPr>
        <w:t>P</w:t>
      </w:r>
      <w:r w:rsidRPr="00E3206A">
        <w:rPr>
          <w:rFonts w:eastAsiaTheme="minorHAnsi" w:cstheme="minorBidi"/>
          <w:color w:val="000000" w:themeColor="text1"/>
          <w:szCs w:val="22"/>
          <w:lang w:eastAsia="en-US"/>
        </w:rPr>
        <w:t>eople</w:t>
      </w:r>
      <w:r w:rsidR="00FC0C9B">
        <w:rPr>
          <w:rFonts w:eastAsiaTheme="minorHAnsi" w:cstheme="minorBidi"/>
          <w:color w:val="000000" w:themeColor="text1"/>
          <w:szCs w:val="22"/>
          <w:lang w:eastAsia="en-US"/>
        </w:rPr>
        <w:t>s</w:t>
      </w:r>
      <w:r w:rsidRPr="00E3206A">
        <w:rPr>
          <w:rFonts w:eastAsiaTheme="minorHAnsi" w:cstheme="minorBidi"/>
          <w:color w:val="000000" w:themeColor="text1"/>
          <w:szCs w:val="22"/>
          <w:lang w:eastAsia="en-US"/>
        </w:rPr>
        <w:t>, supported by a First Nations approach applied to foreign policy</w:t>
      </w:r>
      <w:r w:rsidR="00C64AD4">
        <w:rPr>
          <w:rFonts w:eastAsiaTheme="minorHAnsi" w:cstheme="minorBidi"/>
          <w:color w:val="000000" w:themeColor="text1"/>
          <w:szCs w:val="22"/>
          <w:lang w:eastAsia="en-US"/>
        </w:rPr>
        <w:t xml:space="preserve">. </w:t>
      </w:r>
      <w:r w:rsidRPr="00E3206A">
        <w:rPr>
          <w:rFonts w:eastAsiaTheme="minorHAnsi" w:cstheme="minorBidi"/>
          <w:color w:val="000000" w:themeColor="text1"/>
          <w:szCs w:val="22"/>
          <w:lang w:eastAsia="en-US"/>
        </w:rPr>
        <w:t xml:space="preserve">In the context of </w:t>
      </w:r>
      <w:proofErr w:type="spellStart"/>
      <w:r w:rsidR="007628AF">
        <w:rPr>
          <w:rFonts w:eastAsiaTheme="minorHAnsi" w:cstheme="minorBidi"/>
          <w:color w:val="000000" w:themeColor="text1"/>
          <w:szCs w:val="22"/>
          <w:lang w:eastAsia="en-US"/>
        </w:rPr>
        <w:t>AGaP</w:t>
      </w:r>
      <w:proofErr w:type="spellEnd"/>
      <w:r w:rsidRPr="00E3206A">
        <w:rPr>
          <w:rFonts w:eastAsiaTheme="minorHAnsi" w:cstheme="minorBidi"/>
          <w:color w:val="000000" w:themeColor="text1"/>
          <w:szCs w:val="22"/>
          <w:lang w:eastAsia="en-US"/>
        </w:rPr>
        <w:t xml:space="preserve">, this could mean examining the correlations between poverty and Indigenous </w:t>
      </w:r>
      <w:r w:rsidR="00D651C2" w:rsidRPr="00E3206A">
        <w:rPr>
          <w:rFonts w:eastAsiaTheme="minorHAnsi" w:cstheme="minorBidi"/>
          <w:color w:val="000000" w:themeColor="text1"/>
          <w:szCs w:val="22"/>
          <w:lang w:eastAsia="en-US"/>
        </w:rPr>
        <w:t>P</w:t>
      </w:r>
      <w:r w:rsidRPr="00E3206A">
        <w:rPr>
          <w:rFonts w:eastAsiaTheme="minorHAnsi" w:cstheme="minorBidi"/>
          <w:color w:val="000000" w:themeColor="text1"/>
          <w:szCs w:val="22"/>
          <w:lang w:eastAsia="en-US"/>
        </w:rPr>
        <w:t>eople</w:t>
      </w:r>
      <w:r w:rsidR="00FC0C9B">
        <w:rPr>
          <w:rFonts w:eastAsiaTheme="minorHAnsi" w:cstheme="minorBidi"/>
          <w:color w:val="000000" w:themeColor="text1"/>
          <w:szCs w:val="22"/>
          <w:lang w:eastAsia="en-US"/>
        </w:rPr>
        <w:t>s</w:t>
      </w:r>
      <w:r w:rsidR="00C64AD4">
        <w:rPr>
          <w:rFonts w:eastAsiaTheme="minorHAnsi" w:cstheme="minorBidi"/>
          <w:color w:val="000000" w:themeColor="text1"/>
          <w:szCs w:val="22"/>
          <w:lang w:eastAsia="en-US"/>
        </w:rPr>
        <w:t xml:space="preserve">. </w:t>
      </w:r>
      <w:r w:rsidRPr="00E3206A">
        <w:rPr>
          <w:rFonts w:eastAsiaTheme="minorHAnsi" w:cstheme="minorBidi"/>
          <w:color w:val="000000" w:themeColor="text1"/>
          <w:szCs w:val="22"/>
          <w:lang w:eastAsia="en-US"/>
        </w:rPr>
        <w:t xml:space="preserve">This will be accompanied by a fresh focus on climate change, which is especially important in a maritime country with vulnerable coastal communities. This is likely to prompt an integration of climate change and disaster resilience, with implications for policy work in infrastructure, energy transition, </w:t>
      </w:r>
      <w:r w:rsidR="006855F3" w:rsidRPr="00E3206A">
        <w:rPr>
          <w:rFonts w:eastAsiaTheme="minorHAnsi" w:cstheme="minorBidi"/>
          <w:color w:val="000000" w:themeColor="text1"/>
          <w:szCs w:val="22"/>
          <w:lang w:eastAsia="en-US"/>
        </w:rPr>
        <w:t>digitisation,</w:t>
      </w:r>
      <w:r w:rsidRPr="00E3206A">
        <w:rPr>
          <w:rFonts w:eastAsiaTheme="minorHAnsi" w:cstheme="minorBidi"/>
          <w:color w:val="000000" w:themeColor="text1"/>
          <w:szCs w:val="22"/>
          <w:lang w:eastAsia="en-US"/>
        </w:rPr>
        <w:t xml:space="preserve"> and natural resource stewardship.</w:t>
      </w:r>
    </w:p>
    <w:p w14:paraId="1ED1CDDB" w14:textId="5C576BF5" w:rsidR="000E5C84" w:rsidRPr="00E3206A" w:rsidRDefault="000E5C84" w:rsidP="000E5C84">
      <w:pPr>
        <w:suppressAutoHyphens/>
        <w:spacing w:before="120" w:after="60" w:line="260" w:lineRule="atLeast"/>
        <w:rPr>
          <w:rFonts w:eastAsiaTheme="minorHAnsi" w:cstheme="minorBidi"/>
          <w:color w:val="000000" w:themeColor="text1"/>
          <w:szCs w:val="22"/>
          <w:lang w:eastAsia="en-US"/>
        </w:rPr>
      </w:pPr>
      <w:r w:rsidRPr="00525919">
        <w:rPr>
          <w:rFonts w:eastAsiaTheme="minorHAnsi" w:cstheme="minorBidi"/>
          <w:color w:val="000000" w:themeColor="text1"/>
          <w:szCs w:val="22"/>
          <w:lang w:eastAsia="en-US"/>
        </w:rPr>
        <w:lastRenderedPageBreak/>
        <w:t xml:space="preserve">The modality of </w:t>
      </w:r>
      <w:proofErr w:type="spellStart"/>
      <w:r w:rsidR="007628AF">
        <w:rPr>
          <w:rFonts w:eastAsiaTheme="minorHAnsi" w:cstheme="minorBidi"/>
          <w:color w:val="000000" w:themeColor="text1"/>
          <w:szCs w:val="22"/>
          <w:lang w:eastAsia="en-US"/>
        </w:rPr>
        <w:t>AGaP</w:t>
      </w:r>
      <w:proofErr w:type="spellEnd"/>
      <w:r w:rsidRPr="00525919">
        <w:rPr>
          <w:rFonts w:eastAsiaTheme="minorHAnsi" w:cstheme="minorBidi"/>
          <w:color w:val="000000" w:themeColor="text1"/>
          <w:szCs w:val="22"/>
          <w:lang w:eastAsia="en-US"/>
        </w:rPr>
        <w:t xml:space="preserve"> as a single donor programmatic instrument</w:t>
      </w:r>
      <w:r w:rsidR="00DF6D8B">
        <w:rPr>
          <w:rFonts w:eastAsiaTheme="minorHAnsi" w:cstheme="minorBidi"/>
          <w:color w:val="000000" w:themeColor="text1"/>
          <w:szCs w:val="22"/>
          <w:lang w:eastAsia="en-US"/>
        </w:rPr>
        <w:t xml:space="preserve"> </w:t>
      </w:r>
      <w:r w:rsidRPr="00525919">
        <w:rPr>
          <w:rFonts w:eastAsiaTheme="minorHAnsi" w:cstheme="minorBidi"/>
          <w:color w:val="000000" w:themeColor="text1"/>
          <w:szCs w:val="22"/>
          <w:lang w:eastAsia="en-US"/>
        </w:rPr>
        <w:t>is seen by DFAT as a good way to balance the effectiveness of the Bank’s delivery with the benefits of a bilateral mechanism, and they would now like to build further on this model. However, it is important to note</w:t>
      </w:r>
      <w:r w:rsidR="00E251CB">
        <w:rPr>
          <w:rFonts w:eastAsiaTheme="minorHAnsi" w:cstheme="minorBidi"/>
          <w:color w:val="000000" w:themeColor="text1"/>
          <w:szCs w:val="22"/>
          <w:lang w:eastAsia="en-US"/>
        </w:rPr>
        <w:t xml:space="preserve"> that</w:t>
      </w:r>
      <w:r w:rsidRPr="00525919">
        <w:rPr>
          <w:rFonts w:eastAsiaTheme="minorHAnsi" w:cstheme="minorBidi"/>
          <w:color w:val="000000" w:themeColor="text1"/>
          <w:szCs w:val="22"/>
          <w:lang w:eastAsia="en-US"/>
        </w:rPr>
        <w:t xml:space="preserve"> there is an emerging preference in the WB for multisector, multi</w:t>
      </w:r>
      <w:r w:rsidR="00E251CB">
        <w:rPr>
          <w:rFonts w:eastAsiaTheme="minorHAnsi" w:cstheme="minorBidi"/>
          <w:color w:val="000000" w:themeColor="text1"/>
          <w:szCs w:val="22"/>
          <w:lang w:eastAsia="en-US"/>
        </w:rPr>
        <w:t>-</w:t>
      </w:r>
      <w:r w:rsidRPr="00525919">
        <w:rPr>
          <w:rFonts w:eastAsiaTheme="minorHAnsi" w:cstheme="minorBidi"/>
          <w:color w:val="000000" w:themeColor="text1"/>
          <w:szCs w:val="22"/>
          <w:lang w:eastAsia="en-US"/>
        </w:rPr>
        <w:t xml:space="preserve">donor trust funds. If </w:t>
      </w:r>
      <w:proofErr w:type="spellStart"/>
      <w:r w:rsidR="007628AF">
        <w:rPr>
          <w:rFonts w:eastAsiaTheme="minorHAnsi" w:cstheme="minorBidi"/>
          <w:color w:val="000000" w:themeColor="text1"/>
          <w:szCs w:val="22"/>
          <w:lang w:eastAsia="en-US"/>
        </w:rPr>
        <w:t>AGaP</w:t>
      </w:r>
      <w:proofErr w:type="spellEnd"/>
      <w:r w:rsidRPr="00525919">
        <w:rPr>
          <w:rFonts w:eastAsiaTheme="minorHAnsi" w:cstheme="minorBidi"/>
          <w:color w:val="000000" w:themeColor="text1"/>
          <w:szCs w:val="22"/>
          <w:lang w:eastAsia="en-US"/>
        </w:rPr>
        <w:t xml:space="preserve"> closes in 2024, as currently planned, then any successor is unlikely to be set up on similar terms. If DFAT prefers the </w:t>
      </w:r>
      <w:proofErr w:type="spellStart"/>
      <w:r w:rsidR="007628AF">
        <w:rPr>
          <w:rFonts w:eastAsiaTheme="minorHAnsi" w:cstheme="minorBidi"/>
          <w:color w:val="000000" w:themeColor="text1"/>
          <w:szCs w:val="22"/>
          <w:lang w:eastAsia="en-US"/>
        </w:rPr>
        <w:t>AGaP</w:t>
      </w:r>
      <w:proofErr w:type="spellEnd"/>
      <w:r w:rsidRPr="00525919">
        <w:rPr>
          <w:rFonts w:eastAsiaTheme="minorHAnsi" w:cstheme="minorBidi"/>
          <w:color w:val="000000" w:themeColor="text1"/>
          <w:szCs w:val="22"/>
          <w:lang w:eastAsia="en-US"/>
        </w:rPr>
        <w:t xml:space="preserve"> </w:t>
      </w:r>
      <w:r w:rsidR="0025593D" w:rsidRPr="00525919">
        <w:rPr>
          <w:rFonts w:eastAsiaTheme="minorHAnsi" w:cstheme="minorBidi"/>
          <w:color w:val="000000" w:themeColor="text1"/>
          <w:szCs w:val="22"/>
          <w:lang w:eastAsia="en-US"/>
        </w:rPr>
        <w:t>model,</w:t>
      </w:r>
      <w:r w:rsidRPr="00525919">
        <w:rPr>
          <w:rFonts w:eastAsiaTheme="minorHAnsi" w:cstheme="minorBidi"/>
          <w:color w:val="000000" w:themeColor="text1"/>
          <w:szCs w:val="22"/>
          <w:lang w:eastAsia="en-US"/>
        </w:rPr>
        <w:t xml:space="preserve"> then both parties should commence planning now for a seamless extension.</w:t>
      </w:r>
    </w:p>
    <w:p w14:paraId="71D301EE" w14:textId="1994D1E7" w:rsidR="000E5C84" w:rsidRPr="00E3206A" w:rsidRDefault="000E5C84" w:rsidP="000E5C84">
      <w:pPr>
        <w:suppressAutoHyphens/>
        <w:spacing w:before="120" w:after="60" w:line="260" w:lineRule="atLeast"/>
        <w:rPr>
          <w:rFonts w:eastAsiaTheme="minorHAnsi" w:cstheme="minorBidi"/>
          <w:color w:val="000000" w:themeColor="text1"/>
          <w:szCs w:val="22"/>
          <w:lang w:eastAsia="en-US"/>
        </w:rPr>
      </w:pPr>
      <w:r w:rsidRPr="00E3206A">
        <w:rPr>
          <w:rFonts w:eastAsiaTheme="minorHAnsi" w:cstheme="minorBidi"/>
          <w:color w:val="000000" w:themeColor="text1"/>
          <w:szCs w:val="22"/>
          <w:lang w:eastAsia="en-US"/>
        </w:rPr>
        <w:t xml:space="preserve">The new administration in the Philippines will change the strategic landscape for </w:t>
      </w:r>
      <w:proofErr w:type="spellStart"/>
      <w:r w:rsidR="007628AF">
        <w:rPr>
          <w:rFonts w:eastAsiaTheme="minorHAnsi" w:cstheme="minorBidi"/>
          <w:color w:val="000000" w:themeColor="text1"/>
          <w:szCs w:val="22"/>
          <w:lang w:eastAsia="en-US"/>
        </w:rPr>
        <w:t>AGaP</w:t>
      </w:r>
      <w:proofErr w:type="spellEnd"/>
      <w:r w:rsidRPr="00E3206A">
        <w:rPr>
          <w:rFonts w:eastAsiaTheme="minorHAnsi" w:cstheme="minorBidi"/>
          <w:color w:val="000000" w:themeColor="text1"/>
          <w:szCs w:val="22"/>
          <w:lang w:eastAsia="en-US"/>
        </w:rPr>
        <w:t xml:space="preserve">, and a former senior </w:t>
      </w:r>
      <w:proofErr w:type="spellStart"/>
      <w:r w:rsidRPr="00E3206A">
        <w:rPr>
          <w:rFonts w:eastAsiaTheme="minorHAnsi" w:cstheme="minorBidi"/>
          <w:color w:val="000000" w:themeColor="text1"/>
          <w:szCs w:val="22"/>
          <w:lang w:eastAsia="en-US"/>
        </w:rPr>
        <w:t>GoP</w:t>
      </w:r>
      <w:proofErr w:type="spellEnd"/>
      <w:r w:rsidRPr="00E3206A">
        <w:rPr>
          <w:rFonts w:eastAsiaTheme="minorHAnsi" w:cstheme="minorBidi"/>
          <w:color w:val="000000" w:themeColor="text1"/>
          <w:szCs w:val="22"/>
          <w:lang w:eastAsia="en-US"/>
        </w:rPr>
        <w:t xml:space="preserve"> official shared some suggestions for adapting to this change. The recommendation is for </w:t>
      </w:r>
      <w:proofErr w:type="spellStart"/>
      <w:r w:rsidR="007628AF">
        <w:rPr>
          <w:rFonts w:eastAsiaTheme="minorHAnsi" w:cstheme="minorBidi"/>
          <w:color w:val="000000" w:themeColor="text1"/>
          <w:szCs w:val="22"/>
          <w:lang w:eastAsia="en-US"/>
        </w:rPr>
        <w:t>AGaP</w:t>
      </w:r>
      <w:proofErr w:type="spellEnd"/>
      <w:r w:rsidRPr="00E3206A">
        <w:rPr>
          <w:rFonts w:eastAsiaTheme="minorHAnsi" w:cstheme="minorBidi"/>
          <w:color w:val="000000" w:themeColor="text1"/>
          <w:szCs w:val="22"/>
          <w:lang w:eastAsia="en-US"/>
        </w:rPr>
        <w:t xml:space="preserve"> to start thinking about how some development challenges stand in the way of other problems being resolved. For example, the blockages to making transformative change in areas such as health and education include land reform and gender equality (as anticipated in </w:t>
      </w:r>
      <w:proofErr w:type="spellStart"/>
      <w:r w:rsidR="007628AF">
        <w:rPr>
          <w:rFonts w:eastAsiaTheme="minorHAnsi" w:cstheme="minorBidi"/>
          <w:color w:val="000000" w:themeColor="text1"/>
          <w:szCs w:val="22"/>
          <w:lang w:eastAsia="en-US"/>
        </w:rPr>
        <w:t>AGaP</w:t>
      </w:r>
      <w:r w:rsidRPr="00E3206A">
        <w:rPr>
          <w:rFonts w:eastAsiaTheme="minorHAnsi" w:cstheme="minorBidi"/>
          <w:color w:val="000000" w:themeColor="text1"/>
          <w:szCs w:val="22"/>
          <w:lang w:eastAsia="en-US"/>
        </w:rPr>
        <w:t>’s</w:t>
      </w:r>
      <w:proofErr w:type="spellEnd"/>
      <w:r w:rsidRPr="00E3206A">
        <w:rPr>
          <w:rFonts w:eastAsiaTheme="minorHAnsi" w:cstheme="minorBidi"/>
          <w:color w:val="000000" w:themeColor="text1"/>
          <w:szCs w:val="22"/>
          <w:lang w:eastAsia="en-US"/>
        </w:rPr>
        <w:t xml:space="preserve"> recent report on obstacles facing women in employment). </w:t>
      </w:r>
    </w:p>
    <w:p w14:paraId="46FDEA37" w14:textId="7D455911" w:rsidR="000E5C84" w:rsidRDefault="000E5C84" w:rsidP="000E5C84">
      <w:pPr>
        <w:suppressAutoHyphens/>
        <w:spacing w:before="120" w:after="60" w:line="260" w:lineRule="atLeast"/>
        <w:rPr>
          <w:rFonts w:eastAsiaTheme="minorHAnsi" w:cstheme="minorBidi"/>
          <w:color w:val="000000" w:themeColor="text1"/>
          <w:szCs w:val="22"/>
          <w:lang w:eastAsia="en-US"/>
        </w:rPr>
      </w:pPr>
      <w:r w:rsidRPr="00E3206A">
        <w:rPr>
          <w:rFonts w:eastAsiaTheme="minorHAnsi" w:cstheme="minorBidi"/>
          <w:color w:val="000000" w:themeColor="text1"/>
          <w:szCs w:val="22"/>
          <w:lang w:eastAsia="en-US"/>
        </w:rPr>
        <w:t xml:space="preserve">Furthermore, reform pathways are impeded by the way the civil service is structured, which has so much bearing on how policies and therefore reforms are implemented. For example, </w:t>
      </w:r>
      <w:proofErr w:type="spellStart"/>
      <w:r w:rsidRPr="00E3206A">
        <w:rPr>
          <w:rFonts w:eastAsiaTheme="minorHAnsi" w:cstheme="minorBidi"/>
          <w:color w:val="000000" w:themeColor="text1"/>
          <w:szCs w:val="22"/>
          <w:lang w:eastAsia="en-US"/>
        </w:rPr>
        <w:t>GoP</w:t>
      </w:r>
      <w:proofErr w:type="spellEnd"/>
      <w:r w:rsidRPr="00E3206A">
        <w:rPr>
          <w:rFonts w:eastAsiaTheme="minorHAnsi" w:cstheme="minorBidi"/>
          <w:color w:val="000000" w:themeColor="text1"/>
          <w:szCs w:val="22"/>
          <w:lang w:eastAsia="en-US"/>
        </w:rPr>
        <w:t xml:space="preserve"> needs support to address the misallocation of resources across the civil service, which are currently circumvented by creating </w:t>
      </w:r>
      <w:r w:rsidRPr="00BF6F36">
        <w:rPr>
          <w:rFonts w:eastAsiaTheme="minorHAnsi" w:cstheme="minorBidi"/>
          <w:color w:val="000000" w:themeColor="text1"/>
          <w:szCs w:val="22"/>
          <w:lang w:eastAsia="en-US"/>
        </w:rPr>
        <w:t>ad hoc committees</w:t>
      </w:r>
      <w:r w:rsidRPr="00E3206A">
        <w:rPr>
          <w:rFonts w:eastAsiaTheme="minorHAnsi" w:cstheme="minorBidi"/>
          <w:color w:val="000000" w:themeColor="text1"/>
          <w:szCs w:val="22"/>
          <w:lang w:eastAsia="en-US"/>
        </w:rPr>
        <w:t xml:space="preserve"> to bridge gaps between </w:t>
      </w:r>
      <w:r w:rsidR="00E85AE2" w:rsidRPr="00E3206A">
        <w:rPr>
          <w:rFonts w:eastAsiaTheme="minorHAnsi" w:cstheme="minorBidi"/>
          <w:color w:val="000000" w:themeColor="text1"/>
          <w:szCs w:val="22"/>
          <w:lang w:eastAsia="en-US"/>
        </w:rPr>
        <w:t>departments or national agencies</w:t>
      </w:r>
      <w:r w:rsidRPr="00E3206A">
        <w:rPr>
          <w:rFonts w:eastAsiaTheme="minorHAnsi" w:cstheme="minorBidi"/>
          <w:color w:val="000000" w:themeColor="text1"/>
          <w:szCs w:val="22"/>
          <w:lang w:eastAsia="en-US"/>
        </w:rPr>
        <w:t xml:space="preserve">. This is connected to the need for reform of public financial management, where civil service salaries absorb a third of the </w:t>
      </w:r>
      <w:r w:rsidR="001D3345">
        <w:rPr>
          <w:rFonts w:eastAsiaTheme="minorHAnsi" w:cstheme="minorBidi"/>
          <w:color w:val="000000" w:themeColor="text1"/>
          <w:szCs w:val="22"/>
          <w:lang w:eastAsia="en-US"/>
        </w:rPr>
        <w:t>national</w:t>
      </w:r>
      <w:r w:rsidR="001D3345" w:rsidRPr="00E3206A">
        <w:rPr>
          <w:rFonts w:eastAsiaTheme="minorHAnsi" w:cstheme="minorBidi"/>
          <w:color w:val="000000" w:themeColor="text1"/>
          <w:szCs w:val="22"/>
          <w:lang w:eastAsia="en-US"/>
        </w:rPr>
        <w:t xml:space="preserve"> </w:t>
      </w:r>
      <w:r w:rsidRPr="00E3206A">
        <w:rPr>
          <w:rFonts w:eastAsiaTheme="minorHAnsi" w:cstheme="minorBidi"/>
          <w:color w:val="000000" w:themeColor="text1"/>
          <w:szCs w:val="22"/>
          <w:lang w:eastAsia="en-US"/>
        </w:rPr>
        <w:t xml:space="preserve">budget. Unless </w:t>
      </w:r>
      <w:proofErr w:type="spellStart"/>
      <w:r w:rsidRPr="00E3206A">
        <w:rPr>
          <w:rFonts w:eastAsiaTheme="minorHAnsi" w:cstheme="minorBidi"/>
          <w:color w:val="000000" w:themeColor="text1"/>
          <w:szCs w:val="22"/>
          <w:lang w:eastAsia="en-US"/>
        </w:rPr>
        <w:t>GoP</w:t>
      </w:r>
      <w:proofErr w:type="spellEnd"/>
      <w:r w:rsidRPr="00E3206A">
        <w:rPr>
          <w:rFonts w:eastAsiaTheme="minorHAnsi" w:cstheme="minorBidi"/>
          <w:color w:val="000000" w:themeColor="text1"/>
          <w:szCs w:val="22"/>
          <w:lang w:eastAsia="en-US"/>
        </w:rPr>
        <w:t xml:space="preserve"> can work with development partners to find a pathway towards fundamental structural reforms, then attempts to tackle the problems in the foreground will yield minimal results. This is an area of development that has higher risks, requires more innovation</w:t>
      </w:r>
      <w:r w:rsidR="0062771A">
        <w:rPr>
          <w:rFonts w:eastAsiaTheme="minorHAnsi" w:cstheme="minorBidi"/>
          <w:color w:val="000000" w:themeColor="text1"/>
          <w:szCs w:val="22"/>
          <w:lang w:eastAsia="en-US"/>
        </w:rPr>
        <w:t>,</w:t>
      </w:r>
      <w:r w:rsidRPr="00E3206A">
        <w:rPr>
          <w:rFonts w:eastAsiaTheme="minorHAnsi" w:cstheme="minorBidi"/>
          <w:color w:val="000000" w:themeColor="text1"/>
          <w:szCs w:val="22"/>
          <w:lang w:eastAsia="en-US"/>
        </w:rPr>
        <w:t xml:space="preserve"> and is dependent on a trusted partnership with technical advisers over the long term. It also requires a renewed focus on public dialogue and finding ways for reformers within the system to share ideas and results. This is a good fit with both DFAT’s expertise in governance reform and </w:t>
      </w:r>
      <w:proofErr w:type="spellStart"/>
      <w:r w:rsidR="007628AF">
        <w:rPr>
          <w:rFonts w:eastAsiaTheme="minorHAnsi" w:cstheme="minorBidi"/>
          <w:color w:val="000000" w:themeColor="text1"/>
          <w:szCs w:val="22"/>
          <w:lang w:eastAsia="en-US"/>
        </w:rPr>
        <w:t>AGaP</w:t>
      </w:r>
      <w:r w:rsidRPr="00E3206A">
        <w:rPr>
          <w:rFonts w:eastAsiaTheme="minorHAnsi" w:cstheme="minorBidi"/>
          <w:color w:val="000000" w:themeColor="text1"/>
          <w:szCs w:val="22"/>
          <w:lang w:eastAsia="en-US"/>
        </w:rPr>
        <w:t>’s</w:t>
      </w:r>
      <w:proofErr w:type="spellEnd"/>
      <w:r w:rsidRPr="00E3206A">
        <w:rPr>
          <w:rFonts w:eastAsiaTheme="minorHAnsi" w:cstheme="minorBidi"/>
          <w:color w:val="000000" w:themeColor="text1"/>
          <w:szCs w:val="22"/>
          <w:lang w:eastAsia="en-US"/>
        </w:rPr>
        <w:t xml:space="preserve"> approach to building relationships across government. </w:t>
      </w:r>
    </w:p>
    <w:p w14:paraId="3AC34B56" w14:textId="77777777" w:rsidR="00E73167" w:rsidRPr="00A5359A" w:rsidRDefault="00E73167" w:rsidP="00FC7246">
      <w:pPr>
        <w:rPr>
          <w:b/>
          <w:bCs/>
          <w:color w:val="000000" w:themeColor="text1"/>
          <w:lang w:val="en"/>
        </w:rPr>
      </w:pPr>
      <w:r w:rsidRPr="00A5359A">
        <w:rPr>
          <w:b/>
          <w:bCs/>
          <w:color w:val="000000" w:themeColor="text1"/>
          <w:lang w:val="en"/>
        </w:rPr>
        <w:t>Recommendations</w:t>
      </w:r>
    </w:p>
    <w:p w14:paraId="1A325667" w14:textId="4954F2E4" w:rsidR="00D664AA" w:rsidRPr="00A5359A" w:rsidRDefault="007628AF" w:rsidP="00C64AD4">
      <w:pPr>
        <w:pStyle w:val="ListParagraph"/>
        <w:numPr>
          <w:ilvl w:val="0"/>
          <w:numId w:val="51"/>
        </w:numPr>
        <w:rPr>
          <w:color w:val="000000" w:themeColor="text1"/>
        </w:rPr>
      </w:pPr>
      <w:proofErr w:type="spellStart"/>
      <w:r w:rsidRPr="00A5359A">
        <w:rPr>
          <w:color w:val="000000" w:themeColor="text1"/>
        </w:rPr>
        <w:t>AGaP</w:t>
      </w:r>
      <w:proofErr w:type="spellEnd"/>
      <w:r w:rsidR="00704ED6" w:rsidRPr="00A5359A">
        <w:rPr>
          <w:color w:val="000000" w:themeColor="text1"/>
        </w:rPr>
        <w:t xml:space="preserve"> should continue as a single donor programmatic instrument</w:t>
      </w:r>
      <w:r w:rsidR="00B12F0D" w:rsidRPr="00A5359A">
        <w:rPr>
          <w:color w:val="000000" w:themeColor="text1"/>
        </w:rPr>
        <w:t xml:space="preserve"> beyond its current end date (30 June 2024).</w:t>
      </w:r>
    </w:p>
    <w:p w14:paraId="26ABA870" w14:textId="4F64F3BA" w:rsidR="00D664AA" w:rsidRPr="00A5359A" w:rsidRDefault="007628AF" w:rsidP="0089441D">
      <w:pPr>
        <w:numPr>
          <w:ilvl w:val="0"/>
          <w:numId w:val="15"/>
        </w:numPr>
        <w:rPr>
          <w:color w:val="000000" w:themeColor="text1"/>
          <w:lang w:val="en"/>
        </w:rPr>
      </w:pPr>
      <w:proofErr w:type="spellStart"/>
      <w:r w:rsidRPr="00A5359A">
        <w:rPr>
          <w:rFonts w:eastAsiaTheme="minorHAnsi" w:cstheme="minorBidi"/>
          <w:color w:val="000000" w:themeColor="text1"/>
          <w:szCs w:val="22"/>
          <w:lang w:eastAsia="en-US"/>
        </w:rPr>
        <w:t>AGaP</w:t>
      </w:r>
      <w:proofErr w:type="spellEnd"/>
      <w:r w:rsidR="00D664AA" w:rsidRPr="00A5359A">
        <w:rPr>
          <w:rFonts w:eastAsiaTheme="minorHAnsi" w:cstheme="minorBidi"/>
          <w:color w:val="000000" w:themeColor="text1"/>
          <w:szCs w:val="22"/>
          <w:lang w:eastAsia="en-US"/>
        </w:rPr>
        <w:t xml:space="preserve"> should facilitate a deeper examination of the types of economic reforms that can facilitate poverty reduction </w:t>
      </w:r>
      <w:r w:rsidR="007D606A" w:rsidRPr="00A5359A">
        <w:rPr>
          <w:rFonts w:eastAsiaTheme="minorHAnsi" w:cstheme="minorBidi"/>
          <w:color w:val="000000" w:themeColor="text1"/>
          <w:szCs w:val="22"/>
          <w:lang w:eastAsia="en-US"/>
        </w:rPr>
        <w:t>to</w:t>
      </w:r>
      <w:r w:rsidR="00D664AA" w:rsidRPr="00A5359A">
        <w:rPr>
          <w:rFonts w:eastAsiaTheme="minorHAnsi" w:cstheme="minorBidi"/>
          <w:color w:val="000000" w:themeColor="text1"/>
          <w:szCs w:val="22"/>
          <w:lang w:eastAsia="en-US"/>
        </w:rPr>
        <w:t xml:space="preserve"> improv</w:t>
      </w:r>
      <w:r w:rsidR="007D606A" w:rsidRPr="00A5359A">
        <w:rPr>
          <w:rFonts w:eastAsiaTheme="minorHAnsi" w:cstheme="minorBidi"/>
          <w:color w:val="000000" w:themeColor="text1"/>
          <w:szCs w:val="22"/>
          <w:lang w:eastAsia="en-US"/>
        </w:rPr>
        <w:t>e</w:t>
      </w:r>
      <w:r w:rsidR="00D664AA" w:rsidRPr="00A5359A">
        <w:rPr>
          <w:rFonts w:eastAsiaTheme="minorHAnsi" w:cstheme="minorBidi"/>
          <w:color w:val="000000" w:themeColor="text1"/>
          <w:szCs w:val="22"/>
          <w:lang w:eastAsia="en-US"/>
        </w:rPr>
        <w:t xml:space="preserve"> the quality and resilience of economic growth. This should include agreeing gender-related targets for the next phase of </w:t>
      </w:r>
      <w:proofErr w:type="spellStart"/>
      <w:r w:rsidR="003B61F9" w:rsidRPr="00A5359A">
        <w:rPr>
          <w:rFonts w:eastAsiaTheme="minorHAnsi" w:cstheme="minorBidi"/>
          <w:color w:val="000000" w:themeColor="text1"/>
          <w:szCs w:val="22"/>
          <w:lang w:eastAsia="en-US"/>
        </w:rPr>
        <w:t>AGaP</w:t>
      </w:r>
      <w:proofErr w:type="spellEnd"/>
      <w:r w:rsidR="003B61F9" w:rsidRPr="00A5359A">
        <w:rPr>
          <w:rFonts w:eastAsiaTheme="minorHAnsi" w:cstheme="minorBidi"/>
          <w:color w:val="000000" w:themeColor="text1"/>
          <w:szCs w:val="22"/>
          <w:lang w:eastAsia="en-US"/>
        </w:rPr>
        <w:t xml:space="preserve"> and</w:t>
      </w:r>
      <w:r w:rsidR="00D664AA" w:rsidRPr="00A5359A">
        <w:rPr>
          <w:rFonts w:eastAsiaTheme="minorHAnsi" w:cstheme="minorBidi"/>
          <w:color w:val="000000" w:themeColor="text1"/>
          <w:szCs w:val="22"/>
          <w:lang w:eastAsia="en-US"/>
        </w:rPr>
        <w:t xml:space="preserve"> examining the correlations between poverty and Indigenous People</w:t>
      </w:r>
      <w:r w:rsidR="00FC0C9B" w:rsidRPr="00A5359A">
        <w:rPr>
          <w:rFonts w:eastAsiaTheme="minorHAnsi" w:cstheme="minorBidi"/>
          <w:color w:val="000000" w:themeColor="text1"/>
          <w:szCs w:val="22"/>
          <w:lang w:eastAsia="en-US"/>
        </w:rPr>
        <w:t>s</w:t>
      </w:r>
      <w:r w:rsidR="00D664AA" w:rsidRPr="00A5359A">
        <w:rPr>
          <w:rFonts w:eastAsiaTheme="minorHAnsi" w:cstheme="minorBidi"/>
          <w:color w:val="000000" w:themeColor="text1"/>
          <w:szCs w:val="22"/>
          <w:lang w:eastAsia="en-US"/>
        </w:rPr>
        <w:t>.</w:t>
      </w:r>
    </w:p>
    <w:p w14:paraId="30F6289C" w14:textId="43718AEA" w:rsidR="00D664AA" w:rsidRPr="00A5359A" w:rsidRDefault="007628AF" w:rsidP="0089441D">
      <w:pPr>
        <w:numPr>
          <w:ilvl w:val="0"/>
          <w:numId w:val="15"/>
        </w:numPr>
        <w:rPr>
          <w:color w:val="000000" w:themeColor="text1"/>
          <w:lang w:val="en"/>
        </w:rPr>
      </w:pPr>
      <w:proofErr w:type="spellStart"/>
      <w:r w:rsidRPr="00A5359A">
        <w:rPr>
          <w:color w:val="000000" w:themeColor="text1"/>
        </w:rPr>
        <w:t>AGaP</w:t>
      </w:r>
      <w:proofErr w:type="spellEnd"/>
      <w:r w:rsidR="00D664AA" w:rsidRPr="00A5359A">
        <w:rPr>
          <w:color w:val="000000" w:themeColor="text1"/>
        </w:rPr>
        <w:t xml:space="preserve"> should </w:t>
      </w:r>
      <w:r w:rsidR="008B75DD" w:rsidRPr="00A5359A">
        <w:rPr>
          <w:color w:val="000000" w:themeColor="text1"/>
        </w:rPr>
        <w:t xml:space="preserve">strengthen </w:t>
      </w:r>
      <w:r w:rsidR="00D664AA" w:rsidRPr="00A5359A">
        <w:rPr>
          <w:color w:val="000000" w:themeColor="text1"/>
        </w:rPr>
        <w:t>consider</w:t>
      </w:r>
      <w:r w:rsidR="008B75DD" w:rsidRPr="00A5359A">
        <w:rPr>
          <w:color w:val="000000" w:themeColor="text1"/>
        </w:rPr>
        <w:t>ations of</w:t>
      </w:r>
      <w:r w:rsidR="00D664AA" w:rsidRPr="00A5359A">
        <w:rPr>
          <w:color w:val="000000" w:themeColor="text1"/>
        </w:rPr>
        <w:t xml:space="preserve"> climate change, and its integration with disaster resilience, </w:t>
      </w:r>
      <w:r w:rsidR="008B75DD" w:rsidRPr="00A5359A">
        <w:rPr>
          <w:color w:val="000000" w:themeColor="text1"/>
        </w:rPr>
        <w:t>in</w:t>
      </w:r>
      <w:r w:rsidR="00D664AA" w:rsidRPr="00A5359A">
        <w:rPr>
          <w:color w:val="000000" w:themeColor="text1"/>
        </w:rPr>
        <w:t xml:space="preserve"> </w:t>
      </w:r>
      <w:r w:rsidR="008B75DD" w:rsidRPr="00A5359A">
        <w:rPr>
          <w:color w:val="000000" w:themeColor="text1"/>
        </w:rPr>
        <w:t>its policy work. For example, infrastructure, energy transition, digitisation, and natural resource stewardship.</w:t>
      </w:r>
    </w:p>
    <w:p w14:paraId="57D5A90D" w14:textId="1AE2C141" w:rsidR="00E73167" w:rsidRDefault="00E73167" w:rsidP="000E5C84">
      <w:pPr>
        <w:suppressAutoHyphens/>
        <w:spacing w:before="120" w:after="60" w:line="260" w:lineRule="atLeast"/>
        <w:rPr>
          <w:rFonts w:eastAsiaTheme="minorHAnsi" w:cstheme="minorBidi"/>
          <w:color w:val="000000" w:themeColor="text1"/>
          <w:szCs w:val="22"/>
          <w:lang w:eastAsia="en-US"/>
        </w:rPr>
      </w:pPr>
    </w:p>
    <w:p w14:paraId="5633A024" w14:textId="77777777" w:rsidR="00FC7246" w:rsidRDefault="00FC7246" w:rsidP="000E5C84">
      <w:pPr>
        <w:suppressAutoHyphens/>
        <w:spacing w:before="120" w:after="60" w:line="260" w:lineRule="atLeast"/>
        <w:rPr>
          <w:rFonts w:eastAsiaTheme="minorHAnsi" w:cstheme="minorBidi"/>
          <w:color w:val="000000" w:themeColor="text1"/>
          <w:szCs w:val="22"/>
          <w:lang w:eastAsia="en-US"/>
        </w:rPr>
      </w:pPr>
    </w:p>
    <w:p w14:paraId="569F3D20" w14:textId="77777777" w:rsidR="00FC7246" w:rsidRPr="00E3206A" w:rsidRDefault="00FC7246" w:rsidP="000E5C84">
      <w:pPr>
        <w:suppressAutoHyphens/>
        <w:spacing w:before="120" w:after="60" w:line="260" w:lineRule="atLeast"/>
        <w:rPr>
          <w:rFonts w:eastAsiaTheme="minorHAnsi" w:cstheme="minorBidi"/>
          <w:color w:val="000000" w:themeColor="text1"/>
          <w:szCs w:val="22"/>
          <w:lang w:eastAsia="en-US"/>
        </w:rPr>
      </w:pPr>
    </w:p>
    <w:p w14:paraId="160F2968" w14:textId="77777777" w:rsidR="000E5C84" w:rsidRPr="000E5C84" w:rsidRDefault="000E5C84" w:rsidP="000E5C84">
      <w:pPr>
        <w:suppressAutoHyphens/>
        <w:spacing w:before="120" w:after="60" w:line="260" w:lineRule="atLeast"/>
        <w:rPr>
          <w:rFonts w:eastAsiaTheme="minorHAnsi" w:cstheme="minorBidi"/>
          <w:color w:val="44546A" w:themeColor="text2"/>
          <w:szCs w:val="22"/>
          <w:lang w:eastAsia="en-US"/>
        </w:rPr>
      </w:pPr>
    </w:p>
    <w:p w14:paraId="1D904F8F" w14:textId="77777777" w:rsidR="004F1D23" w:rsidRDefault="004F1D23" w:rsidP="005D7F61">
      <w:r>
        <w:br w:type="page"/>
      </w:r>
    </w:p>
    <w:p w14:paraId="2F0D6C1C" w14:textId="2BBBE729" w:rsidR="004F1D23" w:rsidRPr="002900C0" w:rsidRDefault="003B38E1" w:rsidP="00E03DD0">
      <w:pPr>
        <w:pStyle w:val="Heading1"/>
      </w:pPr>
      <w:bookmarkStart w:id="31" w:name="_Toc125560019"/>
      <w:r w:rsidRPr="002900C0">
        <w:lastRenderedPageBreak/>
        <w:t>Annex 1</w:t>
      </w:r>
      <w:r w:rsidR="006534DF">
        <w:tab/>
      </w:r>
      <w:r w:rsidRPr="002900C0">
        <w:t>Terms of Reference</w:t>
      </w:r>
      <w:bookmarkEnd w:id="31"/>
      <w:r w:rsidRPr="002900C0">
        <w:t xml:space="preserve">  </w:t>
      </w:r>
    </w:p>
    <w:p w14:paraId="0EDFEED6" w14:textId="77777777" w:rsidR="006D6CEC" w:rsidRPr="006D6CEC" w:rsidRDefault="006D6CEC" w:rsidP="006D6CEC">
      <w:pPr>
        <w:rPr>
          <w:rFonts w:ascii="Arial" w:hAnsi="Arial" w:cs="Arial"/>
          <w:b/>
          <w:bCs/>
          <w:sz w:val="20"/>
          <w:szCs w:val="20"/>
          <w:lang w:val="en"/>
        </w:rPr>
      </w:pPr>
      <w:r w:rsidRPr="006D6CEC">
        <w:rPr>
          <w:rFonts w:ascii="Arial" w:hAnsi="Arial" w:cs="Arial"/>
          <w:b/>
          <w:bCs/>
          <w:sz w:val="20"/>
          <w:szCs w:val="20"/>
          <w:lang w:val="en"/>
        </w:rPr>
        <w:t>1. Background</w:t>
      </w:r>
    </w:p>
    <w:p w14:paraId="3FDA2DCE" w14:textId="77777777" w:rsidR="006D6CEC" w:rsidRPr="006D6CEC" w:rsidRDefault="006D6CEC" w:rsidP="006D6CEC">
      <w:pPr>
        <w:rPr>
          <w:rFonts w:ascii="Arial" w:hAnsi="Arial" w:cs="Arial"/>
          <w:b/>
          <w:bCs/>
          <w:sz w:val="20"/>
          <w:szCs w:val="20"/>
          <w:lang w:val="en"/>
        </w:rPr>
      </w:pPr>
    </w:p>
    <w:p w14:paraId="301C1C2B" w14:textId="77777777" w:rsidR="006D6CEC" w:rsidRPr="006D6CEC" w:rsidRDefault="006D6CEC" w:rsidP="00C64AD4">
      <w:pPr>
        <w:numPr>
          <w:ilvl w:val="0"/>
          <w:numId w:val="30"/>
        </w:numPr>
        <w:rPr>
          <w:rFonts w:ascii="Arial" w:hAnsi="Arial" w:cs="Arial"/>
          <w:b/>
          <w:bCs/>
          <w:sz w:val="20"/>
          <w:szCs w:val="20"/>
          <w:lang w:val="en"/>
        </w:rPr>
      </w:pPr>
      <w:r w:rsidRPr="006D6CEC">
        <w:rPr>
          <w:rFonts w:ascii="Arial" w:hAnsi="Arial" w:cs="Arial"/>
          <w:b/>
          <w:bCs/>
          <w:sz w:val="20"/>
          <w:szCs w:val="20"/>
          <w:lang w:val="en"/>
        </w:rPr>
        <w:t>Program Description</w:t>
      </w:r>
    </w:p>
    <w:p w14:paraId="4171596A" w14:textId="75EB105E" w:rsidR="006D6CEC" w:rsidRPr="006D6CEC" w:rsidRDefault="006D6CEC" w:rsidP="00C64AD4">
      <w:pPr>
        <w:numPr>
          <w:ilvl w:val="0"/>
          <w:numId w:val="31"/>
        </w:numPr>
        <w:rPr>
          <w:rFonts w:ascii="Arial" w:hAnsi="Arial" w:cs="Arial"/>
          <w:sz w:val="20"/>
          <w:szCs w:val="20"/>
          <w:lang w:val="en"/>
        </w:rPr>
      </w:pPr>
      <w:r w:rsidRPr="006D6CEC">
        <w:rPr>
          <w:rFonts w:ascii="Arial" w:hAnsi="Arial" w:cs="Arial"/>
          <w:sz w:val="20"/>
          <w:szCs w:val="20"/>
          <w:lang w:val="en"/>
        </w:rPr>
        <w:t>The Australia - World Bank Trust Fund for Growth and Prosperity in the Philippines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is a strategic partnership between Australia, through the Australian Embassy to the Philippines, and the World Bank, through its Philippines Country Office</w:t>
      </w:r>
      <w:r w:rsidR="006855F3" w:rsidRPr="006D6CEC">
        <w:rPr>
          <w:rFonts w:ascii="Arial" w:hAnsi="Arial" w:cs="Arial"/>
          <w:sz w:val="20"/>
          <w:szCs w:val="20"/>
          <w:lang w:val="en"/>
        </w:rPr>
        <w:t xml:space="preserve">. </w:t>
      </w:r>
      <w:r w:rsidRPr="006D6CEC">
        <w:rPr>
          <w:rFonts w:ascii="Arial" w:hAnsi="Arial" w:cs="Arial"/>
          <w:sz w:val="20"/>
          <w:szCs w:val="20"/>
          <w:lang w:val="en"/>
        </w:rPr>
        <w:t xml:space="preserve">The </w:t>
      </w:r>
      <w:r w:rsidR="001B2091">
        <w:rPr>
          <w:rFonts w:ascii="Arial" w:hAnsi="Arial" w:cs="Arial"/>
          <w:sz w:val="20"/>
          <w:szCs w:val="20"/>
          <w:lang w:val="en"/>
        </w:rPr>
        <w:t>Trust Fund</w:t>
      </w:r>
      <w:r w:rsidRPr="006D6CEC">
        <w:rPr>
          <w:rFonts w:ascii="Arial" w:hAnsi="Arial" w:cs="Arial"/>
          <w:sz w:val="20"/>
          <w:szCs w:val="20"/>
          <w:lang w:val="en"/>
        </w:rPr>
        <w:t xml:space="preserve"> provides funds and technical expertise to facilitate knowledge exchange that will assist the Government of the Philippines (GOP) in the design and implementation of policy reforms and programs</w:t>
      </w:r>
      <w:r w:rsidR="006855F3" w:rsidRPr="006D6CEC">
        <w:rPr>
          <w:rFonts w:ascii="Arial" w:hAnsi="Arial" w:cs="Arial"/>
          <w:sz w:val="20"/>
          <w:szCs w:val="20"/>
          <w:lang w:val="en"/>
        </w:rPr>
        <w:t xml:space="preserve">. </w:t>
      </w:r>
    </w:p>
    <w:p w14:paraId="34800F66" w14:textId="55DFCC6D" w:rsidR="006D6CEC" w:rsidRPr="006D6CEC" w:rsidRDefault="007628AF" w:rsidP="00C64AD4">
      <w:pPr>
        <w:numPr>
          <w:ilvl w:val="0"/>
          <w:numId w:val="31"/>
        </w:numPr>
        <w:rPr>
          <w:rFonts w:ascii="Arial" w:hAnsi="Arial" w:cs="Arial"/>
          <w:sz w:val="20"/>
          <w:szCs w:val="20"/>
          <w:lang w:val="en"/>
        </w:rPr>
      </w:pPr>
      <w:proofErr w:type="spellStart"/>
      <w:r>
        <w:rPr>
          <w:rFonts w:ascii="Arial" w:hAnsi="Arial" w:cs="Arial"/>
          <w:sz w:val="20"/>
          <w:szCs w:val="20"/>
          <w:lang w:val="en"/>
        </w:rPr>
        <w:t>AGaP</w:t>
      </w:r>
      <w:proofErr w:type="spellEnd"/>
      <w:r w:rsidR="006D6CEC" w:rsidRPr="006D6CEC">
        <w:rPr>
          <w:rFonts w:ascii="Arial" w:hAnsi="Arial" w:cs="Arial"/>
          <w:sz w:val="20"/>
          <w:szCs w:val="20"/>
          <w:lang w:val="en"/>
        </w:rPr>
        <w:t xml:space="preserve"> forms part of Advancing Multilateral Partnerships for Economic Development (AMPED), DFAT’s broader economic governance investment in the Philippines</w:t>
      </w:r>
      <w:r w:rsidR="006855F3" w:rsidRPr="006D6CEC">
        <w:rPr>
          <w:rFonts w:ascii="Arial" w:hAnsi="Arial" w:cs="Arial"/>
          <w:sz w:val="20"/>
          <w:szCs w:val="20"/>
          <w:lang w:val="en"/>
        </w:rPr>
        <w:t xml:space="preserve">. </w:t>
      </w:r>
      <w:r w:rsidR="006D6CEC" w:rsidRPr="006D6CEC">
        <w:rPr>
          <w:rFonts w:ascii="Arial" w:hAnsi="Arial" w:cs="Arial"/>
          <w:sz w:val="20"/>
          <w:szCs w:val="20"/>
          <w:lang w:val="en"/>
        </w:rPr>
        <w:t>AMPED is managed by the Australian Embassy as a single aid investment to ensure coherence of activity selection across a range of multilateral partnerships</w:t>
      </w:r>
      <w:r w:rsidR="006855F3" w:rsidRPr="006D6CEC">
        <w:rPr>
          <w:rFonts w:ascii="Arial" w:hAnsi="Arial" w:cs="Arial"/>
          <w:sz w:val="20"/>
          <w:szCs w:val="20"/>
          <w:lang w:val="en"/>
        </w:rPr>
        <w:t xml:space="preserve">. </w:t>
      </w:r>
      <w:r w:rsidR="006D6CEC" w:rsidRPr="006D6CEC">
        <w:rPr>
          <w:rFonts w:ascii="Arial" w:hAnsi="Arial" w:cs="Arial"/>
          <w:sz w:val="20"/>
          <w:szCs w:val="20"/>
          <w:lang w:val="en"/>
        </w:rPr>
        <w:t>It aims to contribute to the Philippines’ rapid, sustainable, and inclusive growth by strengthening the ability of the government to manage the economy for growth, with participation of the private sector, and by creating a strong partnership between Australia, the Philippines, and multilateral development partners. AMPED activities provide separate but complementary technical assistance activities in collaboration with different multilateral partners, including the World Bank</w:t>
      </w:r>
      <w:r w:rsidR="002C3C08" w:rsidRPr="006D6CEC">
        <w:rPr>
          <w:rFonts w:ascii="Arial" w:hAnsi="Arial" w:cs="Arial"/>
          <w:sz w:val="20"/>
          <w:szCs w:val="20"/>
          <w:lang w:val="en"/>
        </w:rPr>
        <w:t xml:space="preserve">. </w:t>
      </w:r>
    </w:p>
    <w:p w14:paraId="2FDB985E" w14:textId="7CD30F17" w:rsidR="006D6CEC" w:rsidRPr="006D6CEC" w:rsidRDefault="007628AF" w:rsidP="00C64AD4">
      <w:pPr>
        <w:numPr>
          <w:ilvl w:val="0"/>
          <w:numId w:val="31"/>
        </w:numPr>
        <w:rPr>
          <w:rFonts w:ascii="Arial" w:hAnsi="Arial" w:cs="Arial"/>
          <w:sz w:val="20"/>
          <w:szCs w:val="20"/>
          <w:lang w:val="en"/>
        </w:rPr>
      </w:pPr>
      <w:proofErr w:type="spellStart"/>
      <w:r>
        <w:rPr>
          <w:rFonts w:ascii="Arial" w:hAnsi="Arial" w:cs="Arial"/>
          <w:sz w:val="20"/>
          <w:szCs w:val="20"/>
          <w:lang w:val="en"/>
        </w:rPr>
        <w:t>AGaP</w:t>
      </w:r>
      <w:proofErr w:type="spellEnd"/>
      <w:r w:rsidR="006D6CEC" w:rsidRPr="006D6CEC">
        <w:rPr>
          <w:rFonts w:ascii="Arial" w:hAnsi="Arial" w:cs="Arial"/>
          <w:sz w:val="20"/>
          <w:szCs w:val="20"/>
          <w:lang w:val="en"/>
        </w:rPr>
        <w:t xml:space="preserve"> is founded on a close working relationship between World Bank and Australia</w:t>
      </w:r>
      <w:r w:rsidR="006855F3" w:rsidRPr="006D6CEC">
        <w:rPr>
          <w:rFonts w:ascii="Arial" w:hAnsi="Arial" w:cs="Arial"/>
          <w:sz w:val="20"/>
          <w:szCs w:val="20"/>
          <w:lang w:val="en"/>
        </w:rPr>
        <w:t xml:space="preserve">. </w:t>
      </w:r>
      <w:r w:rsidR="006D6CEC" w:rsidRPr="006D6CEC">
        <w:rPr>
          <w:rFonts w:ascii="Arial" w:hAnsi="Arial" w:cs="Arial"/>
          <w:sz w:val="20"/>
          <w:szCs w:val="20"/>
          <w:lang w:val="en"/>
        </w:rPr>
        <w:t>It has been set up as a programmatic trust fund to finance activities aligned with overall development objectives of both partners, articulated in key framework documents including (but not limited to) the World Bank’s Country Partnership Framework for the Philippines 2019-23 and Australia’s Partnerships for Recovery: Australia’s COVID-19 Development Response</w:t>
      </w:r>
      <w:r w:rsidR="006855F3" w:rsidRPr="006D6CEC">
        <w:rPr>
          <w:rFonts w:ascii="Arial" w:hAnsi="Arial" w:cs="Arial"/>
          <w:sz w:val="20"/>
          <w:szCs w:val="20"/>
          <w:lang w:val="en"/>
        </w:rPr>
        <w:t xml:space="preserve">. </w:t>
      </w:r>
      <w:r w:rsidR="006D6CEC" w:rsidRPr="006D6CEC">
        <w:rPr>
          <w:rFonts w:ascii="Arial" w:hAnsi="Arial" w:cs="Arial"/>
          <w:sz w:val="20"/>
          <w:szCs w:val="20"/>
          <w:lang w:val="en"/>
        </w:rPr>
        <w:t xml:space="preserve">Specific activities to be funded by </w:t>
      </w:r>
      <w:proofErr w:type="spellStart"/>
      <w:r>
        <w:rPr>
          <w:rFonts w:ascii="Arial" w:hAnsi="Arial" w:cs="Arial"/>
          <w:sz w:val="20"/>
          <w:szCs w:val="20"/>
          <w:lang w:val="en"/>
        </w:rPr>
        <w:t>AGaP</w:t>
      </w:r>
      <w:proofErr w:type="spellEnd"/>
      <w:r w:rsidR="006D6CEC" w:rsidRPr="006D6CEC">
        <w:rPr>
          <w:rFonts w:ascii="Arial" w:hAnsi="Arial" w:cs="Arial"/>
          <w:sz w:val="20"/>
          <w:szCs w:val="20"/>
          <w:lang w:val="en"/>
        </w:rPr>
        <w:t xml:space="preserve"> are decided jointly between Australia and the World Bank through the governance mechanisms of the </w:t>
      </w:r>
      <w:r w:rsidR="001B2091">
        <w:rPr>
          <w:rFonts w:ascii="Arial" w:hAnsi="Arial" w:cs="Arial"/>
          <w:sz w:val="20"/>
          <w:szCs w:val="20"/>
          <w:lang w:val="en"/>
        </w:rPr>
        <w:t>Trust Fund</w:t>
      </w:r>
      <w:r w:rsidR="006D6CEC" w:rsidRPr="006D6CEC">
        <w:rPr>
          <w:rFonts w:ascii="Arial" w:hAnsi="Arial" w:cs="Arial"/>
          <w:sz w:val="20"/>
          <w:szCs w:val="20"/>
          <w:lang w:val="en"/>
        </w:rPr>
        <w:t xml:space="preserve"> as articulated in the </w:t>
      </w:r>
      <w:proofErr w:type="spellStart"/>
      <w:r>
        <w:rPr>
          <w:rFonts w:ascii="Arial" w:hAnsi="Arial" w:cs="Arial"/>
          <w:sz w:val="20"/>
          <w:szCs w:val="20"/>
          <w:lang w:val="en"/>
        </w:rPr>
        <w:t>AGaP</w:t>
      </w:r>
      <w:proofErr w:type="spellEnd"/>
      <w:r w:rsidR="006D6CEC" w:rsidRPr="006D6CEC">
        <w:rPr>
          <w:rFonts w:ascii="Arial" w:hAnsi="Arial" w:cs="Arial"/>
          <w:sz w:val="20"/>
          <w:szCs w:val="20"/>
          <w:lang w:val="en"/>
        </w:rPr>
        <w:t xml:space="preserve"> Operations Manual (see </w:t>
      </w:r>
      <w:r w:rsidR="006D6CEC" w:rsidRPr="006D6CEC">
        <w:rPr>
          <w:rFonts w:ascii="Arial" w:hAnsi="Arial" w:cs="Arial"/>
          <w:sz w:val="20"/>
          <w:szCs w:val="20"/>
          <w:u w:val="single"/>
          <w:lang w:val="en"/>
        </w:rPr>
        <w:t>Annex A</w:t>
      </w:r>
      <w:r w:rsidR="006D6CEC" w:rsidRPr="006D6CEC">
        <w:rPr>
          <w:rFonts w:ascii="Arial" w:hAnsi="Arial" w:cs="Arial"/>
          <w:sz w:val="20"/>
          <w:szCs w:val="20"/>
          <w:lang w:val="en"/>
        </w:rPr>
        <w:t>).</w:t>
      </w:r>
    </w:p>
    <w:p w14:paraId="16711F99" w14:textId="47F6CEB4" w:rsidR="006D6CEC" w:rsidRPr="006D6CEC" w:rsidRDefault="006D6CEC" w:rsidP="00C64AD4">
      <w:pPr>
        <w:numPr>
          <w:ilvl w:val="0"/>
          <w:numId w:val="31"/>
        </w:numPr>
        <w:rPr>
          <w:rFonts w:ascii="Arial" w:hAnsi="Arial" w:cs="Arial"/>
          <w:sz w:val="20"/>
          <w:szCs w:val="20"/>
          <w:lang w:val="en"/>
        </w:rPr>
      </w:pPr>
      <w:r w:rsidRPr="006D6CEC">
        <w:rPr>
          <w:rFonts w:ascii="Arial" w:hAnsi="Arial" w:cs="Arial"/>
          <w:sz w:val="20"/>
          <w:szCs w:val="20"/>
          <w:lang w:val="en"/>
        </w:rPr>
        <w:t xml:space="preserve">To date, total commitment of Australia to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has reached US$10.5 million, from the initial commitment of US$5 million in March 2019 and additional commitment of US$5.5 million in March 2022. More resources are likely to be added to the </w:t>
      </w:r>
      <w:r w:rsidR="001B2091">
        <w:rPr>
          <w:rFonts w:ascii="Arial" w:hAnsi="Arial" w:cs="Arial"/>
          <w:sz w:val="20"/>
          <w:szCs w:val="20"/>
          <w:lang w:val="en"/>
        </w:rPr>
        <w:t>Trust Fund</w:t>
      </w:r>
      <w:r w:rsidRPr="006D6CEC">
        <w:rPr>
          <w:rFonts w:ascii="Arial" w:hAnsi="Arial" w:cs="Arial"/>
          <w:sz w:val="20"/>
          <w:szCs w:val="20"/>
          <w:lang w:val="en"/>
        </w:rPr>
        <w:t xml:space="preserve"> in succeeding years, depending on results achieved and implementation progress. The </w:t>
      </w:r>
      <w:r w:rsidR="001B2091">
        <w:rPr>
          <w:rFonts w:ascii="Arial" w:hAnsi="Arial" w:cs="Arial"/>
          <w:sz w:val="20"/>
          <w:szCs w:val="20"/>
          <w:lang w:val="en"/>
        </w:rPr>
        <w:t>Trust Fund</w:t>
      </w:r>
      <w:r w:rsidRPr="006D6CEC">
        <w:rPr>
          <w:rFonts w:ascii="Arial" w:hAnsi="Arial" w:cs="Arial"/>
          <w:sz w:val="20"/>
          <w:szCs w:val="20"/>
          <w:lang w:val="en"/>
        </w:rPr>
        <w:t xml:space="preserve"> commenced operations in March 2019, with the expectation that all funds would be disbursed in five years or by June 30, 2024. </w:t>
      </w:r>
    </w:p>
    <w:p w14:paraId="0CD5F512" w14:textId="77777777" w:rsidR="006D6CEC" w:rsidRPr="006D6CEC" w:rsidRDefault="006D6CEC" w:rsidP="006D6CEC">
      <w:pPr>
        <w:rPr>
          <w:rFonts w:ascii="Arial" w:hAnsi="Arial" w:cs="Arial"/>
          <w:b/>
          <w:bCs/>
          <w:sz w:val="20"/>
          <w:szCs w:val="20"/>
          <w:lang w:val="en"/>
        </w:rPr>
      </w:pPr>
    </w:p>
    <w:p w14:paraId="072767C5" w14:textId="77777777" w:rsidR="006D6CEC" w:rsidRPr="006D6CEC" w:rsidRDefault="006D6CEC" w:rsidP="00C64AD4">
      <w:pPr>
        <w:numPr>
          <w:ilvl w:val="0"/>
          <w:numId w:val="30"/>
        </w:numPr>
        <w:rPr>
          <w:rFonts w:ascii="Arial" w:hAnsi="Arial" w:cs="Arial"/>
          <w:b/>
          <w:bCs/>
          <w:sz w:val="20"/>
          <w:szCs w:val="20"/>
          <w:lang w:val="en"/>
        </w:rPr>
      </w:pPr>
      <w:r w:rsidRPr="006D6CEC">
        <w:rPr>
          <w:rFonts w:ascii="Arial" w:hAnsi="Arial" w:cs="Arial"/>
          <w:b/>
          <w:bCs/>
          <w:sz w:val="20"/>
          <w:szCs w:val="20"/>
          <w:lang w:val="en"/>
        </w:rPr>
        <w:t>Development Objective</w:t>
      </w:r>
    </w:p>
    <w:p w14:paraId="0DC494D6" w14:textId="4CFBF43D" w:rsidR="006D6CEC" w:rsidRPr="006D6CEC" w:rsidRDefault="006D6CEC" w:rsidP="00C64AD4">
      <w:pPr>
        <w:numPr>
          <w:ilvl w:val="1"/>
          <w:numId w:val="32"/>
        </w:numPr>
        <w:rPr>
          <w:rFonts w:ascii="Arial" w:hAnsi="Arial" w:cs="Arial"/>
          <w:b/>
          <w:bCs/>
          <w:sz w:val="20"/>
          <w:szCs w:val="20"/>
          <w:lang w:val="en"/>
        </w:rPr>
      </w:pPr>
      <w:r w:rsidRPr="006D6CEC">
        <w:rPr>
          <w:rFonts w:ascii="Arial" w:hAnsi="Arial" w:cs="Arial"/>
          <w:sz w:val="20"/>
          <w:szCs w:val="20"/>
          <w:lang w:val="en"/>
        </w:rPr>
        <w:t xml:space="preserve">Under the AMPED umbrella, the objective of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is to facilitate knowledge exchange and assist the GOP’s strategic priorities for the design and implementation of policy reforms and programs, as reflected in the Philippine Development Plan and </w:t>
      </w:r>
      <w:proofErr w:type="spellStart"/>
      <w:r w:rsidRPr="006D6CEC">
        <w:rPr>
          <w:rFonts w:ascii="Arial" w:hAnsi="Arial" w:cs="Arial"/>
          <w:sz w:val="20"/>
          <w:szCs w:val="20"/>
          <w:lang w:val="en"/>
        </w:rPr>
        <w:t>Am</w:t>
      </w:r>
      <w:r w:rsidR="00CF52C4">
        <w:rPr>
          <w:rFonts w:ascii="Arial" w:hAnsi="Arial" w:cs="Arial"/>
          <w:sz w:val="20"/>
          <w:szCs w:val="20"/>
          <w:lang w:val="en"/>
        </w:rPr>
        <w:t>B</w:t>
      </w:r>
      <w:r w:rsidRPr="006D6CEC">
        <w:rPr>
          <w:rFonts w:ascii="Arial" w:hAnsi="Arial" w:cs="Arial"/>
          <w:sz w:val="20"/>
          <w:szCs w:val="20"/>
          <w:lang w:val="en"/>
        </w:rPr>
        <w:t>isyon</w:t>
      </w:r>
      <w:proofErr w:type="spellEnd"/>
      <w:r w:rsidRPr="006D6CEC">
        <w:rPr>
          <w:rFonts w:ascii="Arial" w:hAnsi="Arial" w:cs="Arial"/>
          <w:sz w:val="20"/>
          <w:szCs w:val="20"/>
          <w:lang w:val="en"/>
        </w:rPr>
        <w:t xml:space="preserve"> Natin 2040.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is designed to be flexible to respond to emerging needs, and as policy priorities evolve over time, including during changeovers in administration, and during crises, such as during the COVID-19 pandemic.</w:t>
      </w:r>
    </w:p>
    <w:p w14:paraId="498E85EC" w14:textId="77777777" w:rsidR="006D6CEC" w:rsidRPr="006D6CEC" w:rsidRDefault="006D6CEC" w:rsidP="006D6CEC">
      <w:pPr>
        <w:rPr>
          <w:rFonts w:ascii="Arial" w:hAnsi="Arial" w:cs="Arial"/>
          <w:b/>
          <w:bCs/>
          <w:sz w:val="20"/>
          <w:szCs w:val="20"/>
          <w:lang w:val="en"/>
        </w:rPr>
      </w:pPr>
    </w:p>
    <w:p w14:paraId="7BB480B4" w14:textId="77777777" w:rsidR="006D6CEC" w:rsidRPr="006D6CEC" w:rsidRDefault="006D6CEC" w:rsidP="00C64AD4">
      <w:pPr>
        <w:numPr>
          <w:ilvl w:val="0"/>
          <w:numId w:val="30"/>
        </w:numPr>
        <w:rPr>
          <w:rFonts w:ascii="Arial" w:hAnsi="Arial" w:cs="Arial"/>
          <w:b/>
          <w:bCs/>
          <w:sz w:val="20"/>
          <w:szCs w:val="20"/>
          <w:lang w:val="en"/>
        </w:rPr>
      </w:pPr>
      <w:r w:rsidRPr="006D6CEC">
        <w:rPr>
          <w:rFonts w:ascii="Arial" w:hAnsi="Arial" w:cs="Arial"/>
          <w:b/>
          <w:bCs/>
          <w:sz w:val="20"/>
          <w:szCs w:val="20"/>
          <w:lang w:val="en"/>
        </w:rPr>
        <w:t xml:space="preserve">Governance Structure </w:t>
      </w:r>
    </w:p>
    <w:p w14:paraId="56BA6EA7" w14:textId="399A4A4E" w:rsidR="006D6CEC" w:rsidRPr="006D6CEC" w:rsidRDefault="006D6CEC" w:rsidP="00C64AD4">
      <w:pPr>
        <w:numPr>
          <w:ilvl w:val="1"/>
          <w:numId w:val="30"/>
        </w:numPr>
        <w:rPr>
          <w:rFonts w:ascii="Arial" w:hAnsi="Arial" w:cs="Arial"/>
          <w:b/>
          <w:bCs/>
          <w:sz w:val="20"/>
          <w:szCs w:val="20"/>
          <w:lang w:val="en"/>
        </w:rPr>
      </w:pPr>
      <w:r w:rsidRPr="006D6CEC">
        <w:rPr>
          <w:rFonts w:ascii="Arial" w:hAnsi="Arial" w:cs="Arial"/>
          <w:sz w:val="20"/>
          <w:szCs w:val="20"/>
          <w:lang w:val="en"/>
        </w:rPr>
        <w:t xml:space="preserve">The Steering Committee is the policy and decision-making body for the program of activities supported by the </w:t>
      </w:r>
      <w:r w:rsidR="001B2091">
        <w:rPr>
          <w:rFonts w:ascii="Arial" w:hAnsi="Arial" w:cs="Arial"/>
          <w:sz w:val="20"/>
          <w:szCs w:val="20"/>
          <w:lang w:val="en"/>
        </w:rPr>
        <w:t>Trust Fund</w:t>
      </w:r>
      <w:r w:rsidRPr="006D6CEC">
        <w:rPr>
          <w:rFonts w:ascii="Arial" w:hAnsi="Arial" w:cs="Arial"/>
          <w:sz w:val="20"/>
          <w:szCs w:val="20"/>
          <w:lang w:val="en"/>
        </w:rPr>
        <w:t xml:space="preserve">. The Steering Committee makes the overall strategic decisions for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The Operations Committee, on the other </w:t>
      </w:r>
      <w:r w:rsidRPr="006D6CEC">
        <w:rPr>
          <w:rFonts w:ascii="Arial" w:hAnsi="Arial" w:cs="Arial"/>
          <w:sz w:val="20"/>
          <w:szCs w:val="20"/>
          <w:lang w:val="en"/>
        </w:rPr>
        <w:lastRenderedPageBreak/>
        <w:t xml:space="preserve">hand, supports the Steering Committee by overseeing the progress of </w:t>
      </w:r>
      <w:r w:rsidR="007628AF">
        <w:rPr>
          <w:rFonts w:ascii="Arial" w:hAnsi="Arial" w:cs="Arial"/>
          <w:sz w:val="20"/>
          <w:szCs w:val="20"/>
          <w:lang w:val="en"/>
        </w:rPr>
        <w:t>AGAP</w:t>
      </w:r>
      <w:r w:rsidRPr="006D6CEC">
        <w:rPr>
          <w:rFonts w:ascii="Arial" w:hAnsi="Arial" w:cs="Arial"/>
          <w:sz w:val="20"/>
          <w:szCs w:val="20"/>
          <w:lang w:val="en"/>
        </w:rPr>
        <w:t xml:space="preserve">-funded activities and resolving implementation issues as they arise. </w:t>
      </w:r>
    </w:p>
    <w:p w14:paraId="4933E0D9" w14:textId="71D239E9" w:rsidR="006D6CEC" w:rsidRPr="006D6CEC" w:rsidRDefault="006D6CEC" w:rsidP="00C64AD4">
      <w:pPr>
        <w:numPr>
          <w:ilvl w:val="1"/>
          <w:numId w:val="30"/>
        </w:numPr>
        <w:rPr>
          <w:rFonts w:ascii="Arial" w:hAnsi="Arial" w:cs="Arial"/>
          <w:b/>
          <w:bCs/>
          <w:sz w:val="20"/>
          <w:szCs w:val="20"/>
          <w:lang w:val="en"/>
        </w:rPr>
      </w:pPr>
      <w:r w:rsidRPr="006D6CEC">
        <w:rPr>
          <w:rFonts w:ascii="Arial" w:hAnsi="Arial" w:cs="Arial"/>
          <w:sz w:val="20"/>
          <w:szCs w:val="20"/>
          <w:lang w:val="en"/>
        </w:rPr>
        <w:t xml:space="preserve">The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Trust Fund Manager in the World Bank is responsible for the administration of the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portfolio as outlined in the Administration Arrangement and for providing secretariat support to the Steering Committee and Operations Committee. </w:t>
      </w:r>
    </w:p>
    <w:p w14:paraId="6645B90D" w14:textId="77777777" w:rsidR="006D6CEC" w:rsidRPr="006C2529" w:rsidRDefault="006D6CEC" w:rsidP="00C64AD4">
      <w:pPr>
        <w:numPr>
          <w:ilvl w:val="0"/>
          <w:numId w:val="30"/>
        </w:numPr>
        <w:rPr>
          <w:rFonts w:ascii="Arial" w:hAnsi="Arial" w:cs="Arial"/>
          <w:b/>
          <w:bCs/>
          <w:sz w:val="20"/>
          <w:szCs w:val="20"/>
          <w:lang w:val="en"/>
        </w:rPr>
      </w:pPr>
      <w:r w:rsidRPr="006C2529">
        <w:rPr>
          <w:rFonts w:ascii="Arial" w:hAnsi="Arial" w:cs="Arial"/>
          <w:b/>
          <w:bCs/>
          <w:sz w:val="20"/>
          <w:szCs w:val="20"/>
          <w:lang w:val="en"/>
        </w:rPr>
        <w:t>Implementation Arrangements</w:t>
      </w:r>
    </w:p>
    <w:p w14:paraId="1BD907DC" w14:textId="31301CAF" w:rsidR="006D6CEC" w:rsidRPr="006D6CEC" w:rsidRDefault="007628AF" w:rsidP="00C64AD4">
      <w:pPr>
        <w:numPr>
          <w:ilvl w:val="0"/>
          <w:numId w:val="29"/>
        </w:numPr>
        <w:rPr>
          <w:rFonts w:ascii="Arial" w:hAnsi="Arial" w:cs="Arial"/>
          <w:sz w:val="20"/>
          <w:szCs w:val="20"/>
          <w:lang w:val="en"/>
        </w:rPr>
      </w:pPr>
      <w:proofErr w:type="spellStart"/>
      <w:r>
        <w:rPr>
          <w:rFonts w:ascii="Arial" w:hAnsi="Arial" w:cs="Arial"/>
          <w:sz w:val="20"/>
          <w:szCs w:val="20"/>
          <w:lang w:val="en"/>
        </w:rPr>
        <w:t>AGaP</w:t>
      </w:r>
      <w:proofErr w:type="spellEnd"/>
      <w:r w:rsidR="006D6CEC" w:rsidRPr="006D6CEC">
        <w:rPr>
          <w:rFonts w:ascii="Arial" w:hAnsi="Arial" w:cs="Arial"/>
          <w:sz w:val="20"/>
          <w:szCs w:val="20"/>
          <w:lang w:val="en"/>
        </w:rPr>
        <w:t xml:space="preserve"> grants can be executed by World Bank task teams, Philippine Government agencies or other third-party recipients, although all </w:t>
      </w:r>
      <w:proofErr w:type="spellStart"/>
      <w:r>
        <w:rPr>
          <w:rFonts w:ascii="Arial" w:hAnsi="Arial" w:cs="Arial"/>
          <w:sz w:val="20"/>
          <w:szCs w:val="20"/>
          <w:lang w:val="en"/>
        </w:rPr>
        <w:t>AGaP</w:t>
      </w:r>
      <w:proofErr w:type="spellEnd"/>
      <w:r w:rsidR="006D6CEC" w:rsidRPr="006D6CEC">
        <w:rPr>
          <w:rFonts w:ascii="Arial" w:hAnsi="Arial" w:cs="Arial"/>
          <w:sz w:val="20"/>
          <w:szCs w:val="20"/>
          <w:lang w:val="en"/>
        </w:rPr>
        <w:t xml:space="preserve"> grants approved have been executed by the World Bank. </w:t>
      </w:r>
    </w:p>
    <w:p w14:paraId="700F381E" w14:textId="3AB7F23E" w:rsidR="006D6CEC" w:rsidRPr="006D6CEC" w:rsidRDefault="006D6CEC" w:rsidP="00C64AD4">
      <w:pPr>
        <w:numPr>
          <w:ilvl w:val="0"/>
          <w:numId w:val="29"/>
        </w:numPr>
        <w:rPr>
          <w:rFonts w:ascii="Arial" w:hAnsi="Arial" w:cs="Arial"/>
          <w:sz w:val="20"/>
          <w:szCs w:val="20"/>
          <w:lang w:val="en"/>
        </w:rPr>
      </w:pPr>
      <w:r w:rsidRPr="006D6CEC">
        <w:rPr>
          <w:rFonts w:ascii="Arial" w:hAnsi="Arial" w:cs="Arial"/>
          <w:sz w:val="20"/>
          <w:szCs w:val="20"/>
          <w:lang w:val="en"/>
        </w:rPr>
        <w:t>The World Bank’s standard due diligence and quality assurance procedures are applied for each grant funded activity</w:t>
      </w:r>
      <w:r w:rsidR="006855F3" w:rsidRPr="006D6CEC">
        <w:rPr>
          <w:rFonts w:ascii="Arial" w:hAnsi="Arial" w:cs="Arial"/>
          <w:sz w:val="20"/>
          <w:szCs w:val="20"/>
          <w:lang w:val="en"/>
        </w:rPr>
        <w:t xml:space="preserve">. </w:t>
      </w:r>
      <w:r w:rsidRPr="006D6CEC">
        <w:rPr>
          <w:rFonts w:ascii="Arial" w:hAnsi="Arial" w:cs="Arial"/>
          <w:sz w:val="20"/>
          <w:szCs w:val="20"/>
          <w:lang w:val="en"/>
        </w:rPr>
        <w:t xml:space="preserve">Individual World Bank task team leaders are assigned to manage each grant funded activity and collaborate closely with counterparts in the Philippine Government and in DFAT. </w:t>
      </w:r>
    </w:p>
    <w:p w14:paraId="12E8D5C1" w14:textId="77777777" w:rsidR="006D6CEC" w:rsidRPr="006D6CEC" w:rsidRDefault="006D6CEC" w:rsidP="006D6CEC">
      <w:pPr>
        <w:rPr>
          <w:rFonts w:ascii="Arial" w:hAnsi="Arial" w:cs="Arial"/>
          <w:b/>
          <w:bCs/>
          <w:sz w:val="20"/>
          <w:szCs w:val="20"/>
          <w:lang w:val="en"/>
        </w:rPr>
      </w:pPr>
    </w:p>
    <w:p w14:paraId="52E91020" w14:textId="7816758C" w:rsidR="006D6CEC" w:rsidRPr="006D6CEC" w:rsidRDefault="006D6CEC" w:rsidP="006D6CEC">
      <w:pPr>
        <w:rPr>
          <w:rFonts w:ascii="Arial" w:hAnsi="Arial" w:cs="Arial"/>
          <w:b/>
          <w:bCs/>
          <w:sz w:val="20"/>
          <w:szCs w:val="20"/>
          <w:lang w:val="en"/>
        </w:rPr>
      </w:pPr>
      <w:r w:rsidRPr="006D6CEC">
        <w:rPr>
          <w:rFonts w:ascii="Arial" w:hAnsi="Arial" w:cs="Arial"/>
          <w:b/>
          <w:bCs/>
          <w:sz w:val="20"/>
          <w:szCs w:val="20"/>
          <w:lang w:val="en"/>
        </w:rPr>
        <w:t xml:space="preserve">2. Rationale and Objectives </w:t>
      </w:r>
    </w:p>
    <w:p w14:paraId="2B348C7D" w14:textId="1D433D35" w:rsidR="006D6CEC" w:rsidRPr="005655A6" w:rsidRDefault="006D6CEC" w:rsidP="00C64AD4">
      <w:pPr>
        <w:numPr>
          <w:ilvl w:val="0"/>
          <w:numId w:val="33"/>
        </w:numPr>
        <w:rPr>
          <w:rFonts w:ascii="Arial" w:hAnsi="Arial" w:cs="Arial"/>
          <w:sz w:val="20"/>
          <w:szCs w:val="20"/>
          <w:lang w:val="en"/>
        </w:rPr>
      </w:pPr>
      <w:r w:rsidRPr="006D6CEC">
        <w:rPr>
          <w:rFonts w:ascii="Arial" w:hAnsi="Arial" w:cs="Arial"/>
          <w:sz w:val="20"/>
          <w:szCs w:val="20"/>
          <w:lang w:val="en"/>
        </w:rPr>
        <w:t xml:space="preserve">The rationale for the Midterm Review of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is to assess the </w:t>
      </w:r>
      <w:r w:rsidR="001B2091">
        <w:rPr>
          <w:rFonts w:ascii="Arial" w:hAnsi="Arial" w:cs="Arial"/>
          <w:sz w:val="20"/>
          <w:szCs w:val="20"/>
          <w:lang w:val="en"/>
        </w:rPr>
        <w:t>Trust Fund</w:t>
      </w:r>
      <w:r w:rsidRPr="006D6CEC">
        <w:rPr>
          <w:rFonts w:ascii="Arial" w:hAnsi="Arial" w:cs="Arial"/>
          <w:sz w:val="20"/>
          <w:szCs w:val="20"/>
          <w:lang w:val="en"/>
        </w:rPr>
        <w:t>’s performance and gauge its effectiveness and relevance</w:t>
      </w:r>
      <w:r w:rsidR="006855F3" w:rsidRPr="006D6CEC">
        <w:rPr>
          <w:rFonts w:ascii="Arial" w:hAnsi="Arial" w:cs="Arial"/>
          <w:sz w:val="20"/>
          <w:szCs w:val="20"/>
          <w:lang w:val="en"/>
        </w:rPr>
        <w:t xml:space="preserve">. </w:t>
      </w:r>
      <w:r w:rsidRPr="006D6CEC">
        <w:rPr>
          <w:rFonts w:ascii="Arial" w:hAnsi="Arial" w:cs="Arial"/>
          <w:sz w:val="20"/>
          <w:szCs w:val="20"/>
          <w:lang w:val="en"/>
        </w:rPr>
        <w:t xml:space="preserve">It will assess whether the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Trust Fund has fulfilled its mandate, with a dual focus on accountability and learning, as well as the effectiveness of World Bank and DFAT’s partnership under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This will be based on the OECD-defined evaluation criteria of efficiency, </w:t>
      </w:r>
      <w:r w:rsidR="003B3DC9" w:rsidRPr="006D6CEC">
        <w:rPr>
          <w:rFonts w:ascii="Arial" w:hAnsi="Arial" w:cs="Arial"/>
          <w:sz w:val="20"/>
          <w:szCs w:val="20"/>
          <w:lang w:val="en"/>
        </w:rPr>
        <w:t>effectiveness,</w:t>
      </w:r>
      <w:r w:rsidRPr="006D6CEC">
        <w:rPr>
          <w:rFonts w:ascii="Arial" w:hAnsi="Arial" w:cs="Arial"/>
          <w:sz w:val="20"/>
          <w:szCs w:val="20"/>
          <w:lang w:val="en"/>
        </w:rPr>
        <w:t xml:space="preserve"> and sustainability</w:t>
      </w:r>
      <w:r w:rsidRPr="006D6CEC">
        <w:rPr>
          <w:rFonts w:ascii="Arial" w:hAnsi="Arial" w:cs="Arial"/>
          <w:sz w:val="20"/>
          <w:szCs w:val="20"/>
          <w:vertAlign w:val="superscript"/>
          <w:lang w:val="en"/>
        </w:rPr>
        <w:footnoteReference w:id="37"/>
      </w:r>
      <w:r w:rsidRPr="006D6CEC">
        <w:rPr>
          <w:rFonts w:ascii="Arial" w:hAnsi="Arial" w:cs="Arial"/>
          <w:sz w:val="20"/>
          <w:szCs w:val="20"/>
          <w:lang w:val="en"/>
        </w:rPr>
        <w:t>, with particular emphasis on Gender Equality, Disability and Social Inclusion (GEDSI).</w:t>
      </w:r>
    </w:p>
    <w:p w14:paraId="4CC7E9E9" w14:textId="378FDE84" w:rsidR="006D6CEC" w:rsidRPr="005655A6" w:rsidRDefault="006D6CEC" w:rsidP="00C64AD4">
      <w:pPr>
        <w:numPr>
          <w:ilvl w:val="0"/>
          <w:numId w:val="33"/>
        </w:numPr>
        <w:rPr>
          <w:rFonts w:ascii="Arial" w:hAnsi="Arial" w:cs="Arial"/>
          <w:sz w:val="20"/>
          <w:szCs w:val="20"/>
          <w:lang w:val="en"/>
        </w:rPr>
      </w:pPr>
      <w:r w:rsidRPr="006D6CEC">
        <w:rPr>
          <w:rFonts w:ascii="Arial" w:hAnsi="Arial" w:cs="Arial"/>
          <w:sz w:val="20"/>
          <w:szCs w:val="20"/>
          <w:lang w:val="en"/>
        </w:rPr>
        <w:t xml:space="preserve">The outcomes of the review will help inform the World Bank and DFAT on the future direction of the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w:t>
      </w:r>
      <w:r w:rsidR="001B2091">
        <w:rPr>
          <w:rFonts w:ascii="Arial" w:hAnsi="Arial" w:cs="Arial"/>
          <w:sz w:val="20"/>
          <w:szCs w:val="20"/>
          <w:lang w:val="en"/>
        </w:rPr>
        <w:t>Trust Fund</w:t>
      </w:r>
      <w:r w:rsidRPr="006D6CEC">
        <w:rPr>
          <w:rFonts w:ascii="Arial" w:hAnsi="Arial" w:cs="Arial"/>
          <w:sz w:val="20"/>
          <w:szCs w:val="20"/>
          <w:lang w:val="en"/>
        </w:rPr>
        <w:t xml:space="preserve"> including possible adjustments to the results framework, areas of focus and/or the activities to be supported</w:t>
      </w:r>
      <w:r w:rsidR="003B3DC9" w:rsidRPr="006D6CEC">
        <w:rPr>
          <w:rFonts w:ascii="Arial" w:hAnsi="Arial" w:cs="Arial"/>
          <w:sz w:val="20"/>
          <w:szCs w:val="20"/>
          <w:lang w:val="en"/>
        </w:rPr>
        <w:t xml:space="preserve">. </w:t>
      </w:r>
      <w:r w:rsidRPr="006D6CEC">
        <w:rPr>
          <w:rFonts w:ascii="Arial" w:hAnsi="Arial" w:cs="Arial"/>
          <w:sz w:val="20"/>
          <w:szCs w:val="20"/>
          <w:lang w:val="en"/>
        </w:rPr>
        <w:t>This will support a strategic and responsive alignment to Philippine government priorities</w:t>
      </w:r>
      <w:r w:rsidR="002C3C08" w:rsidRPr="006D6CEC">
        <w:rPr>
          <w:rFonts w:ascii="Arial" w:hAnsi="Arial" w:cs="Arial"/>
          <w:sz w:val="20"/>
          <w:szCs w:val="20"/>
          <w:lang w:val="en"/>
        </w:rPr>
        <w:t xml:space="preserve">. </w:t>
      </w:r>
    </w:p>
    <w:p w14:paraId="4A898056" w14:textId="69FB7896" w:rsidR="006D6CEC" w:rsidRPr="005655A6" w:rsidRDefault="006D6CEC" w:rsidP="00C64AD4">
      <w:pPr>
        <w:numPr>
          <w:ilvl w:val="0"/>
          <w:numId w:val="33"/>
        </w:numPr>
        <w:rPr>
          <w:rFonts w:ascii="Arial" w:hAnsi="Arial" w:cs="Arial"/>
          <w:sz w:val="20"/>
          <w:szCs w:val="20"/>
          <w:lang w:val="en"/>
        </w:rPr>
      </w:pPr>
      <w:r w:rsidRPr="006D6CEC">
        <w:rPr>
          <w:rFonts w:ascii="Arial" w:hAnsi="Arial" w:cs="Arial"/>
          <w:sz w:val="20"/>
          <w:szCs w:val="20"/>
          <w:lang w:val="en"/>
        </w:rPr>
        <w:t xml:space="preserve">The review will feed into DFAT’s annual progress reviews of the AMPED investment, which will be conducted in the second half of 2022 for DFAT. It will also be published as part of DFAT’s 2022 Development Aid Evaluation Plan. Key success stories drawn from the review will also provide useful material for joint communications and media, which in turn will amplify the </w:t>
      </w:r>
      <w:r w:rsidR="001B2091">
        <w:rPr>
          <w:rFonts w:ascii="Arial" w:hAnsi="Arial" w:cs="Arial"/>
          <w:sz w:val="20"/>
          <w:szCs w:val="20"/>
          <w:lang w:val="en"/>
        </w:rPr>
        <w:t>Trust Fund</w:t>
      </w:r>
      <w:r w:rsidRPr="006D6CEC">
        <w:rPr>
          <w:rFonts w:ascii="Arial" w:hAnsi="Arial" w:cs="Arial"/>
          <w:sz w:val="20"/>
          <w:szCs w:val="20"/>
          <w:lang w:val="en"/>
        </w:rPr>
        <w:t>’s success.</w:t>
      </w:r>
    </w:p>
    <w:p w14:paraId="180D519D" w14:textId="77777777" w:rsidR="006D6CEC" w:rsidRPr="006D6CEC" w:rsidRDefault="006D6CEC" w:rsidP="00C64AD4">
      <w:pPr>
        <w:numPr>
          <w:ilvl w:val="0"/>
          <w:numId w:val="33"/>
        </w:numPr>
        <w:rPr>
          <w:rFonts w:ascii="Arial" w:hAnsi="Arial" w:cs="Arial"/>
          <w:sz w:val="20"/>
          <w:szCs w:val="20"/>
          <w:lang w:val="en"/>
        </w:rPr>
      </w:pPr>
      <w:r w:rsidRPr="006D6CEC">
        <w:rPr>
          <w:rFonts w:ascii="Arial" w:hAnsi="Arial" w:cs="Arial"/>
          <w:sz w:val="20"/>
          <w:szCs w:val="20"/>
          <w:lang w:val="en"/>
        </w:rPr>
        <w:t xml:space="preserve">The objectives of the Midterm Review are to: </w:t>
      </w:r>
    </w:p>
    <w:p w14:paraId="5200BCDD" w14:textId="255833A3" w:rsidR="006D6CEC" w:rsidRPr="006D6CEC" w:rsidRDefault="006D6CEC" w:rsidP="00C64AD4">
      <w:pPr>
        <w:numPr>
          <w:ilvl w:val="0"/>
          <w:numId w:val="28"/>
        </w:numPr>
        <w:rPr>
          <w:rFonts w:ascii="Arial" w:hAnsi="Arial" w:cs="Arial"/>
          <w:sz w:val="20"/>
          <w:szCs w:val="20"/>
          <w:lang w:val="en"/>
        </w:rPr>
      </w:pPr>
      <w:r w:rsidRPr="006D6CEC">
        <w:rPr>
          <w:rFonts w:ascii="Arial" w:hAnsi="Arial" w:cs="Arial"/>
          <w:sz w:val="20"/>
          <w:szCs w:val="20"/>
          <w:lang w:val="en"/>
        </w:rPr>
        <w:t xml:space="preserve">Assess the efficiency and effectiveness of the financial and technical inputs provided by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in generating results, including gender and disability inclusion, and how it can be strengthened in the </w:t>
      </w:r>
      <w:proofErr w:type="gramStart"/>
      <w:r w:rsidRPr="006D6CEC">
        <w:rPr>
          <w:rFonts w:ascii="Arial" w:hAnsi="Arial" w:cs="Arial"/>
          <w:sz w:val="20"/>
          <w:szCs w:val="20"/>
          <w:lang w:val="en"/>
        </w:rPr>
        <w:t>future;</w:t>
      </w:r>
      <w:proofErr w:type="gramEnd"/>
      <w:r w:rsidRPr="006D6CEC">
        <w:rPr>
          <w:rFonts w:ascii="Arial" w:hAnsi="Arial" w:cs="Arial"/>
          <w:sz w:val="20"/>
          <w:szCs w:val="20"/>
          <w:lang w:val="en"/>
        </w:rPr>
        <w:t xml:space="preserve"> </w:t>
      </w:r>
    </w:p>
    <w:p w14:paraId="015A5968" w14:textId="43C1CB35" w:rsidR="006D6CEC" w:rsidRPr="006D6CEC" w:rsidRDefault="006D6CEC" w:rsidP="00C64AD4">
      <w:pPr>
        <w:numPr>
          <w:ilvl w:val="0"/>
          <w:numId w:val="28"/>
        </w:numPr>
        <w:rPr>
          <w:rFonts w:ascii="Arial" w:hAnsi="Arial" w:cs="Arial"/>
          <w:sz w:val="20"/>
          <w:szCs w:val="20"/>
          <w:lang w:val="en"/>
        </w:rPr>
      </w:pPr>
      <w:r w:rsidRPr="006D6CEC">
        <w:rPr>
          <w:rFonts w:ascii="Arial" w:hAnsi="Arial" w:cs="Arial"/>
          <w:sz w:val="20"/>
          <w:szCs w:val="20"/>
          <w:lang w:val="en"/>
        </w:rPr>
        <w:t xml:space="preserve">Assess the sustainability of the </w:t>
      </w:r>
      <w:proofErr w:type="spellStart"/>
      <w:r w:rsidR="007628AF">
        <w:rPr>
          <w:rFonts w:ascii="Arial" w:hAnsi="Arial" w:cs="Arial"/>
          <w:sz w:val="20"/>
          <w:szCs w:val="20"/>
          <w:lang w:val="en"/>
        </w:rPr>
        <w:t>AGaP</w:t>
      </w:r>
      <w:r w:rsidRPr="006D6CEC">
        <w:rPr>
          <w:rFonts w:ascii="Arial" w:hAnsi="Arial" w:cs="Arial"/>
          <w:sz w:val="20"/>
          <w:szCs w:val="20"/>
          <w:lang w:val="en"/>
        </w:rPr>
        <w:t>’s</w:t>
      </w:r>
      <w:proofErr w:type="spellEnd"/>
      <w:r w:rsidRPr="006D6CEC">
        <w:rPr>
          <w:rFonts w:ascii="Arial" w:hAnsi="Arial" w:cs="Arial"/>
          <w:sz w:val="20"/>
          <w:szCs w:val="20"/>
          <w:lang w:val="en"/>
        </w:rPr>
        <w:t xml:space="preserve"> outcomes, and how they can be strengthened in the </w:t>
      </w:r>
      <w:proofErr w:type="gramStart"/>
      <w:r w:rsidRPr="006D6CEC">
        <w:rPr>
          <w:rFonts w:ascii="Arial" w:hAnsi="Arial" w:cs="Arial"/>
          <w:sz w:val="20"/>
          <w:szCs w:val="20"/>
          <w:lang w:val="en"/>
        </w:rPr>
        <w:t>future;</w:t>
      </w:r>
      <w:proofErr w:type="gramEnd"/>
    </w:p>
    <w:p w14:paraId="0224AC93" w14:textId="77777777" w:rsidR="006D6CEC" w:rsidRPr="006D6CEC" w:rsidRDefault="006D6CEC" w:rsidP="00C64AD4">
      <w:pPr>
        <w:numPr>
          <w:ilvl w:val="0"/>
          <w:numId w:val="28"/>
        </w:numPr>
        <w:rPr>
          <w:rFonts w:ascii="Arial" w:hAnsi="Arial" w:cs="Arial"/>
          <w:sz w:val="20"/>
          <w:szCs w:val="20"/>
          <w:lang w:val="en"/>
        </w:rPr>
      </w:pPr>
      <w:r w:rsidRPr="006D6CEC">
        <w:rPr>
          <w:rFonts w:ascii="Arial" w:hAnsi="Arial" w:cs="Arial"/>
          <w:sz w:val="20"/>
          <w:szCs w:val="20"/>
          <w:lang w:val="en"/>
        </w:rPr>
        <w:t xml:space="preserve">Identify case studies illustrating good practice and achievements, document lessons </w:t>
      </w:r>
      <w:proofErr w:type="gramStart"/>
      <w:r w:rsidRPr="006D6CEC">
        <w:rPr>
          <w:rFonts w:ascii="Arial" w:hAnsi="Arial" w:cs="Arial"/>
          <w:sz w:val="20"/>
          <w:szCs w:val="20"/>
          <w:lang w:val="en"/>
        </w:rPr>
        <w:t>learned;</w:t>
      </w:r>
      <w:proofErr w:type="gramEnd"/>
    </w:p>
    <w:p w14:paraId="53FD22F3" w14:textId="048573B5" w:rsidR="006D6CEC" w:rsidRPr="006D6CEC" w:rsidRDefault="006D6CEC" w:rsidP="00C64AD4">
      <w:pPr>
        <w:numPr>
          <w:ilvl w:val="0"/>
          <w:numId w:val="28"/>
        </w:numPr>
        <w:rPr>
          <w:rFonts w:ascii="Arial" w:hAnsi="Arial" w:cs="Arial"/>
          <w:sz w:val="20"/>
          <w:szCs w:val="20"/>
          <w:lang w:val="en"/>
        </w:rPr>
      </w:pPr>
      <w:r w:rsidRPr="006D6CEC">
        <w:rPr>
          <w:rFonts w:ascii="Arial" w:hAnsi="Arial" w:cs="Arial"/>
          <w:sz w:val="20"/>
          <w:szCs w:val="20"/>
          <w:lang w:val="en"/>
        </w:rPr>
        <w:t xml:space="preserve">Outline ways in which the partnership could be strengthened to enhance policy influence, </w:t>
      </w:r>
      <w:r w:rsidR="003B3DC9" w:rsidRPr="006D6CEC">
        <w:rPr>
          <w:rFonts w:ascii="Arial" w:hAnsi="Arial" w:cs="Arial"/>
          <w:sz w:val="20"/>
          <w:szCs w:val="20"/>
          <w:lang w:val="en"/>
        </w:rPr>
        <w:t>flexibility,</w:t>
      </w:r>
      <w:r w:rsidRPr="006D6CEC">
        <w:rPr>
          <w:rFonts w:ascii="Arial" w:hAnsi="Arial" w:cs="Arial"/>
          <w:sz w:val="20"/>
          <w:szCs w:val="20"/>
          <w:lang w:val="en"/>
        </w:rPr>
        <w:t xml:space="preserve"> and responsiveness to evolving Philippine government priorities; and</w:t>
      </w:r>
    </w:p>
    <w:p w14:paraId="7C96DECC" w14:textId="7C9D85AB" w:rsidR="006D6CEC" w:rsidRPr="005655A6" w:rsidRDefault="006D6CEC" w:rsidP="00C64AD4">
      <w:pPr>
        <w:numPr>
          <w:ilvl w:val="0"/>
          <w:numId w:val="28"/>
        </w:numPr>
        <w:rPr>
          <w:rFonts w:ascii="Arial" w:hAnsi="Arial" w:cs="Arial"/>
          <w:sz w:val="20"/>
          <w:szCs w:val="20"/>
          <w:lang w:val="en"/>
        </w:rPr>
      </w:pPr>
      <w:r w:rsidRPr="006D6CEC">
        <w:rPr>
          <w:rFonts w:ascii="Arial" w:hAnsi="Arial" w:cs="Arial"/>
          <w:sz w:val="20"/>
          <w:szCs w:val="20"/>
          <w:lang w:val="en"/>
        </w:rPr>
        <w:t xml:space="preserve">Provide recommendations for consideration and action by the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Steering Committee and practitioners in the World Bank and DFAT, especially related to the future of the </w:t>
      </w:r>
      <w:r w:rsidR="001B2091">
        <w:rPr>
          <w:rFonts w:ascii="Arial" w:hAnsi="Arial" w:cs="Arial"/>
          <w:sz w:val="20"/>
          <w:szCs w:val="20"/>
          <w:lang w:val="en"/>
        </w:rPr>
        <w:t>Trust Fund</w:t>
      </w:r>
      <w:r w:rsidRPr="006D6CEC">
        <w:rPr>
          <w:rFonts w:ascii="Arial" w:hAnsi="Arial" w:cs="Arial"/>
          <w:sz w:val="20"/>
          <w:szCs w:val="20"/>
          <w:lang w:val="en"/>
        </w:rPr>
        <w:t>, and the need for future phases of work.</w:t>
      </w:r>
    </w:p>
    <w:p w14:paraId="3D198442" w14:textId="77777777" w:rsidR="006C2529" w:rsidRDefault="006C2529">
      <w:pPr>
        <w:spacing w:before="0"/>
        <w:rPr>
          <w:rFonts w:ascii="Arial" w:hAnsi="Arial" w:cs="Arial"/>
          <w:b/>
          <w:bCs/>
          <w:sz w:val="20"/>
          <w:szCs w:val="20"/>
          <w:lang w:val="en"/>
        </w:rPr>
      </w:pPr>
      <w:r>
        <w:rPr>
          <w:rFonts w:ascii="Arial" w:hAnsi="Arial" w:cs="Arial"/>
          <w:b/>
          <w:bCs/>
          <w:sz w:val="20"/>
          <w:szCs w:val="20"/>
          <w:lang w:val="en"/>
        </w:rPr>
        <w:br w:type="page"/>
      </w:r>
    </w:p>
    <w:p w14:paraId="47972AF3" w14:textId="47810E97" w:rsidR="006D6CEC" w:rsidRPr="005655A6" w:rsidRDefault="006D6CEC" w:rsidP="006D6CEC">
      <w:pPr>
        <w:rPr>
          <w:rFonts w:ascii="Arial" w:hAnsi="Arial" w:cs="Arial"/>
          <w:b/>
          <w:bCs/>
          <w:sz w:val="20"/>
          <w:szCs w:val="20"/>
          <w:lang w:val="en"/>
        </w:rPr>
      </w:pPr>
      <w:r w:rsidRPr="006D6CEC">
        <w:rPr>
          <w:rFonts w:ascii="Arial" w:hAnsi="Arial" w:cs="Arial"/>
          <w:b/>
          <w:bCs/>
          <w:sz w:val="20"/>
          <w:szCs w:val="20"/>
          <w:lang w:val="en"/>
        </w:rPr>
        <w:lastRenderedPageBreak/>
        <w:t>3. Scope of Services</w:t>
      </w:r>
    </w:p>
    <w:p w14:paraId="6F7F3890" w14:textId="421DF405" w:rsidR="006D6CEC" w:rsidRPr="005655A6" w:rsidRDefault="006D6CEC" w:rsidP="00C64AD4">
      <w:pPr>
        <w:numPr>
          <w:ilvl w:val="0"/>
          <w:numId w:val="34"/>
        </w:numPr>
        <w:rPr>
          <w:rFonts w:ascii="Arial" w:hAnsi="Arial" w:cs="Arial"/>
          <w:b/>
          <w:bCs/>
          <w:sz w:val="20"/>
          <w:szCs w:val="20"/>
          <w:lang w:val="en"/>
        </w:rPr>
      </w:pPr>
      <w:r w:rsidRPr="006D6CEC">
        <w:rPr>
          <w:rFonts w:ascii="Arial" w:hAnsi="Arial" w:cs="Arial"/>
          <w:sz w:val="20"/>
          <w:szCs w:val="20"/>
          <w:u w:val="single"/>
          <w:lang w:val="en"/>
        </w:rPr>
        <w:t>Time period</w:t>
      </w:r>
      <w:r w:rsidRPr="006D6CEC">
        <w:rPr>
          <w:rFonts w:ascii="Arial" w:hAnsi="Arial" w:cs="Arial"/>
          <w:sz w:val="20"/>
          <w:szCs w:val="20"/>
          <w:lang w:val="en"/>
        </w:rPr>
        <w:t xml:space="preserve">. The review shall cover all </w:t>
      </w:r>
      <w:proofErr w:type="spellStart"/>
      <w:r w:rsidR="007628AF">
        <w:rPr>
          <w:rFonts w:ascii="Arial" w:hAnsi="Arial" w:cs="Arial"/>
          <w:sz w:val="20"/>
          <w:szCs w:val="20"/>
          <w:lang w:val="en"/>
        </w:rPr>
        <w:t>AGaP</w:t>
      </w:r>
      <w:r w:rsidRPr="006D6CEC">
        <w:rPr>
          <w:rFonts w:ascii="Arial" w:hAnsi="Arial" w:cs="Arial"/>
          <w:sz w:val="20"/>
          <w:szCs w:val="20"/>
          <w:lang w:val="en"/>
        </w:rPr>
        <w:t>’s</w:t>
      </w:r>
      <w:proofErr w:type="spellEnd"/>
      <w:r w:rsidRPr="006D6CEC">
        <w:rPr>
          <w:rFonts w:ascii="Arial" w:hAnsi="Arial" w:cs="Arial"/>
          <w:sz w:val="20"/>
          <w:szCs w:val="20"/>
          <w:lang w:val="en"/>
        </w:rPr>
        <w:t xml:space="preserve"> support to fulfill its mandate during the period from its set-up in March 2019 and through to the end of December 2021.</w:t>
      </w:r>
    </w:p>
    <w:p w14:paraId="5579516E" w14:textId="2AF15788" w:rsidR="006D6CEC" w:rsidRPr="005655A6" w:rsidRDefault="006D6CEC" w:rsidP="00C64AD4">
      <w:pPr>
        <w:numPr>
          <w:ilvl w:val="0"/>
          <w:numId w:val="35"/>
        </w:numPr>
        <w:rPr>
          <w:rFonts w:ascii="Arial" w:hAnsi="Arial" w:cs="Arial"/>
          <w:b/>
          <w:bCs/>
          <w:sz w:val="20"/>
          <w:szCs w:val="20"/>
          <w:lang w:val="en"/>
        </w:rPr>
      </w:pPr>
      <w:r w:rsidRPr="006D6CEC">
        <w:rPr>
          <w:rFonts w:ascii="Arial" w:hAnsi="Arial" w:cs="Arial"/>
          <w:sz w:val="20"/>
          <w:szCs w:val="20"/>
          <w:u w:val="single"/>
          <w:lang w:val="en"/>
        </w:rPr>
        <w:t>Content and Methodology</w:t>
      </w:r>
      <w:r w:rsidRPr="006D6CEC">
        <w:rPr>
          <w:rFonts w:ascii="Arial" w:hAnsi="Arial" w:cs="Arial"/>
          <w:sz w:val="20"/>
          <w:szCs w:val="20"/>
          <w:lang w:val="en"/>
        </w:rPr>
        <w:t xml:space="preserve">. The Midterm Review (MTR) Evaluation Team, composed of two (2) short-term consultants with a Team Leader and a Co-evaluator, shall review the </w:t>
      </w:r>
      <w:r w:rsidR="001B2091">
        <w:rPr>
          <w:rFonts w:ascii="Arial" w:hAnsi="Arial" w:cs="Arial"/>
          <w:sz w:val="20"/>
          <w:szCs w:val="20"/>
          <w:lang w:val="en"/>
        </w:rPr>
        <w:t>Trust Fund</w:t>
      </w:r>
      <w:r w:rsidRPr="006D6CEC">
        <w:rPr>
          <w:rFonts w:ascii="Arial" w:hAnsi="Arial" w:cs="Arial"/>
          <w:sz w:val="20"/>
          <w:szCs w:val="20"/>
          <w:lang w:val="en"/>
        </w:rPr>
        <w:t xml:space="preserve">’s midyear and annual reports, grant proposals, concept notes, and any progress reports from the grants (see </w:t>
      </w:r>
      <w:r w:rsidRPr="006D6CEC">
        <w:rPr>
          <w:rFonts w:ascii="Arial" w:hAnsi="Arial" w:cs="Arial"/>
          <w:sz w:val="20"/>
          <w:szCs w:val="20"/>
          <w:u w:val="single"/>
          <w:lang w:val="en"/>
        </w:rPr>
        <w:t>Annex 2</w:t>
      </w:r>
      <w:r w:rsidRPr="006D6CEC">
        <w:rPr>
          <w:rFonts w:ascii="Arial" w:hAnsi="Arial" w:cs="Arial"/>
          <w:sz w:val="20"/>
          <w:szCs w:val="20"/>
          <w:lang w:val="en"/>
        </w:rPr>
        <w:t xml:space="preserve"> for the specific responsibilities of the Team Leader). </w:t>
      </w:r>
    </w:p>
    <w:p w14:paraId="6BFD7E74" w14:textId="085811FB" w:rsidR="006D6CEC" w:rsidRPr="005655A6" w:rsidRDefault="006D6CEC" w:rsidP="00C64AD4">
      <w:pPr>
        <w:numPr>
          <w:ilvl w:val="0"/>
          <w:numId w:val="34"/>
        </w:numPr>
        <w:rPr>
          <w:rFonts w:ascii="Arial" w:hAnsi="Arial" w:cs="Arial"/>
          <w:b/>
          <w:bCs/>
          <w:sz w:val="20"/>
          <w:szCs w:val="20"/>
          <w:lang w:val="en"/>
        </w:rPr>
      </w:pPr>
      <w:r w:rsidRPr="006D6CEC">
        <w:rPr>
          <w:rFonts w:ascii="Arial" w:hAnsi="Arial" w:cs="Arial"/>
          <w:sz w:val="20"/>
          <w:szCs w:val="20"/>
          <w:lang w:val="en"/>
        </w:rPr>
        <w:t xml:space="preserve">As part of the Inception Report, the MTR Evaluation Team is expected to provide an evaluation plan that responds to the proposed evaluation questions in Annex 4 and on how they intend to address the implications of current limitations in the conduct of the review. The MTR Evaluation Team is also tasked to prepare questionnaires for the key interlocutors, refine the proposed evaluation questions in Annex 4, and consult/interview World Bank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grant recipient teams and relevant DFAT staff to elicit evidence that can inform the review. The MTR Evaluation Team should aim to get a sense of any results achieved beyond the output level, and sustainability including any unintended effects. The review shall also aim to explore options for the future, based both on retrospective findings and independent data collection and perspectives for </w:t>
      </w:r>
      <w:proofErr w:type="spellStart"/>
      <w:r w:rsidR="007628AF">
        <w:rPr>
          <w:rFonts w:ascii="Arial" w:hAnsi="Arial" w:cs="Arial"/>
          <w:sz w:val="20"/>
          <w:szCs w:val="20"/>
          <w:lang w:val="en"/>
        </w:rPr>
        <w:t>AGaP</w:t>
      </w:r>
      <w:r w:rsidRPr="006D6CEC">
        <w:rPr>
          <w:rFonts w:ascii="Arial" w:hAnsi="Arial" w:cs="Arial"/>
          <w:sz w:val="20"/>
          <w:szCs w:val="20"/>
          <w:lang w:val="en"/>
        </w:rPr>
        <w:t>’s</w:t>
      </w:r>
      <w:proofErr w:type="spellEnd"/>
      <w:r w:rsidRPr="006D6CEC">
        <w:rPr>
          <w:rFonts w:ascii="Arial" w:hAnsi="Arial" w:cs="Arial"/>
          <w:sz w:val="20"/>
          <w:szCs w:val="20"/>
          <w:lang w:val="en"/>
        </w:rPr>
        <w:t xml:space="preserve"> forward-looking focus. </w:t>
      </w:r>
    </w:p>
    <w:p w14:paraId="657EFA99" w14:textId="34A951F2" w:rsidR="006D6CEC" w:rsidRPr="005655A6" w:rsidRDefault="006D6CEC" w:rsidP="00C64AD4">
      <w:pPr>
        <w:numPr>
          <w:ilvl w:val="0"/>
          <w:numId w:val="34"/>
        </w:numPr>
        <w:rPr>
          <w:rFonts w:ascii="Arial" w:hAnsi="Arial" w:cs="Arial"/>
          <w:b/>
          <w:bCs/>
          <w:sz w:val="20"/>
          <w:szCs w:val="20"/>
          <w:lang w:val="en"/>
        </w:rPr>
      </w:pPr>
      <w:r w:rsidRPr="006D6CEC">
        <w:rPr>
          <w:rFonts w:ascii="Arial" w:hAnsi="Arial" w:cs="Arial"/>
          <w:sz w:val="20"/>
          <w:szCs w:val="20"/>
          <w:lang w:val="en"/>
        </w:rPr>
        <w:t xml:space="preserve">The informants shall include a broad range of key representatives in the World Bank including senior management,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secretariat,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grant task team leaders (TTL) and members, and government counterparts from both oversight and implementing agencies directly involved in the programs and projects supported by the grants. Consultations and interviews are expected to be undertaken primarily through virtual means.</w:t>
      </w:r>
    </w:p>
    <w:p w14:paraId="4062A26F" w14:textId="20B192D3" w:rsidR="006D6CEC" w:rsidRPr="005655A6" w:rsidRDefault="006D6CEC" w:rsidP="00C64AD4">
      <w:pPr>
        <w:numPr>
          <w:ilvl w:val="0"/>
          <w:numId w:val="34"/>
        </w:numPr>
        <w:rPr>
          <w:rFonts w:ascii="Arial" w:hAnsi="Arial" w:cs="Arial"/>
          <w:b/>
          <w:bCs/>
          <w:sz w:val="20"/>
          <w:szCs w:val="20"/>
          <w:lang w:val="en"/>
        </w:rPr>
      </w:pPr>
      <w:r w:rsidRPr="006D6CEC">
        <w:rPr>
          <w:rFonts w:ascii="Arial" w:hAnsi="Arial" w:cs="Arial"/>
          <w:sz w:val="20"/>
          <w:szCs w:val="20"/>
          <w:lang w:val="en"/>
        </w:rPr>
        <w:t xml:space="preserve">A mix of qualitative and quantitative methodologies should be used. Information shall be triangulated and validated, and data quality shall be assessed and described in a transparent manner (this includes assessing strengths and weaknesses of sources of information). Assessments shall be made on factual findings, and findings shall be based on reliable and credible data and observations. </w:t>
      </w:r>
    </w:p>
    <w:p w14:paraId="22FE5F28" w14:textId="5EB992D8" w:rsidR="006D6CEC" w:rsidRPr="006D6CEC" w:rsidRDefault="006D6CEC" w:rsidP="00C64AD4">
      <w:pPr>
        <w:numPr>
          <w:ilvl w:val="0"/>
          <w:numId w:val="34"/>
        </w:numPr>
        <w:rPr>
          <w:rFonts w:ascii="Arial" w:hAnsi="Arial" w:cs="Arial"/>
          <w:b/>
          <w:bCs/>
          <w:sz w:val="20"/>
          <w:szCs w:val="20"/>
          <w:lang w:val="en"/>
        </w:rPr>
      </w:pPr>
      <w:r w:rsidRPr="006D6CEC">
        <w:rPr>
          <w:rFonts w:ascii="Arial" w:hAnsi="Arial" w:cs="Arial"/>
          <w:sz w:val="20"/>
          <w:szCs w:val="20"/>
          <w:lang w:val="en"/>
        </w:rPr>
        <w:t xml:space="preserve">Assessments shall include gender, disability, poverty reduction and other equity considerations as cross-cutting issues in the analytical approaches of proposed methodologies. The review shall be based on the results framework with objective hierarchy, explicitly linking inputs, activities, and results, and identifying factors influencing successful outputs and outcomes within a range of contexts and factors that inhibit achievement of stated objectives. This will provide a framework for assessing the efficiency and effectiveness of the </w:t>
      </w:r>
      <w:proofErr w:type="spellStart"/>
      <w:r w:rsidR="007628AF">
        <w:rPr>
          <w:rFonts w:ascii="Arial" w:hAnsi="Arial" w:cs="Arial"/>
          <w:sz w:val="20"/>
          <w:szCs w:val="20"/>
          <w:lang w:val="en"/>
        </w:rPr>
        <w:t>AGaP</w:t>
      </w:r>
      <w:r w:rsidRPr="006D6CEC">
        <w:rPr>
          <w:rFonts w:ascii="Arial" w:hAnsi="Arial" w:cs="Arial"/>
          <w:sz w:val="20"/>
          <w:szCs w:val="20"/>
          <w:lang w:val="en"/>
        </w:rPr>
        <w:t>’s</w:t>
      </w:r>
      <w:proofErr w:type="spellEnd"/>
      <w:r w:rsidRPr="006D6CEC">
        <w:rPr>
          <w:rFonts w:ascii="Arial" w:hAnsi="Arial" w:cs="Arial"/>
          <w:sz w:val="20"/>
          <w:szCs w:val="20"/>
          <w:lang w:val="en"/>
        </w:rPr>
        <w:t xml:space="preserve"> work and may provide guidance for a future trust fund phase.</w:t>
      </w:r>
    </w:p>
    <w:p w14:paraId="13954B6A" w14:textId="77777777" w:rsidR="006D6CEC" w:rsidRPr="006D6CEC" w:rsidRDefault="006D6CEC" w:rsidP="006D6CEC">
      <w:pPr>
        <w:rPr>
          <w:rFonts w:ascii="Arial" w:hAnsi="Arial" w:cs="Arial"/>
          <w:b/>
          <w:bCs/>
          <w:sz w:val="20"/>
          <w:szCs w:val="20"/>
          <w:lang w:val="en"/>
        </w:rPr>
      </w:pPr>
    </w:p>
    <w:p w14:paraId="40D952C1" w14:textId="575A79B9" w:rsidR="006D6CEC" w:rsidRPr="006D6CEC" w:rsidRDefault="006D6CEC" w:rsidP="006D6CEC">
      <w:pPr>
        <w:rPr>
          <w:rFonts w:ascii="Arial" w:hAnsi="Arial" w:cs="Arial"/>
          <w:b/>
          <w:bCs/>
          <w:sz w:val="20"/>
          <w:szCs w:val="20"/>
          <w:lang w:val="en"/>
        </w:rPr>
      </w:pPr>
      <w:r w:rsidRPr="006D6CEC">
        <w:rPr>
          <w:rFonts w:ascii="Arial" w:hAnsi="Arial" w:cs="Arial"/>
          <w:b/>
          <w:bCs/>
          <w:sz w:val="20"/>
          <w:szCs w:val="20"/>
          <w:lang w:val="en"/>
        </w:rPr>
        <w:t>4. Selection Criteria</w:t>
      </w:r>
    </w:p>
    <w:p w14:paraId="6C488144" w14:textId="77777777" w:rsidR="006D6CEC" w:rsidRPr="006D6CEC" w:rsidRDefault="006D6CEC" w:rsidP="00C64AD4">
      <w:pPr>
        <w:numPr>
          <w:ilvl w:val="0"/>
          <w:numId w:val="36"/>
        </w:numPr>
        <w:rPr>
          <w:rFonts w:ascii="Arial" w:hAnsi="Arial" w:cs="Arial"/>
          <w:b/>
          <w:bCs/>
          <w:sz w:val="20"/>
          <w:szCs w:val="20"/>
          <w:lang w:val="en"/>
        </w:rPr>
      </w:pPr>
      <w:r w:rsidRPr="006D6CEC">
        <w:rPr>
          <w:rFonts w:ascii="Arial" w:hAnsi="Arial" w:cs="Arial"/>
          <w:sz w:val="20"/>
          <w:szCs w:val="20"/>
          <w:lang w:val="en"/>
        </w:rPr>
        <w:t xml:space="preserve">Strong background in international development and policy </w:t>
      </w:r>
      <w:proofErr w:type="gramStart"/>
      <w:r w:rsidRPr="006D6CEC">
        <w:rPr>
          <w:rFonts w:ascii="Arial" w:hAnsi="Arial" w:cs="Arial"/>
          <w:sz w:val="20"/>
          <w:szCs w:val="20"/>
          <w:lang w:val="en"/>
        </w:rPr>
        <w:t>reform;</w:t>
      </w:r>
      <w:proofErr w:type="gramEnd"/>
    </w:p>
    <w:p w14:paraId="3493EEA9" w14:textId="77777777" w:rsidR="006D6CEC" w:rsidRPr="006D6CEC" w:rsidRDefault="006D6CEC" w:rsidP="00C64AD4">
      <w:pPr>
        <w:numPr>
          <w:ilvl w:val="0"/>
          <w:numId w:val="35"/>
        </w:numPr>
        <w:rPr>
          <w:rFonts w:ascii="Arial" w:hAnsi="Arial" w:cs="Arial"/>
          <w:sz w:val="20"/>
          <w:szCs w:val="20"/>
          <w:lang w:val="en"/>
        </w:rPr>
      </w:pPr>
      <w:r w:rsidRPr="006D6CEC">
        <w:rPr>
          <w:rFonts w:ascii="Arial" w:hAnsi="Arial" w:cs="Arial"/>
          <w:sz w:val="20"/>
          <w:szCs w:val="20"/>
          <w:lang w:val="en"/>
        </w:rPr>
        <w:t xml:space="preserve">Proven experience in leading a team doing an evaluation of governance arrangements and management mechanisms of different partnership arrangements and aid modalities in various country programs, particularly trust </w:t>
      </w:r>
      <w:proofErr w:type="gramStart"/>
      <w:r w:rsidRPr="006D6CEC">
        <w:rPr>
          <w:rFonts w:ascii="Arial" w:hAnsi="Arial" w:cs="Arial"/>
          <w:sz w:val="20"/>
          <w:szCs w:val="20"/>
          <w:lang w:val="en"/>
        </w:rPr>
        <w:t>funds;</w:t>
      </w:r>
      <w:proofErr w:type="gramEnd"/>
      <w:r w:rsidRPr="006D6CEC">
        <w:rPr>
          <w:rFonts w:ascii="Arial" w:hAnsi="Arial" w:cs="Arial"/>
          <w:sz w:val="20"/>
          <w:szCs w:val="20"/>
          <w:lang w:val="en"/>
        </w:rPr>
        <w:t xml:space="preserve"> </w:t>
      </w:r>
    </w:p>
    <w:p w14:paraId="2A37A509" w14:textId="77777777" w:rsidR="006D6CEC" w:rsidRPr="006D6CEC" w:rsidRDefault="006D6CEC" w:rsidP="00C64AD4">
      <w:pPr>
        <w:numPr>
          <w:ilvl w:val="0"/>
          <w:numId w:val="35"/>
        </w:numPr>
        <w:rPr>
          <w:rFonts w:ascii="Arial" w:hAnsi="Arial" w:cs="Arial"/>
          <w:sz w:val="20"/>
          <w:szCs w:val="20"/>
          <w:lang w:val="en"/>
        </w:rPr>
      </w:pPr>
      <w:r w:rsidRPr="006D6CEC">
        <w:rPr>
          <w:rFonts w:ascii="Arial" w:hAnsi="Arial" w:cs="Arial"/>
          <w:sz w:val="20"/>
          <w:szCs w:val="20"/>
          <w:lang w:val="en"/>
        </w:rPr>
        <w:t xml:space="preserve">Proficient in evaluation methods applicable in assessing the relevance, effectiveness, efficiency, sustainability, and impact of different partnership arrangements and aid modalities, particularly trust </w:t>
      </w:r>
      <w:proofErr w:type="gramStart"/>
      <w:r w:rsidRPr="006D6CEC">
        <w:rPr>
          <w:rFonts w:ascii="Arial" w:hAnsi="Arial" w:cs="Arial"/>
          <w:sz w:val="20"/>
          <w:szCs w:val="20"/>
          <w:lang w:val="en"/>
        </w:rPr>
        <w:t>funds;</w:t>
      </w:r>
      <w:proofErr w:type="gramEnd"/>
    </w:p>
    <w:p w14:paraId="33C3035E" w14:textId="77777777" w:rsidR="006D6CEC" w:rsidRPr="006D6CEC" w:rsidRDefault="006D6CEC" w:rsidP="00C64AD4">
      <w:pPr>
        <w:numPr>
          <w:ilvl w:val="0"/>
          <w:numId w:val="35"/>
        </w:numPr>
        <w:rPr>
          <w:rFonts w:ascii="Arial" w:hAnsi="Arial" w:cs="Arial"/>
          <w:sz w:val="20"/>
          <w:szCs w:val="20"/>
          <w:lang w:val="en"/>
        </w:rPr>
      </w:pPr>
      <w:r w:rsidRPr="006D6CEC">
        <w:rPr>
          <w:rFonts w:ascii="Arial" w:hAnsi="Arial" w:cs="Arial"/>
          <w:sz w:val="20"/>
          <w:szCs w:val="20"/>
          <w:lang w:val="en"/>
        </w:rPr>
        <w:t xml:space="preserve">Knowledge of key policies and programs of the GOP, particularly in sectors, which both Australia and the World Bank </w:t>
      </w:r>
      <w:proofErr w:type="gramStart"/>
      <w:r w:rsidRPr="006D6CEC">
        <w:rPr>
          <w:rFonts w:ascii="Arial" w:hAnsi="Arial" w:cs="Arial"/>
          <w:sz w:val="20"/>
          <w:szCs w:val="20"/>
          <w:lang w:val="en"/>
        </w:rPr>
        <w:t>support;</w:t>
      </w:r>
      <w:proofErr w:type="gramEnd"/>
    </w:p>
    <w:p w14:paraId="5B64F05C" w14:textId="77777777" w:rsidR="006D6CEC" w:rsidRPr="006D6CEC" w:rsidRDefault="006D6CEC" w:rsidP="00C64AD4">
      <w:pPr>
        <w:numPr>
          <w:ilvl w:val="0"/>
          <w:numId w:val="35"/>
        </w:numPr>
        <w:rPr>
          <w:rFonts w:ascii="Arial" w:hAnsi="Arial" w:cs="Arial"/>
          <w:sz w:val="20"/>
          <w:szCs w:val="20"/>
          <w:lang w:val="en"/>
        </w:rPr>
      </w:pPr>
      <w:r w:rsidRPr="006D6CEC">
        <w:rPr>
          <w:rFonts w:ascii="Arial" w:hAnsi="Arial" w:cs="Arial"/>
          <w:sz w:val="20"/>
          <w:szCs w:val="20"/>
          <w:lang w:val="en"/>
        </w:rPr>
        <w:t>Familiarity with DFAT and World Bank policies, operations, and procedures; and</w:t>
      </w:r>
    </w:p>
    <w:p w14:paraId="4A65D0A3" w14:textId="77777777" w:rsidR="006D6CEC" w:rsidRPr="006D6CEC" w:rsidRDefault="006D6CEC" w:rsidP="00C64AD4">
      <w:pPr>
        <w:numPr>
          <w:ilvl w:val="0"/>
          <w:numId w:val="35"/>
        </w:numPr>
        <w:rPr>
          <w:rFonts w:ascii="Arial" w:hAnsi="Arial" w:cs="Arial"/>
          <w:sz w:val="20"/>
          <w:szCs w:val="20"/>
          <w:lang w:val="en"/>
        </w:rPr>
      </w:pPr>
      <w:r w:rsidRPr="006D6CEC">
        <w:rPr>
          <w:rFonts w:ascii="Arial" w:hAnsi="Arial" w:cs="Arial"/>
          <w:sz w:val="20"/>
          <w:szCs w:val="20"/>
          <w:lang w:val="en"/>
        </w:rPr>
        <w:t>Solid information analysis and report writing skills.</w:t>
      </w:r>
    </w:p>
    <w:p w14:paraId="3F01E78A" w14:textId="77777777" w:rsidR="006D6CEC" w:rsidRPr="006D6CEC" w:rsidRDefault="006D6CEC" w:rsidP="006D6CEC">
      <w:pPr>
        <w:rPr>
          <w:rFonts w:ascii="Arial" w:hAnsi="Arial" w:cs="Arial"/>
          <w:b/>
          <w:bCs/>
          <w:sz w:val="20"/>
          <w:szCs w:val="20"/>
          <w:lang w:val="en"/>
        </w:rPr>
      </w:pPr>
    </w:p>
    <w:p w14:paraId="2800BCD0" w14:textId="44FC9C94" w:rsidR="006D6CEC" w:rsidRPr="005655A6" w:rsidRDefault="006D6CEC" w:rsidP="006D6CEC">
      <w:pPr>
        <w:rPr>
          <w:rFonts w:ascii="Arial" w:hAnsi="Arial" w:cs="Arial"/>
          <w:b/>
          <w:bCs/>
          <w:sz w:val="20"/>
          <w:szCs w:val="20"/>
          <w:lang w:val="en"/>
        </w:rPr>
      </w:pPr>
      <w:r w:rsidRPr="006D6CEC">
        <w:rPr>
          <w:rFonts w:ascii="Arial" w:hAnsi="Arial" w:cs="Arial"/>
          <w:b/>
          <w:bCs/>
          <w:sz w:val="20"/>
          <w:szCs w:val="20"/>
          <w:lang w:val="en"/>
        </w:rPr>
        <w:lastRenderedPageBreak/>
        <w:t>5. Deliverables and Timeline</w:t>
      </w:r>
    </w:p>
    <w:p w14:paraId="3F584B7C" w14:textId="77777777" w:rsidR="006D6CEC" w:rsidRPr="006D6CEC" w:rsidRDefault="006D6CEC" w:rsidP="00C64AD4">
      <w:pPr>
        <w:numPr>
          <w:ilvl w:val="0"/>
          <w:numId w:val="37"/>
        </w:numPr>
        <w:rPr>
          <w:rFonts w:ascii="Arial" w:hAnsi="Arial" w:cs="Arial"/>
          <w:sz w:val="20"/>
          <w:szCs w:val="20"/>
          <w:u w:val="single"/>
          <w:lang w:val="en"/>
        </w:rPr>
      </w:pPr>
      <w:r w:rsidRPr="006D6CEC">
        <w:rPr>
          <w:rFonts w:ascii="Arial" w:hAnsi="Arial" w:cs="Arial"/>
          <w:sz w:val="20"/>
          <w:szCs w:val="20"/>
          <w:u w:val="single"/>
          <w:lang w:val="en"/>
        </w:rPr>
        <w:t>Timeframe</w:t>
      </w:r>
      <w:r w:rsidRPr="006D6CEC">
        <w:rPr>
          <w:rFonts w:ascii="Arial" w:hAnsi="Arial" w:cs="Arial"/>
          <w:sz w:val="20"/>
          <w:szCs w:val="20"/>
          <w:lang w:val="en"/>
        </w:rPr>
        <w:t xml:space="preserve">: April - September 2022 </w:t>
      </w:r>
    </w:p>
    <w:p w14:paraId="3954984F" w14:textId="77777777" w:rsidR="006D6CEC" w:rsidRPr="006D6CEC" w:rsidRDefault="006D6CEC" w:rsidP="006D6CEC">
      <w:pPr>
        <w:rPr>
          <w:rFonts w:ascii="Arial" w:hAnsi="Arial" w:cs="Arial"/>
          <w:sz w:val="20"/>
          <w:szCs w:val="20"/>
          <w:u w:val="single"/>
          <w:lang w:val="en"/>
        </w:rPr>
      </w:pPr>
    </w:p>
    <w:tbl>
      <w:tblPr>
        <w:tblStyle w:val="TableGrid"/>
        <w:tblW w:w="0" w:type="auto"/>
        <w:tblInd w:w="715" w:type="dxa"/>
        <w:tblLook w:val="04A0" w:firstRow="1" w:lastRow="0" w:firstColumn="1" w:lastColumn="0" w:noHBand="0" w:noVBand="1"/>
      </w:tblPr>
      <w:tblGrid>
        <w:gridCol w:w="5866"/>
        <w:gridCol w:w="2069"/>
      </w:tblGrid>
      <w:tr w:rsidR="006D6CEC" w:rsidRPr="006D6CEC" w14:paraId="5CECBEB6" w14:textId="77777777" w:rsidTr="00D46091">
        <w:tc>
          <w:tcPr>
            <w:tcW w:w="6390" w:type="dxa"/>
          </w:tcPr>
          <w:p w14:paraId="7D63D461"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Inception Report (with the Evaluation Plan)</w:t>
            </w:r>
          </w:p>
        </w:tc>
        <w:tc>
          <w:tcPr>
            <w:tcW w:w="2245" w:type="dxa"/>
          </w:tcPr>
          <w:p w14:paraId="79D78A97"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Up to 4 days</w:t>
            </w:r>
          </w:p>
        </w:tc>
      </w:tr>
      <w:tr w:rsidR="006D6CEC" w:rsidRPr="006D6CEC" w14:paraId="478A0106" w14:textId="77777777" w:rsidTr="00D46091">
        <w:tc>
          <w:tcPr>
            <w:tcW w:w="6390" w:type="dxa"/>
          </w:tcPr>
          <w:p w14:paraId="015D2FB3"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Zero Draft Report (reflecting findings immediately after the data collection period)</w:t>
            </w:r>
          </w:p>
        </w:tc>
        <w:tc>
          <w:tcPr>
            <w:tcW w:w="2245" w:type="dxa"/>
          </w:tcPr>
          <w:p w14:paraId="6EFBA8DC"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Up to 15 days</w:t>
            </w:r>
          </w:p>
        </w:tc>
      </w:tr>
      <w:tr w:rsidR="006D6CEC" w:rsidRPr="006D6CEC" w14:paraId="128E1BB7" w14:textId="77777777" w:rsidTr="00D46091">
        <w:tc>
          <w:tcPr>
            <w:tcW w:w="6390" w:type="dxa"/>
          </w:tcPr>
          <w:p w14:paraId="1456275D" w14:textId="104351D2" w:rsidR="006D6CEC" w:rsidRPr="006D6CEC" w:rsidRDefault="006D6CEC" w:rsidP="006D6CEC">
            <w:pPr>
              <w:rPr>
                <w:rFonts w:ascii="Arial" w:hAnsi="Arial" w:cs="Arial"/>
                <w:sz w:val="20"/>
                <w:szCs w:val="20"/>
                <w:lang w:val="en"/>
              </w:rPr>
            </w:pPr>
            <w:r w:rsidRPr="006D6CEC">
              <w:rPr>
                <w:rFonts w:ascii="Arial" w:hAnsi="Arial" w:cs="Arial"/>
                <w:sz w:val="20"/>
                <w:szCs w:val="20"/>
                <w:lang w:val="en"/>
              </w:rPr>
              <w:t xml:space="preserve">Presentation of Zero Draft Report to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Steering Committee</w:t>
            </w:r>
          </w:p>
        </w:tc>
        <w:tc>
          <w:tcPr>
            <w:tcW w:w="2245" w:type="dxa"/>
          </w:tcPr>
          <w:p w14:paraId="4830C8A4"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1 day</w:t>
            </w:r>
          </w:p>
        </w:tc>
      </w:tr>
      <w:tr w:rsidR="006D6CEC" w:rsidRPr="006D6CEC" w14:paraId="73EA8FCB" w14:textId="77777777" w:rsidTr="00D46091">
        <w:tc>
          <w:tcPr>
            <w:tcW w:w="6390" w:type="dxa"/>
          </w:tcPr>
          <w:p w14:paraId="70C9F0AD"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 xml:space="preserve">Updated Draft Report (reflecting all main findings, </w:t>
            </w:r>
            <w:proofErr w:type="gramStart"/>
            <w:r w:rsidRPr="006D6CEC">
              <w:rPr>
                <w:rFonts w:ascii="Arial" w:hAnsi="Arial" w:cs="Arial"/>
                <w:sz w:val="20"/>
                <w:szCs w:val="20"/>
                <w:lang w:val="en"/>
              </w:rPr>
              <w:t>conclusions</w:t>
            </w:r>
            <w:proofErr w:type="gramEnd"/>
            <w:r w:rsidRPr="006D6CEC">
              <w:rPr>
                <w:rFonts w:ascii="Arial" w:hAnsi="Arial" w:cs="Arial"/>
                <w:sz w:val="20"/>
                <w:szCs w:val="20"/>
                <w:lang w:val="en"/>
              </w:rPr>
              <w:t xml:space="preserve"> and recommendations)</w:t>
            </w:r>
          </w:p>
        </w:tc>
        <w:tc>
          <w:tcPr>
            <w:tcW w:w="2245" w:type="dxa"/>
          </w:tcPr>
          <w:p w14:paraId="0E231BB4"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Up to 4 days</w:t>
            </w:r>
          </w:p>
        </w:tc>
      </w:tr>
      <w:tr w:rsidR="006D6CEC" w:rsidRPr="006D6CEC" w14:paraId="38798918" w14:textId="77777777" w:rsidTr="00D46091">
        <w:tc>
          <w:tcPr>
            <w:tcW w:w="6390" w:type="dxa"/>
          </w:tcPr>
          <w:p w14:paraId="089B62EC"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Final Report (not exceeding 40 pages excluding summary and annexes)</w:t>
            </w:r>
          </w:p>
        </w:tc>
        <w:tc>
          <w:tcPr>
            <w:tcW w:w="2245" w:type="dxa"/>
          </w:tcPr>
          <w:p w14:paraId="4C2EBB18"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Up to 3 days</w:t>
            </w:r>
          </w:p>
          <w:p w14:paraId="37CC6CDF"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w:t>
            </w:r>
            <w:proofErr w:type="gramStart"/>
            <w:r w:rsidRPr="006D6CEC">
              <w:rPr>
                <w:rFonts w:ascii="Arial" w:hAnsi="Arial" w:cs="Arial"/>
                <w:sz w:val="20"/>
                <w:szCs w:val="20"/>
                <w:lang w:val="en"/>
              </w:rPr>
              <w:t>due</w:t>
            </w:r>
            <w:proofErr w:type="gramEnd"/>
            <w:r w:rsidRPr="006D6CEC">
              <w:rPr>
                <w:rFonts w:ascii="Arial" w:hAnsi="Arial" w:cs="Arial"/>
                <w:sz w:val="20"/>
                <w:szCs w:val="20"/>
                <w:lang w:val="en"/>
              </w:rPr>
              <w:t xml:space="preserve"> on July 15, 2022)</w:t>
            </w:r>
          </w:p>
        </w:tc>
      </w:tr>
      <w:tr w:rsidR="006D6CEC" w:rsidRPr="006D6CEC" w14:paraId="33AF862A" w14:textId="77777777" w:rsidTr="00D46091">
        <w:tc>
          <w:tcPr>
            <w:tcW w:w="6390" w:type="dxa"/>
          </w:tcPr>
          <w:p w14:paraId="298D2EA5"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Presentation of the Final Report</w:t>
            </w:r>
          </w:p>
        </w:tc>
        <w:tc>
          <w:tcPr>
            <w:tcW w:w="2245" w:type="dxa"/>
          </w:tcPr>
          <w:p w14:paraId="28432A03" w14:textId="77777777" w:rsidR="006D6CEC" w:rsidRPr="006D6CEC" w:rsidRDefault="006D6CEC" w:rsidP="006D6CEC">
            <w:pPr>
              <w:rPr>
                <w:rFonts w:ascii="Arial" w:hAnsi="Arial" w:cs="Arial"/>
                <w:sz w:val="20"/>
                <w:szCs w:val="20"/>
                <w:lang w:val="en"/>
              </w:rPr>
            </w:pPr>
            <w:r w:rsidRPr="006D6CEC">
              <w:rPr>
                <w:rFonts w:ascii="Arial" w:hAnsi="Arial" w:cs="Arial"/>
                <w:sz w:val="20"/>
                <w:szCs w:val="20"/>
                <w:lang w:val="en"/>
              </w:rPr>
              <w:t>1 day</w:t>
            </w:r>
          </w:p>
        </w:tc>
      </w:tr>
    </w:tbl>
    <w:p w14:paraId="6FBAC143" w14:textId="77777777" w:rsidR="006D6CEC" w:rsidRPr="006D6CEC" w:rsidRDefault="006D6CEC" w:rsidP="006D6CEC">
      <w:pPr>
        <w:rPr>
          <w:rFonts w:ascii="Arial" w:hAnsi="Arial" w:cs="Arial"/>
          <w:b/>
          <w:bCs/>
          <w:sz w:val="20"/>
          <w:szCs w:val="20"/>
          <w:lang w:val="en"/>
        </w:rPr>
      </w:pPr>
    </w:p>
    <w:p w14:paraId="748E4E86" w14:textId="2A0FA299" w:rsidR="006D6CEC" w:rsidRPr="005655A6" w:rsidRDefault="006D6CEC" w:rsidP="006D6CEC">
      <w:pPr>
        <w:rPr>
          <w:rFonts w:ascii="Arial" w:hAnsi="Arial" w:cs="Arial"/>
          <w:b/>
          <w:bCs/>
          <w:sz w:val="20"/>
          <w:szCs w:val="20"/>
          <w:lang w:val="en"/>
        </w:rPr>
      </w:pPr>
      <w:r w:rsidRPr="006D6CEC">
        <w:rPr>
          <w:rFonts w:ascii="Arial" w:hAnsi="Arial" w:cs="Arial"/>
          <w:b/>
          <w:bCs/>
          <w:sz w:val="20"/>
          <w:szCs w:val="20"/>
          <w:lang w:val="en"/>
        </w:rPr>
        <w:t>6. Governance of the Midterm Review</w:t>
      </w:r>
    </w:p>
    <w:p w14:paraId="20E17B70" w14:textId="01A6A79B" w:rsidR="006D6CEC" w:rsidRPr="005655A6" w:rsidRDefault="006D6CEC" w:rsidP="00C64AD4">
      <w:pPr>
        <w:numPr>
          <w:ilvl w:val="0"/>
          <w:numId w:val="38"/>
        </w:numPr>
        <w:rPr>
          <w:rFonts w:ascii="Arial" w:hAnsi="Arial" w:cs="Arial"/>
          <w:b/>
          <w:bCs/>
          <w:sz w:val="20"/>
          <w:szCs w:val="20"/>
          <w:lang w:val="en"/>
        </w:rPr>
      </w:pPr>
      <w:r w:rsidRPr="006D6CEC">
        <w:rPr>
          <w:rFonts w:ascii="Arial" w:hAnsi="Arial" w:cs="Arial"/>
          <w:sz w:val="20"/>
          <w:szCs w:val="20"/>
          <w:lang w:val="en"/>
        </w:rPr>
        <w:t xml:space="preserve">The review shall be carried out by an independent team of consultants contracted by the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Secretariat. The consulting firm will be selected and deployed based on World Bank procurement and supervision procedures for consultancy services. </w:t>
      </w:r>
    </w:p>
    <w:p w14:paraId="67D524B5" w14:textId="71788F44" w:rsidR="006D6CEC" w:rsidRPr="005655A6" w:rsidRDefault="006D6CEC" w:rsidP="00C64AD4">
      <w:pPr>
        <w:numPr>
          <w:ilvl w:val="0"/>
          <w:numId w:val="38"/>
        </w:numPr>
        <w:rPr>
          <w:rFonts w:ascii="Arial" w:hAnsi="Arial" w:cs="Arial"/>
          <w:b/>
          <w:bCs/>
          <w:sz w:val="20"/>
          <w:szCs w:val="20"/>
          <w:lang w:val="en"/>
        </w:rPr>
      </w:pPr>
      <w:r w:rsidRPr="006D6CEC">
        <w:rPr>
          <w:rFonts w:ascii="Arial" w:hAnsi="Arial" w:cs="Arial"/>
          <w:sz w:val="20"/>
          <w:szCs w:val="20"/>
          <w:lang w:val="en"/>
        </w:rPr>
        <w:t xml:space="preserve">The MTR Evaluation Team is entitled to consult stakeholders pertinent to the assignment, but it is not permitted to make any commitments on behalf of the World Bank. The MTR Evaluation Team Leader will report directly to the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program manager in the World Bank, who will approve all deliverables including the final report. </w:t>
      </w:r>
    </w:p>
    <w:p w14:paraId="263BAA01" w14:textId="391D191E" w:rsidR="006D6CEC" w:rsidRPr="005655A6" w:rsidRDefault="006D6CEC" w:rsidP="00C64AD4">
      <w:pPr>
        <w:numPr>
          <w:ilvl w:val="0"/>
          <w:numId w:val="38"/>
        </w:numPr>
        <w:rPr>
          <w:rFonts w:ascii="Arial" w:hAnsi="Arial" w:cs="Arial"/>
          <w:b/>
          <w:bCs/>
          <w:sz w:val="20"/>
          <w:szCs w:val="20"/>
          <w:lang w:val="en"/>
        </w:rPr>
      </w:pPr>
      <w:r w:rsidRPr="006D6CEC">
        <w:rPr>
          <w:rFonts w:ascii="Arial" w:hAnsi="Arial" w:cs="Arial"/>
          <w:sz w:val="20"/>
          <w:szCs w:val="20"/>
          <w:lang w:val="en"/>
        </w:rPr>
        <w:t xml:space="preserve">The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Operations Committee will provide advice to the MTR Evaluation Team on deliverables such as inception report, zero draft report, updated draft report, and final report.</w:t>
      </w:r>
    </w:p>
    <w:p w14:paraId="40EC3BCF" w14:textId="5AFF8D26" w:rsidR="006D6CEC" w:rsidRPr="005655A6" w:rsidRDefault="006D6CEC" w:rsidP="00C64AD4">
      <w:pPr>
        <w:numPr>
          <w:ilvl w:val="0"/>
          <w:numId w:val="38"/>
        </w:numPr>
        <w:rPr>
          <w:rFonts w:ascii="Arial" w:hAnsi="Arial" w:cs="Arial"/>
          <w:b/>
          <w:bCs/>
          <w:sz w:val="20"/>
          <w:szCs w:val="20"/>
          <w:lang w:val="en"/>
        </w:rPr>
      </w:pPr>
      <w:r w:rsidRPr="006D6CEC">
        <w:rPr>
          <w:rFonts w:ascii="Arial" w:hAnsi="Arial" w:cs="Arial"/>
          <w:sz w:val="20"/>
          <w:szCs w:val="20"/>
          <w:lang w:val="en"/>
        </w:rPr>
        <w:t xml:space="preserve">The MTR Evaluation Team shall take note of comments received from the Operations Committee and other stakeholders. Where there are significant diverging views between the MTR Evaluation Team and stakeholders, this shall be reflected in the report. </w:t>
      </w:r>
    </w:p>
    <w:p w14:paraId="62B46C38" w14:textId="2C596B31" w:rsidR="006D6CEC" w:rsidRPr="005655A6" w:rsidRDefault="006D6CEC" w:rsidP="00C64AD4">
      <w:pPr>
        <w:numPr>
          <w:ilvl w:val="0"/>
          <w:numId w:val="38"/>
        </w:numPr>
        <w:rPr>
          <w:rFonts w:ascii="Arial" w:hAnsi="Arial" w:cs="Arial"/>
          <w:b/>
          <w:bCs/>
          <w:sz w:val="20"/>
          <w:szCs w:val="20"/>
          <w:lang w:val="en"/>
        </w:rPr>
      </w:pPr>
      <w:r w:rsidRPr="006D6CEC">
        <w:rPr>
          <w:rFonts w:ascii="Arial" w:hAnsi="Arial" w:cs="Arial"/>
          <w:sz w:val="20"/>
          <w:szCs w:val="20"/>
          <w:lang w:val="en"/>
        </w:rPr>
        <w:t xml:space="preserve">Final approvals and decisions will be made by the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Steering Committee. </w:t>
      </w:r>
    </w:p>
    <w:p w14:paraId="60CBAA17" w14:textId="32BF62F3" w:rsidR="006D6CEC" w:rsidRPr="005655A6" w:rsidRDefault="006D6CEC" w:rsidP="006D6CEC">
      <w:pPr>
        <w:rPr>
          <w:rFonts w:ascii="Arial" w:hAnsi="Arial" w:cs="Arial"/>
          <w:b/>
          <w:bCs/>
          <w:sz w:val="20"/>
          <w:szCs w:val="20"/>
          <w:lang w:val="en"/>
        </w:rPr>
      </w:pPr>
      <w:r w:rsidRPr="006D6CEC">
        <w:rPr>
          <w:rFonts w:ascii="Arial" w:hAnsi="Arial" w:cs="Arial"/>
          <w:b/>
          <w:bCs/>
          <w:sz w:val="20"/>
          <w:szCs w:val="20"/>
          <w:lang w:val="en"/>
        </w:rPr>
        <w:t xml:space="preserve">7. Acceptance Criteria and Reporting </w:t>
      </w:r>
    </w:p>
    <w:p w14:paraId="004912D8" w14:textId="7D7201BA" w:rsidR="006D6CEC" w:rsidRPr="006D6CEC" w:rsidRDefault="006D6CEC" w:rsidP="00C64AD4">
      <w:pPr>
        <w:numPr>
          <w:ilvl w:val="0"/>
          <w:numId w:val="39"/>
        </w:numPr>
        <w:rPr>
          <w:rFonts w:ascii="Arial" w:hAnsi="Arial" w:cs="Arial"/>
          <w:sz w:val="20"/>
          <w:szCs w:val="20"/>
          <w:lang w:val="en"/>
        </w:rPr>
      </w:pPr>
      <w:r w:rsidRPr="006D6CEC">
        <w:rPr>
          <w:rFonts w:ascii="Arial" w:hAnsi="Arial" w:cs="Arial"/>
          <w:sz w:val="20"/>
          <w:szCs w:val="20"/>
          <w:lang w:val="en"/>
        </w:rPr>
        <w:t xml:space="preserve">The deliverables must meet the requirements of these Terms of Reference. Their content must reflect the appropriate depth and expertise for the assignment, and the MTR Evaluation Team must provide all background findings, surveys, interviews, data analysis and other supporting information. All reports shall be submitted to the </w:t>
      </w:r>
      <w:proofErr w:type="spellStart"/>
      <w:r w:rsidR="007628AF">
        <w:rPr>
          <w:rFonts w:ascii="Arial" w:hAnsi="Arial" w:cs="Arial"/>
          <w:sz w:val="20"/>
          <w:szCs w:val="20"/>
          <w:lang w:val="en"/>
        </w:rPr>
        <w:t>AGaP</w:t>
      </w:r>
      <w:proofErr w:type="spellEnd"/>
      <w:r w:rsidRPr="006D6CEC">
        <w:rPr>
          <w:rFonts w:ascii="Arial" w:hAnsi="Arial" w:cs="Arial"/>
          <w:sz w:val="20"/>
          <w:szCs w:val="20"/>
          <w:lang w:val="en"/>
        </w:rPr>
        <w:t xml:space="preserve"> secretariat by email, and no hard copies will be required.</w:t>
      </w:r>
    </w:p>
    <w:p w14:paraId="4159A958" w14:textId="77777777" w:rsidR="004F1D23" w:rsidRDefault="004F1D23">
      <w:pPr>
        <w:rPr>
          <w:rFonts w:ascii="Arial" w:eastAsiaTheme="majorEastAsia" w:hAnsi="Arial" w:cs="Arial"/>
          <w:color w:val="2F5496" w:themeColor="accent1" w:themeShade="BF"/>
          <w:sz w:val="20"/>
          <w:szCs w:val="20"/>
        </w:rPr>
      </w:pPr>
      <w:r>
        <w:rPr>
          <w:rFonts w:ascii="Arial" w:hAnsi="Arial" w:cs="Arial"/>
          <w:sz w:val="20"/>
          <w:szCs w:val="20"/>
        </w:rPr>
        <w:br w:type="page"/>
      </w:r>
    </w:p>
    <w:p w14:paraId="30F93CFF" w14:textId="431EEEFF" w:rsidR="004F1D23" w:rsidRPr="006534DF" w:rsidRDefault="003B38E1" w:rsidP="006534DF">
      <w:pPr>
        <w:pStyle w:val="Heading1"/>
      </w:pPr>
      <w:bookmarkStart w:id="32" w:name="_Toc125560020"/>
      <w:r w:rsidRPr="006534DF">
        <w:lastRenderedPageBreak/>
        <w:t>Annex 2</w:t>
      </w:r>
      <w:r w:rsidRPr="006534DF">
        <w:tab/>
        <w:t>KEQs, Data Collection Methods, and Evaluation Team Approach</w:t>
      </w:r>
      <w:bookmarkEnd w:id="32"/>
    </w:p>
    <w:p w14:paraId="0D38ABE9" w14:textId="77777777" w:rsidR="00225D7B" w:rsidRDefault="00225D7B">
      <w:pPr>
        <w:rPr>
          <w:rFonts w:ascii="Arial" w:hAnsi="Arial" w:cs="Arial"/>
          <w:sz w:val="20"/>
          <w:szCs w:val="20"/>
          <w:lang w:val="en"/>
        </w:rPr>
      </w:pPr>
    </w:p>
    <w:p w14:paraId="5F9CC0B8" w14:textId="77777777" w:rsidR="00225D7B" w:rsidRPr="00F8284E" w:rsidRDefault="00225D7B" w:rsidP="00CE59F1">
      <w:pPr>
        <w:pStyle w:val="Heading4"/>
        <w:spacing w:after="240"/>
      </w:pPr>
      <w:bookmarkStart w:id="33" w:name="_Toc107170750"/>
      <w:r>
        <w:t>Key evaluation questions and scope</w:t>
      </w:r>
      <w:bookmarkEnd w:id="33"/>
      <w:r>
        <w:tab/>
      </w:r>
    </w:p>
    <w:p w14:paraId="1B9A3C7F" w14:textId="77777777" w:rsidR="00225D7B" w:rsidRDefault="00225D7B" w:rsidP="00CE59F1">
      <w:pPr>
        <w:pStyle w:val="Heading5"/>
      </w:pPr>
      <w:bookmarkStart w:id="34" w:name="_Toc107170751"/>
      <w:r>
        <w:t>Scope</w:t>
      </w:r>
      <w:bookmarkEnd w:id="34"/>
      <w:r>
        <w:tab/>
      </w:r>
    </w:p>
    <w:p w14:paraId="070F8BF6" w14:textId="77777777" w:rsidR="00225D7B" w:rsidRDefault="00225D7B" w:rsidP="00CE59F1">
      <w:pPr>
        <w:spacing w:after="240"/>
        <w:rPr>
          <w:rFonts w:ascii="Calibri" w:eastAsia="Calibri" w:hAnsi="Calibri" w:cs="Calibri"/>
        </w:rPr>
      </w:pPr>
      <w:r>
        <w:rPr>
          <w:rFonts w:ascii="Calibri" w:eastAsia="Calibri" w:hAnsi="Calibri" w:cs="Calibri"/>
        </w:rPr>
        <w:t>The MTR Evaluation Team will aim to document output level and outcome level results achieved to date and examine sustainability, including any unintended effects and safeguard issues. The review will also aim to assess and recommend options for the future of the partnership.</w:t>
      </w:r>
    </w:p>
    <w:p w14:paraId="7A791C34" w14:textId="77777777" w:rsidR="00225D7B" w:rsidRDefault="00225D7B" w:rsidP="00CE59F1">
      <w:pPr>
        <w:pStyle w:val="Heading5"/>
      </w:pPr>
      <w:bookmarkStart w:id="35" w:name="_Toc107170752"/>
      <w:r>
        <w:t>Primary and secondary evaluation questions</w:t>
      </w:r>
      <w:bookmarkEnd w:id="35"/>
    </w:p>
    <w:p w14:paraId="7D1EB580" w14:textId="7C85C8A5" w:rsidR="00225D7B" w:rsidRDefault="00225D7B" w:rsidP="00CE59F1">
      <w:pPr>
        <w:spacing w:after="240"/>
        <w:rPr>
          <w:rFonts w:ascii="Calibri" w:eastAsia="Calibri" w:hAnsi="Calibri" w:cs="Calibri"/>
          <w:b/>
        </w:rPr>
      </w:pPr>
      <w:r>
        <w:rPr>
          <w:rFonts w:ascii="Calibri" w:eastAsia="Calibri" w:hAnsi="Calibri" w:cs="Calibri"/>
        </w:rPr>
        <w:t>The table below sets out the primary questions that mark the main areas of enquiry, and the secondary questions that will explore those aspects in detail</w:t>
      </w:r>
      <w:r w:rsidDel="007E66C7">
        <w:rPr>
          <w:rFonts w:ascii="Calibri" w:eastAsia="Calibri" w:hAnsi="Calibri" w:cs="Calibri"/>
        </w:rPr>
        <w:t xml:space="preserve">. </w:t>
      </w:r>
      <w:r>
        <w:rPr>
          <w:rFonts w:ascii="Calibri" w:eastAsia="Calibri" w:hAnsi="Calibri" w:cs="Calibri"/>
        </w:rPr>
        <w:t>A more detailed table is in Annex 4, indicating the likely sources of data, such as reports and interviewees, alongside further notes to guide the evaluation team’s approach</w:t>
      </w:r>
      <w:r w:rsidDel="007E66C7">
        <w:rPr>
          <w:rFonts w:ascii="Calibri" w:eastAsia="Calibri" w:hAnsi="Calibri" w:cs="Calibri"/>
        </w:rPr>
        <w:t xml:space="preserve">. </w:t>
      </w:r>
      <w:r>
        <w:rPr>
          <w:rFonts w:ascii="Calibri" w:eastAsia="Calibri" w:hAnsi="Calibri" w:cs="Calibri"/>
        </w:rPr>
        <w:t>Stakeholders will be asked only those secondary questions that help elicit additional data from them or triangulate evidence from other sources. For instance, some questions will not be appropriate for government counterparts. Therefore, the questions each interviewee will address are shown in brackets. A questionnaire for the key interlocutors will be drafted based on the evaluation plan and the literature review.</w:t>
      </w:r>
    </w:p>
    <w:p w14:paraId="122949DF" w14:textId="17A5A9DD" w:rsidR="006C2529" w:rsidRDefault="00225D7B" w:rsidP="00804A46">
      <w:pPr>
        <w:rPr>
          <w:rFonts w:ascii="Calibri" w:eastAsia="Calibri" w:hAnsi="Calibri" w:cs="Calibri"/>
          <w:b/>
        </w:rPr>
      </w:pPr>
      <w:r>
        <w:rPr>
          <w:rFonts w:ascii="Calibri" w:eastAsia="Calibri" w:hAnsi="Calibri" w:cs="Calibri"/>
          <w:b/>
        </w:rPr>
        <w:t>Table 1.</w:t>
      </w:r>
      <w:r>
        <w:rPr>
          <w:rFonts w:ascii="Calibri" w:eastAsia="Calibri" w:hAnsi="Calibri" w:cs="Calibri"/>
          <w:b/>
        </w:rPr>
        <w:tab/>
        <w:t>Primary and secondary evaluation questions</w:t>
      </w:r>
      <w:r>
        <w:rPr>
          <w:rFonts w:ascii="Calibri" w:eastAsia="Calibri" w:hAnsi="Calibri" w:cs="Calibri"/>
          <w:b/>
          <w:vertAlign w:val="superscript"/>
        </w:rPr>
        <w:footnoteReference w:id="38"/>
      </w:r>
      <w:r>
        <w:rPr>
          <w:rFonts w:ascii="Calibri" w:eastAsia="Calibri" w:hAnsi="Calibri" w:cs="Calibri"/>
          <w:b/>
        </w:rPr>
        <w:t xml:space="preserve"> </w:t>
      </w:r>
      <w:bookmarkStart w:id="36" w:name="_Toc107170753"/>
    </w:p>
    <w:tbl>
      <w:tblPr>
        <w:tblStyle w:val="TableGrid"/>
        <w:tblW w:w="9242" w:type="dxa"/>
        <w:tblLook w:val="04A0" w:firstRow="1" w:lastRow="0" w:firstColumn="1" w:lastColumn="0" w:noHBand="0" w:noVBand="1"/>
      </w:tblPr>
      <w:tblGrid>
        <w:gridCol w:w="2263"/>
        <w:gridCol w:w="6979"/>
      </w:tblGrid>
      <w:tr w:rsidR="00804A46" w14:paraId="4D9D1D4D" w14:textId="77777777" w:rsidTr="004E7A65">
        <w:trPr>
          <w:tblHeader/>
        </w:trPr>
        <w:tc>
          <w:tcPr>
            <w:tcW w:w="2263" w:type="dxa"/>
          </w:tcPr>
          <w:p w14:paraId="198BFF7D" w14:textId="77777777" w:rsidR="00804A46" w:rsidRDefault="00804A46" w:rsidP="00CA1A7A">
            <w:r>
              <w:rPr>
                <w:b/>
                <w:sz w:val="20"/>
                <w:szCs w:val="20"/>
              </w:rPr>
              <w:t>Primary Questions</w:t>
            </w:r>
          </w:p>
        </w:tc>
        <w:tc>
          <w:tcPr>
            <w:tcW w:w="6979" w:type="dxa"/>
          </w:tcPr>
          <w:p w14:paraId="2AD52299" w14:textId="77777777" w:rsidR="00804A46" w:rsidRDefault="00804A46" w:rsidP="00CA1A7A">
            <w:r>
              <w:rPr>
                <w:b/>
                <w:sz w:val="20"/>
                <w:szCs w:val="20"/>
              </w:rPr>
              <w:t>Secondary Questions</w:t>
            </w:r>
          </w:p>
        </w:tc>
      </w:tr>
      <w:tr w:rsidR="00804A46" w14:paraId="4D00C693" w14:textId="77777777" w:rsidTr="004E7A65">
        <w:tc>
          <w:tcPr>
            <w:tcW w:w="2263" w:type="dxa"/>
          </w:tcPr>
          <w:p w14:paraId="1F79E505" w14:textId="77777777" w:rsidR="00804A46" w:rsidRDefault="00804A46" w:rsidP="00CA1A7A">
            <w:r>
              <w:rPr>
                <w:b/>
                <w:sz w:val="20"/>
                <w:szCs w:val="20"/>
              </w:rPr>
              <w:t xml:space="preserve">How relevant was </w:t>
            </w:r>
            <w:proofErr w:type="spellStart"/>
            <w:r>
              <w:rPr>
                <w:b/>
                <w:sz w:val="20"/>
                <w:szCs w:val="20"/>
              </w:rPr>
              <w:t>AGaP</w:t>
            </w:r>
            <w:proofErr w:type="spellEnd"/>
            <w:r>
              <w:rPr>
                <w:b/>
                <w:sz w:val="20"/>
                <w:szCs w:val="20"/>
              </w:rPr>
              <w:t xml:space="preserve"> to the situation and challenges facing the Philippines?</w:t>
            </w:r>
          </w:p>
        </w:tc>
        <w:tc>
          <w:tcPr>
            <w:tcW w:w="6979" w:type="dxa"/>
          </w:tcPr>
          <w:p w14:paraId="2253C6B0" w14:textId="77777777" w:rsidR="00804A46" w:rsidRDefault="00804A46" w:rsidP="00CA1A7A">
            <w:pPr>
              <w:spacing w:before="40" w:after="40"/>
              <w:ind w:left="691" w:hanging="403"/>
              <w:rPr>
                <w:sz w:val="20"/>
                <w:szCs w:val="20"/>
              </w:rPr>
            </w:pPr>
            <w:r>
              <w:rPr>
                <w:sz w:val="20"/>
                <w:szCs w:val="20"/>
              </w:rPr>
              <w:t>1.</w:t>
            </w:r>
            <w:r>
              <w:rPr>
                <w:sz w:val="14"/>
                <w:szCs w:val="14"/>
              </w:rPr>
              <w:t xml:space="preserve">   </w:t>
            </w:r>
            <w:r>
              <w:rPr>
                <w:sz w:val="14"/>
                <w:szCs w:val="14"/>
              </w:rPr>
              <w:tab/>
            </w:r>
            <w:r>
              <w:rPr>
                <w:sz w:val="20"/>
                <w:szCs w:val="20"/>
              </w:rPr>
              <w:t xml:space="preserve">To what extent are the </w:t>
            </w:r>
            <w:proofErr w:type="spellStart"/>
            <w:r>
              <w:rPr>
                <w:sz w:val="20"/>
                <w:szCs w:val="20"/>
              </w:rPr>
              <w:t>AGaP</w:t>
            </w:r>
            <w:proofErr w:type="spellEnd"/>
            <w:r>
              <w:rPr>
                <w:sz w:val="20"/>
                <w:szCs w:val="20"/>
              </w:rPr>
              <w:t xml:space="preserve"> outputs and outcomes consistent with the </w:t>
            </w:r>
            <w:proofErr w:type="spellStart"/>
            <w:r>
              <w:rPr>
                <w:sz w:val="20"/>
                <w:szCs w:val="20"/>
              </w:rPr>
              <w:t>GoP</w:t>
            </w:r>
            <w:proofErr w:type="spellEnd"/>
            <w:r>
              <w:rPr>
                <w:sz w:val="20"/>
                <w:szCs w:val="20"/>
              </w:rPr>
              <w:t xml:space="preserve"> development strategies, priorities, and objectives, and Australia and World Bank’s country strategies and objectives?</w:t>
            </w:r>
          </w:p>
          <w:p w14:paraId="02FA0790" w14:textId="77777777" w:rsidR="00804A46" w:rsidRDefault="00804A46" w:rsidP="00CA1A7A">
            <w:pPr>
              <w:spacing w:before="40" w:after="40"/>
              <w:ind w:left="691" w:hanging="403"/>
            </w:pPr>
            <w:r>
              <w:rPr>
                <w:sz w:val="20"/>
                <w:szCs w:val="20"/>
              </w:rPr>
              <w:t>2.</w:t>
            </w:r>
            <w:r>
              <w:rPr>
                <w:sz w:val="14"/>
                <w:szCs w:val="14"/>
              </w:rPr>
              <w:t xml:space="preserve">   </w:t>
            </w:r>
            <w:r>
              <w:rPr>
                <w:sz w:val="14"/>
                <w:szCs w:val="14"/>
              </w:rPr>
              <w:tab/>
            </w:r>
            <w:r>
              <w:rPr>
                <w:sz w:val="20"/>
                <w:szCs w:val="20"/>
              </w:rPr>
              <w:t xml:space="preserve">To what extent has the </w:t>
            </w:r>
            <w:proofErr w:type="spellStart"/>
            <w:r>
              <w:rPr>
                <w:sz w:val="20"/>
                <w:szCs w:val="20"/>
              </w:rPr>
              <w:t>AGaP</w:t>
            </w:r>
            <w:proofErr w:type="spellEnd"/>
            <w:r>
              <w:rPr>
                <w:sz w:val="20"/>
                <w:szCs w:val="20"/>
              </w:rPr>
              <w:t xml:space="preserve"> Trust Fund responded to the changes in the operating environment and </w:t>
            </w:r>
            <w:proofErr w:type="spellStart"/>
            <w:r>
              <w:rPr>
                <w:sz w:val="20"/>
                <w:szCs w:val="20"/>
              </w:rPr>
              <w:t>GoP</w:t>
            </w:r>
            <w:proofErr w:type="spellEnd"/>
            <w:r>
              <w:rPr>
                <w:sz w:val="20"/>
                <w:szCs w:val="20"/>
              </w:rPr>
              <w:t xml:space="preserve"> priorities?</w:t>
            </w:r>
          </w:p>
        </w:tc>
      </w:tr>
      <w:tr w:rsidR="00804A46" w14:paraId="6BC9AB13" w14:textId="77777777" w:rsidTr="004E7A65">
        <w:tc>
          <w:tcPr>
            <w:tcW w:w="2263" w:type="dxa"/>
          </w:tcPr>
          <w:p w14:paraId="31CED623" w14:textId="77777777" w:rsidR="00804A46" w:rsidRDefault="00804A46" w:rsidP="00CA1A7A">
            <w:r>
              <w:rPr>
                <w:b/>
                <w:sz w:val="20"/>
                <w:szCs w:val="20"/>
              </w:rPr>
              <w:t xml:space="preserve">How efficiently was </w:t>
            </w:r>
            <w:proofErr w:type="spellStart"/>
            <w:r>
              <w:rPr>
                <w:b/>
                <w:sz w:val="20"/>
                <w:szCs w:val="20"/>
              </w:rPr>
              <w:t>AGaP</w:t>
            </w:r>
            <w:proofErr w:type="spellEnd"/>
            <w:r>
              <w:rPr>
                <w:b/>
                <w:sz w:val="20"/>
                <w:szCs w:val="20"/>
              </w:rPr>
              <w:t xml:space="preserve"> executed?</w:t>
            </w:r>
          </w:p>
        </w:tc>
        <w:tc>
          <w:tcPr>
            <w:tcW w:w="6979" w:type="dxa"/>
          </w:tcPr>
          <w:p w14:paraId="66F9DA4C" w14:textId="77777777" w:rsidR="00804A46" w:rsidRDefault="00804A46" w:rsidP="00CA1A7A">
            <w:pPr>
              <w:spacing w:before="40" w:after="40"/>
              <w:ind w:left="691" w:hanging="403"/>
              <w:rPr>
                <w:sz w:val="20"/>
                <w:szCs w:val="20"/>
              </w:rPr>
            </w:pPr>
            <w:r>
              <w:rPr>
                <w:sz w:val="20"/>
                <w:szCs w:val="20"/>
              </w:rPr>
              <w:t>3.</w:t>
            </w:r>
            <w:r>
              <w:rPr>
                <w:sz w:val="14"/>
                <w:szCs w:val="14"/>
              </w:rPr>
              <w:t xml:space="preserve">   </w:t>
            </w:r>
            <w:r>
              <w:rPr>
                <w:sz w:val="14"/>
                <w:szCs w:val="14"/>
              </w:rPr>
              <w:tab/>
            </w:r>
            <w:r>
              <w:rPr>
                <w:sz w:val="20"/>
                <w:szCs w:val="20"/>
              </w:rPr>
              <w:t>To what extent have overall and grant resources been allocated and utilised in an efficient manner?</w:t>
            </w:r>
          </w:p>
          <w:p w14:paraId="1A3890CB" w14:textId="77777777" w:rsidR="00804A46" w:rsidRDefault="00804A46" w:rsidP="00CA1A7A">
            <w:pPr>
              <w:spacing w:before="40" w:after="40"/>
              <w:ind w:left="691" w:hanging="403"/>
              <w:rPr>
                <w:sz w:val="20"/>
                <w:szCs w:val="20"/>
              </w:rPr>
            </w:pPr>
            <w:r>
              <w:rPr>
                <w:sz w:val="20"/>
                <w:szCs w:val="20"/>
              </w:rPr>
              <w:t>4.</w:t>
            </w:r>
            <w:r>
              <w:rPr>
                <w:sz w:val="14"/>
                <w:szCs w:val="14"/>
              </w:rPr>
              <w:t xml:space="preserve">   </w:t>
            </w:r>
            <w:r>
              <w:rPr>
                <w:sz w:val="14"/>
                <w:szCs w:val="14"/>
              </w:rPr>
              <w:tab/>
            </w:r>
            <w:r>
              <w:rPr>
                <w:sz w:val="20"/>
                <w:szCs w:val="20"/>
              </w:rPr>
              <w:t>Are the amounts provided to grant recipient teams proportionate to their grant objectives?</w:t>
            </w:r>
          </w:p>
          <w:p w14:paraId="071786E7" w14:textId="77777777" w:rsidR="00804A46" w:rsidRDefault="00804A46" w:rsidP="00CA1A7A">
            <w:pPr>
              <w:spacing w:before="40" w:after="40"/>
              <w:ind w:left="691" w:hanging="403"/>
              <w:rPr>
                <w:sz w:val="20"/>
                <w:szCs w:val="20"/>
              </w:rPr>
            </w:pPr>
            <w:r>
              <w:rPr>
                <w:sz w:val="20"/>
                <w:szCs w:val="20"/>
              </w:rPr>
              <w:t>5.</w:t>
            </w:r>
            <w:r>
              <w:rPr>
                <w:sz w:val="14"/>
                <w:szCs w:val="14"/>
              </w:rPr>
              <w:t xml:space="preserve">   </w:t>
            </w:r>
            <w:r>
              <w:rPr>
                <w:sz w:val="14"/>
                <w:szCs w:val="14"/>
              </w:rPr>
              <w:tab/>
            </w:r>
            <w:r>
              <w:rPr>
                <w:sz w:val="20"/>
                <w:szCs w:val="20"/>
              </w:rPr>
              <w:t>How have the grants served to supplement existing resources among project teams and grant recipients (core Bank budgets, time and resources of staff and consultants, related IBRD financing)?</w:t>
            </w:r>
          </w:p>
          <w:p w14:paraId="2C9F0683" w14:textId="77777777" w:rsidR="00804A46" w:rsidRDefault="00804A46" w:rsidP="00CA1A7A">
            <w:pPr>
              <w:spacing w:before="40" w:after="40"/>
              <w:ind w:left="691" w:hanging="403"/>
            </w:pPr>
            <w:r>
              <w:rPr>
                <w:sz w:val="20"/>
                <w:szCs w:val="20"/>
              </w:rPr>
              <w:t>6.</w:t>
            </w:r>
            <w:r>
              <w:rPr>
                <w:sz w:val="14"/>
                <w:szCs w:val="14"/>
              </w:rPr>
              <w:t xml:space="preserve">   </w:t>
            </w:r>
            <w:r>
              <w:rPr>
                <w:sz w:val="14"/>
                <w:szCs w:val="14"/>
              </w:rPr>
              <w:tab/>
            </w:r>
            <w:r>
              <w:rPr>
                <w:sz w:val="20"/>
                <w:szCs w:val="20"/>
              </w:rPr>
              <w:t>How well did the governance arrangement facilitate decision-making to contribute to the efficient implementation of the Trust Fund?</w:t>
            </w:r>
          </w:p>
        </w:tc>
      </w:tr>
      <w:tr w:rsidR="00804A46" w14:paraId="794CF1D8" w14:textId="77777777" w:rsidTr="004E7A65">
        <w:tc>
          <w:tcPr>
            <w:tcW w:w="2263" w:type="dxa"/>
          </w:tcPr>
          <w:p w14:paraId="32B4EFCA" w14:textId="77777777" w:rsidR="00804A46" w:rsidRDefault="00804A46" w:rsidP="00CA1A7A">
            <w:r>
              <w:rPr>
                <w:b/>
                <w:sz w:val="20"/>
                <w:szCs w:val="20"/>
              </w:rPr>
              <w:t xml:space="preserve">How effective was </w:t>
            </w:r>
            <w:proofErr w:type="spellStart"/>
            <w:r>
              <w:rPr>
                <w:b/>
                <w:sz w:val="20"/>
                <w:szCs w:val="20"/>
              </w:rPr>
              <w:t>AGaP</w:t>
            </w:r>
            <w:proofErr w:type="spellEnd"/>
            <w:r>
              <w:rPr>
                <w:b/>
                <w:sz w:val="20"/>
                <w:szCs w:val="20"/>
              </w:rPr>
              <w:t xml:space="preserve"> in achieving its objectives?</w:t>
            </w:r>
          </w:p>
        </w:tc>
        <w:tc>
          <w:tcPr>
            <w:tcW w:w="6979" w:type="dxa"/>
          </w:tcPr>
          <w:p w14:paraId="625FE3D5" w14:textId="77777777" w:rsidR="00804A46" w:rsidRDefault="00804A46" w:rsidP="00CA1A7A">
            <w:pPr>
              <w:spacing w:before="40" w:after="40"/>
              <w:ind w:left="691" w:hanging="403"/>
              <w:jc w:val="both"/>
              <w:rPr>
                <w:sz w:val="20"/>
                <w:szCs w:val="20"/>
              </w:rPr>
            </w:pPr>
            <w:r>
              <w:rPr>
                <w:sz w:val="20"/>
                <w:szCs w:val="20"/>
              </w:rPr>
              <w:t>7.</w:t>
            </w:r>
            <w:r>
              <w:rPr>
                <w:sz w:val="14"/>
                <w:szCs w:val="14"/>
              </w:rPr>
              <w:t xml:space="preserve">   </w:t>
            </w:r>
            <w:r>
              <w:rPr>
                <w:sz w:val="14"/>
                <w:szCs w:val="14"/>
              </w:rPr>
              <w:tab/>
            </w:r>
            <w:r>
              <w:rPr>
                <w:sz w:val="20"/>
                <w:szCs w:val="20"/>
              </w:rPr>
              <w:t xml:space="preserve">To what extent has the </w:t>
            </w:r>
            <w:proofErr w:type="spellStart"/>
            <w:r>
              <w:rPr>
                <w:sz w:val="20"/>
                <w:szCs w:val="20"/>
              </w:rPr>
              <w:t>AGaP</w:t>
            </w:r>
            <w:proofErr w:type="spellEnd"/>
            <w:r>
              <w:rPr>
                <w:sz w:val="20"/>
                <w:szCs w:val="20"/>
              </w:rPr>
              <w:t xml:space="preserve"> met its objectives at the different level of results chain, overall and through individual grants?</w:t>
            </w:r>
          </w:p>
          <w:p w14:paraId="13B45F36" w14:textId="77777777" w:rsidR="00804A46" w:rsidRDefault="00804A46" w:rsidP="00CA1A7A">
            <w:pPr>
              <w:spacing w:before="40" w:after="40"/>
              <w:ind w:left="691" w:hanging="403"/>
              <w:jc w:val="both"/>
              <w:rPr>
                <w:sz w:val="20"/>
                <w:szCs w:val="20"/>
              </w:rPr>
            </w:pPr>
            <w:r>
              <w:rPr>
                <w:sz w:val="20"/>
                <w:szCs w:val="20"/>
              </w:rPr>
              <w:t>8.</w:t>
            </w:r>
            <w:r>
              <w:rPr>
                <w:sz w:val="14"/>
                <w:szCs w:val="14"/>
              </w:rPr>
              <w:t xml:space="preserve">   </w:t>
            </w:r>
            <w:r>
              <w:rPr>
                <w:sz w:val="14"/>
                <w:szCs w:val="14"/>
              </w:rPr>
              <w:tab/>
            </w:r>
            <w:r>
              <w:rPr>
                <w:sz w:val="20"/>
                <w:szCs w:val="20"/>
              </w:rPr>
              <w:t xml:space="preserve">What are the internal and external factors that contribute to the ability of </w:t>
            </w:r>
            <w:proofErr w:type="spellStart"/>
            <w:r>
              <w:rPr>
                <w:sz w:val="20"/>
                <w:szCs w:val="20"/>
              </w:rPr>
              <w:t>AGaP</w:t>
            </w:r>
            <w:proofErr w:type="spellEnd"/>
            <w:r>
              <w:rPr>
                <w:sz w:val="20"/>
                <w:szCs w:val="20"/>
              </w:rPr>
              <w:t xml:space="preserve"> to </w:t>
            </w:r>
            <w:proofErr w:type="spellStart"/>
            <w:r>
              <w:rPr>
                <w:sz w:val="20"/>
                <w:szCs w:val="20"/>
              </w:rPr>
              <w:t>fulfill</w:t>
            </w:r>
            <w:proofErr w:type="spellEnd"/>
            <w:r>
              <w:rPr>
                <w:sz w:val="20"/>
                <w:szCs w:val="20"/>
              </w:rPr>
              <w:t xml:space="preserve"> its mandate, and how and to what extent have these factors contributed to this ability?</w:t>
            </w:r>
          </w:p>
          <w:p w14:paraId="09B565A0" w14:textId="77777777" w:rsidR="00804A46" w:rsidRDefault="00804A46" w:rsidP="00CA1A7A">
            <w:pPr>
              <w:spacing w:before="40" w:after="40"/>
              <w:ind w:left="691" w:hanging="403"/>
              <w:jc w:val="both"/>
              <w:rPr>
                <w:sz w:val="20"/>
                <w:szCs w:val="20"/>
              </w:rPr>
            </w:pPr>
            <w:r>
              <w:rPr>
                <w:sz w:val="20"/>
                <w:szCs w:val="20"/>
              </w:rPr>
              <w:t>9.</w:t>
            </w:r>
            <w:r>
              <w:rPr>
                <w:sz w:val="14"/>
                <w:szCs w:val="14"/>
              </w:rPr>
              <w:t xml:space="preserve">   </w:t>
            </w:r>
            <w:r>
              <w:rPr>
                <w:sz w:val="14"/>
                <w:szCs w:val="14"/>
              </w:rPr>
              <w:tab/>
            </w:r>
            <w:r>
              <w:rPr>
                <w:sz w:val="20"/>
                <w:szCs w:val="20"/>
              </w:rPr>
              <w:t xml:space="preserve">What, if any, positive or negative unintended effects resulted from </w:t>
            </w:r>
            <w:proofErr w:type="spellStart"/>
            <w:r>
              <w:rPr>
                <w:sz w:val="20"/>
                <w:szCs w:val="20"/>
              </w:rPr>
              <w:t>AGaP</w:t>
            </w:r>
            <w:proofErr w:type="spellEnd"/>
            <w:r>
              <w:rPr>
                <w:sz w:val="20"/>
                <w:szCs w:val="20"/>
              </w:rPr>
              <w:t xml:space="preserve"> activities?</w:t>
            </w:r>
          </w:p>
          <w:p w14:paraId="0F0857C9" w14:textId="77777777" w:rsidR="00804A46" w:rsidRDefault="00804A46" w:rsidP="00CA1A7A">
            <w:pPr>
              <w:spacing w:before="40" w:after="40"/>
              <w:ind w:left="691" w:hanging="403"/>
              <w:jc w:val="both"/>
              <w:rPr>
                <w:sz w:val="20"/>
                <w:szCs w:val="20"/>
              </w:rPr>
            </w:pPr>
            <w:r>
              <w:rPr>
                <w:sz w:val="20"/>
                <w:szCs w:val="20"/>
              </w:rPr>
              <w:t>10.</w:t>
            </w:r>
            <w:r>
              <w:rPr>
                <w:sz w:val="14"/>
                <w:szCs w:val="14"/>
              </w:rPr>
              <w:t xml:space="preserve"> </w:t>
            </w:r>
            <w:r>
              <w:rPr>
                <w:sz w:val="14"/>
                <w:szCs w:val="14"/>
              </w:rPr>
              <w:tab/>
            </w:r>
            <w:r>
              <w:rPr>
                <w:sz w:val="20"/>
                <w:szCs w:val="20"/>
              </w:rPr>
              <w:t xml:space="preserve">What is the perception of project task teams (both recipients of the grants, and others) on the added value of </w:t>
            </w:r>
            <w:proofErr w:type="spellStart"/>
            <w:r>
              <w:rPr>
                <w:sz w:val="20"/>
                <w:szCs w:val="20"/>
              </w:rPr>
              <w:t>AGaP</w:t>
            </w:r>
            <w:proofErr w:type="spellEnd"/>
            <w:r>
              <w:rPr>
                <w:sz w:val="20"/>
                <w:szCs w:val="20"/>
              </w:rPr>
              <w:t xml:space="preserve"> to their existing work?</w:t>
            </w:r>
          </w:p>
          <w:p w14:paraId="4E1C7763" w14:textId="77777777" w:rsidR="00804A46" w:rsidRDefault="00804A46" w:rsidP="00CA1A7A">
            <w:pPr>
              <w:spacing w:before="40" w:after="40"/>
              <w:ind w:left="691" w:hanging="403"/>
              <w:jc w:val="both"/>
              <w:rPr>
                <w:sz w:val="20"/>
                <w:szCs w:val="20"/>
              </w:rPr>
            </w:pPr>
            <w:r>
              <w:rPr>
                <w:sz w:val="20"/>
                <w:szCs w:val="20"/>
              </w:rPr>
              <w:lastRenderedPageBreak/>
              <w:t>11.</w:t>
            </w:r>
            <w:r>
              <w:rPr>
                <w:sz w:val="14"/>
                <w:szCs w:val="14"/>
              </w:rPr>
              <w:t xml:space="preserve"> </w:t>
            </w:r>
            <w:r>
              <w:rPr>
                <w:sz w:val="14"/>
                <w:szCs w:val="14"/>
              </w:rPr>
              <w:tab/>
            </w:r>
            <w:r>
              <w:rPr>
                <w:sz w:val="20"/>
                <w:szCs w:val="20"/>
              </w:rPr>
              <w:t>In what ways did the Trust Fund strengthen the partnership between DFAT and World Bank?</w:t>
            </w:r>
          </w:p>
          <w:p w14:paraId="351CE1BD" w14:textId="77777777" w:rsidR="00804A46" w:rsidRDefault="00804A46" w:rsidP="00CA1A7A">
            <w:pPr>
              <w:spacing w:before="40" w:after="40"/>
              <w:ind w:left="691" w:hanging="403"/>
              <w:jc w:val="both"/>
              <w:rPr>
                <w:sz w:val="20"/>
                <w:szCs w:val="20"/>
              </w:rPr>
            </w:pPr>
            <w:r>
              <w:rPr>
                <w:sz w:val="20"/>
                <w:szCs w:val="20"/>
              </w:rPr>
              <w:t>12.</w:t>
            </w:r>
            <w:r>
              <w:rPr>
                <w:sz w:val="14"/>
                <w:szCs w:val="14"/>
              </w:rPr>
              <w:t xml:space="preserve"> </w:t>
            </w:r>
            <w:r>
              <w:rPr>
                <w:sz w:val="14"/>
                <w:szCs w:val="14"/>
              </w:rPr>
              <w:tab/>
            </w:r>
            <w:r>
              <w:rPr>
                <w:sz w:val="20"/>
                <w:szCs w:val="20"/>
              </w:rPr>
              <w:t xml:space="preserve">Has the </w:t>
            </w:r>
            <w:proofErr w:type="spellStart"/>
            <w:r>
              <w:rPr>
                <w:sz w:val="20"/>
                <w:szCs w:val="20"/>
              </w:rPr>
              <w:t>AGaP</w:t>
            </w:r>
            <w:proofErr w:type="spellEnd"/>
            <w:r>
              <w:rPr>
                <w:sz w:val="20"/>
                <w:szCs w:val="20"/>
              </w:rPr>
              <w:t xml:space="preserve"> activities contributed to demonstrating satisfaction levels and/or behaviour changes among </w:t>
            </w:r>
            <w:proofErr w:type="spellStart"/>
            <w:r>
              <w:rPr>
                <w:sz w:val="20"/>
                <w:szCs w:val="20"/>
              </w:rPr>
              <w:t>GoP</w:t>
            </w:r>
            <w:proofErr w:type="spellEnd"/>
            <w:r>
              <w:rPr>
                <w:sz w:val="20"/>
                <w:szCs w:val="20"/>
              </w:rPr>
              <w:t xml:space="preserve"> beneficiaries?</w:t>
            </w:r>
          </w:p>
          <w:p w14:paraId="300CE228" w14:textId="77777777" w:rsidR="00804A46" w:rsidRDefault="00804A46" w:rsidP="00CA1A7A">
            <w:pPr>
              <w:spacing w:before="40" w:after="40"/>
              <w:ind w:left="691" w:hanging="403"/>
              <w:jc w:val="both"/>
            </w:pPr>
            <w:r>
              <w:rPr>
                <w:sz w:val="20"/>
                <w:szCs w:val="20"/>
              </w:rPr>
              <w:t>13.</w:t>
            </w:r>
            <w:r>
              <w:rPr>
                <w:sz w:val="14"/>
                <w:szCs w:val="14"/>
              </w:rPr>
              <w:t xml:space="preserve"> </w:t>
            </w:r>
            <w:r>
              <w:rPr>
                <w:sz w:val="14"/>
                <w:szCs w:val="14"/>
              </w:rPr>
              <w:tab/>
            </w:r>
            <w:r>
              <w:rPr>
                <w:sz w:val="20"/>
                <w:szCs w:val="20"/>
              </w:rPr>
              <w:t>How was policy dialogue used to influence the development agenda and supported the achievement of program outcomes?</w:t>
            </w:r>
          </w:p>
        </w:tc>
      </w:tr>
      <w:tr w:rsidR="00804A46" w14:paraId="51B159AE" w14:textId="77777777" w:rsidTr="004E7A65">
        <w:tc>
          <w:tcPr>
            <w:tcW w:w="2263" w:type="dxa"/>
          </w:tcPr>
          <w:p w14:paraId="17E6D917" w14:textId="77777777" w:rsidR="00804A46" w:rsidRDefault="00804A46" w:rsidP="00CA1A7A">
            <w:r>
              <w:rPr>
                <w:b/>
                <w:sz w:val="20"/>
                <w:szCs w:val="20"/>
              </w:rPr>
              <w:lastRenderedPageBreak/>
              <w:t xml:space="preserve">How has </w:t>
            </w:r>
            <w:proofErr w:type="spellStart"/>
            <w:r>
              <w:rPr>
                <w:b/>
                <w:sz w:val="20"/>
                <w:szCs w:val="20"/>
              </w:rPr>
              <w:t>AGaP</w:t>
            </w:r>
            <w:proofErr w:type="spellEnd"/>
            <w:r>
              <w:rPr>
                <w:b/>
                <w:sz w:val="20"/>
                <w:szCs w:val="20"/>
              </w:rPr>
              <w:t xml:space="preserve"> advanced gender equality goals?</w:t>
            </w:r>
          </w:p>
        </w:tc>
        <w:tc>
          <w:tcPr>
            <w:tcW w:w="6979" w:type="dxa"/>
          </w:tcPr>
          <w:p w14:paraId="0E23174F" w14:textId="77777777" w:rsidR="00804A46" w:rsidRDefault="00804A46" w:rsidP="00CA1A7A">
            <w:pPr>
              <w:spacing w:before="40" w:after="40"/>
              <w:ind w:left="691" w:hanging="403"/>
              <w:jc w:val="both"/>
              <w:rPr>
                <w:sz w:val="20"/>
                <w:szCs w:val="20"/>
              </w:rPr>
            </w:pPr>
            <w:r>
              <w:rPr>
                <w:sz w:val="20"/>
                <w:szCs w:val="20"/>
              </w:rPr>
              <w:t>14.</w:t>
            </w:r>
            <w:r>
              <w:rPr>
                <w:sz w:val="14"/>
                <w:szCs w:val="14"/>
              </w:rPr>
              <w:t xml:space="preserve"> </w:t>
            </w:r>
            <w:r>
              <w:rPr>
                <w:sz w:val="14"/>
                <w:szCs w:val="14"/>
              </w:rPr>
              <w:tab/>
            </w:r>
            <w:r>
              <w:rPr>
                <w:sz w:val="20"/>
                <w:szCs w:val="20"/>
              </w:rPr>
              <w:t xml:space="preserve">To what extent has the </w:t>
            </w:r>
            <w:proofErr w:type="spellStart"/>
            <w:r>
              <w:rPr>
                <w:sz w:val="20"/>
                <w:szCs w:val="20"/>
              </w:rPr>
              <w:t>AGaP</w:t>
            </w:r>
            <w:proofErr w:type="spellEnd"/>
            <w:r>
              <w:rPr>
                <w:sz w:val="20"/>
                <w:szCs w:val="20"/>
              </w:rPr>
              <w:t xml:space="preserve"> Trust Fund considered and tracked gender equality issues and risks, and the needs of women and men?</w:t>
            </w:r>
          </w:p>
          <w:p w14:paraId="7341DDE7" w14:textId="77777777" w:rsidR="00804A46" w:rsidRDefault="00804A46" w:rsidP="00CA1A7A">
            <w:pPr>
              <w:spacing w:before="40" w:after="40"/>
              <w:ind w:left="691" w:hanging="403"/>
              <w:jc w:val="both"/>
              <w:rPr>
                <w:sz w:val="20"/>
                <w:szCs w:val="20"/>
              </w:rPr>
            </w:pPr>
            <w:r>
              <w:rPr>
                <w:sz w:val="20"/>
                <w:szCs w:val="20"/>
              </w:rPr>
              <w:t>15.</w:t>
            </w:r>
            <w:r>
              <w:rPr>
                <w:sz w:val="14"/>
                <w:szCs w:val="14"/>
              </w:rPr>
              <w:t xml:space="preserve"> </w:t>
            </w:r>
            <w:r>
              <w:rPr>
                <w:sz w:val="14"/>
                <w:szCs w:val="14"/>
              </w:rPr>
              <w:tab/>
            </w:r>
            <w:r>
              <w:rPr>
                <w:sz w:val="20"/>
                <w:szCs w:val="20"/>
              </w:rPr>
              <w:t>How did analysis of gender equality gaps and opportunities inform or influence activities?</w:t>
            </w:r>
          </w:p>
          <w:p w14:paraId="40EAED90" w14:textId="77777777" w:rsidR="00804A46" w:rsidRDefault="00804A46" w:rsidP="00CA1A7A">
            <w:pPr>
              <w:spacing w:before="40" w:after="40"/>
              <w:ind w:left="691" w:hanging="403"/>
              <w:jc w:val="both"/>
              <w:rPr>
                <w:sz w:val="20"/>
                <w:szCs w:val="20"/>
              </w:rPr>
            </w:pPr>
            <w:r>
              <w:rPr>
                <w:sz w:val="20"/>
                <w:szCs w:val="20"/>
              </w:rPr>
              <w:t>16.</w:t>
            </w:r>
            <w:r>
              <w:rPr>
                <w:sz w:val="14"/>
                <w:szCs w:val="14"/>
              </w:rPr>
              <w:t xml:space="preserve"> </w:t>
            </w:r>
            <w:r>
              <w:rPr>
                <w:sz w:val="14"/>
                <w:szCs w:val="14"/>
              </w:rPr>
              <w:tab/>
            </w:r>
            <w:r>
              <w:rPr>
                <w:sz w:val="20"/>
                <w:szCs w:val="20"/>
              </w:rPr>
              <w:t>What progress was made in effectively implementing strategies to promote gender equality and women’s empowerment?</w:t>
            </w:r>
          </w:p>
          <w:p w14:paraId="0FA896E4" w14:textId="77777777" w:rsidR="00804A46" w:rsidRDefault="00804A46" w:rsidP="00CA1A7A">
            <w:pPr>
              <w:spacing w:before="40" w:after="40"/>
              <w:ind w:left="691" w:hanging="403"/>
              <w:jc w:val="both"/>
            </w:pPr>
            <w:r>
              <w:rPr>
                <w:sz w:val="20"/>
                <w:szCs w:val="20"/>
              </w:rPr>
              <w:t>17.</w:t>
            </w:r>
            <w:r>
              <w:rPr>
                <w:sz w:val="14"/>
                <w:szCs w:val="14"/>
              </w:rPr>
              <w:t xml:space="preserve"> </w:t>
            </w:r>
            <w:r>
              <w:rPr>
                <w:sz w:val="14"/>
                <w:szCs w:val="14"/>
              </w:rPr>
              <w:tab/>
            </w:r>
            <w:r>
              <w:rPr>
                <w:sz w:val="20"/>
                <w:szCs w:val="20"/>
              </w:rPr>
              <w:t>How has the program contributed to promoting gender equality in World Bank policies and processes?</w:t>
            </w:r>
          </w:p>
        </w:tc>
      </w:tr>
      <w:tr w:rsidR="00804A46" w14:paraId="47069A76" w14:textId="77777777" w:rsidTr="004E7A65">
        <w:tc>
          <w:tcPr>
            <w:tcW w:w="2263" w:type="dxa"/>
          </w:tcPr>
          <w:p w14:paraId="1BCA5289" w14:textId="77777777" w:rsidR="00804A46" w:rsidRDefault="00804A46" w:rsidP="00CA1A7A">
            <w:r>
              <w:rPr>
                <w:b/>
                <w:sz w:val="20"/>
                <w:szCs w:val="20"/>
              </w:rPr>
              <w:t xml:space="preserve">How has </w:t>
            </w:r>
            <w:proofErr w:type="spellStart"/>
            <w:r>
              <w:rPr>
                <w:b/>
                <w:sz w:val="20"/>
                <w:szCs w:val="20"/>
              </w:rPr>
              <w:t>AGaP</w:t>
            </w:r>
            <w:proofErr w:type="spellEnd"/>
            <w:r>
              <w:rPr>
                <w:b/>
                <w:sz w:val="20"/>
                <w:szCs w:val="20"/>
              </w:rPr>
              <w:t xml:space="preserve"> considered the needs of people living with disabilities?</w:t>
            </w:r>
          </w:p>
        </w:tc>
        <w:tc>
          <w:tcPr>
            <w:tcW w:w="6979" w:type="dxa"/>
          </w:tcPr>
          <w:p w14:paraId="3BCD21F2" w14:textId="77777777" w:rsidR="00804A46" w:rsidRDefault="00804A46" w:rsidP="00CA1A7A">
            <w:pPr>
              <w:spacing w:before="40" w:after="40"/>
              <w:ind w:left="691" w:hanging="403"/>
              <w:jc w:val="both"/>
              <w:rPr>
                <w:sz w:val="20"/>
                <w:szCs w:val="20"/>
              </w:rPr>
            </w:pPr>
            <w:r>
              <w:rPr>
                <w:sz w:val="20"/>
                <w:szCs w:val="20"/>
              </w:rPr>
              <w:t>18.</w:t>
            </w:r>
            <w:r>
              <w:rPr>
                <w:sz w:val="14"/>
                <w:szCs w:val="14"/>
              </w:rPr>
              <w:t xml:space="preserve"> </w:t>
            </w:r>
            <w:r>
              <w:rPr>
                <w:sz w:val="14"/>
                <w:szCs w:val="14"/>
              </w:rPr>
              <w:tab/>
            </w:r>
            <w:r>
              <w:rPr>
                <w:sz w:val="20"/>
                <w:szCs w:val="20"/>
              </w:rPr>
              <w:t>How did the activities consider people with disabilities in planning and implementation?</w:t>
            </w:r>
          </w:p>
          <w:p w14:paraId="479C0207" w14:textId="77777777" w:rsidR="00804A46" w:rsidRDefault="00804A46" w:rsidP="00CA1A7A">
            <w:pPr>
              <w:spacing w:before="40" w:after="40"/>
              <w:ind w:left="691" w:hanging="403"/>
              <w:jc w:val="both"/>
            </w:pPr>
            <w:r>
              <w:rPr>
                <w:sz w:val="20"/>
                <w:szCs w:val="20"/>
              </w:rPr>
              <w:t xml:space="preserve">19. </w:t>
            </w:r>
            <w:r w:rsidRPr="00493ABD">
              <w:rPr>
                <w:sz w:val="20"/>
                <w:szCs w:val="20"/>
              </w:rPr>
              <w:t xml:space="preserve">To what extent has the </w:t>
            </w:r>
            <w:proofErr w:type="spellStart"/>
            <w:r>
              <w:rPr>
                <w:sz w:val="20"/>
                <w:szCs w:val="20"/>
              </w:rPr>
              <w:t>AGaP</w:t>
            </w:r>
            <w:proofErr w:type="spellEnd"/>
            <w:r w:rsidRPr="00493ABD">
              <w:rPr>
                <w:sz w:val="20"/>
                <w:szCs w:val="20"/>
              </w:rPr>
              <w:t xml:space="preserve"> Trust Fund considered</w:t>
            </w:r>
            <w:r>
              <w:rPr>
                <w:sz w:val="20"/>
                <w:szCs w:val="20"/>
              </w:rPr>
              <w:t xml:space="preserve">, </w:t>
            </w:r>
            <w:r w:rsidRPr="00493ABD">
              <w:rPr>
                <w:sz w:val="20"/>
                <w:szCs w:val="20"/>
              </w:rPr>
              <w:t xml:space="preserve">tracked, </w:t>
            </w:r>
            <w:r>
              <w:rPr>
                <w:sz w:val="20"/>
                <w:szCs w:val="20"/>
              </w:rPr>
              <w:t>and addressed issues of people with disabilities</w:t>
            </w:r>
            <w:r w:rsidRPr="00493ABD">
              <w:rPr>
                <w:sz w:val="20"/>
                <w:szCs w:val="20"/>
              </w:rPr>
              <w:t>?</w:t>
            </w:r>
            <w:r>
              <w:rPr>
                <w:sz w:val="20"/>
                <w:szCs w:val="20"/>
              </w:rPr>
              <w:t xml:space="preserve"> </w:t>
            </w:r>
          </w:p>
        </w:tc>
      </w:tr>
      <w:tr w:rsidR="00804A46" w14:paraId="2AD42D7F" w14:textId="77777777" w:rsidTr="004E7A65">
        <w:tc>
          <w:tcPr>
            <w:tcW w:w="2263" w:type="dxa"/>
          </w:tcPr>
          <w:p w14:paraId="63608B7D" w14:textId="77777777" w:rsidR="00804A46" w:rsidRDefault="00804A46" w:rsidP="00CA1A7A">
            <w:r>
              <w:rPr>
                <w:b/>
                <w:sz w:val="20"/>
                <w:szCs w:val="20"/>
              </w:rPr>
              <w:t>How did M&amp;E inform strategic decisions?</w:t>
            </w:r>
          </w:p>
        </w:tc>
        <w:tc>
          <w:tcPr>
            <w:tcW w:w="6979" w:type="dxa"/>
          </w:tcPr>
          <w:p w14:paraId="09D42676" w14:textId="77777777" w:rsidR="00804A46" w:rsidRDefault="00804A46" w:rsidP="00CA1A7A">
            <w:r>
              <w:rPr>
                <w:sz w:val="20"/>
                <w:szCs w:val="20"/>
              </w:rPr>
              <w:t>20.</w:t>
            </w:r>
            <w:r>
              <w:rPr>
                <w:sz w:val="14"/>
                <w:szCs w:val="14"/>
              </w:rPr>
              <w:t xml:space="preserve"> </w:t>
            </w:r>
            <w:r>
              <w:rPr>
                <w:sz w:val="14"/>
                <w:szCs w:val="14"/>
              </w:rPr>
              <w:tab/>
            </w:r>
            <w:r>
              <w:rPr>
                <w:sz w:val="20"/>
                <w:szCs w:val="20"/>
              </w:rPr>
              <w:t>Was the Trust Fund M&amp;E system designed, implemented, and resourced sufficiently to monitor and evaluate all components of the Trust Fund?</w:t>
            </w:r>
          </w:p>
        </w:tc>
      </w:tr>
      <w:tr w:rsidR="00804A46" w14:paraId="4BEF681A" w14:textId="77777777" w:rsidTr="004E7A65">
        <w:tc>
          <w:tcPr>
            <w:tcW w:w="2263" w:type="dxa"/>
          </w:tcPr>
          <w:p w14:paraId="28E2368F" w14:textId="77777777" w:rsidR="00804A46" w:rsidRDefault="00804A46" w:rsidP="00CA1A7A">
            <w:pPr>
              <w:spacing w:before="40" w:after="40"/>
              <w:ind w:left="144"/>
              <w:rPr>
                <w:b/>
                <w:sz w:val="20"/>
                <w:szCs w:val="20"/>
              </w:rPr>
            </w:pPr>
            <w:r>
              <w:rPr>
                <w:b/>
                <w:sz w:val="20"/>
                <w:szCs w:val="20"/>
              </w:rPr>
              <w:t>Were risks anticipated and mitigated with safeguards?</w:t>
            </w:r>
          </w:p>
          <w:p w14:paraId="0953C220" w14:textId="77777777" w:rsidR="00804A46" w:rsidRDefault="00804A46" w:rsidP="00CA1A7A">
            <w:r>
              <w:rPr>
                <w:b/>
                <w:sz w:val="20"/>
                <w:szCs w:val="20"/>
              </w:rPr>
              <w:t xml:space="preserve"> </w:t>
            </w:r>
          </w:p>
        </w:tc>
        <w:tc>
          <w:tcPr>
            <w:tcW w:w="6979" w:type="dxa"/>
          </w:tcPr>
          <w:p w14:paraId="6D4B059C" w14:textId="77777777" w:rsidR="00804A46" w:rsidRDefault="00804A46" w:rsidP="00CA1A7A">
            <w:pPr>
              <w:spacing w:before="40" w:after="40"/>
              <w:ind w:left="691" w:hanging="403"/>
              <w:jc w:val="both"/>
              <w:rPr>
                <w:sz w:val="20"/>
                <w:szCs w:val="20"/>
              </w:rPr>
            </w:pPr>
            <w:r>
              <w:rPr>
                <w:sz w:val="20"/>
                <w:szCs w:val="20"/>
              </w:rPr>
              <w:t>21.</w:t>
            </w:r>
            <w:r>
              <w:rPr>
                <w:sz w:val="14"/>
                <w:szCs w:val="14"/>
              </w:rPr>
              <w:t xml:space="preserve"> </w:t>
            </w:r>
            <w:r>
              <w:rPr>
                <w:sz w:val="14"/>
                <w:szCs w:val="14"/>
              </w:rPr>
              <w:tab/>
            </w:r>
            <w:r>
              <w:rPr>
                <w:sz w:val="20"/>
                <w:szCs w:val="20"/>
              </w:rPr>
              <w:t>How well do the Trust Fund operations adhere to World Bank safeguards and what can be enhanced?</w:t>
            </w:r>
          </w:p>
          <w:p w14:paraId="72233684" w14:textId="77777777" w:rsidR="00804A46" w:rsidRDefault="00804A46" w:rsidP="00CA1A7A">
            <w:pPr>
              <w:spacing w:before="40" w:after="40"/>
              <w:ind w:left="691" w:hanging="403"/>
              <w:jc w:val="both"/>
            </w:pPr>
            <w:r>
              <w:rPr>
                <w:sz w:val="20"/>
                <w:szCs w:val="20"/>
              </w:rPr>
              <w:t>22.</w:t>
            </w:r>
            <w:r>
              <w:rPr>
                <w:sz w:val="14"/>
                <w:szCs w:val="14"/>
              </w:rPr>
              <w:t xml:space="preserve"> </w:t>
            </w:r>
            <w:r>
              <w:rPr>
                <w:sz w:val="14"/>
                <w:szCs w:val="14"/>
              </w:rPr>
              <w:tab/>
            </w:r>
            <w:r>
              <w:rPr>
                <w:sz w:val="20"/>
                <w:szCs w:val="20"/>
              </w:rPr>
              <w:t>Is there active management of risks in relation to the achievement of the intended outcomes, to avoid negative impacts on people, the environment, and resources?</w:t>
            </w:r>
          </w:p>
        </w:tc>
      </w:tr>
      <w:tr w:rsidR="00804A46" w14:paraId="3982FD27" w14:textId="77777777" w:rsidTr="004E7A65">
        <w:tc>
          <w:tcPr>
            <w:tcW w:w="2263" w:type="dxa"/>
          </w:tcPr>
          <w:p w14:paraId="3A799AEB" w14:textId="77777777" w:rsidR="00804A46" w:rsidRDefault="00804A46" w:rsidP="00CA1A7A">
            <w:pPr>
              <w:spacing w:before="40" w:after="40"/>
              <w:ind w:left="144"/>
              <w:rPr>
                <w:b/>
                <w:sz w:val="20"/>
                <w:szCs w:val="20"/>
              </w:rPr>
            </w:pPr>
            <w:r>
              <w:rPr>
                <w:b/>
                <w:sz w:val="20"/>
                <w:szCs w:val="20"/>
              </w:rPr>
              <w:t>How will the impacts be sustained beyond the life of the program?</w:t>
            </w:r>
          </w:p>
        </w:tc>
        <w:tc>
          <w:tcPr>
            <w:tcW w:w="6979" w:type="dxa"/>
          </w:tcPr>
          <w:p w14:paraId="6638EB4E" w14:textId="77777777" w:rsidR="00804A46" w:rsidRDefault="00804A46" w:rsidP="00CA1A7A">
            <w:pPr>
              <w:spacing w:before="40" w:after="40"/>
              <w:ind w:left="691" w:hanging="403"/>
              <w:jc w:val="both"/>
              <w:rPr>
                <w:sz w:val="20"/>
                <w:szCs w:val="20"/>
              </w:rPr>
            </w:pPr>
            <w:r>
              <w:rPr>
                <w:sz w:val="20"/>
                <w:szCs w:val="20"/>
              </w:rPr>
              <w:t>23.</w:t>
            </w:r>
            <w:r>
              <w:rPr>
                <w:sz w:val="14"/>
                <w:szCs w:val="14"/>
              </w:rPr>
              <w:t xml:space="preserve"> </w:t>
            </w:r>
            <w:r>
              <w:rPr>
                <w:sz w:val="14"/>
                <w:szCs w:val="14"/>
              </w:rPr>
              <w:tab/>
            </w:r>
            <w:r>
              <w:rPr>
                <w:sz w:val="20"/>
                <w:szCs w:val="20"/>
              </w:rPr>
              <w:t xml:space="preserve">How have </w:t>
            </w:r>
            <w:proofErr w:type="spellStart"/>
            <w:r>
              <w:rPr>
                <w:sz w:val="20"/>
                <w:szCs w:val="20"/>
              </w:rPr>
              <w:t>AGaP</w:t>
            </w:r>
            <w:proofErr w:type="spellEnd"/>
            <w:r>
              <w:rPr>
                <w:sz w:val="20"/>
                <w:szCs w:val="20"/>
              </w:rPr>
              <w:t xml:space="preserve"> government partners demonstrated ownership of </w:t>
            </w:r>
            <w:proofErr w:type="spellStart"/>
            <w:r>
              <w:rPr>
                <w:sz w:val="20"/>
                <w:szCs w:val="20"/>
              </w:rPr>
              <w:t>AGaP</w:t>
            </w:r>
            <w:proofErr w:type="spellEnd"/>
            <w:r>
              <w:rPr>
                <w:sz w:val="20"/>
                <w:szCs w:val="20"/>
              </w:rPr>
              <w:t xml:space="preserve"> outputs?</w:t>
            </w:r>
          </w:p>
          <w:p w14:paraId="30A8098C" w14:textId="77777777" w:rsidR="00804A46" w:rsidRDefault="00804A46" w:rsidP="00CA1A7A">
            <w:pPr>
              <w:spacing w:before="40" w:after="40"/>
              <w:ind w:left="691" w:hanging="403"/>
              <w:jc w:val="both"/>
              <w:rPr>
                <w:sz w:val="20"/>
                <w:szCs w:val="20"/>
              </w:rPr>
            </w:pPr>
            <w:r>
              <w:rPr>
                <w:sz w:val="20"/>
                <w:szCs w:val="20"/>
              </w:rPr>
              <w:t>24.</w:t>
            </w:r>
            <w:r>
              <w:rPr>
                <w:sz w:val="14"/>
                <w:szCs w:val="14"/>
              </w:rPr>
              <w:t xml:space="preserve"> </w:t>
            </w:r>
            <w:r>
              <w:rPr>
                <w:sz w:val="14"/>
                <w:szCs w:val="14"/>
              </w:rPr>
              <w:tab/>
            </w:r>
            <w:r>
              <w:rPr>
                <w:sz w:val="20"/>
                <w:szCs w:val="20"/>
              </w:rPr>
              <w:t xml:space="preserve">Knowledge sharing: how well were successes and lessons learned shared? What more could be done to share the outcomes of the Trust Fund activities?  </w:t>
            </w:r>
          </w:p>
        </w:tc>
      </w:tr>
    </w:tbl>
    <w:p w14:paraId="49724AEB" w14:textId="77777777" w:rsidR="00804A46" w:rsidRPr="00804A46" w:rsidRDefault="00804A46" w:rsidP="00804A46">
      <w:pPr>
        <w:rPr>
          <w:rFonts w:ascii="Calibri" w:eastAsia="Calibri" w:hAnsi="Calibri" w:cs="Calibri"/>
          <w:b/>
        </w:rPr>
      </w:pPr>
    </w:p>
    <w:p w14:paraId="06C0AE4D" w14:textId="77777777" w:rsidR="006C2529" w:rsidRDefault="006C2529">
      <w:pPr>
        <w:spacing w:before="0"/>
        <w:rPr>
          <w:rFonts w:asciiTheme="majorHAnsi" w:eastAsiaTheme="majorEastAsia" w:hAnsiTheme="majorHAnsi" w:cstheme="majorBidi"/>
          <w:i/>
          <w:iCs/>
          <w:color w:val="2F5496" w:themeColor="accent1" w:themeShade="BF"/>
        </w:rPr>
      </w:pPr>
      <w:r>
        <w:br w:type="page"/>
      </w:r>
    </w:p>
    <w:p w14:paraId="67D317EB" w14:textId="55039D91" w:rsidR="00225D7B" w:rsidRDefault="00225D7B" w:rsidP="00CE59F1">
      <w:pPr>
        <w:pStyle w:val="Heading4"/>
      </w:pPr>
      <w:r>
        <w:lastRenderedPageBreak/>
        <w:t>Methodology</w:t>
      </w:r>
      <w:bookmarkEnd w:id="36"/>
    </w:p>
    <w:p w14:paraId="2849919A" w14:textId="77777777" w:rsidR="00225D7B" w:rsidRDefault="00225D7B" w:rsidP="00225D7B">
      <w:pPr>
        <w:rPr>
          <w:rFonts w:ascii="Calibri" w:eastAsia="Calibri" w:hAnsi="Calibri" w:cs="Calibri"/>
        </w:rPr>
      </w:pPr>
      <w:r>
        <w:rPr>
          <w:rFonts w:ascii="Calibri" w:eastAsia="Calibri" w:hAnsi="Calibri" w:cs="Calibri"/>
        </w:rPr>
        <w:t xml:space="preserve">The evaluation will use a mixed methods approach to analyse quantitative and qualitative data to inform judgements on the key evaluation questions. Methods will include extensive document and data analysis, complemented by stakeholder interviews. Information will be triangulated and validated, and data quality will be assessed and described in a transparent manner (this includes assessing strengths and weaknesses of sources of information). Assessments shall be made on factual findings, and findings shall be based on reliable and credible data and observations. Data will be disaggregated by sex, age, and disability where possible. </w:t>
      </w:r>
    </w:p>
    <w:p w14:paraId="69E8C8B6" w14:textId="4D909175" w:rsidR="00225D7B" w:rsidRDefault="00225D7B" w:rsidP="00CE59F1">
      <w:pPr>
        <w:spacing w:after="240"/>
        <w:rPr>
          <w:rFonts w:ascii="Calibri" w:eastAsia="Calibri" w:hAnsi="Calibri" w:cs="Calibri"/>
        </w:rPr>
      </w:pPr>
      <w:r>
        <w:rPr>
          <w:rFonts w:ascii="Calibri" w:eastAsia="Calibri" w:hAnsi="Calibri" w:cs="Calibri"/>
        </w:rPr>
        <w:t xml:space="preserve">Assessments shall include gender, disability, poverty reduction, indigenous issues, and other equity considerations as cross-cutting issues in the analytical approaches of proposed methodologies. The review shall be based on the </w:t>
      </w:r>
      <w:proofErr w:type="spellStart"/>
      <w:r w:rsidR="007628AF">
        <w:rPr>
          <w:rFonts w:ascii="Calibri" w:eastAsia="Calibri" w:hAnsi="Calibri" w:cs="Calibri"/>
        </w:rPr>
        <w:t>AGaP</w:t>
      </w:r>
      <w:proofErr w:type="spellEnd"/>
      <w:r>
        <w:rPr>
          <w:rFonts w:ascii="Calibri" w:eastAsia="Calibri" w:hAnsi="Calibri" w:cs="Calibri"/>
        </w:rPr>
        <w:t xml:space="preserve"> results framework with objective hierarchy, explicitly linking inputs, activities, and results, and identifying factors influencing successful outputs and outcomes within a range of contexts and factors that inhibit achievement of stated objectives. This will provide a framework for assessing the efficiency and effectiveness of </w:t>
      </w:r>
      <w:proofErr w:type="spellStart"/>
      <w:r w:rsidR="007628AF">
        <w:rPr>
          <w:rFonts w:ascii="Calibri" w:eastAsia="Calibri" w:hAnsi="Calibri" w:cs="Calibri"/>
        </w:rPr>
        <w:t>AGaP</w:t>
      </w:r>
      <w:r>
        <w:rPr>
          <w:rFonts w:ascii="Calibri" w:eastAsia="Calibri" w:hAnsi="Calibri" w:cs="Calibri"/>
        </w:rPr>
        <w:t>’s</w:t>
      </w:r>
      <w:proofErr w:type="spellEnd"/>
      <w:r>
        <w:rPr>
          <w:rFonts w:ascii="Calibri" w:eastAsia="Calibri" w:hAnsi="Calibri" w:cs="Calibri"/>
        </w:rPr>
        <w:t xml:space="preserve"> work and will provide guidance and recommendations for a future trust fund phase.</w:t>
      </w:r>
    </w:p>
    <w:p w14:paraId="2268DDD6" w14:textId="77777777" w:rsidR="00225D7B" w:rsidRPr="00F8284E" w:rsidRDefault="00225D7B" w:rsidP="00CE59F1">
      <w:pPr>
        <w:pStyle w:val="Heading4"/>
      </w:pPr>
      <w:bookmarkStart w:id="37" w:name="_Toc107170754"/>
      <w:r w:rsidRPr="00F8284E">
        <w:t>Sampling</w:t>
      </w:r>
      <w:bookmarkEnd w:id="37"/>
      <w:r w:rsidRPr="00F8284E">
        <w:tab/>
      </w:r>
    </w:p>
    <w:p w14:paraId="2C132DEA" w14:textId="3E291629" w:rsidR="00225D7B" w:rsidRDefault="00225D7B" w:rsidP="00CE59F1">
      <w:pPr>
        <w:spacing w:after="240"/>
        <w:rPr>
          <w:rFonts w:ascii="Calibri" w:eastAsia="Calibri" w:hAnsi="Calibri" w:cs="Calibri"/>
        </w:rPr>
      </w:pPr>
      <w:r>
        <w:rPr>
          <w:rFonts w:ascii="Calibri" w:eastAsia="Calibri" w:hAnsi="Calibri" w:cs="Calibri"/>
        </w:rPr>
        <w:t xml:space="preserve">The </w:t>
      </w:r>
      <w:hyperlink r:id="rId13" w:history="1">
        <w:r w:rsidRPr="009D3888">
          <w:rPr>
            <w:rStyle w:val="Hyperlink"/>
            <w:rFonts w:ascii="Calibri" w:eastAsia="Calibri" w:hAnsi="Calibri" w:cs="Calibri"/>
          </w:rPr>
          <w:t>DFAT Monitoring and Evaluation standards</w:t>
        </w:r>
      </w:hyperlink>
      <w:r>
        <w:rPr>
          <w:rFonts w:ascii="Calibri" w:eastAsia="Calibri" w:hAnsi="Calibri" w:cs="Calibri"/>
        </w:rPr>
        <w:t xml:space="preserve"> recommend that for short reviews that rely on analytical rather than statistical inference, purposeful sampling is appropriate</w:t>
      </w:r>
      <w:r w:rsidDel="007E66C7">
        <w:rPr>
          <w:rFonts w:ascii="Calibri" w:eastAsia="Calibri" w:hAnsi="Calibri" w:cs="Calibri"/>
        </w:rPr>
        <w:t xml:space="preserve">. </w:t>
      </w:r>
      <w:r>
        <w:rPr>
          <w:rFonts w:ascii="Calibri" w:eastAsia="Calibri" w:hAnsi="Calibri" w:cs="Calibri"/>
        </w:rPr>
        <w:t xml:space="preserve">There are </w:t>
      </w:r>
      <w:r w:rsidR="00D21B9C">
        <w:rPr>
          <w:rFonts w:ascii="Calibri" w:eastAsia="Calibri" w:hAnsi="Calibri" w:cs="Calibri"/>
        </w:rPr>
        <w:t>many ways</w:t>
      </w:r>
      <w:r>
        <w:rPr>
          <w:rFonts w:ascii="Calibri" w:eastAsia="Calibri" w:hAnsi="Calibri" w:cs="Calibri"/>
        </w:rPr>
        <w:t xml:space="preserve"> of doing this depending on the nature of the program being evaluated and in the case of </w:t>
      </w:r>
      <w:proofErr w:type="spellStart"/>
      <w:r w:rsidR="007628AF">
        <w:rPr>
          <w:rFonts w:ascii="Calibri" w:eastAsia="Calibri" w:hAnsi="Calibri" w:cs="Calibri"/>
        </w:rPr>
        <w:t>AGaP</w:t>
      </w:r>
      <w:proofErr w:type="spellEnd"/>
      <w:r>
        <w:rPr>
          <w:rFonts w:ascii="Calibri" w:eastAsia="Calibri" w:hAnsi="Calibri" w:cs="Calibri"/>
        </w:rPr>
        <w:t xml:space="preserve">, critical case sampling is an appropriate approach. The objective of critical case sampling is to permit logical generalization and maximum application of information because if it is true in this one case, it is likely to be true of all other cases. </w:t>
      </w:r>
    </w:p>
    <w:p w14:paraId="76D5354F" w14:textId="77777777" w:rsidR="00225D7B" w:rsidRPr="00F8284E" w:rsidRDefault="00225D7B" w:rsidP="00CE59F1">
      <w:pPr>
        <w:pStyle w:val="Heading4"/>
      </w:pPr>
      <w:bookmarkStart w:id="38" w:name="_Toc107170755"/>
      <w:r w:rsidRPr="00F8284E">
        <w:t xml:space="preserve">Ethical </w:t>
      </w:r>
      <w:r>
        <w:t>c</w:t>
      </w:r>
      <w:r w:rsidRPr="00F8284E">
        <w:t>onsiderations</w:t>
      </w:r>
      <w:bookmarkEnd w:id="38"/>
      <w:r w:rsidRPr="00F8284E">
        <w:tab/>
      </w:r>
    </w:p>
    <w:p w14:paraId="60E8C876" w14:textId="37D8392E" w:rsidR="00225D7B" w:rsidRDefault="00225D7B" w:rsidP="00225D7B">
      <w:pPr>
        <w:rPr>
          <w:rFonts w:ascii="Calibri" w:eastAsia="Calibri" w:hAnsi="Calibri" w:cs="Calibri"/>
        </w:rPr>
      </w:pPr>
      <w:r>
        <w:rPr>
          <w:rFonts w:ascii="Calibri" w:eastAsia="Calibri" w:hAnsi="Calibri" w:cs="Calibri"/>
        </w:rPr>
        <w:t>The midterm evaluation will be guided by the Australian Evaluation Society Guidelines for the Ethical Conduct of Evaluations.</w:t>
      </w:r>
      <w:r>
        <w:rPr>
          <w:rFonts w:ascii="Calibri" w:eastAsia="Calibri" w:hAnsi="Calibri" w:cs="Calibri"/>
          <w:vertAlign w:val="superscript"/>
        </w:rPr>
        <w:footnoteReference w:id="39"/>
      </w:r>
      <w:r>
        <w:rPr>
          <w:rFonts w:ascii="Calibri" w:eastAsia="Calibri" w:hAnsi="Calibri" w:cs="Calibri"/>
        </w:rPr>
        <w:t xml:space="preserve">  Throughout all phases of the evaluation, the team will apply DFAT’s Ethical Research and Evaluation Guidance and will act in accordance with these ethical principles.</w:t>
      </w:r>
      <w:r>
        <w:rPr>
          <w:rFonts w:ascii="Calibri" w:eastAsia="Calibri" w:hAnsi="Calibri" w:cs="Calibri"/>
          <w:vertAlign w:val="superscript"/>
        </w:rPr>
        <w:footnoteReference w:id="40"/>
      </w:r>
      <w:r>
        <w:rPr>
          <w:rFonts w:ascii="Calibri" w:eastAsia="Calibri" w:hAnsi="Calibri" w:cs="Calibri"/>
        </w:rPr>
        <w:t xml:space="preserve">  During data collection, participants will be fully informed of the purpose and use of the review, and informed consent will be obtained before proceeding. Participants will have the option to skip over any questions they do not feel comfortable answering and will be allowed to withdraw from the interview at any time. Where possible using local engaged staff to assist in-country research, it is hoped that any cultural, language or perceived power differences between the review team and participants will be minimised.</w:t>
      </w:r>
    </w:p>
    <w:p w14:paraId="2C7CAC25" w14:textId="2623EFD7" w:rsidR="00225D7B" w:rsidRDefault="00225D7B" w:rsidP="00225D7B">
      <w:pPr>
        <w:rPr>
          <w:rFonts w:ascii="Calibri" w:eastAsia="Calibri" w:hAnsi="Calibri" w:cs="Calibri"/>
        </w:rPr>
      </w:pPr>
      <w:r>
        <w:rPr>
          <w:rFonts w:ascii="Calibri" w:eastAsia="Calibri" w:hAnsi="Calibri" w:cs="Calibri"/>
        </w:rPr>
        <w:t>Most</w:t>
      </w:r>
      <w:r w:rsidRPr="007D5841">
        <w:rPr>
          <w:rFonts w:ascii="Calibri" w:eastAsia="Calibri" w:hAnsi="Calibri" w:cs="Calibri"/>
        </w:rPr>
        <w:t xml:space="preserve"> meetings will be </w:t>
      </w:r>
      <w:proofErr w:type="gramStart"/>
      <w:r w:rsidRPr="007D5841">
        <w:rPr>
          <w:rFonts w:ascii="Calibri" w:eastAsia="Calibri" w:hAnsi="Calibri" w:cs="Calibri"/>
        </w:rPr>
        <w:t>virtual</w:t>
      </w:r>
      <w:proofErr w:type="gramEnd"/>
      <w:r>
        <w:rPr>
          <w:rFonts w:ascii="Calibri" w:eastAsia="Calibri" w:hAnsi="Calibri" w:cs="Calibri"/>
        </w:rPr>
        <w:t xml:space="preserve"> and the evaluation team will request permission to record interviews to complement </w:t>
      </w:r>
      <w:r w:rsidR="00777C9A">
        <w:rPr>
          <w:rFonts w:ascii="Calibri" w:eastAsia="Calibri" w:hAnsi="Calibri" w:cs="Calibri"/>
        </w:rPr>
        <w:t>notetaking</w:t>
      </w:r>
      <w:r>
        <w:rPr>
          <w:rFonts w:ascii="Calibri" w:eastAsia="Calibri" w:hAnsi="Calibri" w:cs="Calibri"/>
        </w:rPr>
        <w:t>. Where a virtual meeting is not possible, it may be held in person with the in-country member of the evaluation team. The recorded interviews will only be used for the purpose of the evaluation and will remain confidential. If a participant does not feel comfortable with the interview being recorded, no recording will be made.</w:t>
      </w:r>
    </w:p>
    <w:p w14:paraId="45E4D6F1" w14:textId="6228F379" w:rsidR="00225D7B" w:rsidRDefault="00225D7B" w:rsidP="00225D7B">
      <w:pPr>
        <w:rPr>
          <w:rFonts w:ascii="Calibri" w:eastAsia="Calibri" w:hAnsi="Calibri" w:cs="Calibri"/>
        </w:rPr>
      </w:pPr>
      <w:r>
        <w:rPr>
          <w:rFonts w:ascii="Calibri" w:eastAsia="Calibri" w:hAnsi="Calibri" w:cs="Calibri"/>
        </w:rPr>
        <w:t>Due to the relatively small number of activities and participants, there is a risk that the identity of individual interviewees could be deduced by some readers of the report</w:t>
      </w:r>
      <w:r w:rsidDel="007E66C7">
        <w:rPr>
          <w:rFonts w:ascii="Calibri" w:eastAsia="Calibri" w:hAnsi="Calibri" w:cs="Calibri"/>
        </w:rPr>
        <w:t xml:space="preserve">. </w:t>
      </w:r>
      <w:r>
        <w:rPr>
          <w:rFonts w:ascii="Calibri" w:eastAsia="Calibri" w:hAnsi="Calibri" w:cs="Calibri"/>
        </w:rPr>
        <w:t>The report will take steps to ensure anonymity for respondents:</w:t>
      </w:r>
    </w:p>
    <w:p w14:paraId="7716AAAC" w14:textId="77777777" w:rsidR="00225D7B" w:rsidRPr="00541494" w:rsidRDefault="00225D7B" w:rsidP="0089441D">
      <w:pPr>
        <w:pStyle w:val="ListParagraph"/>
        <w:numPr>
          <w:ilvl w:val="0"/>
          <w:numId w:val="2"/>
        </w:numPr>
        <w:suppressAutoHyphens w:val="0"/>
        <w:spacing w:before="0" w:after="0" w:line="276" w:lineRule="auto"/>
        <w:rPr>
          <w:rFonts w:ascii="Calibri" w:eastAsia="Calibri" w:hAnsi="Calibri" w:cs="Calibri"/>
        </w:rPr>
      </w:pPr>
      <w:r w:rsidRPr="00541494">
        <w:rPr>
          <w:rFonts w:ascii="Calibri" w:eastAsia="Calibri" w:hAnsi="Calibri" w:cs="Calibri"/>
        </w:rPr>
        <w:lastRenderedPageBreak/>
        <w:t xml:space="preserve">Generalizing statements and analysis so as not to identify respondents or organisations directly in the </w:t>
      </w:r>
      <w:proofErr w:type="gramStart"/>
      <w:r w:rsidRPr="00541494">
        <w:rPr>
          <w:rFonts w:ascii="Calibri" w:eastAsia="Calibri" w:hAnsi="Calibri" w:cs="Calibri"/>
        </w:rPr>
        <w:t>analysis;</w:t>
      </w:r>
      <w:proofErr w:type="gramEnd"/>
    </w:p>
    <w:p w14:paraId="3B9E817F" w14:textId="77777777" w:rsidR="00225D7B" w:rsidRPr="00541494" w:rsidRDefault="00225D7B" w:rsidP="0089441D">
      <w:pPr>
        <w:pStyle w:val="ListParagraph"/>
        <w:numPr>
          <w:ilvl w:val="0"/>
          <w:numId w:val="2"/>
        </w:numPr>
        <w:suppressAutoHyphens w:val="0"/>
        <w:spacing w:before="0" w:after="0" w:line="276" w:lineRule="auto"/>
        <w:rPr>
          <w:rFonts w:ascii="Calibri" w:eastAsia="Calibri" w:hAnsi="Calibri" w:cs="Calibri"/>
        </w:rPr>
      </w:pPr>
      <w:r w:rsidRPr="00541494">
        <w:rPr>
          <w:rFonts w:ascii="Calibri" w:eastAsia="Calibri" w:hAnsi="Calibri" w:cs="Calibri"/>
        </w:rPr>
        <w:t xml:space="preserve">Reducing the necessity to include a respondent’s direct comments, however, if necessary, then ensuring non-identifying language and ensuring identifying details such as organisation and/or role are </w:t>
      </w:r>
      <w:proofErr w:type="gramStart"/>
      <w:r w:rsidRPr="00541494">
        <w:rPr>
          <w:rFonts w:ascii="Calibri" w:eastAsia="Calibri" w:hAnsi="Calibri" w:cs="Calibri"/>
        </w:rPr>
        <w:t>withheld;</w:t>
      </w:r>
      <w:proofErr w:type="gramEnd"/>
    </w:p>
    <w:p w14:paraId="4122F96E" w14:textId="60C16F5E" w:rsidR="00225D7B" w:rsidRPr="00C060D6" w:rsidRDefault="00225D7B" w:rsidP="0089441D">
      <w:pPr>
        <w:pStyle w:val="ListParagraph"/>
        <w:numPr>
          <w:ilvl w:val="0"/>
          <w:numId w:val="2"/>
        </w:numPr>
        <w:suppressAutoHyphens w:val="0"/>
        <w:spacing w:before="0" w:after="0" w:line="276" w:lineRule="auto"/>
        <w:rPr>
          <w:rFonts w:ascii="Calibri" w:eastAsia="Calibri" w:hAnsi="Calibri" w:cs="Calibri"/>
        </w:rPr>
      </w:pPr>
      <w:r w:rsidRPr="00C060D6">
        <w:rPr>
          <w:rFonts w:ascii="Calibri" w:eastAsia="Calibri" w:hAnsi="Calibri" w:cs="Calibri"/>
        </w:rPr>
        <w:t xml:space="preserve">Where a respondent may agree to include an identifying statement or piece of analysis, ensuring that the relevant wording is agreed with the respondent for inclusion in the report, with acknowledgement. </w:t>
      </w:r>
    </w:p>
    <w:p w14:paraId="75C7BD76" w14:textId="77777777" w:rsidR="00225D7B" w:rsidRDefault="00225D7B" w:rsidP="00CE59F1">
      <w:pPr>
        <w:spacing w:after="240"/>
        <w:rPr>
          <w:rFonts w:ascii="Calibri" w:eastAsia="Calibri" w:hAnsi="Calibri" w:cs="Calibri"/>
        </w:rPr>
      </w:pPr>
      <w:r>
        <w:rPr>
          <w:rFonts w:ascii="Calibri" w:eastAsia="Calibri" w:hAnsi="Calibri" w:cs="Calibri"/>
        </w:rPr>
        <w:t xml:space="preserve">Conversely, it is important to ensure that information from public sources within the report is clearly referenced, to avoid incorrect attribution to individuals that contributed to the report. </w:t>
      </w:r>
    </w:p>
    <w:p w14:paraId="0ABC432B" w14:textId="77777777" w:rsidR="00225D7B" w:rsidRDefault="00225D7B" w:rsidP="00CE59F1">
      <w:pPr>
        <w:pStyle w:val="Heading4"/>
      </w:pPr>
      <w:bookmarkStart w:id="39" w:name="_Toc107170756"/>
      <w:r>
        <w:t>Document review</w:t>
      </w:r>
      <w:bookmarkEnd w:id="39"/>
    </w:p>
    <w:p w14:paraId="7369804A" w14:textId="494408DF" w:rsidR="00225D7B" w:rsidRDefault="00225D7B" w:rsidP="00225D7B">
      <w:pPr>
        <w:rPr>
          <w:rFonts w:ascii="Calibri" w:eastAsia="Calibri" w:hAnsi="Calibri" w:cs="Calibri"/>
        </w:rPr>
      </w:pPr>
      <w:r>
        <w:rPr>
          <w:rFonts w:ascii="Calibri" w:eastAsia="Calibri" w:hAnsi="Calibri" w:cs="Calibri"/>
        </w:rPr>
        <w:t xml:space="preserve">The document review will entail analysis of information including WB and DFAT documents, </w:t>
      </w:r>
      <w:proofErr w:type="spellStart"/>
      <w:r w:rsidR="007628AF">
        <w:rPr>
          <w:rFonts w:ascii="Calibri" w:eastAsia="Calibri" w:hAnsi="Calibri" w:cs="Calibri"/>
        </w:rPr>
        <w:t>AGaP</w:t>
      </w:r>
      <w:r>
        <w:rPr>
          <w:rFonts w:ascii="Calibri" w:eastAsia="Calibri" w:hAnsi="Calibri" w:cs="Calibri"/>
        </w:rPr>
        <w:t>’s</w:t>
      </w:r>
      <w:proofErr w:type="spellEnd"/>
      <w:r>
        <w:rPr>
          <w:rFonts w:ascii="Calibri" w:eastAsia="Calibri" w:hAnsi="Calibri" w:cs="Calibri"/>
        </w:rPr>
        <w:t xml:space="preserve"> midyear and annual reports, grant proposals, concept notes, and any progress reports from the grants. </w:t>
      </w:r>
    </w:p>
    <w:p w14:paraId="2D827B30" w14:textId="52153504" w:rsidR="00225D7B" w:rsidRDefault="00225D7B" w:rsidP="00225D7B">
      <w:pPr>
        <w:rPr>
          <w:rFonts w:ascii="Calibri" w:eastAsia="Calibri" w:hAnsi="Calibri" w:cs="Calibri"/>
        </w:rPr>
      </w:pPr>
      <w:r>
        <w:rPr>
          <w:rFonts w:ascii="Calibri" w:eastAsia="Calibri" w:hAnsi="Calibri" w:cs="Calibri"/>
        </w:rPr>
        <w:t xml:space="preserve">The evaluation team will draw heavily on the program level data compiled by the WB </w:t>
      </w:r>
      <w:proofErr w:type="spellStart"/>
      <w:r w:rsidR="007628AF">
        <w:rPr>
          <w:rFonts w:ascii="Calibri" w:eastAsia="Calibri" w:hAnsi="Calibri" w:cs="Calibri"/>
        </w:rPr>
        <w:t>AGaP</w:t>
      </w:r>
      <w:proofErr w:type="spellEnd"/>
      <w:r>
        <w:rPr>
          <w:rFonts w:ascii="Calibri" w:eastAsia="Calibri" w:hAnsi="Calibri" w:cs="Calibri"/>
        </w:rPr>
        <w:t xml:space="preserve"> team but will also examine any available additional analysis from independent or third-party sources. This will include but is not limited to M&amp;E reporting; evaluations and reviews; analysis by other development partners, NGOs, universities and think tanks; and reporting by GOP and multilateral partners such as the UN, ADB, and the IMF.</w:t>
      </w:r>
    </w:p>
    <w:p w14:paraId="01BC9E8F" w14:textId="129FCAC6" w:rsidR="00225D7B" w:rsidRDefault="00225D7B" w:rsidP="00CE59F1">
      <w:pPr>
        <w:spacing w:after="240"/>
        <w:rPr>
          <w:rFonts w:ascii="Calibri" w:eastAsia="Calibri" w:hAnsi="Calibri" w:cs="Calibri"/>
        </w:rPr>
      </w:pPr>
      <w:r>
        <w:rPr>
          <w:rFonts w:ascii="Calibri" w:eastAsia="Calibri" w:hAnsi="Calibri" w:cs="Calibri"/>
        </w:rPr>
        <w:t xml:space="preserve">The WB </w:t>
      </w:r>
      <w:proofErr w:type="spellStart"/>
      <w:r w:rsidR="007628AF">
        <w:rPr>
          <w:rFonts w:ascii="Calibri" w:eastAsia="Calibri" w:hAnsi="Calibri" w:cs="Calibri"/>
        </w:rPr>
        <w:t>AGaP</w:t>
      </w:r>
      <w:proofErr w:type="spellEnd"/>
      <w:r>
        <w:rPr>
          <w:rFonts w:ascii="Calibri" w:eastAsia="Calibri" w:hAnsi="Calibri" w:cs="Calibri"/>
        </w:rPr>
        <w:t xml:space="preserve"> team has also committed to make available to the evaluation team any other reasonable requests for information and documentation relating to the midterm evaluation.</w:t>
      </w:r>
    </w:p>
    <w:p w14:paraId="3C1B7751" w14:textId="77777777" w:rsidR="00225D7B" w:rsidRDefault="00225D7B" w:rsidP="00CE59F1">
      <w:pPr>
        <w:pStyle w:val="Heading4"/>
      </w:pPr>
      <w:bookmarkStart w:id="40" w:name="_Toc107170757"/>
      <w:r>
        <w:t>Key informant interviews</w:t>
      </w:r>
      <w:bookmarkEnd w:id="40"/>
    </w:p>
    <w:p w14:paraId="04BD2E15" w14:textId="12CD91F6" w:rsidR="00225D7B" w:rsidRDefault="00225D7B" w:rsidP="00225D7B">
      <w:pPr>
        <w:rPr>
          <w:rFonts w:ascii="Calibri" w:eastAsia="Calibri" w:hAnsi="Calibri" w:cs="Calibri"/>
        </w:rPr>
      </w:pPr>
      <w:r>
        <w:rPr>
          <w:rFonts w:ascii="Calibri" w:eastAsia="Calibri" w:hAnsi="Calibri" w:cs="Calibri"/>
          <w:b/>
        </w:rPr>
        <w:t>Semi-structured key informant interviews</w:t>
      </w:r>
      <w:r>
        <w:rPr>
          <w:rFonts w:ascii="Calibri" w:eastAsia="Calibri" w:hAnsi="Calibri" w:cs="Calibri"/>
        </w:rPr>
        <w:t xml:space="preserve"> will be undertaken with a broad range of stakeholders:  representatives of the World Bank and DFAT, including senior management; </w:t>
      </w:r>
      <w:proofErr w:type="spellStart"/>
      <w:r w:rsidR="007628AF">
        <w:rPr>
          <w:rFonts w:ascii="Calibri" w:eastAsia="Calibri" w:hAnsi="Calibri" w:cs="Calibri"/>
        </w:rPr>
        <w:t>AGaP</w:t>
      </w:r>
      <w:proofErr w:type="spellEnd"/>
      <w:r>
        <w:rPr>
          <w:rFonts w:ascii="Calibri" w:eastAsia="Calibri" w:hAnsi="Calibri" w:cs="Calibri"/>
        </w:rPr>
        <w:t xml:space="preserve"> secretariat; </w:t>
      </w:r>
      <w:proofErr w:type="spellStart"/>
      <w:r w:rsidR="007628AF">
        <w:rPr>
          <w:rFonts w:ascii="Calibri" w:eastAsia="Calibri" w:hAnsi="Calibri" w:cs="Calibri"/>
        </w:rPr>
        <w:t>AGaP</w:t>
      </w:r>
      <w:proofErr w:type="spellEnd"/>
      <w:r>
        <w:rPr>
          <w:rFonts w:ascii="Calibri" w:eastAsia="Calibri" w:hAnsi="Calibri" w:cs="Calibri"/>
        </w:rPr>
        <w:t xml:space="preserve"> grant task team leaders (TTL) and members; and government counterparts from both oversight and implementing agencies directly involved in the programs and projects supported by the grants.</w:t>
      </w:r>
    </w:p>
    <w:p w14:paraId="4FC6D5C9" w14:textId="16A9E80F" w:rsidR="00225D7B" w:rsidRDefault="00225D7B" w:rsidP="00225D7B">
      <w:pPr>
        <w:rPr>
          <w:rFonts w:ascii="Calibri" w:eastAsia="Calibri" w:hAnsi="Calibri" w:cs="Calibri"/>
        </w:rPr>
      </w:pPr>
      <w:r>
        <w:rPr>
          <w:rFonts w:ascii="Calibri" w:eastAsia="Calibri" w:hAnsi="Calibri" w:cs="Calibri"/>
        </w:rPr>
        <w:t xml:space="preserve">The approach of using the same or similar questions with each of these partners will allow the review team to reliably identify consistent themes or perspectives in the responses of different partners. </w:t>
      </w:r>
    </w:p>
    <w:p w14:paraId="34A496D6" w14:textId="63B3386B" w:rsidR="00225D7B" w:rsidRDefault="00225D7B" w:rsidP="00225D7B">
      <w:pPr>
        <w:rPr>
          <w:rFonts w:ascii="Calibri" w:eastAsia="Calibri" w:hAnsi="Calibri" w:cs="Calibri"/>
        </w:rPr>
      </w:pPr>
      <w:r>
        <w:rPr>
          <w:rFonts w:ascii="Calibri" w:eastAsia="Calibri" w:hAnsi="Calibri" w:cs="Calibri"/>
        </w:rPr>
        <w:t>Prior to the commencement of any interview, the team will outline the purpose of the review, how the information will be used, and steps that will be taken to maintain the confidentiality of responses (such as non-attribution of quotations). Informants will be made aware that the review’s final report may be published by DFAT</w:t>
      </w:r>
    </w:p>
    <w:p w14:paraId="293B580D" w14:textId="77777777" w:rsidR="00225D7B" w:rsidRDefault="00225D7B" w:rsidP="00225D7B">
      <w:pPr>
        <w:rPr>
          <w:rFonts w:ascii="Calibri" w:eastAsia="Calibri" w:hAnsi="Calibri" w:cs="Calibri"/>
        </w:rPr>
      </w:pPr>
      <w:r w:rsidRPr="00A87AF6">
        <w:rPr>
          <w:rFonts w:ascii="Calibri" w:eastAsia="Calibri" w:hAnsi="Calibri" w:cs="Calibri"/>
          <w:bCs/>
        </w:rPr>
        <w:t>Interactive discussions</w:t>
      </w:r>
      <w:r>
        <w:rPr>
          <w:rFonts w:ascii="Calibri" w:eastAsia="Calibri" w:hAnsi="Calibri" w:cs="Calibri"/>
        </w:rPr>
        <w:t xml:space="preserve"> will be conducted with selected program management team members to reflect on the issues emerging from the evaluation, explore causal relationships, and outline improvements that can be made to the program.</w:t>
      </w:r>
    </w:p>
    <w:p w14:paraId="64ADA910" w14:textId="77777777" w:rsidR="00225D7B" w:rsidRDefault="00225D7B" w:rsidP="00CE59F1">
      <w:pPr>
        <w:pStyle w:val="Heading4"/>
      </w:pPr>
      <w:bookmarkStart w:id="41" w:name="_Toc107170758"/>
      <w:r>
        <w:t>Analysis and conclusions</w:t>
      </w:r>
      <w:bookmarkEnd w:id="41"/>
    </w:p>
    <w:p w14:paraId="753BA972" w14:textId="77777777" w:rsidR="00225D7B" w:rsidRDefault="00225D7B" w:rsidP="00225D7B">
      <w:pPr>
        <w:rPr>
          <w:rFonts w:ascii="Calibri" w:eastAsia="Calibri" w:hAnsi="Calibri" w:cs="Calibri"/>
        </w:rPr>
      </w:pPr>
      <w:r>
        <w:rPr>
          <w:rFonts w:ascii="Calibri" w:eastAsia="Calibri" w:hAnsi="Calibri" w:cs="Calibri"/>
        </w:rPr>
        <w:t xml:space="preserve">All evidence will be triangulated where possible to ensure rigour. This means that emerging themes from quantitative analysis of economic, fiscal, and social data; the document review and interviews will be tested in subsequent interviews and against quantitative outcomes where data permit. </w:t>
      </w:r>
    </w:p>
    <w:p w14:paraId="176B9826" w14:textId="77777777" w:rsidR="00225D7B" w:rsidRDefault="00225D7B" w:rsidP="00225D7B">
      <w:pPr>
        <w:rPr>
          <w:rFonts w:ascii="Calibri" w:eastAsia="Calibri" w:hAnsi="Calibri" w:cs="Calibri"/>
        </w:rPr>
      </w:pPr>
      <w:r>
        <w:rPr>
          <w:rFonts w:ascii="Calibri" w:eastAsia="Calibri" w:hAnsi="Calibri" w:cs="Calibri"/>
        </w:rPr>
        <w:lastRenderedPageBreak/>
        <w:t>The team will establish consensus on what constitutes reliable, robust data and evidence and how quantitative and qualitative analysis will be combined to reach a conclusion in relation to each of the key evaluation questions. The team will also work collaboratively throughout the analysis process to help ensure that the multi-sectoral strengths of the team are reflected in the final report.</w:t>
      </w:r>
    </w:p>
    <w:p w14:paraId="6A67976F" w14:textId="77777777" w:rsidR="00225D7B" w:rsidRDefault="00225D7B" w:rsidP="00CE59F1">
      <w:pPr>
        <w:spacing w:after="240"/>
        <w:rPr>
          <w:rFonts w:ascii="Calibri" w:eastAsia="Calibri" w:hAnsi="Calibri" w:cs="Calibri"/>
        </w:rPr>
      </w:pPr>
      <w:r>
        <w:rPr>
          <w:rFonts w:ascii="Calibri" w:eastAsia="Calibri" w:hAnsi="Calibri" w:cs="Calibri"/>
        </w:rPr>
        <w:t>The team will make professional judgements in relation to each of the evaluation questions. These judgements will be informed by a consideration of the relative strength of the evidence available (considering triangulation, source of evidence, etc). The supportive evidence for each judgement and recommendation will be provided in the final report. Where relevant, the team will draw on DFAT’s Investment Monitoring Report rubric to support the analysis process. The team leader will provide quality assurance and a consistency check on the draft analysis and report.</w:t>
      </w:r>
    </w:p>
    <w:p w14:paraId="23296208" w14:textId="77777777" w:rsidR="00225D7B" w:rsidRDefault="00225D7B" w:rsidP="00CE59F1">
      <w:pPr>
        <w:pStyle w:val="Heading4"/>
        <w:rPr>
          <w:highlight w:val="yellow"/>
        </w:rPr>
      </w:pPr>
      <w:bookmarkStart w:id="42" w:name="_Toc107170759"/>
      <w:r>
        <w:t>Limitations</w:t>
      </w:r>
      <w:bookmarkEnd w:id="42"/>
    </w:p>
    <w:p w14:paraId="05A2852E" w14:textId="77777777" w:rsidR="00225D7B" w:rsidRDefault="00225D7B" w:rsidP="0089441D">
      <w:pPr>
        <w:numPr>
          <w:ilvl w:val="0"/>
          <w:numId w:val="1"/>
        </w:numPr>
        <w:spacing w:line="276" w:lineRule="auto"/>
        <w:rPr>
          <w:rFonts w:ascii="Calibri" w:eastAsia="Calibri" w:hAnsi="Calibri" w:cs="Calibri"/>
        </w:rPr>
      </w:pPr>
      <w:r>
        <w:rPr>
          <w:rFonts w:ascii="Calibri" w:eastAsia="Calibri" w:hAnsi="Calibri" w:cs="Calibri"/>
        </w:rPr>
        <w:t>Challenge of identifying attribution or contribution to outcomes</w:t>
      </w:r>
    </w:p>
    <w:p w14:paraId="46DBF8FF" w14:textId="736555E4" w:rsidR="00225D7B" w:rsidRDefault="00225D7B" w:rsidP="0089441D">
      <w:pPr>
        <w:numPr>
          <w:ilvl w:val="0"/>
          <w:numId w:val="1"/>
        </w:numPr>
        <w:spacing w:line="276" w:lineRule="auto"/>
        <w:rPr>
          <w:rFonts w:ascii="Calibri" w:eastAsia="Calibri" w:hAnsi="Calibri" w:cs="Calibri"/>
        </w:rPr>
      </w:pPr>
      <w:r>
        <w:rPr>
          <w:rFonts w:ascii="Calibri" w:eastAsia="Calibri" w:hAnsi="Calibri" w:cs="Calibri"/>
        </w:rPr>
        <w:t xml:space="preserve">Within the limited time available, it will not be possible to provide a representative picture of the performance of </w:t>
      </w:r>
      <w:proofErr w:type="spellStart"/>
      <w:r w:rsidR="007628AF">
        <w:rPr>
          <w:rFonts w:ascii="Calibri" w:eastAsia="Calibri" w:hAnsi="Calibri" w:cs="Calibri"/>
        </w:rPr>
        <w:t>AGaP</w:t>
      </w:r>
      <w:r>
        <w:rPr>
          <w:rFonts w:ascii="Calibri" w:eastAsia="Calibri" w:hAnsi="Calibri" w:cs="Calibri"/>
        </w:rPr>
        <w:t>’s</w:t>
      </w:r>
      <w:proofErr w:type="spellEnd"/>
      <w:r>
        <w:rPr>
          <w:rFonts w:ascii="Calibri" w:eastAsia="Calibri" w:hAnsi="Calibri" w:cs="Calibri"/>
        </w:rPr>
        <w:t xml:space="preserve"> many activities nor answer all questions in equal depth</w:t>
      </w:r>
    </w:p>
    <w:p w14:paraId="7FEC2CD1" w14:textId="77777777" w:rsidR="00225D7B" w:rsidRDefault="00225D7B" w:rsidP="0089441D">
      <w:pPr>
        <w:numPr>
          <w:ilvl w:val="0"/>
          <w:numId w:val="1"/>
        </w:numPr>
        <w:spacing w:line="276" w:lineRule="auto"/>
        <w:rPr>
          <w:rFonts w:ascii="Calibri" w:eastAsia="Calibri" w:hAnsi="Calibri" w:cs="Calibri"/>
        </w:rPr>
      </w:pPr>
      <w:r>
        <w:rPr>
          <w:rFonts w:ascii="Calibri" w:eastAsia="Calibri" w:hAnsi="Calibri" w:cs="Calibri"/>
        </w:rPr>
        <w:t xml:space="preserve">Most interviews will be conducted remotely, which may limit rapport and candour. </w:t>
      </w:r>
    </w:p>
    <w:p w14:paraId="22805A7E" w14:textId="77777777" w:rsidR="00225D7B" w:rsidRDefault="00225D7B" w:rsidP="0089441D">
      <w:pPr>
        <w:numPr>
          <w:ilvl w:val="0"/>
          <w:numId w:val="1"/>
        </w:numPr>
        <w:spacing w:line="276" w:lineRule="auto"/>
        <w:rPr>
          <w:rFonts w:ascii="Calibri" w:eastAsia="Calibri" w:hAnsi="Calibri" w:cs="Calibri"/>
        </w:rPr>
      </w:pPr>
      <w:r>
        <w:rPr>
          <w:rFonts w:ascii="Calibri" w:eastAsia="Calibri" w:hAnsi="Calibri" w:cs="Calibri"/>
        </w:rPr>
        <w:t xml:space="preserve">The change in </w:t>
      </w:r>
      <w:r w:rsidRPr="00F1325C">
        <w:rPr>
          <w:rFonts w:ascii="Calibri" w:eastAsia="Calibri" w:hAnsi="Calibri" w:cs="Calibri"/>
        </w:rPr>
        <w:t xml:space="preserve">the national leadership following the </w:t>
      </w:r>
      <w:r>
        <w:rPr>
          <w:rFonts w:ascii="Calibri" w:eastAsia="Calibri" w:hAnsi="Calibri" w:cs="Calibri"/>
        </w:rPr>
        <w:t>Philippine elections may mean some of the relevant interviewees are no longer in post.</w:t>
      </w:r>
    </w:p>
    <w:p w14:paraId="311C6453" w14:textId="77777777" w:rsidR="00225D7B" w:rsidRDefault="00225D7B" w:rsidP="00225D7B">
      <w:pPr>
        <w:rPr>
          <w:rFonts w:ascii="Calibri" w:eastAsia="Calibri" w:hAnsi="Calibri" w:cs="Calibri"/>
        </w:rPr>
      </w:pPr>
    </w:p>
    <w:p w14:paraId="726C807B" w14:textId="77777777" w:rsidR="00115054" w:rsidRDefault="00115054" w:rsidP="00225D7B">
      <w:pPr>
        <w:sectPr w:rsidR="00115054" w:rsidSect="00FC7246">
          <w:pgSz w:w="11900" w:h="16820" w:code="1"/>
          <w:pgMar w:top="1800" w:right="1440" w:bottom="1440" w:left="1800" w:header="360" w:footer="720" w:gutter="0"/>
          <w:cols w:space="720"/>
          <w:docGrid w:linePitch="360"/>
        </w:sectPr>
      </w:pPr>
    </w:p>
    <w:p w14:paraId="64A5DFC5" w14:textId="119D0FA1" w:rsidR="004F1D23" w:rsidRPr="006C358B" w:rsidRDefault="003B38E1" w:rsidP="00E03DD0">
      <w:pPr>
        <w:pStyle w:val="Heading1"/>
      </w:pPr>
      <w:bookmarkStart w:id="43" w:name="_Toc125560021"/>
      <w:r w:rsidRPr="002900C0">
        <w:lastRenderedPageBreak/>
        <w:t>Annex 3</w:t>
      </w:r>
      <w:r w:rsidRPr="002900C0">
        <w:tab/>
      </w:r>
      <w:proofErr w:type="spellStart"/>
      <w:r w:rsidR="007628AF">
        <w:t>AGaP</w:t>
      </w:r>
      <w:proofErr w:type="spellEnd"/>
      <w:r w:rsidRPr="002900C0">
        <w:t xml:space="preserve"> Results Chain and End of Program Outcomes</w:t>
      </w:r>
      <w:bookmarkEnd w:id="43"/>
    </w:p>
    <w:p w14:paraId="77419BC2" w14:textId="5CD77A7C" w:rsidR="00F03858" w:rsidRDefault="00F03858">
      <w:pPr>
        <w:rPr>
          <w:rFonts w:ascii="Arial" w:hAnsi="Arial" w:cs="Arial"/>
          <w:sz w:val="20"/>
          <w:szCs w:val="20"/>
        </w:rPr>
      </w:pPr>
    </w:p>
    <w:tbl>
      <w:tblPr>
        <w:tblStyle w:val="TableGrid2"/>
        <w:tblW w:w="13813" w:type="dxa"/>
        <w:tblInd w:w="-635" w:type="dxa"/>
        <w:tblLayout w:type="fixed"/>
        <w:tblLook w:val="04A0" w:firstRow="1" w:lastRow="0" w:firstColumn="1" w:lastColumn="0" w:noHBand="0" w:noVBand="1"/>
      </w:tblPr>
      <w:tblGrid>
        <w:gridCol w:w="1481"/>
        <w:gridCol w:w="12332"/>
      </w:tblGrid>
      <w:tr w:rsidR="00F13F6B" w:rsidRPr="00D5671B" w14:paraId="4185F56B" w14:textId="77777777" w:rsidTr="006C358B">
        <w:trPr>
          <w:trHeight w:val="776"/>
        </w:trPr>
        <w:tc>
          <w:tcPr>
            <w:tcW w:w="1481" w:type="dxa"/>
            <w:shd w:val="clear" w:color="auto" w:fill="FFFFFF"/>
          </w:tcPr>
          <w:p w14:paraId="7CC0A5A6" w14:textId="77777777" w:rsidR="00F13F6B" w:rsidRPr="00D5671B" w:rsidRDefault="00F13F6B" w:rsidP="007805CE">
            <w:pPr>
              <w:rPr>
                <w:rFonts w:ascii="Arial Narrow" w:hAnsi="Arial Narrow"/>
                <w:b/>
              </w:rPr>
            </w:pPr>
            <w:r w:rsidRPr="00D5671B">
              <w:rPr>
                <w:rFonts w:ascii="Arial Narrow" w:hAnsi="Arial Narrow"/>
                <w:b/>
              </w:rPr>
              <w:t>OVERALL</w:t>
            </w:r>
          </w:p>
          <w:p w14:paraId="059FCAD8" w14:textId="77777777" w:rsidR="00F13F6B" w:rsidRPr="00D5671B" w:rsidRDefault="00F13F6B" w:rsidP="007805CE">
            <w:pPr>
              <w:rPr>
                <w:rFonts w:ascii="Arial Narrow" w:hAnsi="Arial Narrow"/>
                <w:b/>
              </w:rPr>
            </w:pPr>
            <w:r w:rsidRPr="00D5671B">
              <w:rPr>
                <w:rFonts w:ascii="Arial Narrow" w:hAnsi="Arial Narrow"/>
                <w:b/>
              </w:rPr>
              <w:t>OBJECTIVE</w:t>
            </w:r>
          </w:p>
        </w:tc>
        <w:tc>
          <w:tcPr>
            <w:tcW w:w="12332" w:type="dxa"/>
            <w:shd w:val="clear" w:color="auto" w:fill="B2A1C7"/>
            <w:vAlign w:val="center"/>
          </w:tcPr>
          <w:p w14:paraId="5E35658F" w14:textId="77777777" w:rsidR="00F13F6B" w:rsidRPr="00D5671B" w:rsidRDefault="00F13F6B" w:rsidP="007805CE">
            <w:pPr>
              <w:rPr>
                <w:rFonts w:ascii="Arial Narrow" w:hAnsi="Arial Narrow"/>
              </w:rPr>
            </w:pPr>
            <w:r w:rsidRPr="00D5671B">
              <w:rPr>
                <w:rFonts w:ascii="Arial Narrow" w:hAnsi="Arial Narrow"/>
                <w:b/>
                <w:bCs/>
              </w:rPr>
              <w:t>To facilitate knowledge exchange and assist the Government of the Philippines in the design and implementation of policy reforms and programs</w:t>
            </w:r>
            <w:r w:rsidRPr="00D5671B">
              <w:rPr>
                <w:rFonts w:ascii="Arial Narrow" w:hAnsi="Arial Narrow"/>
              </w:rPr>
              <w:t xml:space="preserve"> </w:t>
            </w:r>
          </w:p>
        </w:tc>
      </w:tr>
    </w:tbl>
    <w:p w14:paraId="4B24D4E0" w14:textId="77777777" w:rsidR="00F13F6B" w:rsidRPr="00D5671B" w:rsidRDefault="00F13F6B" w:rsidP="00F13F6B">
      <w:pPr>
        <w:rPr>
          <w:rFonts w:ascii="Arial Narrow" w:eastAsia="MS Mincho" w:hAnsi="Arial Narrow"/>
          <w:lang w:val="en-PH"/>
        </w:rPr>
      </w:pPr>
    </w:p>
    <w:tbl>
      <w:tblPr>
        <w:tblStyle w:val="TableGrid2"/>
        <w:tblW w:w="1461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4448"/>
        <w:gridCol w:w="4449"/>
        <w:gridCol w:w="4433"/>
      </w:tblGrid>
      <w:tr w:rsidR="00F13F6B" w:rsidRPr="00D5671B" w14:paraId="0258AD07" w14:textId="77777777" w:rsidTr="007805CE">
        <w:tc>
          <w:tcPr>
            <w:tcW w:w="1286" w:type="dxa"/>
          </w:tcPr>
          <w:p w14:paraId="5F076865" w14:textId="77777777" w:rsidR="00F13F6B" w:rsidRPr="00D5671B" w:rsidRDefault="00F13F6B" w:rsidP="007805CE">
            <w:pPr>
              <w:jc w:val="center"/>
              <w:rPr>
                <w:rFonts w:ascii="Arial Narrow" w:hAnsi="Arial Narrow"/>
              </w:rPr>
            </w:pPr>
          </w:p>
        </w:tc>
        <w:tc>
          <w:tcPr>
            <w:tcW w:w="4448" w:type="dxa"/>
          </w:tcPr>
          <w:p w14:paraId="3A3CCE6C" w14:textId="77777777" w:rsidR="00F13F6B" w:rsidRPr="00D5671B" w:rsidRDefault="00F13F6B" w:rsidP="007805CE">
            <w:pPr>
              <w:jc w:val="center"/>
              <w:rPr>
                <w:rFonts w:ascii="Arial Narrow" w:hAnsi="Arial Narrow"/>
                <w:sz w:val="32"/>
              </w:rPr>
            </w:pPr>
            <w:r w:rsidRPr="00D5671B">
              <w:rPr>
                <w:rFonts w:ascii="Wingdings" w:eastAsia="Wingdings" w:hAnsi="Wingdings" w:cs="Wingdings"/>
                <w:sz w:val="32"/>
              </w:rPr>
              <w:t>é</w:t>
            </w:r>
          </w:p>
        </w:tc>
        <w:tc>
          <w:tcPr>
            <w:tcW w:w="4449" w:type="dxa"/>
          </w:tcPr>
          <w:p w14:paraId="49C7D602" w14:textId="77777777" w:rsidR="00F13F6B" w:rsidRPr="00D5671B" w:rsidRDefault="00F13F6B" w:rsidP="007805CE">
            <w:pPr>
              <w:jc w:val="center"/>
              <w:rPr>
                <w:rFonts w:ascii="Arial Narrow" w:hAnsi="Arial Narrow"/>
                <w:sz w:val="32"/>
              </w:rPr>
            </w:pPr>
            <w:r w:rsidRPr="00D5671B">
              <w:rPr>
                <w:rFonts w:ascii="Wingdings" w:eastAsia="Wingdings" w:hAnsi="Wingdings" w:cs="Wingdings"/>
                <w:sz w:val="32"/>
              </w:rPr>
              <w:t>é</w:t>
            </w:r>
          </w:p>
        </w:tc>
        <w:tc>
          <w:tcPr>
            <w:tcW w:w="4433" w:type="dxa"/>
          </w:tcPr>
          <w:p w14:paraId="1269DD3A" w14:textId="77777777" w:rsidR="00F13F6B" w:rsidRPr="00D5671B" w:rsidRDefault="00F13F6B" w:rsidP="007805CE">
            <w:pPr>
              <w:jc w:val="center"/>
              <w:rPr>
                <w:rFonts w:ascii="Arial Narrow" w:hAnsi="Arial Narrow"/>
                <w:sz w:val="32"/>
              </w:rPr>
            </w:pPr>
            <w:r w:rsidRPr="00D5671B">
              <w:rPr>
                <w:rFonts w:ascii="Wingdings" w:eastAsia="Wingdings" w:hAnsi="Wingdings" w:cs="Wingdings"/>
                <w:sz w:val="32"/>
              </w:rPr>
              <w:t>é</w:t>
            </w:r>
          </w:p>
        </w:tc>
      </w:tr>
    </w:tbl>
    <w:p w14:paraId="1EF28670" w14:textId="77777777" w:rsidR="00F13F6B" w:rsidRPr="00D5671B" w:rsidRDefault="00F13F6B" w:rsidP="00F13F6B">
      <w:pPr>
        <w:rPr>
          <w:rFonts w:ascii="Arial Narrow" w:eastAsia="MS Mincho" w:hAnsi="Arial Narrow"/>
        </w:rPr>
      </w:pPr>
    </w:p>
    <w:tbl>
      <w:tblPr>
        <w:tblStyle w:val="TableGrid2"/>
        <w:tblW w:w="13813" w:type="dxa"/>
        <w:tblInd w:w="-635" w:type="dxa"/>
        <w:tblLook w:val="04A0" w:firstRow="1" w:lastRow="0" w:firstColumn="1" w:lastColumn="0" w:noHBand="0" w:noVBand="1"/>
      </w:tblPr>
      <w:tblGrid>
        <w:gridCol w:w="1282"/>
        <w:gridCol w:w="2750"/>
        <w:gridCol w:w="3686"/>
        <w:gridCol w:w="3118"/>
        <w:gridCol w:w="2977"/>
      </w:tblGrid>
      <w:tr w:rsidR="00F13F6B" w:rsidRPr="006C358B" w14:paraId="53C9BB76" w14:textId="77777777" w:rsidTr="006C358B">
        <w:trPr>
          <w:trHeight w:val="60"/>
        </w:trPr>
        <w:tc>
          <w:tcPr>
            <w:tcW w:w="1282" w:type="dxa"/>
          </w:tcPr>
          <w:p w14:paraId="591C4690" w14:textId="77777777" w:rsidR="00F13F6B" w:rsidRPr="006C358B" w:rsidRDefault="00F13F6B" w:rsidP="007805CE">
            <w:pPr>
              <w:jc w:val="center"/>
              <w:rPr>
                <w:rFonts w:ascii="Arial Narrow" w:hAnsi="Arial Narrow"/>
                <w:b/>
                <w:sz w:val="20"/>
                <w:szCs w:val="20"/>
              </w:rPr>
            </w:pPr>
            <w:r w:rsidRPr="006C358B">
              <w:rPr>
                <w:rFonts w:ascii="Arial Narrow" w:hAnsi="Arial Narrow"/>
                <w:b/>
                <w:sz w:val="20"/>
                <w:szCs w:val="20"/>
              </w:rPr>
              <w:t xml:space="preserve">OUTCOMES </w:t>
            </w:r>
            <w:r w:rsidRPr="006C358B">
              <w:rPr>
                <w:rFonts w:ascii="Arial Narrow" w:hAnsi="Arial Narrow"/>
                <w:sz w:val="20"/>
                <w:szCs w:val="20"/>
              </w:rPr>
              <w:t>(results that need to be achieved to meet the overall objectives)</w:t>
            </w:r>
          </w:p>
        </w:tc>
        <w:tc>
          <w:tcPr>
            <w:tcW w:w="2750" w:type="dxa"/>
            <w:shd w:val="clear" w:color="auto" w:fill="C2D69B"/>
          </w:tcPr>
          <w:p w14:paraId="5A190996" w14:textId="77777777" w:rsidR="006C358B" w:rsidRPr="006C358B" w:rsidRDefault="00F13F6B" w:rsidP="007805CE">
            <w:pPr>
              <w:ind w:right="-675"/>
              <w:rPr>
                <w:rFonts w:ascii="Arial Narrow" w:hAnsi="Arial Narrow"/>
                <w:b/>
                <w:sz w:val="20"/>
                <w:szCs w:val="20"/>
              </w:rPr>
            </w:pPr>
            <w:r w:rsidRPr="006C358B">
              <w:rPr>
                <w:rFonts w:ascii="Arial Narrow" w:hAnsi="Arial Narrow"/>
                <w:b/>
                <w:sz w:val="20"/>
                <w:szCs w:val="20"/>
              </w:rPr>
              <w:t xml:space="preserve">PROJECT DEVELOPMENT </w:t>
            </w:r>
          </w:p>
          <w:p w14:paraId="2CCBE4EB" w14:textId="54A1B13B" w:rsidR="00F13F6B" w:rsidRPr="006C358B" w:rsidRDefault="00F13F6B" w:rsidP="007805CE">
            <w:pPr>
              <w:ind w:right="-675"/>
              <w:rPr>
                <w:rFonts w:ascii="Arial Narrow" w:hAnsi="Arial Narrow"/>
                <w:b/>
                <w:sz w:val="20"/>
                <w:szCs w:val="20"/>
              </w:rPr>
            </w:pPr>
            <w:r w:rsidRPr="006C358B">
              <w:rPr>
                <w:rFonts w:ascii="Arial Narrow" w:hAnsi="Arial Narrow"/>
                <w:b/>
                <w:sz w:val="20"/>
                <w:szCs w:val="20"/>
              </w:rPr>
              <w:t>AND PREPARATION</w:t>
            </w:r>
          </w:p>
          <w:p w14:paraId="2519E6B6" w14:textId="77777777" w:rsidR="00F13F6B" w:rsidRPr="006C358B" w:rsidRDefault="00F13F6B" w:rsidP="007805CE">
            <w:pPr>
              <w:ind w:right="-675"/>
              <w:rPr>
                <w:rFonts w:ascii="Arial Narrow" w:hAnsi="Arial Narrow"/>
                <w:b/>
                <w:sz w:val="20"/>
                <w:szCs w:val="20"/>
              </w:rPr>
            </w:pPr>
          </w:p>
          <w:p w14:paraId="6DB497B3" w14:textId="77777777" w:rsidR="00F13F6B" w:rsidRPr="006C358B" w:rsidRDefault="00F13F6B" w:rsidP="007805CE">
            <w:pPr>
              <w:rPr>
                <w:rFonts w:ascii="Arial Narrow" w:hAnsi="Arial Narrow"/>
                <w:b/>
                <w:sz w:val="20"/>
                <w:szCs w:val="20"/>
              </w:rPr>
            </w:pPr>
            <w:r w:rsidRPr="006C358B">
              <w:rPr>
                <w:rFonts w:ascii="Arial Narrow" w:hAnsi="Arial Narrow"/>
                <w:b/>
                <w:sz w:val="20"/>
                <w:szCs w:val="20"/>
              </w:rPr>
              <w:t xml:space="preserve">Projects to support GOP policy reform priorities enhanced </w:t>
            </w:r>
          </w:p>
          <w:p w14:paraId="442CA816" w14:textId="77777777" w:rsidR="00F13F6B" w:rsidRPr="006C358B" w:rsidRDefault="00F13F6B" w:rsidP="007805CE">
            <w:pPr>
              <w:rPr>
                <w:rFonts w:ascii="Arial Narrow" w:hAnsi="Arial Narrow"/>
                <w:sz w:val="20"/>
                <w:szCs w:val="20"/>
              </w:rPr>
            </w:pPr>
          </w:p>
          <w:p w14:paraId="003929CA" w14:textId="77777777" w:rsidR="00F13F6B" w:rsidRPr="006C358B" w:rsidRDefault="00F13F6B" w:rsidP="007805CE">
            <w:pPr>
              <w:rPr>
                <w:rFonts w:ascii="Arial Narrow" w:hAnsi="Arial Narrow"/>
                <w:sz w:val="20"/>
                <w:szCs w:val="20"/>
                <w:u w:val="single"/>
              </w:rPr>
            </w:pPr>
            <w:r w:rsidRPr="006C358B">
              <w:rPr>
                <w:rFonts w:ascii="Arial Narrow" w:hAnsi="Arial Narrow"/>
                <w:sz w:val="20"/>
                <w:szCs w:val="20"/>
                <w:u w:val="single"/>
              </w:rPr>
              <w:t>Indicator:</w:t>
            </w:r>
          </w:p>
          <w:p w14:paraId="2C04DD09" w14:textId="77777777" w:rsidR="00F13F6B" w:rsidRPr="006C358B" w:rsidRDefault="00F13F6B" w:rsidP="0089441D">
            <w:pPr>
              <w:numPr>
                <w:ilvl w:val="1"/>
                <w:numId w:val="5"/>
              </w:numPr>
              <w:ind w:left="317" w:hanging="283"/>
              <w:rPr>
                <w:rFonts w:ascii="Arial Narrow" w:hAnsi="Arial Narrow"/>
                <w:sz w:val="20"/>
                <w:szCs w:val="20"/>
              </w:rPr>
            </w:pPr>
            <w:r w:rsidRPr="006C358B">
              <w:rPr>
                <w:rFonts w:ascii="Arial Narrow" w:hAnsi="Arial Narrow"/>
                <w:sz w:val="20"/>
                <w:szCs w:val="20"/>
              </w:rPr>
              <w:t xml:space="preserve">Increased relevance and timeliness of projects developed </w:t>
            </w:r>
          </w:p>
          <w:p w14:paraId="51A07404" w14:textId="77777777" w:rsidR="00F13F6B" w:rsidRPr="006C358B" w:rsidRDefault="00F13F6B" w:rsidP="007805CE">
            <w:pPr>
              <w:ind w:left="317"/>
              <w:rPr>
                <w:rFonts w:ascii="Arial Narrow" w:hAnsi="Arial Narrow"/>
                <w:sz w:val="20"/>
                <w:szCs w:val="20"/>
              </w:rPr>
            </w:pPr>
          </w:p>
          <w:p w14:paraId="138FAC33" w14:textId="77777777" w:rsidR="00F13F6B" w:rsidRPr="006C358B" w:rsidRDefault="00F13F6B" w:rsidP="007805CE">
            <w:pPr>
              <w:ind w:left="317"/>
              <w:rPr>
                <w:rFonts w:ascii="Arial Narrow" w:hAnsi="Arial Narrow"/>
                <w:b/>
                <w:sz w:val="20"/>
                <w:szCs w:val="20"/>
              </w:rPr>
            </w:pPr>
          </w:p>
        </w:tc>
        <w:tc>
          <w:tcPr>
            <w:tcW w:w="3686" w:type="dxa"/>
            <w:shd w:val="clear" w:color="auto" w:fill="FABF8F"/>
          </w:tcPr>
          <w:p w14:paraId="09CDE5D7" w14:textId="77777777" w:rsidR="00F13F6B" w:rsidRPr="006C358B" w:rsidRDefault="00F13F6B" w:rsidP="007805CE">
            <w:pPr>
              <w:rPr>
                <w:rFonts w:ascii="Arial Narrow" w:hAnsi="Arial Narrow"/>
                <w:b/>
                <w:sz w:val="20"/>
                <w:szCs w:val="20"/>
              </w:rPr>
            </w:pPr>
            <w:r w:rsidRPr="006C358B">
              <w:rPr>
                <w:rFonts w:ascii="Arial Narrow" w:hAnsi="Arial Narrow"/>
                <w:b/>
                <w:sz w:val="20"/>
                <w:szCs w:val="20"/>
              </w:rPr>
              <w:t>POLICY REFORM AND DIALOGUE</w:t>
            </w:r>
          </w:p>
          <w:p w14:paraId="3AF71D42" w14:textId="77777777" w:rsidR="00F13F6B" w:rsidRPr="006C358B" w:rsidRDefault="00F13F6B" w:rsidP="007805CE">
            <w:pPr>
              <w:rPr>
                <w:rFonts w:ascii="Arial Narrow" w:hAnsi="Arial Narrow"/>
                <w:b/>
                <w:sz w:val="20"/>
                <w:szCs w:val="20"/>
              </w:rPr>
            </w:pPr>
          </w:p>
          <w:p w14:paraId="352A30A3" w14:textId="77777777" w:rsidR="00F13F6B" w:rsidRPr="006C358B" w:rsidRDefault="00F13F6B" w:rsidP="007805CE">
            <w:pPr>
              <w:rPr>
                <w:rFonts w:ascii="Arial Narrow" w:hAnsi="Arial Narrow"/>
                <w:b/>
                <w:sz w:val="20"/>
                <w:szCs w:val="20"/>
              </w:rPr>
            </w:pPr>
            <w:r w:rsidRPr="006C358B">
              <w:rPr>
                <w:rFonts w:ascii="Arial Narrow" w:hAnsi="Arial Narrow"/>
                <w:b/>
                <w:sz w:val="20"/>
                <w:szCs w:val="20"/>
              </w:rPr>
              <w:t xml:space="preserve">GOP capacities on evidence-based and inclusive policy development and formulation improved </w:t>
            </w:r>
          </w:p>
          <w:p w14:paraId="2E98B7E1" w14:textId="77777777" w:rsidR="00F13F6B" w:rsidRPr="006C358B" w:rsidRDefault="00F13F6B" w:rsidP="007805CE">
            <w:pPr>
              <w:rPr>
                <w:rFonts w:ascii="Arial Narrow" w:hAnsi="Arial Narrow"/>
                <w:sz w:val="20"/>
                <w:szCs w:val="20"/>
              </w:rPr>
            </w:pPr>
          </w:p>
          <w:p w14:paraId="33D30456" w14:textId="77777777" w:rsidR="00F13F6B" w:rsidRPr="006C358B" w:rsidRDefault="00F13F6B" w:rsidP="007805CE">
            <w:pPr>
              <w:rPr>
                <w:rFonts w:ascii="Arial Narrow" w:hAnsi="Arial Narrow"/>
                <w:sz w:val="20"/>
                <w:szCs w:val="20"/>
                <w:u w:val="single"/>
              </w:rPr>
            </w:pPr>
            <w:r w:rsidRPr="006C358B">
              <w:rPr>
                <w:rFonts w:ascii="Arial Narrow" w:hAnsi="Arial Narrow"/>
                <w:sz w:val="20"/>
                <w:szCs w:val="20"/>
                <w:u w:val="single"/>
              </w:rPr>
              <w:t xml:space="preserve">Indicators: </w:t>
            </w:r>
          </w:p>
          <w:p w14:paraId="415A29AA" w14:textId="77777777" w:rsidR="00F13F6B" w:rsidRPr="006C358B" w:rsidRDefault="00F13F6B" w:rsidP="0089441D">
            <w:pPr>
              <w:numPr>
                <w:ilvl w:val="1"/>
                <w:numId w:val="5"/>
              </w:numPr>
              <w:ind w:left="317" w:hanging="283"/>
              <w:rPr>
                <w:rFonts w:ascii="Arial Narrow" w:hAnsi="Arial Narrow"/>
                <w:sz w:val="20"/>
                <w:szCs w:val="20"/>
              </w:rPr>
            </w:pPr>
            <w:r w:rsidRPr="006C358B">
              <w:rPr>
                <w:rFonts w:ascii="Arial Narrow" w:hAnsi="Arial Narrow"/>
                <w:sz w:val="20"/>
                <w:szCs w:val="20"/>
              </w:rPr>
              <w:t>Increased utilization of research results and empirical data by relevant government agencies in policy development</w:t>
            </w:r>
          </w:p>
          <w:p w14:paraId="3AFD311B" w14:textId="77777777" w:rsidR="00F13F6B" w:rsidRPr="006C358B" w:rsidRDefault="00F13F6B" w:rsidP="007805CE">
            <w:pPr>
              <w:rPr>
                <w:rFonts w:ascii="Arial Narrow" w:hAnsi="Arial Narrow"/>
                <w:b/>
                <w:sz w:val="20"/>
                <w:szCs w:val="20"/>
              </w:rPr>
            </w:pPr>
          </w:p>
        </w:tc>
        <w:tc>
          <w:tcPr>
            <w:tcW w:w="3118" w:type="dxa"/>
            <w:shd w:val="clear" w:color="auto" w:fill="92CDDC"/>
          </w:tcPr>
          <w:p w14:paraId="1E51A430" w14:textId="77777777" w:rsidR="00F13F6B" w:rsidRPr="006C358B" w:rsidRDefault="00F13F6B" w:rsidP="007805CE">
            <w:pPr>
              <w:rPr>
                <w:rFonts w:ascii="Arial Narrow" w:hAnsi="Arial Narrow"/>
                <w:b/>
                <w:sz w:val="20"/>
                <w:szCs w:val="20"/>
              </w:rPr>
            </w:pPr>
            <w:r w:rsidRPr="006C358B">
              <w:rPr>
                <w:rFonts w:ascii="Arial Narrow" w:hAnsi="Arial Narrow"/>
                <w:b/>
                <w:sz w:val="20"/>
                <w:szCs w:val="20"/>
              </w:rPr>
              <w:t>PUBLIC DEBATE AND AWARENESS</w:t>
            </w:r>
          </w:p>
          <w:p w14:paraId="3D1494F0" w14:textId="77777777" w:rsidR="00F13F6B" w:rsidRPr="006C358B" w:rsidRDefault="00F13F6B" w:rsidP="007805CE">
            <w:pPr>
              <w:rPr>
                <w:rFonts w:ascii="Arial Narrow" w:hAnsi="Arial Narrow"/>
                <w:b/>
                <w:sz w:val="20"/>
                <w:szCs w:val="20"/>
              </w:rPr>
            </w:pPr>
          </w:p>
          <w:p w14:paraId="59A28A4F" w14:textId="77777777" w:rsidR="00F13F6B" w:rsidRPr="006C358B" w:rsidRDefault="00F13F6B" w:rsidP="007805CE">
            <w:pPr>
              <w:rPr>
                <w:rFonts w:ascii="Arial Narrow" w:hAnsi="Arial Narrow"/>
                <w:b/>
                <w:sz w:val="20"/>
                <w:szCs w:val="20"/>
              </w:rPr>
            </w:pPr>
            <w:r w:rsidRPr="006C358B">
              <w:rPr>
                <w:rFonts w:ascii="Arial Narrow" w:hAnsi="Arial Narrow"/>
                <w:b/>
                <w:sz w:val="20"/>
                <w:szCs w:val="20"/>
              </w:rPr>
              <w:t xml:space="preserve">Awareness of identified stakeholders to relevant GOP policies and programs increased </w:t>
            </w:r>
          </w:p>
          <w:p w14:paraId="4BA0F1B5" w14:textId="77777777" w:rsidR="00F13F6B" w:rsidRPr="006C358B" w:rsidRDefault="00F13F6B" w:rsidP="007805CE">
            <w:pPr>
              <w:rPr>
                <w:rFonts w:ascii="Arial Narrow" w:hAnsi="Arial Narrow"/>
                <w:sz w:val="20"/>
                <w:szCs w:val="20"/>
              </w:rPr>
            </w:pPr>
          </w:p>
          <w:p w14:paraId="78659401" w14:textId="77777777" w:rsidR="00F13F6B" w:rsidRPr="006C358B" w:rsidRDefault="00F13F6B" w:rsidP="007805CE">
            <w:pPr>
              <w:rPr>
                <w:rFonts w:ascii="Arial Narrow" w:hAnsi="Arial Narrow"/>
                <w:sz w:val="20"/>
                <w:szCs w:val="20"/>
                <w:u w:val="single"/>
              </w:rPr>
            </w:pPr>
            <w:r w:rsidRPr="006C358B">
              <w:rPr>
                <w:rFonts w:ascii="Arial Narrow" w:hAnsi="Arial Narrow"/>
                <w:sz w:val="20"/>
                <w:szCs w:val="20"/>
                <w:u w:val="single"/>
              </w:rPr>
              <w:t xml:space="preserve">Indicator: </w:t>
            </w:r>
          </w:p>
          <w:p w14:paraId="508D7CB8" w14:textId="4D3A63B2" w:rsidR="00F13F6B" w:rsidRPr="008C566A" w:rsidRDefault="00F13F6B" w:rsidP="0089441D">
            <w:pPr>
              <w:numPr>
                <w:ilvl w:val="1"/>
                <w:numId w:val="5"/>
              </w:numPr>
              <w:ind w:left="317" w:hanging="283"/>
              <w:rPr>
                <w:rFonts w:ascii="Arial Narrow" w:hAnsi="Arial Narrow"/>
                <w:sz w:val="20"/>
                <w:szCs w:val="20"/>
              </w:rPr>
            </w:pPr>
            <w:r w:rsidRPr="006C358B">
              <w:rPr>
                <w:rFonts w:ascii="Arial Narrow" w:hAnsi="Arial Narrow"/>
                <w:sz w:val="20"/>
                <w:szCs w:val="20"/>
              </w:rPr>
              <w:t>Increased proportion of identified stakeholders that have become aware or have gained knowledge on relevant government policies and programs per thematic area</w:t>
            </w:r>
          </w:p>
          <w:p w14:paraId="341E399B" w14:textId="192393E1" w:rsidR="00F13F6B" w:rsidRPr="008C566A" w:rsidRDefault="00F13F6B" w:rsidP="007805CE">
            <w:pPr>
              <w:rPr>
                <w:rFonts w:ascii="Arial Narrow" w:hAnsi="Arial Narrow"/>
                <w:b/>
                <w:sz w:val="20"/>
                <w:szCs w:val="20"/>
              </w:rPr>
            </w:pPr>
            <w:r w:rsidRPr="006C358B">
              <w:rPr>
                <w:rFonts w:ascii="Arial Narrow" w:hAnsi="Arial Narrow"/>
                <w:b/>
                <w:sz w:val="20"/>
                <w:szCs w:val="20"/>
              </w:rPr>
              <w:t>Public debate informed by empirical evidence and analysis enhanced</w:t>
            </w:r>
          </w:p>
          <w:p w14:paraId="0694B213" w14:textId="77777777" w:rsidR="00F13F6B" w:rsidRPr="006C358B" w:rsidRDefault="00F13F6B" w:rsidP="007805CE">
            <w:pPr>
              <w:rPr>
                <w:rFonts w:ascii="Arial Narrow" w:hAnsi="Arial Narrow"/>
                <w:sz w:val="20"/>
                <w:szCs w:val="20"/>
                <w:u w:val="single"/>
              </w:rPr>
            </w:pPr>
            <w:r w:rsidRPr="006C358B">
              <w:rPr>
                <w:rFonts w:ascii="Arial Narrow" w:hAnsi="Arial Narrow"/>
                <w:sz w:val="20"/>
                <w:szCs w:val="20"/>
                <w:u w:val="single"/>
              </w:rPr>
              <w:t xml:space="preserve">Indicator: </w:t>
            </w:r>
          </w:p>
          <w:p w14:paraId="11803050" w14:textId="77777777" w:rsidR="00F13F6B" w:rsidRPr="006C358B" w:rsidRDefault="00F13F6B" w:rsidP="0089441D">
            <w:pPr>
              <w:numPr>
                <w:ilvl w:val="1"/>
                <w:numId w:val="5"/>
              </w:numPr>
              <w:ind w:left="317" w:hanging="283"/>
              <w:rPr>
                <w:rFonts w:ascii="Arial Narrow" w:hAnsi="Arial Narrow"/>
                <w:sz w:val="20"/>
                <w:szCs w:val="20"/>
              </w:rPr>
            </w:pPr>
            <w:r w:rsidRPr="006C358B">
              <w:rPr>
                <w:rFonts w:ascii="Arial Narrow" w:hAnsi="Arial Narrow"/>
                <w:sz w:val="20"/>
                <w:szCs w:val="20"/>
              </w:rPr>
              <w:t>Increased number of references made on studies / analysis supported by the Trust Fund during public debates per thematic area</w:t>
            </w:r>
          </w:p>
        </w:tc>
        <w:tc>
          <w:tcPr>
            <w:tcW w:w="2977" w:type="dxa"/>
            <w:shd w:val="clear" w:color="auto" w:fill="FFFF99"/>
          </w:tcPr>
          <w:p w14:paraId="7DCA2362" w14:textId="77777777" w:rsidR="00F13F6B" w:rsidRPr="006C358B" w:rsidRDefault="00F13F6B" w:rsidP="007805CE">
            <w:pPr>
              <w:rPr>
                <w:rFonts w:ascii="Arial Narrow" w:hAnsi="Arial Narrow"/>
                <w:b/>
                <w:sz w:val="20"/>
                <w:szCs w:val="20"/>
              </w:rPr>
            </w:pPr>
            <w:r w:rsidRPr="006C358B">
              <w:rPr>
                <w:rFonts w:ascii="Arial Narrow" w:hAnsi="Arial Narrow"/>
                <w:b/>
                <w:sz w:val="20"/>
                <w:szCs w:val="20"/>
              </w:rPr>
              <w:t>PARTNERSHIPS AND IMPLEMENTATION PLATFORMS</w:t>
            </w:r>
          </w:p>
          <w:p w14:paraId="4EBC5AE4" w14:textId="77777777" w:rsidR="00F13F6B" w:rsidRPr="006C358B" w:rsidRDefault="00F13F6B" w:rsidP="007805CE">
            <w:pPr>
              <w:rPr>
                <w:rFonts w:ascii="Arial Narrow" w:hAnsi="Arial Narrow"/>
                <w:b/>
                <w:sz w:val="20"/>
                <w:szCs w:val="20"/>
              </w:rPr>
            </w:pPr>
          </w:p>
          <w:p w14:paraId="2AF7B312" w14:textId="77777777" w:rsidR="00F13F6B" w:rsidRPr="006C358B" w:rsidRDefault="00F13F6B" w:rsidP="007805CE">
            <w:pPr>
              <w:rPr>
                <w:rFonts w:ascii="Arial Narrow" w:hAnsi="Arial Narrow"/>
                <w:b/>
                <w:sz w:val="20"/>
                <w:szCs w:val="20"/>
              </w:rPr>
            </w:pPr>
            <w:r w:rsidRPr="006C358B">
              <w:rPr>
                <w:rFonts w:ascii="Arial Narrow" w:hAnsi="Arial Narrow"/>
                <w:b/>
                <w:sz w:val="20"/>
                <w:szCs w:val="20"/>
              </w:rPr>
              <w:t xml:space="preserve">Partnerships and platforms for effective and efficient collaboration strengthened </w:t>
            </w:r>
          </w:p>
          <w:p w14:paraId="7B9D95FF" w14:textId="77777777" w:rsidR="00F13F6B" w:rsidRPr="006C358B" w:rsidRDefault="00F13F6B" w:rsidP="007805CE">
            <w:pPr>
              <w:rPr>
                <w:rFonts w:ascii="Arial Narrow" w:hAnsi="Arial Narrow"/>
                <w:b/>
                <w:sz w:val="20"/>
                <w:szCs w:val="20"/>
              </w:rPr>
            </w:pPr>
          </w:p>
          <w:p w14:paraId="67905D62" w14:textId="77777777" w:rsidR="00F13F6B" w:rsidRPr="006C358B" w:rsidRDefault="00F13F6B" w:rsidP="007805CE">
            <w:pPr>
              <w:rPr>
                <w:rFonts w:ascii="Arial Narrow" w:hAnsi="Arial Narrow"/>
                <w:sz w:val="20"/>
                <w:szCs w:val="20"/>
                <w:u w:val="single"/>
              </w:rPr>
            </w:pPr>
            <w:r w:rsidRPr="006C358B">
              <w:rPr>
                <w:rFonts w:ascii="Arial Narrow" w:hAnsi="Arial Narrow"/>
                <w:sz w:val="20"/>
                <w:szCs w:val="20"/>
                <w:u w:val="single"/>
              </w:rPr>
              <w:t xml:space="preserve">Indicator: </w:t>
            </w:r>
          </w:p>
          <w:p w14:paraId="285B5B49" w14:textId="77777777" w:rsidR="00F13F6B" w:rsidRPr="006C358B" w:rsidRDefault="00F13F6B" w:rsidP="0089441D">
            <w:pPr>
              <w:numPr>
                <w:ilvl w:val="0"/>
                <w:numId w:val="7"/>
              </w:numPr>
              <w:ind w:left="330"/>
              <w:contextualSpacing/>
              <w:rPr>
                <w:rFonts w:ascii="Arial Narrow" w:hAnsi="Arial Narrow"/>
                <w:sz w:val="20"/>
                <w:szCs w:val="20"/>
              </w:rPr>
            </w:pPr>
            <w:r w:rsidRPr="006C358B">
              <w:rPr>
                <w:rFonts w:ascii="Arial Narrow" w:hAnsi="Arial Narrow"/>
                <w:sz w:val="20"/>
                <w:szCs w:val="20"/>
              </w:rPr>
              <w:t xml:space="preserve">Increased satisfaction on the collaboration platform established </w:t>
            </w:r>
          </w:p>
        </w:tc>
      </w:tr>
    </w:tbl>
    <w:p w14:paraId="3CAE17BC" w14:textId="77777777" w:rsidR="00F13F6B" w:rsidRPr="00D5671B" w:rsidRDefault="00F13F6B" w:rsidP="006C358B">
      <w:pPr>
        <w:rPr>
          <w:rFonts w:ascii="Arial Narrow" w:eastAsia="MS Mincho" w:hAnsi="Arial Narrow"/>
        </w:rPr>
      </w:pPr>
    </w:p>
    <w:tbl>
      <w:tblPr>
        <w:tblStyle w:val="TableGrid2"/>
        <w:tblW w:w="1461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4449"/>
        <w:gridCol w:w="4449"/>
        <w:gridCol w:w="4433"/>
      </w:tblGrid>
      <w:tr w:rsidR="00F13F6B" w:rsidRPr="00D5671B" w14:paraId="59F26427" w14:textId="77777777" w:rsidTr="007805CE">
        <w:tc>
          <w:tcPr>
            <w:tcW w:w="1285" w:type="dxa"/>
          </w:tcPr>
          <w:p w14:paraId="7DD159A4" w14:textId="77777777" w:rsidR="00F13F6B" w:rsidRPr="00D5671B" w:rsidRDefault="00F13F6B" w:rsidP="007805CE">
            <w:pPr>
              <w:jc w:val="center"/>
              <w:rPr>
                <w:rFonts w:ascii="Arial Narrow" w:hAnsi="Arial Narrow"/>
                <w:sz w:val="32"/>
              </w:rPr>
            </w:pPr>
          </w:p>
        </w:tc>
        <w:tc>
          <w:tcPr>
            <w:tcW w:w="4449" w:type="dxa"/>
          </w:tcPr>
          <w:p w14:paraId="6368DA51" w14:textId="77777777" w:rsidR="00F13F6B" w:rsidRPr="00D5671B" w:rsidRDefault="00F13F6B" w:rsidP="007805CE">
            <w:pPr>
              <w:jc w:val="center"/>
              <w:rPr>
                <w:rFonts w:ascii="Arial Narrow" w:hAnsi="Arial Narrow"/>
                <w:sz w:val="32"/>
              </w:rPr>
            </w:pPr>
            <w:r w:rsidRPr="00D5671B">
              <w:rPr>
                <w:rFonts w:ascii="Wingdings" w:eastAsia="Wingdings" w:hAnsi="Wingdings" w:cs="Wingdings"/>
                <w:sz w:val="32"/>
              </w:rPr>
              <w:t>é</w:t>
            </w:r>
          </w:p>
        </w:tc>
        <w:tc>
          <w:tcPr>
            <w:tcW w:w="4449" w:type="dxa"/>
          </w:tcPr>
          <w:p w14:paraId="488C4B70" w14:textId="77777777" w:rsidR="00F13F6B" w:rsidRPr="00D5671B" w:rsidRDefault="00F13F6B" w:rsidP="007805CE">
            <w:pPr>
              <w:jc w:val="center"/>
              <w:rPr>
                <w:rFonts w:ascii="Arial Narrow" w:hAnsi="Arial Narrow"/>
                <w:sz w:val="32"/>
              </w:rPr>
            </w:pPr>
            <w:r w:rsidRPr="00D5671B">
              <w:rPr>
                <w:rFonts w:ascii="Wingdings" w:eastAsia="Wingdings" w:hAnsi="Wingdings" w:cs="Wingdings"/>
                <w:sz w:val="32"/>
              </w:rPr>
              <w:t>é</w:t>
            </w:r>
          </w:p>
        </w:tc>
        <w:tc>
          <w:tcPr>
            <w:tcW w:w="4433" w:type="dxa"/>
          </w:tcPr>
          <w:p w14:paraId="4936E4C0" w14:textId="77777777" w:rsidR="00F13F6B" w:rsidRPr="00D5671B" w:rsidRDefault="00F13F6B" w:rsidP="007805CE">
            <w:pPr>
              <w:jc w:val="center"/>
              <w:rPr>
                <w:rFonts w:ascii="Arial Narrow" w:hAnsi="Arial Narrow"/>
                <w:sz w:val="32"/>
              </w:rPr>
            </w:pPr>
            <w:r w:rsidRPr="00D5671B">
              <w:rPr>
                <w:rFonts w:ascii="Wingdings" w:eastAsia="Wingdings" w:hAnsi="Wingdings" w:cs="Wingdings"/>
                <w:sz w:val="32"/>
              </w:rPr>
              <w:t>é</w:t>
            </w:r>
          </w:p>
        </w:tc>
      </w:tr>
    </w:tbl>
    <w:p w14:paraId="42F9142B" w14:textId="77777777" w:rsidR="00F13F6B" w:rsidRPr="00D5671B" w:rsidRDefault="00F13F6B" w:rsidP="00F13F6B">
      <w:pPr>
        <w:rPr>
          <w:rFonts w:ascii="Arial Narrow" w:eastAsia="MS Mincho" w:hAnsi="Arial Narrow"/>
        </w:rPr>
      </w:pPr>
    </w:p>
    <w:tbl>
      <w:tblPr>
        <w:tblStyle w:val="TableGrid2"/>
        <w:tblW w:w="13813" w:type="dxa"/>
        <w:tblInd w:w="-635" w:type="dxa"/>
        <w:tblLook w:val="04A0" w:firstRow="1" w:lastRow="0" w:firstColumn="1" w:lastColumn="0" w:noHBand="0" w:noVBand="1"/>
      </w:tblPr>
      <w:tblGrid>
        <w:gridCol w:w="1130"/>
        <w:gridCol w:w="2902"/>
        <w:gridCol w:w="3969"/>
        <w:gridCol w:w="2835"/>
        <w:gridCol w:w="2977"/>
      </w:tblGrid>
      <w:tr w:rsidR="00F13F6B" w:rsidRPr="00D5671B" w14:paraId="087CAD20" w14:textId="77777777" w:rsidTr="006C358B">
        <w:tc>
          <w:tcPr>
            <w:tcW w:w="1130" w:type="dxa"/>
          </w:tcPr>
          <w:p w14:paraId="2CB91FF7" w14:textId="77777777" w:rsidR="00F13F6B" w:rsidRPr="00D5671B" w:rsidRDefault="00F13F6B" w:rsidP="007805CE">
            <w:pPr>
              <w:jc w:val="center"/>
              <w:rPr>
                <w:rFonts w:ascii="Arial Narrow" w:hAnsi="Arial Narrow"/>
                <w:b/>
              </w:rPr>
            </w:pPr>
            <w:r w:rsidRPr="00D5671B">
              <w:rPr>
                <w:rFonts w:ascii="Arial Narrow" w:hAnsi="Arial Narrow"/>
                <w:b/>
              </w:rPr>
              <w:t xml:space="preserve">OUTPUTS </w:t>
            </w:r>
            <w:r w:rsidRPr="00D5671B">
              <w:rPr>
                <w:rFonts w:ascii="Arial Narrow" w:hAnsi="Arial Narrow"/>
              </w:rPr>
              <w:t>(products and services that needs to be delivered / completed to achieve intended outcomes)</w:t>
            </w:r>
          </w:p>
        </w:tc>
        <w:tc>
          <w:tcPr>
            <w:tcW w:w="2902" w:type="dxa"/>
            <w:shd w:val="clear" w:color="auto" w:fill="C2D69B"/>
          </w:tcPr>
          <w:p w14:paraId="550C0512" w14:textId="77777777" w:rsidR="00F13F6B" w:rsidRPr="00D5671B" w:rsidRDefault="00F13F6B" w:rsidP="007805CE">
            <w:pPr>
              <w:rPr>
                <w:rFonts w:ascii="Arial Narrow" w:hAnsi="Arial Narrow"/>
                <w:b/>
              </w:rPr>
            </w:pPr>
            <w:r w:rsidRPr="00D5671B">
              <w:rPr>
                <w:rFonts w:ascii="Arial Narrow" w:hAnsi="Arial Narrow"/>
                <w:b/>
              </w:rPr>
              <w:t>Support activities to project preparation conducted</w:t>
            </w:r>
          </w:p>
          <w:p w14:paraId="492B622C" w14:textId="77777777" w:rsidR="00F13F6B" w:rsidRPr="00D5671B" w:rsidRDefault="00F13F6B" w:rsidP="007805CE">
            <w:pPr>
              <w:rPr>
                <w:rFonts w:ascii="Arial Narrow" w:hAnsi="Arial Narrow"/>
                <w:b/>
              </w:rPr>
            </w:pPr>
          </w:p>
          <w:p w14:paraId="20621BA3" w14:textId="77777777" w:rsidR="00F13F6B" w:rsidRPr="00D5671B" w:rsidRDefault="00F13F6B" w:rsidP="007805CE">
            <w:pPr>
              <w:rPr>
                <w:rFonts w:ascii="Arial Narrow" w:hAnsi="Arial Narrow"/>
                <w:u w:val="single"/>
              </w:rPr>
            </w:pPr>
            <w:r w:rsidRPr="00D5671B">
              <w:rPr>
                <w:rFonts w:ascii="Arial Narrow" w:hAnsi="Arial Narrow"/>
                <w:u w:val="single"/>
              </w:rPr>
              <w:t>Indicators:</w:t>
            </w:r>
          </w:p>
          <w:p w14:paraId="6ECAF409" w14:textId="77777777" w:rsidR="00F13F6B" w:rsidRPr="00D5671B" w:rsidRDefault="00F13F6B" w:rsidP="0089441D">
            <w:pPr>
              <w:numPr>
                <w:ilvl w:val="0"/>
                <w:numId w:val="3"/>
              </w:numPr>
              <w:ind w:left="205" w:hanging="219"/>
              <w:contextualSpacing/>
              <w:rPr>
                <w:rFonts w:ascii="Arial Narrow" w:hAnsi="Arial Narrow"/>
              </w:rPr>
            </w:pPr>
            <w:r w:rsidRPr="00D5671B">
              <w:rPr>
                <w:rFonts w:ascii="Arial Narrow" w:hAnsi="Arial Narrow"/>
              </w:rPr>
              <w:t xml:space="preserve">Number of projects that have been pilot-tested </w:t>
            </w:r>
          </w:p>
          <w:p w14:paraId="7B00E378" w14:textId="77777777" w:rsidR="00F13F6B" w:rsidRPr="00D5671B" w:rsidRDefault="00F13F6B" w:rsidP="0089441D">
            <w:pPr>
              <w:numPr>
                <w:ilvl w:val="0"/>
                <w:numId w:val="3"/>
              </w:numPr>
              <w:ind w:left="205" w:hanging="219"/>
              <w:contextualSpacing/>
              <w:rPr>
                <w:rFonts w:ascii="Arial Narrow" w:hAnsi="Arial Narrow"/>
              </w:rPr>
            </w:pPr>
            <w:r w:rsidRPr="00D5671B">
              <w:rPr>
                <w:rFonts w:ascii="Arial Narrow" w:hAnsi="Arial Narrow"/>
              </w:rPr>
              <w:t xml:space="preserve">Number of </w:t>
            </w:r>
            <w:r>
              <w:rPr>
                <w:rFonts w:ascii="Arial Narrow" w:hAnsi="Arial Narrow"/>
              </w:rPr>
              <w:t xml:space="preserve">project </w:t>
            </w:r>
            <w:r w:rsidRPr="00D5671B">
              <w:rPr>
                <w:rFonts w:ascii="Arial Narrow" w:hAnsi="Arial Narrow"/>
              </w:rPr>
              <w:t>feasibility studies co</w:t>
            </w:r>
            <w:r>
              <w:rPr>
                <w:rFonts w:ascii="Arial Narrow" w:hAnsi="Arial Narrow"/>
              </w:rPr>
              <w:t>mpl</w:t>
            </w:r>
            <w:r w:rsidRPr="00D5671B">
              <w:rPr>
                <w:rFonts w:ascii="Arial Narrow" w:hAnsi="Arial Narrow"/>
              </w:rPr>
              <w:t>e</w:t>
            </w:r>
            <w:r>
              <w:rPr>
                <w:rFonts w:ascii="Arial Narrow" w:hAnsi="Arial Narrow"/>
              </w:rPr>
              <w:t>te</w:t>
            </w:r>
            <w:r w:rsidRPr="00D5671B">
              <w:rPr>
                <w:rFonts w:ascii="Arial Narrow" w:hAnsi="Arial Narrow"/>
              </w:rPr>
              <w:t>d</w:t>
            </w:r>
          </w:p>
          <w:p w14:paraId="6C236981" w14:textId="77777777" w:rsidR="00F13F6B" w:rsidRPr="00D5671B" w:rsidRDefault="00F13F6B" w:rsidP="0089441D">
            <w:pPr>
              <w:numPr>
                <w:ilvl w:val="0"/>
                <w:numId w:val="3"/>
              </w:numPr>
              <w:ind w:left="205" w:hanging="219"/>
              <w:contextualSpacing/>
              <w:rPr>
                <w:rFonts w:ascii="Arial Narrow" w:hAnsi="Arial Narrow"/>
              </w:rPr>
            </w:pPr>
            <w:r w:rsidRPr="00D5671B">
              <w:rPr>
                <w:rFonts w:ascii="Arial Narrow" w:hAnsi="Arial Narrow"/>
              </w:rPr>
              <w:t xml:space="preserve">Number of situational </w:t>
            </w:r>
            <w:proofErr w:type="gramStart"/>
            <w:r w:rsidRPr="00D5671B">
              <w:rPr>
                <w:rFonts w:ascii="Arial Narrow" w:hAnsi="Arial Narrow"/>
              </w:rPr>
              <w:t>studies / analysis</w:t>
            </w:r>
            <w:proofErr w:type="gramEnd"/>
            <w:r w:rsidRPr="00D5671B">
              <w:rPr>
                <w:rFonts w:ascii="Arial Narrow" w:hAnsi="Arial Narrow"/>
              </w:rPr>
              <w:t xml:space="preserve"> conducted</w:t>
            </w:r>
          </w:p>
          <w:p w14:paraId="25935DE5" w14:textId="77777777" w:rsidR="00F13F6B" w:rsidRPr="00D5671B" w:rsidRDefault="00F13F6B" w:rsidP="0089441D">
            <w:pPr>
              <w:numPr>
                <w:ilvl w:val="0"/>
                <w:numId w:val="3"/>
              </w:numPr>
              <w:ind w:left="205" w:hanging="219"/>
              <w:contextualSpacing/>
              <w:rPr>
                <w:rFonts w:ascii="Arial Narrow" w:hAnsi="Arial Narrow"/>
              </w:rPr>
            </w:pPr>
            <w:r w:rsidRPr="00D5671B">
              <w:rPr>
                <w:rFonts w:ascii="Arial Narrow" w:hAnsi="Arial Narrow"/>
              </w:rPr>
              <w:t>Number of safeguard</w:t>
            </w:r>
            <w:r>
              <w:rPr>
                <w:rFonts w:ascii="Arial Narrow" w:hAnsi="Arial Narrow"/>
              </w:rPr>
              <w:t>s</w:t>
            </w:r>
            <w:r w:rsidRPr="00D5671B">
              <w:rPr>
                <w:rFonts w:ascii="Arial Narrow" w:hAnsi="Arial Narrow"/>
              </w:rPr>
              <w:t xml:space="preserve"> instruments</w:t>
            </w:r>
            <w:r>
              <w:rPr>
                <w:rFonts w:ascii="Arial Narrow" w:hAnsi="Arial Narrow"/>
              </w:rPr>
              <w:t xml:space="preserve"> completed</w:t>
            </w:r>
          </w:p>
          <w:p w14:paraId="2185E08D" w14:textId="77777777" w:rsidR="00F13F6B" w:rsidRPr="00D5671B" w:rsidRDefault="00F13F6B" w:rsidP="0089441D">
            <w:pPr>
              <w:numPr>
                <w:ilvl w:val="0"/>
                <w:numId w:val="3"/>
              </w:numPr>
              <w:ind w:left="205" w:hanging="219"/>
              <w:contextualSpacing/>
              <w:rPr>
                <w:rFonts w:ascii="Arial Narrow" w:hAnsi="Arial Narrow"/>
              </w:rPr>
            </w:pPr>
            <w:r w:rsidRPr="00D5671B">
              <w:rPr>
                <w:rFonts w:ascii="Arial Narrow" w:hAnsi="Arial Narrow"/>
              </w:rPr>
              <w:t>Number of project-related consultations undertaken</w:t>
            </w:r>
          </w:p>
          <w:p w14:paraId="28044A34" w14:textId="77777777" w:rsidR="00F13F6B" w:rsidRPr="00D5671B" w:rsidRDefault="00F13F6B" w:rsidP="007805CE">
            <w:pPr>
              <w:rPr>
                <w:rFonts w:ascii="Arial Narrow" w:hAnsi="Arial Narrow"/>
              </w:rPr>
            </w:pPr>
          </w:p>
          <w:p w14:paraId="479F8395" w14:textId="77777777" w:rsidR="00F13F6B" w:rsidRPr="00D5671B" w:rsidRDefault="00F13F6B" w:rsidP="007805CE">
            <w:pPr>
              <w:rPr>
                <w:rFonts w:ascii="Arial Narrow" w:hAnsi="Arial Narrow"/>
              </w:rPr>
            </w:pPr>
          </w:p>
        </w:tc>
        <w:tc>
          <w:tcPr>
            <w:tcW w:w="3969" w:type="dxa"/>
            <w:shd w:val="clear" w:color="auto" w:fill="FABF8F"/>
          </w:tcPr>
          <w:p w14:paraId="4D87CB09" w14:textId="77777777" w:rsidR="00F13F6B" w:rsidRPr="00D5671B" w:rsidRDefault="00F13F6B" w:rsidP="007805CE">
            <w:pPr>
              <w:rPr>
                <w:rFonts w:ascii="Arial Narrow" w:hAnsi="Arial Narrow"/>
                <w:b/>
              </w:rPr>
            </w:pPr>
            <w:r w:rsidRPr="00D5671B">
              <w:rPr>
                <w:rFonts w:ascii="Arial Narrow" w:hAnsi="Arial Narrow"/>
                <w:b/>
              </w:rPr>
              <w:t xml:space="preserve">Government capacity development projects and technical assistance on relevant policies and programs implemented </w:t>
            </w:r>
          </w:p>
          <w:p w14:paraId="6D85054A" w14:textId="77777777" w:rsidR="00F13F6B" w:rsidRPr="00D5671B" w:rsidRDefault="00F13F6B" w:rsidP="007805CE">
            <w:pPr>
              <w:rPr>
                <w:rFonts w:ascii="Arial Narrow" w:hAnsi="Arial Narrow"/>
              </w:rPr>
            </w:pPr>
          </w:p>
          <w:p w14:paraId="2328CCBD" w14:textId="77777777" w:rsidR="00F13F6B" w:rsidRPr="00D5671B" w:rsidRDefault="00F13F6B" w:rsidP="007805CE">
            <w:pPr>
              <w:rPr>
                <w:rFonts w:ascii="Arial Narrow" w:hAnsi="Arial Narrow"/>
                <w:u w:val="single"/>
              </w:rPr>
            </w:pPr>
            <w:r w:rsidRPr="00D5671B">
              <w:rPr>
                <w:rFonts w:ascii="Arial Narrow" w:hAnsi="Arial Narrow"/>
                <w:u w:val="single"/>
              </w:rPr>
              <w:t xml:space="preserve">Indicators: </w:t>
            </w:r>
          </w:p>
          <w:p w14:paraId="6F433504" w14:textId="77777777" w:rsidR="00F13F6B" w:rsidRPr="00D5671B" w:rsidRDefault="00F13F6B" w:rsidP="0089441D">
            <w:pPr>
              <w:numPr>
                <w:ilvl w:val="1"/>
                <w:numId w:val="6"/>
              </w:numPr>
              <w:ind w:left="318"/>
              <w:rPr>
                <w:rFonts w:ascii="Arial Narrow" w:hAnsi="Arial Narrow"/>
              </w:rPr>
            </w:pPr>
            <w:r w:rsidRPr="00D5671B">
              <w:rPr>
                <w:rFonts w:ascii="Arial Narrow" w:hAnsi="Arial Narrow"/>
              </w:rPr>
              <w:t>Number of advisory services and analytics reports completed</w:t>
            </w:r>
          </w:p>
          <w:p w14:paraId="0055C9CD" w14:textId="77777777" w:rsidR="00F13F6B" w:rsidRPr="00D5671B" w:rsidRDefault="00F13F6B" w:rsidP="0089441D">
            <w:pPr>
              <w:numPr>
                <w:ilvl w:val="1"/>
                <w:numId w:val="6"/>
              </w:numPr>
              <w:ind w:left="318"/>
              <w:rPr>
                <w:rFonts w:ascii="Arial Narrow" w:hAnsi="Arial Narrow"/>
              </w:rPr>
            </w:pPr>
            <w:r w:rsidRPr="00D5671B">
              <w:rPr>
                <w:rFonts w:ascii="Arial Narrow" w:hAnsi="Arial Narrow"/>
              </w:rPr>
              <w:t>Number of reports on options / Tradeoffs for Gov’t Programs / Policy Reforms completed</w:t>
            </w:r>
          </w:p>
          <w:p w14:paraId="762B6DF3" w14:textId="4BB4E52B" w:rsidR="00F13F6B" w:rsidRPr="00D5671B" w:rsidRDefault="00F13F6B" w:rsidP="0089441D">
            <w:pPr>
              <w:numPr>
                <w:ilvl w:val="1"/>
                <w:numId w:val="6"/>
              </w:numPr>
              <w:ind w:left="318"/>
              <w:rPr>
                <w:rFonts w:ascii="Arial Narrow" w:hAnsi="Arial Narrow"/>
              </w:rPr>
            </w:pPr>
            <w:r w:rsidRPr="00D5671B">
              <w:rPr>
                <w:rFonts w:ascii="Arial Narrow" w:hAnsi="Arial Narrow"/>
              </w:rPr>
              <w:t xml:space="preserve">Number of “How </w:t>
            </w:r>
            <w:r w:rsidR="002A00A1" w:rsidRPr="00D5671B">
              <w:rPr>
                <w:rFonts w:ascii="Arial Narrow" w:hAnsi="Arial Narrow"/>
              </w:rPr>
              <w:t>to</w:t>
            </w:r>
            <w:r w:rsidRPr="00D5671B">
              <w:rPr>
                <w:rFonts w:ascii="Arial Narrow" w:hAnsi="Arial Narrow"/>
              </w:rPr>
              <w:t xml:space="preserve"> Notes” for Implementation supported</w:t>
            </w:r>
          </w:p>
          <w:p w14:paraId="7B25F11F" w14:textId="77777777" w:rsidR="00F13F6B" w:rsidRPr="00D5671B" w:rsidRDefault="00F13F6B" w:rsidP="0089441D">
            <w:pPr>
              <w:numPr>
                <w:ilvl w:val="1"/>
                <w:numId w:val="6"/>
              </w:numPr>
              <w:ind w:left="318"/>
              <w:rPr>
                <w:rFonts w:ascii="Arial Narrow" w:hAnsi="Arial Narrow"/>
              </w:rPr>
            </w:pPr>
            <w:r w:rsidRPr="00D5671B">
              <w:rPr>
                <w:rFonts w:ascii="Arial Narrow" w:hAnsi="Arial Narrow"/>
              </w:rPr>
              <w:t>Number of inputs to IRRs of Government Policies / Legislations provided</w:t>
            </w:r>
          </w:p>
          <w:p w14:paraId="79A0256C" w14:textId="77777777" w:rsidR="00F13F6B" w:rsidRPr="00D5671B" w:rsidRDefault="00F13F6B" w:rsidP="0089441D">
            <w:pPr>
              <w:numPr>
                <w:ilvl w:val="1"/>
                <w:numId w:val="6"/>
              </w:numPr>
              <w:ind w:left="318"/>
              <w:rPr>
                <w:rFonts w:ascii="Arial Narrow" w:hAnsi="Arial Narrow"/>
              </w:rPr>
            </w:pPr>
            <w:r w:rsidRPr="00D5671B">
              <w:rPr>
                <w:rFonts w:ascii="Arial Narrow" w:hAnsi="Arial Narrow"/>
              </w:rPr>
              <w:t>Number of training programs conducted</w:t>
            </w:r>
          </w:p>
          <w:p w14:paraId="0FC8A77C" w14:textId="77777777" w:rsidR="00F13F6B" w:rsidRPr="00D5671B" w:rsidRDefault="00F13F6B" w:rsidP="0089441D">
            <w:pPr>
              <w:numPr>
                <w:ilvl w:val="1"/>
                <w:numId w:val="6"/>
              </w:numPr>
              <w:ind w:left="318"/>
              <w:rPr>
                <w:rFonts w:ascii="Arial Narrow" w:hAnsi="Arial Narrow"/>
              </w:rPr>
            </w:pPr>
            <w:r w:rsidRPr="00D5671B">
              <w:rPr>
                <w:rFonts w:ascii="Arial Narrow" w:hAnsi="Arial Narrow"/>
              </w:rPr>
              <w:t>Number of knowledge exchange with other countries undertaken</w:t>
            </w:r>
          </w:p>
          <w:p w14:paraId="1FCDEE48" w14:textId="77777777" w:rsidR="00F13F6B" w:rsidRPr="00D5671B" w:rsidRDefault="00F13F6B" w:rsidP="0089441D">
            <w:pPr>
              <w:numPr>
                <w:ilvl w:val="1"/>
                <w:numId w:val="6"/>
              </w:numPr>
              <w:ind w:left="318"/>
              <w:rPr>
                <w:rFonts w:ascii="Arial Narrow" w:hAnsi="Arial Narrow"/>
              </w:rPr>
            </w:pPr>
            <w:r w:rsidRPr="00D5671B">
              <w:rPr>
                <w:rFonts w:ascii="Arial Narrow" w:hAnsi="Arial Narrow"/>
              </w:rPr>
              <w:t>Number of workshops among government agencies conducted</w:t>
            </w:r>
          </w:p>
          <w:p w14:paraId="3A3AF668" w14:textId="77777777" w:rsidR="00F13F6B" w:rsidRPr="00D5671B" w:rsidRDefault="00F13F6B" w:rsidP="0089441D">
            <w:pPr>
              <w:numPr>
                <w:ilvl w:val="1"/>
                <w:numId w:val="6"/>
              </w:numPr>
              <w:ind w:left="318"/>
              <w:rPr>
                <w:rFonts w:ascii="Arial Narrow" w:hAnsi="Arial Narrow"/>
              </w:rPr>
            </w:pPr>
            <w:r w:rsidRPr="00D5671B">
              <w:rPr>
                <w:rFonts w:ascii="Arial Narrow" w:hAnsi="Arial Narrow"/>
              </w:rPr>
              <w:t>Number of government personnel that have participated in TF supported training and learning activities</w:t>
            </w:r>
          </w:p>
          <w:p w14:paraId="030BBABE" w14:textId="77777777" w:rsidR="00F13F6B" w:rsidRPr="00D5671B" w:rsidRDefault="00F13F6B" w:rsidP="007805CE">
            <w:pPr>
              <w:jc w:val="center"/>
              <w:rPr>
                <w:rFonts w:ascii="Arial Narrow" w:hAnsi="Arial Narrow"/>
              </w:rPr>
            </w:pPr>
          </w:p>
        </w:tc>
        <w:tc>
          <w:tcPr>
            <w:tcW w:w="2835" w:type="dxa"/>
            <w:shd w:val="clear" w:color="auto" w:fill="92CDDC"/>
          </w:tcPr>
          <w:p w14:paraId="7407BF05" w14:textId="75C88932" w:rsidR="00F13F6B" w:rsidRPr="00D5671B" w:rsidRDefault="002A00A1" w:rsidP="007805CE">
            <w:pPr>
              <w:rPr>
                <w:rFonts w:ascii="Arial Narrow" w:hAnsi="Arial Narrow"/>
                <w:b/>
              </w:rPr>
            </w:pPr>
            <w:r w:rsidRPr="00D5671B">
              <w:rPr>
                <w:rFonts w:ascii="Arial Narrow" w:hAnsi="Arial Narrow"/>
                <w:b/>
              </w:rPr>
              <w:t>Public</w:t>
            </w:r>
            <w:r w:rsidR="00F13F6B" w:rsidRPr="00D5671B">
              <w:rPr>
                <w:rFonts w:ascii="Arial Narrow" w:hAnsi="Arial Narrow"/>
                <w:b/>
              </w:rPr>
              <w:t xml:space="preserve"> information, education and awareness projects on relevant policies and programs conducted </w:t>
            </w:r>
          </w:p>
          <w:p w14:paraId="68382544" w14:textId="77777777" w:rsidR="00F13F6B" w:rsidRPr="00D5671B" w:rsidRDefault="00F13F6B" w:rsidP="007805CE">
            <w:pPr>
              <w:ind w:left="318"/>
              <w:rPr>
                <w:rFonts w:ascii="Arial Narrow" w:hAnsi="Arial Narrow"/>
              </w:rPr>
            </w:pPr>
          </w:p>
          <w:p w14:paraId="4CFA9B9C" w14:textId="77777777" w:rsidR="00F13F6B" w:rsidRPr="00D5671B" w:rsidRDefault="00F13F6B" w:rsidP="007805CE">
            <w:pPr>
              <w:rPr>
                <w:rFonts w:ascii="Arial Narrow" w:hAnsi="Arial Narrow"/>
                <w:u w:val="single"/>
              </w:rPr>
            </w:pPr>
            <w:r w:rsidRPr="00D5671B">
              <w:rPr>
                <w:rFonts w:ascii="Arial Narrow" w:hAnsi="Arial Narrow"/>
                <w:u w:val="single"/>
              </w:rPr>
              <w:t xml:space="preserve">Indicators: </w:t>
            </w:r>
          </w:p>
          <w:p w14:paraId="45309DD1" w14:textId="77777777" w:rsidR="00F13F6B" w:rsidRPr="00D5671B" w:rsidRDefault="00F13F6B" w:rsidP="0089441D">
            <w:pPr>
              <w:numPr>
                <w:ilvl w:val="1"/>
                <w:numId w:val="4"/>
              </w:numPr>
              <w:ind w:left="318" w:hanging="284"/>
              <w:rPr>
                <w:rFonts w:ascii="Arial Narrow" w:hAnsi="Arial Narrow"/>
              </w:rPr>
            </w:pPr>
            <w:r w:rsidRPr="00D5671B">
              <w:rPr>
                <w:rFonts w:ascii="Arial Narrow" w:hAnsi="Arial Narrow"/>
              </w:rPr>
              <w:t>Number of dissemination workshops, forum and stakeholder consultations conducted</w:t>
            </w:r>
          </w:p>
          <w:p w14:paraId="75233536" w14:textId="77777777" w:rsidR="00F13F6B" w:rsidRPr="00D5671B" w:rsidRDefault="00F13F6B" w:rsidP="0089441D">
            <w:pPr>
              <w:numPr>
                <w:ilvl w:val="1"/>
                <w:numId w:val="4"/>
              </w:numPr>
              <w:ind w:left="318" w:hanging="284"/>
              <w:rPr>
                <w:rFonts w:ascii="Arial Narrow" w:hAnsi="Arial Narrow"/>
              </w:rPr>
            </w:pPr>
            <w:r w:rsidRPr="00D5671B">
              <w:rPr>
                <w:rFonts w:ascii="Arial Narrow" w:hAnsi="Arial Narrow"/>
              </w:rPr>
              <w:t>Number of participants that benefitted from dissemination workshops and stakeholder consultations</w:t>
            </w:r>
          </w:p>
          <w:p w14:paraId="62BD5419" w14:textId="77777777" w:rsidR="00F13F6B" w:rsidRPr="00D5671B" w:rsidRDefault="00F13F6B" w:rsidP="0089441D">
            <w:pPr>
              <w:numPr>
                <w:ilvl w:val="1"/>
                <w:numId w:val="4"/>
              </w:numPr>
              <w:ind w:left="318" w:hanging="284"/>
              <w:rPr>
                <w:rFonts w:ascii="Arial Narrow" w:hAnsi="Arial Narrow"/>
              </w:rPr>
            </w:pPr>
            <w:r w:rsidRPr="00D5671B">
              <w:rPr>
                <w:rFonts w:ascii="Arial Narrow" w:hAnsi="Arial Narrow"/>
              </w:rPr>
              <w:t xml:space="preserve">Number of information, </w:t>
            </w:r>
            <w:proofErr w:type="gramStart"/>
            <w:r w:rsidRPr="00D5671B">
              <w:rPr>
                <w:rFonts w:ascii="Arial Narrow" w:hAnsi="Arial Narrow"/>
              </w:rPr>
              <w:t>education</w:t>
            </w:r>
            <w:proofErr w:type="gramEnd"/>
            <w:r w:rsidRPr="00D5671B">
              <w:rPr>
                <w:rFonts w:ascii="Arial Narrow" w:hAnsi="Arial Narrow"/>
              </w:rPr>
              <w:t xml:space="preserve"> and communication materials </w:t>
            </w:r>
          </w:p>
          <w:p w14:paraId="14502A1D" w14:textId="77777777" w:rsidR="00F13F6B" w:rsidRPr="00D5671B" w:rsidRDefault="00F13F6B" w:rsidP="007805CE">
            <w:pPr>
              <w:jc w:val="center"/>
              <w:rPr>
                <w:rFonts w:ascii="Arial Narrow" w:hAnsi="Arial Narrow"/>
              </w:rPr>
            </w:pPr>
          </w:p>
        </w:tc>
        <w:tc>
          <w:tcPr>
            <w:tcW w:w="2977" w:type="dxa"/>
            <w:shd w:val="clear" w:color="auto" w:fill="FFFF99"/>
          </w:tcPr>
          <w:p w14:paraId="626C44A5" w14:textId="77777777" w:rsidR="00F13F6B" w:rsidRPr="00D5671B" w:rsidRDefault="00F13F6B" w:rsidP="007805CE">
            <w:pPr>
              <w:rPr>
                <w:rFonts w:ascii="Arial Narrow" w:hAnsi="Arial Narrow"/>
                <w:b/>
              </w:rPr>
            </w:pPr>
            <w:r w:rsidRPr="00D5671B">
              <w:rPr>
                <w:rFonts w:ascii="Arial Narrow" w:hAnsi="Arial Narrow"/>
                <w:b/>
              </w:rPr>
              <w:t>Partnerships and governance platforms for collaboration established</w:t>
            </w:r>
          </w:p>
          <w:p w14:paraId="6E924AED" w14:textId="77777777" w:rsidR="00F13F6B" w:rsidRPr="00D5671B" w:rsidRDefault="00F13F6B" w:rsidP="007805CE">
            <w:pPr>
              <w:rPr>
                <w:rFonts w:ascii="Arial Narrow" w:hAnsi="Arial Narrow"/>
                <w:b/>
              </w:rPr>
            </w:pPr>
          </w:p>
          <w:p w14:paraId="7D514FE5" w14:textId="77777777" w:rsidR="00F13F6B" w:rsidRPr="00D5671B" w:rsidRDefault="00F13F6B" w:rsidP="007805CE">
            <w:pPr>
              <w:rPr>
                <w:rFonts w:ascii="Arial Narrow" w:hAnsi="Arial Narrow"/>
                <w:u w:val="single"/>
              </w:rPr>
            </w:pPr>
            <w:r w:rsidRPr="00D5671B">
              <w:rPr>
                <w:rFonts w:ascii="Arial Narrow" w:hAnsi="Arial Narrow"/>
                <w:u w:val="single"/>
              </w:rPr>
              <w:t>Indicator:</w:t>
            </w:r>
          </w:p>
          <w:p w14:paraId="3372F050" w14:textId="77777777" w:rsidR="00F13F6B" w:rsidRPr="00D5671B" w:rsidRDefault="00F13F6B" w:rsidP="0089441D">
            <w:pPr>
              <w:numPr>
                <w:ilvl w:val="0"/>
                <w:numId w:val="8"/>
              </w:numPr>
              <w:ind w:left="326"/>
              <w:contextualSpacing/>
              <w:rPr>
                <w:rFonts w:ascii="Arial Narrow" w:hAnsi="Arial Narrow"/>
              </w:rPr>
            </w:pPr>
            <w:r w:rsidRPr="00D5671B">
              <w:rPr>
                <w:rFonts w:ascii="Arial Narrow" w:hAnsi="Arial Narrow"/>
              </w:rPr>
              <w:t xml:space="preserve">Presence of functional implementation structure and procedures </w:t>
            </w:r>
          </w:p>
          <w:p w14:paraId="5B7A0B19" w14:textId="77777777" w:rsidR="00F13F6B" w:rsidRPr="00D5671B" w:rsidRDefault="00F13F6B" w:rsidP="0089441D">
            <w:pPr>
              <w:numPr>
                <w:ilvl w:val="0"/>
                <w:numId w:val="8"/>
              </w:numPr>
              <w:ind w:left="326"/>
              <w:contextualSpacing/>
              <w:rPr>
                <w:rFonts w:ascii="Arial Narrow" w:hAnsi="Arial Narrow"/>
              </w:rPr>
            </w:pPr>
            <w:r w:rsidRPr="00D5671B">
              <w:rPr>
                <w:rFonts w:ascii="Arial Narrow" w:hAnsi="Arial Narrow"/>
              </w:rPr>
              <w:t>Number of collaborative activities conducted</w:t>
            </w:r>
          </w:p>
          <w:p w14:paraId="74089658" w14:textId="77777777" w:rsidR="00F13F6B" w:rsidRPr="00D5671B" w:rsidRDefault="00F13F6B" w:rsidP="007805CE">
            <w:pPr>
              <w:rPr>
                <w:rFonts w:ascii="Arial Narrow" w:hAnsi="Arial Narrow"/>
                <w:u w:val="single"/>
              </w:rPr>
            </w:pPr>
          </w:p>
        </w:tc>
      </w:tr>
    </w:tbl>
    <w:p w14:paraId="24282CC5" w14:textId="77777777" w:rsidR="00FF0894" w:rsidRDefault="00FF0894" w:rsidP="00F13F6B">
      <w:pPr>
        <w:jc w:val="center"/>
        <w:rPr>
          <w:rFonts w:cstheme="minorHAnsi"/>
          <w:sz w:val="20"/>
          <w:szCs w:val="20"/>
        </w:rPr>
        <w:sectPr w:rsidR="00FF0894" w:rsidSect="00FC7246">
          <w:pgSz w:w="16820" w:h="11900" w:orient="landscape" w:code="1"/>
          <w:pgMar w:top="1440" w:right="1440" w:bottom="1800" w:left="1800" w:header="360" w:footer="720" w:gutter="0"/>
          <w:cols w:space="720"/>
          <w:docGrid w:linePitch="360"/>
        </w:sectPr>
      </w:pPr>
    </w:p>
    <w:p w14:paraId="2FEE0DA7" w14:textId="41B09A87" w:rsidR="008305F9" w:rsidRDefault="008305F9" w:rsidP="00E03DD0">
      <w:pPr>
        <w:pStyle w:val="Heading1"/>
      </w:pPr>
      <w:bookmarkStart w:id="44" w:name="_Toc125560022"/>
      <w:r w:rsidRPr="002900C0">
        <w:lastRenderedPageBreak/>
        <w:t>Annex 4</w:t>
      </w:r>
      <w:r w:rsidRPr="002900C0">
        <w:tab/>
        <w:t>Detailed disbursements</w:t>
      </w:r>
      <w:bookmarkEnd w:id="44"/>
    </w:p>
    <w:p w14:paraId="2F250D1A" w14:textId="62FA06B4" w:rsidR="00BA22BB" w:rsidRDefault="00BA22BB" w:rsidP="00BA22BB">
      <w:pPr>
        <w:rPr>
          <w:rFonts w:ascii="Arial Narrow" w:hAnsi="Arial Narrow" w:cs="Calibri"/>
          <w:b/>
          <w:bCs/>
          <w:color w:val="000000"/>
          <w:sz w:val="18"/>
          <w:szCs w:val="18"/>
        </w:rPr>
      </w:pPr>
      <w:proofErr w:type="spellStart"/>
      <w:r>
        <w:rPr>
          <w:rFonts w:ascii="Arial Narrow" w:hAnsi="Arial Narrow" w:cs="Calibri"/>
          <w:b/>
          <w:bCs/>
          <w:color w:val="000000"/>
          <w:sz w:val="18"/>
          <w:szCs w:val="18"/>
        </w:rPr>
        <w:t>AGaP</w:t>
      </w:r>
      <w:proofErr w:type="spellEnd"/>
      <w:r w:rsidRPr="009B73ED">
        <w:rPr>
          <w:rFonts w:ascii="Arial Narrow" w:hAnsi="Arial Narrow" w:cs="Calibri"/>
          <w:b/>
          <w:bCs/>
          <w:color w:val="000000"/>
          <w:sz w:val="18"/>
          <w:szCs w:val="18"/>
        </w:rPr>
        <w:t xml:space="preserve"> projects approved before 25th January 2022</w:t>
      </w:r>
    </w:p>
    <w:p w14:paraId="2CE00654" w14:textId="295F7D50" w:rsidR="00BA22BB" w:rsidRPr="00BA22BB" w:rsidRDefault="00BA22BB" w:rsidP="00BA22BB">
      <w:pPr>
        <w:rPr>
          <w:lang w:eastAsia="en-US"/>
        </w:rPr>
      </w:pPr>
      <w:r w:rsidRPr="009B73ED">
        <w:rPr>
          <w:rFonts w:ascii="Arial Narrow" w:hAnsi="Arial Narrow" w:cs="Calibri"/>
          <w:color w:val="000000"/>
          <w:sz w:val="18"/>
          <w:szCs w:val="18"/>
        </w:rPr>
        <w:t xml:space="preserve">Financial report as </w:t>
      </w:r>
      <w:proofErr w:type="gramStart"/>
      <w:r w:rsidRPr="009B73ED">
        <w:rPr>
          <w:rFonts w:ascii="Arial Narrow" w:hAnsi="Arial Narrow" w:cs="Calibri"/>
          <w:color w:val="000000"/>
          <w:sz w:val="18"/>
          <w:szCs w:val="18"/>
        </w:rPr>
        <w:t>at</w:t>
      </w:r>
      <w:proofErr w:type="gramEnd"/>
      <w:r w:rsidRPr="009B73ED">
        <w:rPr>
          <w:rFonts w:ascii="Arial Narrow" w:hAnsi="Arial Narrow" w:cs="Calibri"/>
          <w:color w:val="000000"/>
          <w:sz w:val="18"/>
          <w:szCs w:val="18"/>
        </w:rPr>
        <w:t xml:space="preserve"> 5th May 2022</w:t>
      </w:r>
    </w:p>
    <w:tbl>
      <w:tblPr>
        <w:tblStyle w:val="TableGrid"/>
        <w:tblW w:w="0" w:type="auto"/>
        <w:tblLook w:val="04A0" w:firstRow="1" w:lastRow="0" w:firstColumn="1" w:lastColumn="0" w:noHBand="0" w:noVBand="1"/>
      </w:tblPr>
      <w:tblGrid>
        <w:gridCol w:w="1394"/>
        <w:gridCol w:w="1295"/>
        <w:gridCol w:w="1421"/>
        <w:gridCol w:w="1605"/>
        <w:gridCol w:w="1386"/>
        <w:gridCol w:w="1379"/>
        <w:gridCol w:w="1381"/>
        <w:gridCol w:w="1379"/>
        <w:gridCol w:w="1379"/>
        <w:gridCol w:w="1372"/>
        <w:gridCol w:w="1379"/>
      </w:tblGrid>
      <w:tr w:rsidR="00BA22BB" w14:paraId="3CCBE7D1" w14:textId="77777777" w:rsidTr="00BA22BB">
        <w:tc>
          <w:tcPr>
            <w:tcW w:w="1394" w:type="dxa"/>
          </w:tcPr>
          <w:p w14:paraId="3993CA07" w14:textId="77777777" w:rsidR="00BA22BB" w:rsidRDefault="00BA22BB" w:rsidP="00BA22BB">
            <w:pPr>
              <w:rPr>
                <w:lang w:eastAsia="en-US"/>
              </w:rPr>
            </w:pPr>
          </w:p>
        </w:tc>
        <w:tc>
          <w:tcPr>
            <w:tcW w:w="1295" w:type="dxa"/>
            <w:vAlign w:val="bottom"/>
          </w:tcPr>
          <w:p w14:paraId="75BA4D06" w14:textId="4364E984" w:rsidR="00BA22BB" w:rsidRDefault="00BA22BB" w:rsidP="00BA22BB">
            <w:pPr>
              <w:rPr>
                <w:lang w:eastAsia="en-US"/>
              </w:rPr>
            </w:pPr>
            <w:r>
              <w:rPr>
                <w:rFonts w:ascii="Arial Narrow" w:hAnsi="Arial Narrow" w:cs="Calibri"/>
                <w:b/>
                <w:bCs/>
                <w:color w:val="000000"/>
                <w:sz w:val="18"/>
                <w:szCs w:val="18"/>
              </w:rPr>
              <w:t xml:space="preserve">GRANT </w:t>
            </w:r>
            <w:r w:rsidRPr="009B73ED">
              <w:rPr>
                <w:rFonts w:ascii="Arial Narrow" w:hAnsi="Arial Narrow" w:cs="Calibri"/>
                <w:b/>
                <w:bCs/>
                <w:color w:val="000000"/>
                <w:sz w:val="18"/>
                <w:szCs w:val="18"/>
              </w:rPr>
              <w:t>AMOUNT</w:t>
            </w:r>
            <w:r>
              <w:rPr>
                <w:rFonts w:ascii="Arial Narrow" w:hAnsi="Arial Narrow" w:cs="Calibri"/>
                <w:b/>
                <w:bCs/>
                <w:color w:val="000000"/>
                <w:sz w:val="18"/>
                <w:szCs w:val="18"/>
              </w:rPr>
              <w:t xml:space="preserve"> </w:t>
            </w:r>
            <w:r w:rsidRPr="009B73ED">
              <w:rPr>
                <w:rFonts w:ascii="Arial Narrow" w:hAnsi="Arial Narrow" w:cs="Calibri"/>
                <w:b/>
                <w:bCs/>
                <w:color w:val="000000"/>
                <w:sz w:val="18"/>
                <w:szCs w:val="18"/>
              </w:rPr>
              <w:t>(a)</w:t>
            </w:r>
          </w:p>
        </w:tc>
        <w:tc>
          <w:tcPr>
            <w:tcW w:w="1421" w:type="dxa"/>
            <w:vAlign w:val="bottom"/>
          </w:tcPr>
          <w:p w14:paraId="0729E142" w14:textId="686033FA" w:rsidR="00BA22BB" w:rsidRDefault="00BA22BB" w:rsidP="00BA22BB">
            <w:pPr>
              <w:rPr>
                <w:lang w:eastAsia="en-US"/>
              </w:rPr>
            </w:pPr>
            <w:r w:rsidRPr="009B73ED">
              <w:rPr>
                <w:rFonts w:ascii="Arial Narrow" w:hAnsi="Arial Narrow" w:cs="Calibri"/>
                <w:b/>
                <w:bCs/>
                <w:color w:val="000000"/>
                <w:sz w:val="18"/>
                <w:szCs w:val="18"/>
              </w:rPr>
              <w:t>TRANSFERRED</w:t>
            </w:r>
            <w:r>
              <w:rPr>
                <w:rFonts w:ascii="Arial Narrow" w:hAnsi="Arial Narrow" w:cs="Calibri"/>
                <w:b/>
                <w:bCs/>
                <w:color w:val="000000"/>
                <w:sz w:val="18"/>
                <w:szCs w:val="18"/>
              </w:rPr>
              <w:t xml:space="preserve"> (b)</w:t>
            </w:r>
          </w:p>
        </w:tc>
        <w:tc>
          <w:tcPr>
            <w:tcW w:w="1605" w:type="dxa"/>
            <w:vAlign w:val="bottom"/>
          </w:tcPr>
          <w:p w14:paraId="6CB3610A" w14:textId="02B886E0" w:rsidR="00BA22BB" w:rsidRDefault="00BA22BB" w:rsidP="00BA22BB">
            <w:pPr>
              <w:rPr>
                <w:lang w:eastAsia="en-US"/>
              </w:rPr>
            </w:pPr>
            <w:r>
              <w:rPr>
                <w:rFonts w:ascii="Arial Narrow" w:hAnsi="Arial Narrow" w:cs="Calibri"/>
                <w:b/>
                <w:bCs/>
                <w:color w:val="000000"/>
                <w:sz w:val="18"/>
                <w:szCs w:val="18"/>
              </w:rPr>
              <w:t xml:space="preserve">REMAINING </w:t>
            </w:r>
            <w:r w:rsidRPr="009B73ED">
              <w:rPr>
                <w:rFonts w:ascii="Arial Narrow" w:hAnsi="Arial Narrow" w:cs="Calibri"/>
                <w:b/>
                <w:bCs/>
                <w:color w:val="000000"/>
                <w:sz w:val="18"/>
                <w:szCs w:val="18"/>
              </w:rPr>
              <w:t>AMOUNT</w:t>
            </w:r>
            <w:r>
              <w:rPr>
                <w:rFonts w:ascii="Arial Narrow" w:hAnsi="Arial Narrow" w:cs="Calibri"/>
                <w:b/>
                <w:bCs/>
                <w:color w:val="000000"/>
                <w:sz w:val="18"/>
                <w:szCs w:val="18"/>
              </w:rPr>
              <w:t xml:space="preserve"> (a-b)</w:t>
            </w:r>
          </w:p>
        </w:tc>
        <w:tc>
          <w:tcPr>
            <w:tcW w:w="1386" w:type="dxa"/>
            <w:vAlign w:val="bottom"/>
          </w:tcPr>
          <w:p w14:paraId="389EA216" w14:textId="04E45F8F" w:rsidR="00BA22BB" w:rsidRDefault="00BA22BB" w:rsidP="00BA22BB">
            <w:pPr>
              <w:rPr>
                <w:lang w:eastAsia="en-US"/>
              </w:rPr>
            </w:pPr>
            <w:r w:rsidRPr="009B73ED">
              <w:rPr>
                <w:rFonts w:ascii="Arial Narrow" w:hAnsi="Arial Narrow" w:cs="Calibri"/>
                <w:color w:val="000000"/>
                <w:sz w:val="18"/>
                <w:szCs w:val="18"/>
              </w:rPr>
              <w:t> </w:t>
            </w:r>
            <w:r w:rsidRPr="009B73ED">
              <w:rPr>
                <w:rFonts w:ascii="Arial Narrow" w:hAnsi="Arial Narrow" w:cs="Calibri"/>
                <w:b/>
                <w:bCs/>
                <w:color w:val="000000"/>
                <w:sz w:val="18"/>
                <w:szCs w:val="18"/>
              </w:rPr>
              <w:t>DISBURSED</w:t>
            </w:r>
            <w:r>
              <w:rPr>
                <w:rFonts w:ascii="Arial Narrow" w:hAnsi="Arial Narrow" w:cs="Calibri"/>
                <w:b/>
                <w:bCs/>
                <w:color w:val="000000"/>
                <w:sz w:val="18"/>
                <w:szCs w:val="18"/>
              </w:rPr>
              <w:t xml:space="preserve"> (c)</w:t>
            </w:r>
          </w:p>
        </w:tc>
        <w:tc>
          <w:tcPr>
            <w:tcW w:w="1379" w:type="dxa"/>
            <w:vAlign w:val="bottom"/>
          </w:tcPr>
          <w:p w14:paraId="38BCFDBC" w14:textId="10E505AA" w:rsidR="00BA22BB" w:rsidRDefault="00BA22BB" w:rsidP="00BA22BB">
            <w:pPr>
              <w:rPr>
                <w:lang w:eastAsia="en-US"/>
              </w:rPr>
            </w:pPr>
            <w:r w:rsidRPr="009B73ED">
              <w:rPr>
                <w:rFonts w:ascii="Arial Narrow" w:hAnsi="Arial Narrow" w:cs="Calibri"/>
                <w:b/>
                <w:bCs/>
                <w:color w:val="000000"/>
                <w:sz w:val="18"/>
                <w:szCs w:val="18"/>
              </w:rPr>
              <w:t>FUND BALANC</w:t>
            </w:r>
            <w:r>
              <w:rPr>
                <w:rFonts w:ascii="Arial Narrow" w:hAnsi="Arial Narrow" w:cs="Calibri"/>
                <w:b/>
                <w:bCs/>
                <w:color w:val="000000"/>
                <w:sz w:val="18"/>
                <w:szCs w:val="18"/>
              </w:rPr>
              <w:t>E Percent (c/b)</w:t>
            </w:r>
          </w:p>
        </w:tc>
        <w:tc>
          <w:tcPr>
            <w:tcW w:w="1381" w:type="dxa"/>
            <w:vAlign w:val="bottom"/>
          </w:tcPr>
          <w:p w14:paraId="455EE3AC" w14:textId="7F0FBC27" w:rsidR="00BA22BB" w:rsidRDefault="00BA22BB" w:rsidP="00BA22BB">
            <w:pPr>
              <w:rPr>
                <w:lang w:eastAsia="en-US"/>
              </w:rPr>
            </w:pPr>
            <w:r>
              <w:rPr>
                <w:rFonts w:ascii="Arial Narrow" w:hAnsi="Arial Narrow" w:cs="Calibri"/>
                <w:b/>
                <w:bCs/>
                <w:color w:val="000000"/>
                <w:sz w:val="18"/>
                <w:szCs w:val="18"/>
              </w:rPr>
              <w:t xml:space="preserve">CLOSING </w:t>
            </w:r>
            <w:r w:rsidRPr="009B73ED">
              <w:rPr>
                <w:rFonts w:ascii="Arial Narrow" w:hAnsi="Arial Narrow" w:cs="Calibri"/>
                <w:b/>
                <w:bCs/>
                <w:color w:val="000000"/>
                <w:sz w:val="18"/>
                <w:szCs w:val="18"/>
              </w:rPr>
              <w:t>Committed</w:t>
            </w:r>
            <w:r>
              <w:rPr>
                <w:rFonts w:ascii="Arial Narrow" w:hAnsi="Arial Narrow" w:cs="Calibri"/>
                <w:b/>
                <w:bCs/>
                <w:color w:val="000000"/>
                <w:sz w:val="18"/>
                <w:szCs w:val="18"/>
              </w:rPr>
              <w:t xml:space="preserve"> (d)</w:t>
            </w:r>
          </w:p>
        </w:tc>
        <w:tc>
          <w:tcPr>
            <w:tcW w:w="1379" w:type="dxa"/>
            <w:vAlign w:val="bottom"/>
          </w:tcPr>
          <w:p w14:paraId="6451172C" w14:textId="0628895A" w:rsidR="00BA22BB" w:rsidRDefault="00BA22BB" w:rsidP="00BA22BB">
            <w:pPr>
              <w:rPr>
                <w:lang w:eastAsia="en-US"/>
              </w:rPr>
            </w:pPr>
            <w:r w:rsidRPr="009B73ED">
              <w:rPr>
                <w:rFonts w:ascii="Arial Narrow" w:hAnsi="Arial Narrow" w:cs="Calibri"/>
                <w:b/>
                <w:bCs/>
                <w:color w:val="000000"/>
                <w:sz w:val="18"/>
                <w:szCs w:val="18"/>
              </w:rPr>
              <w:t>Available</w:t>
            </w:r>
            <w:r>
              <w:rPr>
                <w:rFonts w:ascii="Arial Narrow" w:hAnsi="Arial Narrow" w:cs="Calibri"/>
                <w:b/>
                <w:bCs/>
                <w:color w:val="000000"/>
                <w:sz w:val="18"/>
                <w:szCs w:val="18"/>
              </w:rPr>
              <w:t xml:space="preserve"> (e)</w:t>
            </w:r>
          </w:p>
        </w:tc>
        <w:tc>
          <w:tcPr>
            <w:tcW w:w="1379" w:type="dxa"/>
            <w:vAlign w:val="bottom"/>
          </w:tcPr>
          <w:p w14:paraId="15F2DD16" w14:textId="3F57DD4A" w:rsidR="00BA22BB" w:rsidRDefault="00BA22BB" w:rsidP="00BA22BB">
            <w:pPr>
              <w:rPr>
                <w:lang w:eastAsia="en-US"/>
              </w:rPr>
            </w:pPr>
            <w:r w:rsidRPr="009B73ED">
              <w:rPr>
                <w:rFonts w:ascii="Arial Narrow" w:hAnsi="Arial Narrow" w:cs="Calibri"/>
                <w:b/>
                <w:bCs/>
                <w:color w:val="000000"/>
                <w:sz w:val="18"/>
                <w:szCs w:val="18"/>
              </w:rPr>
              <w:t>Total</w:t>
            </w:r>
            <w:r>
              <w:rPr>
                <w:rFonts w:ascii="Arial Narrow" w:hAnsi="Arial Narrow" w:cs="Calibri"/>
                <w:b/>
                <w:bCs/>
                <w:color w:val="000000"/>
                <w:sz w:val="18"/>
                <w:szCs w:val="18"/>
              </w:rPr>
              <w:t xml:space="preserve"> (</w:t>
            </w:r>
            <w:proofErr w:type="spellStart"/>
            <w:r>
              <w:rPr>
                <w:rFonts w:ascii="Arial Narrow" w:hAnsi="Arial Narrow" w:cs="Calibri"/>
                <w:b/>
                <w:bCs/>
                <w:color w:val="000000"/>
                <w:sz w:val="18"/>
                <w:szCs w:val="18"/>
              </w:rPr>
              <w:t>d+e</w:t>
            </w:r>
            <w:proofErr w:type="spellEnd"/>
            <w:r>
              <w:rPr>
                <w:rFonts w:ascii="Arial Narrow" w:hAnsi="Arial Narrow" w:cs="Calibri"/>
                <w:b/>
                <w:bCs/>
                <w:color w:val="000000"/>
                <w:sz w:val="18"/>
                <w:szCs w:val="18"/>
              </w:rPr>
              <w:t>=f)</w:t>
            </w:r>
          </w:p>
        </w:tc>
        <w:tc>
          <w:tcPr>
            <w:tcW w:w="1372" w:type="dxa"/>
            <w:vAlign w:val="bottom"/>
          </w:tcPr>
          <w:p w14:paraId="24C13F60" w14:textId="15AC10E2" w:rsidR="00BA22BB" w:rsidRDefault="00BA22BB" w:rsidP="00BA22BB">
            <w:pPr>
              <w:rPr>
                <w:lang w:eastAsia="en-US"/>
              </w:rPr>
            </w:pPr>
            <w:r>
              <w:rPr>
                <w:rFonts w:ascii="Arial Narrow" w:hAnsi="Arial Narrow" w:cs="Calibri"/>
                <w:b/>
                <w:bCs/>
                <w:color w:val="000000"/>
                <w:sz w:val="18"/>
                <w:szCs w:val="18"/>
              </w:rPr>
              <w:t>Percent f/b</w:t>
            </w:r>
          </w:p>
        </w:tc>
        <w:tc>
          <w:tcPr>
            <w:tcW w:w="1379" w:type="dxa"/>
            <w:vAlign w:val="bottom"/>
          </w:tcPr>
          <w:p w14:paraId="21185043" w14:textId="562C0B7E" w:rsidR="00BA22BB" w:rsidRDefault="00BA22BB" w:rsidP="00BA22BB">
            <w:pPr>
              <w:rPr>
                <w:lang w:eastAsia="en-US"/>
              </w:rPr>
            </w:pPr>
            <w:r w:rsidRPr="009B73ED">
              <w:rPr>
                <w:rFonts w:ascii="Arial Narrow" w:hAnsi="Arial Narrow" w:cs="Calibri"/>
                <w:b/>
                <w:bCs/>
                <w:color w:val="000000"/>
                <w:sz w:val="18"/>
                <w:szCs w:val="18"/>
              </w:rPr>
              <w:t>DATE</w:t>
            </w:r>
          </w:p>
        </w:tc>
      </w:tr>
      <w:tr w:rsidR="00BA22BB" w14:paraId="33C795FA" w14:textId="77777777" w:rsidTr="00BA22BB">
        <w:tc>
          <w:tcPr>
            <w:tcW w:w="1394" w:type="dxa"/>
            <w:vAlign w:val="bottom"/>
          </w:tcPr>
          <w:p w14:paraId="4C7326EC" w14:textId="26AE100E" w:rsidR="00BA22BB" w:rsidRDefault="00BA22BB" w:rsidP="00BA22BB">
            <w:pPr>
              <w:rPr>
                <w:lang w:eastAsia="en-US"/>
              </w:rPr>
            </w:pPr>
            <w:r w:rsidRPr="009B73ED">
              <w:rPr>
                <w:rFonts w:ascii="Arial Narrow" w:hAnsi="Arial Narrow" w:cs="Calibri"/>
                <w:b/>
                <w:bCs/>
                <w:color w:val="000000"/>
                <w:sz w:val="18"/>
                <w:szCs w:val="18"/>
              </w:rPr>
              <w:t>1. Ongoing</w:t>
            </w:r>
          </w:p>
        </w:tc>
        <w:tc>
          <w:tcPr>
            <w:tcW w:w="1295" w:type="dxa"/>
            <w:vAlign w:val="bottom"/>
          </w:tcPr>
          <w:p w14:paraId="78A91A07" w14:textId="7EAABA88" w:rsidR="00BA22BB" w:rsidRDefault="00BA22BB" w:rsidP="00BA22BB">
            <w:pPr>
              <w:rPr>
                <w:lang w:eastAsia="en-US"/>
              </w:rPr>
            </w:pPr>
            <w:r w:rsidRPr="009B73ED">
              <w:rPr>
                <w:rFonts w:ascii="Arial Narrow" w:hAnsi="Arial Narrow" w:cs="Calibri"/>
                <w:b/>
                <w:bCs/>
                <w:color w:val="000000"/>
                <w:sz w:val="18"/>
                <w:szCs w:val="18"/>
              </w:rPr>
              <w:t>3,350,000.00</w:t>
            </w:r>
          </w:p>
        </w:tc>
        <w:tc>
          <w:tcPr>
            <w:tcW w:w="1421" w:type="dxa"/>
            <w:vAlign w:val="bottom"/>
          </w:tcPr>
          <w:p w14:paraId="0A5866C6" w14:textId="76C2DE40" w:rsidR="00BA22BB" w:rsidRDefault="00BA22BB" w:rsidP="00BA22BB">
            <w:pPr>
              <w:rPr>
                <w:lang w:eastAsia="en-US"/>
              </w:rPr>
            </w:pPr>
            <w:r w:rsidRPr="009B73ED">
              <w:rPr>
                <w:rFonts w:ascii="Arial Narrow" w:hAnsi="Arial Narrow" w:cs="Calibri"/>
                <w:b/>
                <w:bCs/>
                <w:color w:val="000000"/>
                <w:sz w:val="18"/>
                <w:szCs w:val="18"/>
              </w:rPr>
              <w:t>3,150,000.00</w:t>
            </w:r>
          </w:p>
        </w:tc>
        <w:tc>
          <w:tcPr>
            <w:tcW w:w="1605" w:type="dxa"/>
            <w:vAlign w:val="bottom"/>
          </w:tcPr>
          <w:p w14:paraId="7C6B6084" w14:textId="2CD53E5A" w:rsidR="00BA22BB" w:rsidRDefault="00BA22BB" w:rsidP="00BA22BB">
            <w:pPr>
              <w:rPr>
                <w:lang w:eastAsia="en-US"/>
              </w:rPr>
            </w:pPr>
            <w:r w:rsidRPr="009B73ED">
              <w:rPr>
                <w:rFonts w:ascii="Arial Narrow" w:hAnsi="Arial Narrow" w:cs="Calibri"/>
                <w:b/>
                <w:bCs/>
                <w:color w:val="000000"/>
                <w:sz w:val="18"/>
                <w:szCs w:val="18"/>
              </w:rPr>
              <w:t>200,000.00</w:t>
            </w:r>
          </w:p>
        </w:tc>
        <w:tc>
          <w:tcPr>
            <w:tcW w:w="1386" w:type="dxa"/>
            <w:vAlign w:val="bottom"/>
          </w:tcPr>
          <w:p w14:paraId="3E6296B3" w14:textId="0BC5DB57" w:rsidR="00BA22BB" w:rsidRDefault="00BA22BB" w:rsidP="00BA22BB">
            <w:pPr>
              <w:rPr>
                <w:lang w:eastAsia="en-US"/>
              </w:rPr>
            </w:pPr>
            <w:r w:rsidRPr="009B73ED">
              <w:rPr>
                <w:rFonts w:ascii="Arial Narrow" w:hAnsi="Arial Narrow" w:cs="Calibri"/>
                <w:b/>
                <w:bCs/>
                <w:color w:val="000000"/>
                <w:sz w:val="18"/>
                <w:szCs w:val="18"/>
              </w:rPr>
              <w:t>2,427,081.38</w:t>
            </w:r>
          </w:p>
        </w:tc>
        <w:tc>
          <w:tcPr>
            <w:tcW w:w="1379" w:type="dxa"/>
            <w:vAlign w:val="bottom"/>
          </w:tcPr>
          <w:p w14:paraId="673C167C" w14:textId="03F0990B" w:rsidR="00BA22BB" w:rsidRDefault="00BA22BB" w:rsidP="00BA22BB">
            <w:pPr>
              <w:rPr>
                <w:lang w:eastAsia="en-US"/>
              </w:rPr>
            </w:pPr>
            <w:r w:rsidRPr="009B73ED">
              <w:rPr>
                <w:rFonts w:ascii="Arial Narrow" w:hAnsi="Arial Narrow" w:cs="Calibri"/>
                <w:color w:val="000000"/>
                <w:sz w:val="18"/>
                <w:szCs w:val="18"/>
              </w:rPr>
              <w:t> </w:t>
            </w:r>
            <w:r>
              <w:rPr>
                <w:rFonts w:ascii="Arial Narrow" w:hAnsi="Arial Narrow" w:cs="Calibri"/>
                <w:color w:val="000000"/>
                <w:sz w:val="18"/>
                <w:szCs w:val="18"/>
              </w:rPr>
              <w:t>-</w:t>
            </w:r>
          </w:p>
        </w:tc>
        <w:tc>
          <w:tcPr>
            <w:tcW w:w="1381" w:type="dxa"/>
            <w:vAlign w:val="bottom"/>
          </w:tcPr>
          <w:p w14:paraId="07377B80" w14:textId="7AD03B30" w:rsidR="00BA22BB" w:rsidRDefault="00BA22BB" w:rsidP="00BA22BB">
            <w:pPr>
              <w:rPr>
                <w:lang w:eastAsia="en-US"/>
              </w:rPr>
            </w:pPr>
            <w:r w:rsidRPr="009B73ED">
              <w:rPr>
                <w:rFonts w:ascii="Arial Narrow" w:hAnsi="Arial Narrow" w:cs="Calibri"/>
                <w:b/>
                <w:bCs/>
                <w:color w:val="000000"/>
                <w:sz w:val="18"/>
                <w:szCs w:val="18"/>
              </w:rPr>
              <w:t>194,771.53</w:t>
            </w:r>
          </w:p>
        </w:tc>
        <w:tc>
          <w:tcPr>
            <w:tcW w:w="1379" w:type="dxa"/>
            <w:vAlign w:val="bottom"/>
          </w:tcPr>
          <w:p w14:paraId="768998EA" w14:textId="217B8F09" w:rsidR="00BA22BB" w:rsidRDefault="00BA22BB" w:rsidP="00BA22BB">
            <w:pPr>
              <w:rPr>
                <w:lang w:eastAsia="en-US"/>
              </w:rPr>
            </w:pPr>
            <w:r w:rsidRPr="009B73ED">
              <w:rPr>
                <w:rFonts w:ascii="Arial Narrow" w:hAnsi="Arial Narrow" w:cs="Calibri"/>
                <w:b/>
                <w:bCs/>
                <w:color w:val="000000"/>
                <w:sz w:val="18"/>
                <w:szCs w:val="18"/>
              </w:rPr>
              <w:t>528,147.09</w:t>
            </w:r>
          </w:p>
        </w:tc>
        <w:tc>
          <w:tcPr>
            <w:tcW w:w="1379" w:type="dxa"/>
            <w:vAlign w:val="bottom"/>
          </w:tcPr>
          <w:p w14:paraId="17BC4AC9" w14:textId="1C2B03A5" w:rsidR="00BA22BB" w:rsidRDefault="00BA22BB" w:rsidP="00BA22BB">
            <w:pPr>
              <w:rPr>
                <w:lang w:eastAsia="en-US"/>
              </w:rPr>
            </w:pPr>
            <w:r w:rsidRPr="009B73ED">
              <w:rPr>
                <w:rFonts w:ascii="Arial Narrow" w:hAnsi="Arial Narrow" w:cs="Calibri"/>
                <w:b/>
                <w:bCs/>
                <w:color w:val="000000"/>
                <w:sz w:val="18"/>
                <w:szCs w:val="18"/>
              </w:rPr>
              <w:t>722,918.62</w:t>
            </w:r>
          </w:p>
        </w:tc>
        <w:tc>
          <w:tcPr>
            <w:tcW w:w="1372" w:type="dxa"/>
            <w:vAlign w:val="bottom"/>
          </w:tcPr>
          <w:p w14:paraId="5E943348" w14:textId="7EF479C6" w:rsidR="00BA22BB" w:rsidRDefault="00BA22BB" w:rsidP="00BA22BB">
            <w:pPr>
              <w:rPr>
                <w:lang w:eastAsia="en-US"/>
              </w:rPr>
            </w:pPr>
            <w:r w:rsidRPr="009B73ED">
              <w:rPr>
                <w:rFonts w:ascii="Arial Narrow" w:hAnsi="Arial Narrow" w:cs="Calibri"/>
                <w:color w:val="000000"/>
                <w:sz w:val="18"/>
                <w:szCs w:val="18"/>
              </w:rPr>
              <w:t> </w:t>
            </w:r>
            <w:r>
              <w:rPr>
                <w:rFonts w:ascii="Arial Narrow" w:hAnsi="Arial Narrow" w:cs="Calibri"/>
                <w:color w:val="000000"/>
                <w:sz w:val="18"/>
                <w:szCs w:val="18"/>
              </w:rPr>
              <w:t>-</w:t>
            </w:r>
          </w:p>
        </w:tc>
        <w:tc>
          <w:tcPr>
            <w:tcW w:w="1379" w:type="dxa"/>
            <w:vAlign w:val="bottom"/>
          </w:tcPr>
          <w:p w14:paraId="2D8DCB93" w14:textId="73AE40AF" w:rsidR="00BA22BB" w:rsidRDefault="00BA22BB" w:rsidP="00BA22BB">
            <w:pPr>
              <w:rPr>
                <w:lang w:eastAsia="en-US"/>
              </w:rPr>
            </w:pPr>
            <w:r w:rsidRPr="009B73ED">
              <w:rPr>
                <w:rFonts w:ascii="Arial Narrow" w:hAnsi="Arial Narrow" w:cs="Calibri"/>
                <w:color w:val="000000"/>
                <w:sz w:val="18"/>
                <w:szCs w:val="18"/>
              </w:rPr>
              <w:t> </w:t>
            </w:r>
            <w:r>
              <w:rPr>
                <w:rFonts w:ascii="Arial Narrow" w:hAnsi="Arial Narrow" w:cs="Calibri"/>
                <w:color w:val="000000"/>
                <w:sz w:val="18"/>
                <w:szCs w:val="18"/>
              </w:rPr>
              <w:t>-</w:t>
            </w:r>
          </w:p>
        </w:tc>
      </w:tr>
      <w:tr w:rsidR="00BA22BB" w14:paraId="3EBEF1D9" w14:textId="77777777" w:rsidTr="00BA22BB">
        <w:tc>
          <w:tcPr>
            <w:tcW w:w="1394" w:type="dxa"/>
            <w:vAlign w:val="bottom"/>
          </w:tcPr>
          <w:p w14:paraId="0AD16DEB" w14:textId="64BEBCDF" w:rsidR="00BA22BB" w:rsidRDefault="00BA22BB" w:rsidP="00BA22BB">
            <w:pPr>
              <w:rPr>
                <w:lang w:eastAsia="en-US"/>
              </w:rPr>
            </w:pPr>
            <w:r w:rsidRPr="009B73ED">
              <w:rPr>
                <w:rFonts w:ascii="Arial Narrow" w:hAnsi="Arial Narrow" w:cs="Calibri"/>
                <w:i/>
                <w:iCs/>
                <w:color w:val="000000"/>
                <w:sz w:val="18"/>
                <w:szCs w:val="18"/>
              </w:rPr>
              <w:t xml:space="preserve">a. </w:t>
            </w:r>
            <w:r>
              <w:rPr>
                <w:rFonts w:ascii="Arial Narrow" w:hAnsi="Arial Narrow" w:cs="Calibri"/>
                <w:i/>
                <w:iCs/>
                <w:color w:val="000000"/>
                <w:sz w:val="18"/>
                <w:szCs w:val="18"/>
              </w:rPr>
              <w:t>AGAP</w:t>
            </w:r>
            <w:r w:rsidRPr="009B73ED">
              <w:rPr>
                <w:rFonts w:ascii="Arial Narrow" w:hAnsi="Arial Narrow" w:cs="Calibri"/>
                <w:i/>
                <w:iCs/>
                <w:color w:val="000000"/>
                <w:sz w:val="18"/>
                <w:szCs w:val="18"/>
              </w:rPr>
              <w:t xml:space="preserve"> TF Program Management &amp; Grant Administration</w:t>
            </w:r>
          </w:p>
        </w:tc>
        <w:tc>
          <w:tcPr>
            <w:tcW w:w="1295" w:type="dxa"/>
            <w:vAlign w:val="bottom"/>
          </w:tcPr>
          <w:p w14:paraId="1F727889" w14:textId="0460B1D3" w:rsidR="00BA22BB" w:rsidRDefault="00BA22BB" w:rsidP="00BA22BB">
            <w:pPr>
              <w:rPr>
                <w:lang w:eastAsia="en-US"/>
              </w:rPr>
            </w:pPr>
            <w:r w:rsidRPr="009B73ED">
              <w:rPr>
                <w:rFonts w:ascii="Arial Narrow" w:hAnsi="Arial Narrow" w:cs="Calibri"/>
                <w:i/>
                <w:iCs/>
                <w:color w:val="000000"/>
                <w:sz w:val="18"/>
                <w:szCs w:val="18"/>
              </w:rPr>
              <w:t>300,000.00</w:t>
            </w:r>
          </w:p>
        </w:tc>
        <w:tc>
          <w:tcPr>
            <w:tcW w:w="1421" w:type="dxa"/>
            <w:vAlign w:val="bottom"/>
          </w:tcPr>
          <w:p w14:paraId="0586E109" w14:textId="0C9293F8" w:rsidR="00BA22BB" w:rsidRDefault="00BA22BB" w:rsidP="00BA22BB">
            <w:pPr>
              <w:rPr>
                <w:lang w:eastAsia="en-US"/>
              </w:rPr>
            </w:pPr>
            <w:r w:rsidRPr="009B73ED">
              <w:rPr>
                <w:rFonts w:ascii="Arial Narrow" w:hAnsi="Arial Narrow" w:cs="Calibri"/>
                <w:i/>
                <w:iCs/>
                <w:color w:val="000000"/>
                <w:sz w:val="18"/>
                <w:szCs w:val="18"/>
              </w:rPr>
              <w:t>100,000.00</w:t>
            </w:r>
          </w:p>
        </w:tc>
        <w:tc>
          <w:tcPr>
            <w:tcW w:w="1605" w:type="dxa"/>
            <w:vAlign w:val="bottom"/>
          </w:tcPr>
          <w:p w14:paraId="2273D1C4" w14:textId="6E4339ED" w:rsidR="00BA22BB" w:rsidRDefault="00BA22BB" w:rsidP="00BA22BB">
            <w:pPr>
              <w:rPr>
                <w:lang w:eastAsia="en-US"/>
              </w:rPr>
            </w:pPr>
            <w:r w:rsidRPr="009B73ED">
              <w:rPr>
                <w:rFonts w:ascii="Arial Narrow" w:hAnsi="Arial Narrow" w:cs="Calibri"/>
                <w:i/>
                <w:iCs/>
                <w:color w:val="000000"/>
                <w:sz w:val="18"/>
                <w:szCs w:val="18"/>
              </w:rPr>
              <w:t>200,000.00</w:t>
            </w:r>
          </w:p>
        </w:tc>
        <w:tc>
          <w:tcPr>
            <w:tcW w:w="1386" w:type="dxa"/>
            <w:vAlign w:val="bottom"/>
          </w:tcPr>
          <w:p w14:paraId="50430838" w14:textId="24123914" w:rsidR="00BA22BB" w:rsidRDefault="00BA22BB" w:rsidP="00BA22BB">
            <w:pPr>
              <w:rPr>
                <w:lang w:eastAsia="en-US"/>
              </w:rPr>
            </w:pPr>
            <w:r w:rsidRPr="009B73ED">
              <w:rPr>
                <w:rFonts w:ascii="Arial Narrow" w:hAnsi="Arial Narrow" w:cs="Calibri"/>
                <w:i/>
                <w:iCs/>
                <w:color w:val="000000"/>
                <w:sz w:val="18"/>
                <w:szCs w:val="18"/>
              </w:rPr>
              <w:t>78,255.87</w:t>
            </w:r>
          </w:p>
        </w:tc>
        <w:tc>
          <w:tcPr>
            <w:tcW w:w="1379" w:type="dxa"/>
            <w:vAlign w:val="bottom"/>
          </w:tcPr>
          <w:p w14:paraId="369F3924" w14:textId="6A247108" w:rsidR="00BA22BB" w:rsidRDefault="00BA22BB" w:rsidP="00BA22BB">
            <w:pPr>
              <w:rPr>
                <w:lang w:eastAsia="en-US"/>
              </w:rPr>
            </w:pPr>
            <w:r w:rsidRPr="009B73ED">
              <w:rPr>
                <w:rFonts w:ascii="Arial Narrow" w:hAnsi="Arial Narrow" w:cs="Calibri"/>
                <w:i/>
                <w:iCs/>
                <w:color w:val="000000"/>
                <w:sz w:val="18"/>
                <w:szCs w:val="18"/>
              </w:rPr>
              <w:t>78.26%</w:t>
            </w:r>
          </w:p>
        </w:tc>
        <w:tc>
          <w:tcPr>
            <w:tcW w:w="1381" w:type="dxa"/>
            <w:vAlign w:val="bottom"/>
          </w:tcPr>
          <w:p w14:paraId="155FEA08" w14:textId="131125A9" w:rsidR="00BA22BB" w:rsidRDefault="00BA22BB" w:rsidP="00BA22BB">
            <w:pPr>
              <w:rPr>
                <w:lang w:eastAsia="en-US"/>
              </w:rPr>
            </w:pPr>
            <w:r w:rsidRPr="009B73ED">
              <w:rPr>
                <w:rFonts w:ascii="Arial Narrow" w:hAnsi="Arial Narrow" w:cs="Calibri"/>
                <w:i/>
                <w:iCs/>
                <w:color w:val="000000"/>
                <w:sz w:val="18"/>
                <w:szCs w:val="18"/>
              </w:rPr>
              <w:t>4,180.05</w:t>
            </w:r>
          </w:p>
        </w:tc>
        <w:tc>
          <w:tcPr>
            <w:tcW w:w="1379" w:type="dxa"/>
            <w:vAlign w:val="bottom"/>
          </w:tcPr>
          <w:p w14:paraId="1BA1E11E" w14:textId="13DE9180" w:rsidR="00BA22BB" w:rsidRDefault="00BA22BB" w:rsidP="00BA22BB">
            <w:pPr>
              <w:rPr>
                <w:lang w:eastAsia="en-US"/>
              </w:rPr>
            </w:pPr>
            <w:r w:rsidRPr="009B73ED">
              <w:rPr>
                <w:rFonts w:ascii="Arial Narrow" w:hAnsi="Arial Narrow" w:cs="Calibri"/>
                <w:i/>
                <w:iCs/>
                <w:color w:val="000000"/>
                <w:sz w:val="18"/>
                <w:szCs w:val="18"/>
              </w:rPr>
              <w:t>17,564.08</w:t>
            </w:r>
          </w:p>
        </w:tc>
        <w:tc>
          <w:tcPr>
            <w:tcW w:w="1379" w:type="dxa"/>
            <w:vAlign w:val="bottom"/>
          </w:tcPr>
          <w:p w14:paraId="2C45F5D2" w14:textId="5C808B74" w:rsidR="00BA22BB" w:rsidRDefault="00BA22BB" w:rsidP="00BA22BB">
            <w:pPr>
              <w:rPr>
                <w:lang w:eastAsia="en-US"/>
              </w:rPr>
            </w:pPr>
            <w:r w:rsidRPr="009B73ED">
              <w:rPr>
                <w:rFonts w:ascii="Arial Narrow" w:hAnsi="Arial Narrow" w:cs="Calibri"/>
                <w:i/>
                <w:iCs/>
                <w:color w:val="000000"/>
                <w:sz w:val="18"/>
                <w:szCs w:val="18"/>
              </w:rPr>
              <w:t>21,744.13</w:t>
            </w:r>
          </w:p>
        </w:tc>
        <w:tc>
          <w:tcPr>
            <w:tcW w:w="1372" w:type="dxa"/>
            <w:vAlign w:val="bottom"/>
          </w:tcPr>
          <w:p w14:paraId="2F1ADD82" w14:textId="4A72C492" w:rsidR="00BA22BB" w:rsidRDefault="00BA22BB" w:rsidP="00BA22BB">
            <w:pPr>
              <w:rPr>
                <w:lang w:eastAsia="en-US"/>
              </w:rPr>
            </w:pPr>
            <w:r w:rsidRPr="009B73ED">
              <w:rPr>
                <w:rFonts w:ascii="Arial Narrow" w:hAnsi="Arial Narrow" w:cs="Calibri"/>
                <w:i/>
                <w:iCs/>
                <w:color w:val="000000"/>
                <w:sz w:val="18"/>
                <w:szCs w:val="18"/>
              </w:rPr>
              <w:t>21.74%</w:t>
            </w:r>
          </w:p>
        </w:tc>
        <w:tc>
          <w:tcPr>
            <w:tcW w:w="1379" w:type="dxa"/>
            <w:vAlign w:val="bottom"/>
          </w:tcPr>
          <w:p w14:paraId="12F43C6E" w14:textId="2FEBF04E" w:rsidR="00BA22BB" w:rsidRDefault="00BA22BB" w:rsidP="00BA22BB">
            <w:pPr>
              <w:rPr>
                <w:lang w:eastAsia="en-US"/>
              </w:rPr>
            </w:pPr>
            <w:r w:rsidRPr="009B73ED">
              <w:rPr>
                <w:rFonts w:ascii="Arial Narrow" w:hAnsi="Arial Narrow" w:cs="Calibri"/>
                <w:i/>
                <w:iCs/>
                <w:color w:val="000000"/>
                <w:sz w:val="18"/>
                <w:szCs w:val="18"/>
              </w:rPr>
              <w:t>12/30/2023</w:t>
            </w:r>
          </w:p>
        </w:tc>
      </w:tr>
      <w:tr w:rsidR="00BA22BB" w14:paraId="531ED1ED" w14:textId="77777777" w:rsidTr="00BA22BB">
        <w:tc>
          <w:tcPr>
            <w:tcW w:w="1394" w:type="dxa"/>
            <w:vAlign w:val="bottom"/>
          </w:tcPr>
          <w:p w14:paraId="3E50D9EA" w14:textId="096E9CF5" w:rsidR="00BA22BB" w:rsidRDefault="00BA22BB" w:rsidP="00BA22BB">
            <w:pPr>
              <w:rPr>
                <w:lang w:eastAsia="en-US"/>
              </w:rPr>
            </w:pPr>
            <w:r w:rsidRPr="009B73ED">
              <w:rPr>
                <w:rFonts w:ascii="Arial Narrow" w:hAnsi="Arial Narrow" w:cs="Calibri"/>
                <w:i/>
                <w:iCs/>
                <w:color w:val="000000"/>
                <w:sz w:val="18"/>
                <w:szCs w:val="18"/>
              </w:rPr>
              <w:t xml:space="preserve">b. TA for </w:t>
            </w:r>
            <w:proofErr w:type="spellStart"/>
            <w:r w:rsidRPr="009B73ED">
              <w:rPr>
                <w:rFonts w:ascii="Arial Narrow" w:hAnsi="Arial Narrow" w:cs="Calibri"/>
                <w:i/>
                <w:iCs/>
                <w:color w:val="000000"/>
                <w:sz w:val="18"/>
                <w:szCs w:val="18"/>
              </w:rPr>
              <w:t>Pantawid</w:t>
            </w:r>
            <w:proofErr w:type="spellEnd"/>
            <w:r w:rsidRPr="009B73ED">
              <w:rPr>
                <w:rFonts w:ascii="Arial Narrow" w:hAnsi="Arial Narrow" w:cs="Calibri"/>
                <w:i/>
                <w:iCs/>
                <w:color w:val="000000"/>
                <w:sz w:val="18"/>
                <w:szCs w:val="18"/>
              </w:rPr>
              <w:t xml:space="preserve"> SP</w:t>
            </w:r>
          </w:p>
        </w:tc>
        <w:tc>
          <w:tcPr>
            <w:tcW w:w="1295" w:type="dxa"/>
            <w:vAlign w:val="bottom"/>
          </w:tcPr>
          <w:p w14:paraId="3EC4B5CF" w14:textId="73881474" w:rsidR="00BA22BB" w:rsidRDefault="00BA22BB" w:rsidP="00BA22BB">
            <w:pPr>
              <w:rPr>
                <w:lang w:eastAsia="en-US"/>
              </w:rPr>
            </w:pPr>
            <w:r w:rsidRPr="009B73ED">
              <w:rPr>
                <w:rFonts w:ascii="Arial Narrow" w:hAnsi="Arial Narrow" w:cs="Calibri"/>
                <w:i/>
                <w:iCs/>
                <w:color w:val="000000"/>
                <w:sz w:val="18"/>
                <w:szCs w:val="18"/>
              </w:rPr>
              <w:t>900,000.00</w:t>
            </w:r>
          </w:p>
        </w:tc>
        <w:tc>
          <w:tcPr>
            <w:tcW w:w="1421" w:type="dxa"/>
            <w:vAlign w:val="bottom"/>
          </w:tcPr>
          <w:p w14:paraId="1B7F8AD6" w14:textId="4685A1D9" w:rsidR="00BA22BB" w:rsidRDefault="00BA22BB" w:rsidP="00BA22BB">
            <w:pPr>
              <w:rPr>
                <w:lang w:eastAsia="en-US"/>
              </w:rPr>
            </w:pPr>
            <w:r w:rsidRPr="009B73ED">
              <w:rPr>
                <w:rFonts w:ascii="Arial Narrow" w:hAnsi="Arial Narrow" w:cs="Calibri"/>
                <w:i/>
                <w:iCs/>
                <w:color w:val="000000"/>
                <w:sz w:val="18"/>
                <w:szCs w:val="18"/>
              </w:rPr>
              <w:t>900,000.00</w:t>
            </w:r>
          </w:p>
        </w:tc>
        <w:tc>
          <w:tcPr>
            <w:tcW w:w="1605" w:type="dxa"/>
            <w:vAlign w:val="bottom"/>
          </w:tcPr>
          <w:p w14:paraId="06FDF5E8" w14:textId="0F9ED77A" w:rsidR="00BA22BB" w:rsidRDefault="00BA22BB" w:rsidP="00BA22BB">
            <w:pPr>
              <w:rPr>
                <w:lang w:eastAsia="en-US"/>
              </w:rPr>
            </w:pPr>
            <w:r w:rsidRPr="009B73ED">
              <w:rPr>
                <w:rFonts w:ascii="Arial Narrow" w:hAnsi="Arial Narrow" w:cs="Calibri"/>
                <w:i/>
                <w:iCs/>
                <w:color w:val="000000"/>
                <w:sz w:val="18"/>
                <w:szCs w:val="18"/>
              </w:rPr>
              <w:t>-</w:t>
            </w:r>
          </w:p>
        </w:tc>
        <w:tc>
          <w:tcPr>
            <w:tcW w:w="1386" w:type="dxa"/>
            <w:vAlign w:val="bottom"/>
          </w:tcPr>
          <w:p w14:paraId="57CF87AB" w14:textId="5BBD2E66" w:rsidR="00BA22BB" w:rsidRDefault="00BA22BB" w:rsidP="00BA22BB">
            <w:pPr>
              <w:rPr>
                <w:lang w:eastAsia="en-US"/>
              </w:rPr>
            </w:pPr>
            <w:r w:rsidRPr="009B73ED">
              <w:rPr>
                <w:rFonts w:ascii="Arial Narrow" w:hAnsi="Arial Narrow" w:cs="Calibri"/>
                <w:i/>
                <w:iCs/>
                <w:color w:val="000000"/>
                <w:sz w:val="18"/>
                <w:szCs w:val="18"/>
              </w:rPr>
              <w:t>667,569.17</w:t>
            </w:r>
          </w:p>
        </w:tc>
        <w:tc>
          <w:tcPr>
            <w:tcW w:w="1379" w:type="dxa"/>
            <w:vAlign w:val="bottom"/>
          </w:tcPr>
          <w:p w14:paraId="4F948269" w14:textId="03A9D90C" w:rsidR="00BA22BB" w:rsidRDefault="00BA22BB" w:rsidP="00BA22BB">
            <w:pPr>
              <w:rPr>
                <w:lang w:eastAsia="en-US"/>
              </w:rPr>
            </w:pPr>
            <w:r w:rsidRPr="009B73ED">
              <w:rPr>
                <w:rFonts w:ascii="Arial Narrow" w:hAnsi="Arial Narrow" w:cs="Calibri"/>
                <w:i/>
                <w:iCs/>
                <w:color w:val="000000"/>
                <w:sz w:val="18"/>
                <w:szCs w:val="18"/>
              </w:rPr>
              <w:t>74.17%</w:t>
            </w:r>
          </w:p>
        </w:tc>
        <w:tc>
          <w:tcPr>
            <w:tcW w:w="1381" w:type="dxa"/>
            <w:vAlign w:val="bottom"/>
          </w:tcPr>
          <w:p w14:paraId="0F5BE770" w14:textId="25F85A9B" w:rsidR="00BA22BB" w:rsidRDefault="00BA22BB" w:rsidP="00BA22BB">
            <w:pPr>
              <w:rPr>
                <w:lang w:eastAsia="en-US"/>
              </w:rPr>
            </w:pPr>
            <w:r w:rsidRPr="009B73ED">
              <w:rPr>
                <w:rFonts w:ascii="Arial Narrow" w:hAnsi="Arial Narrow" w:cs="Calibri"/>
                <w:i/>
                <w:iCs/>
                <w:color w:val="000000"/>
                <w:sz w:val="18"/>
                <w:szCs w:val="18"/>
              </w:rPr>
              <w:t>7,445.30</w:t>
            </w:r>
          </w:p>
        </w:tc>
        <w:tc>
          <w:tcPr>
            <w:tcW w:w="1379" w:type="dxa"/>
            <w:vAlign w:val="bottom"/>
          </w:tcPr>
          <w:p w14:paraId="53CA7FBD" w14:textId="43B8BD75" w:rsidR="00BA22BB" w:rsidRDefault="00BA22BB" w:rsidP="00BA22BB">
            <w:pPr>
              <w:rPr>
                <w:lang w:eastAsia="en-US"/>
              </w:rPr>
            </w:pPr>
            <w:r w:rsidRPr="009B73ED">
              <w:rPr>
                <w:rFonts w:ascii="Arial Narrow" w:hAnsi="Arial Narrow" w:cs="Calibri"/>
                <w:i/>
                <w:iCs/>
                <w:color w:val="000000"/>
                <w:sz w:val="18"/>
                <w:szCs w:val="18"/>
              </w:rPr>
              <w:t>224,985.53</w:t>
            </w:r>
          </w:p>
        </w:tc>
        <w:tc>
          <w:tcPr>
            <w:tcW w:w="1379" w:type="dxa"/>
            <w:vAlign w:val="bottom"/>
          </w:tcPr>
          <w:p w14:paraId="1A935D83" w14:textId="2149007B" w:rsidR="00BA22BB" w:rsidRDefault="00BA22BB" w:rsidP="00BA22BB">
            <w:pPr>
              <w:rPr>
                <w:lang w:eastAsia="en-US"/>
              </w:rPr>
            </w:pPr>
            <w:r w:rsidRPr="009B73ED">
              <w:rPr>
                <w:rFonts w:ascii="Arial Narrow" w:hAnsi="Arial Narrow" w:cs="Calibri"/>
                <w:i/>
                <w:iCs/>
                <w:color w:val="000000"/>
                <w:sz w:val="18"/>
                <w:szCs w:val="18"/>
              </w:rPr>
              <w:t>232,430.83</w:t>
            </w:r>
          </w:p>
        </w:tc>
        <w:tc>
          <w:tcPr>
            <w:tcW w:w="1372" w:type="dxa"/>
            <w:vAlign w:val="bottom"/>
          </w:tcPr>
          <w:p w14:paraId="72F82E86" w14:textId="08A43366" w:rsidR="00BA22BB" w:rsidRDefault="00BA22BB" w:rsidP="00BA22BB">
            <w:pPr>
              <w:rPr>
                <w:lang w:eastAsia="en-US"/>
              </w:rPr>
            </w:pPr>
            <w:r w:rsidRPr="009B73ED">
              <w:rPr>
                <w:rFonts w:ascii="Arial Narrow" w:hAnsi="Arial Narrow" w:cs="Calibri"/>
                <w:i/>
                <w:iCs/>
                <w:color w:val="000000"/>
                <w:sz w:val="18"/>
                <w:szCs w:val="18"/>
              </w:rPr>
              <w:t>25.83%</w:t>
            </w:r>
          </w:p>
        </w:tc>
        <w:tc>
          <w:tcPr>
            <w:tcW w:w="1379" w:type="dxa"/>
            <w:vAlign w:val="bottom"/>
          </w:tcPr>
          <w:p w14:paraId="22773AFD" w14:textId="1E5472D3" w:rsidR="00BA22BB" w:rsidRDefault="00BA22BB" w:rsidP="00BA22BB">
            <w:pPr>
              <w:rPr>
                <w:lang w:eastAsia="en-US"/>
              </w:rPr>
            </w:pPr>
            <w:r w:rsidRPr="009B73ED">
              <w:rPr>
                <w:rFonts w:ascii="Arial Narrow" w:hAnsi="Arial Narrow" w:cs="Calibri"/>
                <w:i/>
                <w:iCs/>
                <w:color w:val="000000"/>
                <w:sz w:val="18"/>
                <w:szCs w:val="18"/>
              </w:rPr>
              <w:t>3/31/2023</w:t>
            </w:r>
          </w:p>
        </w:tc>
      </w:tr>
      <w:tr w:rsidR="00BA22BB" w14:paraId="7ECFE4CA" w14:textId="77777777" w:rsidTr="00BA22BB">
        <w:tc>
          <w:tcPr>
            <w:tcW w:w="1394" w:type="dxa"/>
            <w:vAlign w:val="bottom"/>
          </w:tcPr>
          <w:p w14:paraId="60685F04" w14:textId="28C5C6EB" w:rsidR="00BA22BB" w:rsidRDefault="00BA22BB" w:rsidP="00BA22BB">
            <w:pPr>
              <w:rPr>
                <w:lang w:eastAsia="en-US"/>
              </w:rPr>
            </w:pPr>
            <w:r w:rsidRPr="009B73ED">
              <w:rPr>
                <w:rFonts w:ascii="Arial Narrow" w:hAnsi="Arial Narrow" w:cs="Calibri"/>
                <w:i/>
                <w:iCs/>
                <w:color w:val="000000"/>
                <w:sz w:val="18"/>
                <w:szCs w:val="18"/>
              </w:rPr>
              <w:t>c. TA for DPL Programs</w:t>
            </w:r>
          </w:p>
        </w:tc>
        <w:tc>
          <w:tcPr>
            <w:tcW w:w="1295" w:type="dxa"/>
            <w:vAlign w:val="bottom"/>
          </w:tcPr>
          <w:p w14:paraId="1F120834" w14:textId="466CFD0A" w:rsidR="00BA22BB" w:rsidRDefault="00BA22BB" w:rsidP="00BA22BB">
            <w:pPr>
              <w:rPr>
                <w:lang w:eastAsia="en-US"/>
              </w:rPr>
            </w:pPr>
            <w:r w:rsidRPr="009B73ED">
              <w:rPr>
                <w:rFonts w:ascii="Arial Narrow" w:hAnsi="Arial Narrow" w:cs="Calibri"/>
                <w:i/>
                <w:iCs/>
                <w:color w:val="000000"/>
                <w:sz w:val="18"/>
                <w:szCs w:val="18"/>
              </w:rPr>
              <w:t>1,350,000.00</w:t>
            </w:r>
          </w:p>
        </w:tc>
        <w:tc>
          <w:tcPr>
            <w:tcW w:w="1421" w:type="dxa"/>
            <w:vAlign w:val="bottom"/>
          </w:tcPr>
          <w:p w14:paraId="11D16E03" w14:textId="5E34300A" w:rsidR="00BA22BB" w:rsidRDefault="00BA22BB" w:rsidP="00BA22BB">
            <w:pPr>
              <w:rPr>
                <w:lang w:eastAsia="en-US"/>
              </w:rPr>
            </w:pPr>
            <w:r w:rsidRPr="009B73ED">
              <w:rPr>
                <w:rFonts w:ascii="Arial Narrow" w:hAnsi="Arial Narrow" w:cs="Calibri"/>
                <w:i/>
                <w:iCs/>
                <w:color w:val="000000"/>
                <w:sz w:val="18"/>
                <w:szCs w:val="18"/>
              </w:rPr>
              <w:t>1,350,000.00</w:t>
            </w:r>
          </w:p>
        </w:tc>
        <w:tc>
          <w:tcPr>
            <w:tcW w:w="1605" w:type="dxa"/>
            <w:vAlign w:val="bottom"/>
          </w:tcPr>
          <w:p w14:paraId="2A7628A1" w14:textId="1323CD72" w:rsidR="00BA22BB" w:rsidRDefault="00BA22BB" w:rsidP="00BA22BB">
            <w:pPr>
              <w:rPr>
                <w:lang w:eastAsia="en-US"/>
              </w:rPr>
            </w:pPr>
            <w:r w:rsidRPr="009B73ED">
              <w:rPr>
                <w:rFonts w:ascii="Arial Narrow" w:hAnsi="Arial Narrow" w:cs="Calibri"/>
                <w:i/>
                <w:iCs/>
                <w:color w:val="000000"/>
                <w:sz w:val="18"/>
                <w:szCs w:val="18"/>
              </w:rPr>
              <w:t>-</w:t>
            </w:r>
          </w:p>
        </w:tc>
        <w:tc>
          <w:tcPr>
            <w:tcW w:w="1386" w:type="dxa"/>
            <w:vAlign w:val="bottom"/>
          </w:tcPr>
          <w:p w14:paraId="12018387" w14:textId="5F8D51C6" w:rsidR="00BA22BB" w:rsidRDefault="00BA22BB" w:rsidP="00BA22BB">
            <w:pPr>
              <w:rPr>
                <w:lang w:eastAsia="en-US"/>
              </w:rPr>
            </w:pPr>
            <w:r w:rsidRPr="009B73ED">
              <w:rPr>
                <w:rFonts w:ascii="Arial Narrow" w:hAnsi="Arial Narrow" w:cs="Calibri"/>
                <w:i/>
                <w:iCs/>
                <w:color w:val="000000"/>
                <w:sz w:val="18"/>
                <w:szCs w:val="18"/>
              </w:rPr>
              <w:t>1,080,269.62</w:t>
            </w:r>
          </w:p>
        </w:tc>
        <w:tc>
          <w:tcPr>
            <w:tcW w:w="1379" w:type="dxa"/>
            <w:vAlign w:val="bottom"/>
          </w:tcPr>
          <w:p w14:paraId="5F1FA01E" w14:textId="4B86FE15" w:rsidR="00BA22BB" w:rsidRDefault="00BA22BB" w:rsidP="00BA22BB">
            <w:pPr>
              <w:rPr>
                <w:lang w:eastAsia="en-US"/>
              </w:rPr>
            </w:pPr>
            <w:r w:rsidRPr="009B73ED">
              <w:rPr>
                <w:rFonts w:ascii="Arial Narrow" w:hAnsi="Arial Narrow" w:cs="Calibri"/>
                <w:i/>
                <w:iCs/>
                <w:color w:val="000000"/>
                <w:sz w:val="18"/>
                <w:szCs w:val="18"/>
              </w:rPr>
              <w:t>80.02%</w:t>
            </w:r>
          </w:p>
        </w:tc>
        <w:tc>
          <w:tcPr>
            <w:tcW w:w="1381" w:type="dxa"/>
            <w:vAlign w:val="bottom"/>
          </w:tcPr>
          <w:p w14:paraId="5B4E8314" w14:textId="14CE4DB7" w:rsidR="00BA22BB" w:rsidRDefault="00BA22BB" w:rsidP="00BA22BB">
            <w:pPr>
              <w:rPr>
                <w:lang w:eastAsia="en-US"/>
              </w:rPr>
            </w:pPr>
            <w:r w:rsidRPr="009B73ED">
              <w:rPr>
                <w:rFonts w:ascii="Arial Narrow" w:hAnsi="Arial Narrow" w:cs="Calibri"/>
                <w:i/>
                <w:iCs/>
                <w:color w:val="000000"/>
                <w:sz w:val="18"/>
                <w:szCs w:val="18"/>
              </w:rPr>
              <w:t>58,353.45</w:t>
            </w:r>
          </w:p>
        </w:tc>
        <w:tc>
          <w:tcPr>
            <w:tcW w:w="1379" w:type="dxa"/>
            <w:vAlign w:val="bottom"/>
          </w:tcPr>
          <w:p w14:paraId="6E076A7C" w14:textId="4988100A" w:rsidR="00BA22BB" w:rsidRDefault="00BA22BB" w:rsidP="00BA22BB">
            <w:pPr>
              <w:rPr>
                <w:lang w:eastAsia="en-US"/>
              </w:rPr>
            </w:pPr>
            <w:r w:rsidRPr="009B73ED">
              <w:rPr>
                <w:rFonts w:ascii="Arial Narrow" w:hAnsi="Arial Narrow" w:cs="Calibri"/>
                <w:i/>
                <w:iCs/>
                <w:color w:val="000000"/>
                <w:sz w:val="18"/>
                <w:szCs w:val="18"/>
              </w:rPr>
              <w:t>211,376.93</w:t>
            </w:r>
          </w:p>
        </w:tc>
        <w:tc>
          <w:tcPr>
            <w:tcW w:w="1379" w:type="dxa"/>
            <w:vAlign w:val="bottom"/>
          </w:tcPr>
          <w:p w14:paraId="2D8CF72E" w14:textId="03DC3012" w:rsidR="00BA22BB" w:rsidRDefault="00BA22BB" w:rsidP="00BA22BB">
            <w:pPr>
              <w:rPr>
                <w:lang w:eastAsia="en-US"/>
              </w:rPr>
            </w:pPr>
            <w:r w:rsidRPr="009B73ED">
              <w:rPr>
                <w:rFonts w:ascii="Arial Narrow" w:hAnsi="Arial Narrow" w:cs="Calibri"/>
                <w:i/>
                <w:iCs/>
                <w:color w:val="000000"/>
                <w:sz w:val="18"/>
                <w:szCs w:val="18"/>
              </w:rPr>
              <w:t>269,730.38</w:t>
            </w:r>
          </w:p>
        </w:tc>
        <w:tc>
          <w:tcPr>
            <w:tcW w:w="1372" w:type="dxa"/>
            <w:vAlign w:val="bottom"/>
          </w:tcPr>
          <w:p w14:paraId="2CC13718" w14:textId="312CCD40" w:rsidR="00BA22BB" w:rsidRDefault="00BA22BB" w:rsidP="00BA22BB">
            <w:pPr>
              <w:rPr>
                <w:lang w:eastAsia="en-US"/>
              </w:rPr>
            </w:pPr>
            <w:r w:rsidRPr="009B73ED">
              <w:rPr>
                <w:rFonts w:ascii="Arial Narrow" w:hAnsi="Arial Narrow" w:cs="Calibri"/>
                <w:i/>
                <w:iCs/>
                <w:color w:val="000000"/>
                <w:sz w:val="18"/>
                <w:szCs w:val="18"/>
              </w:rPr>
              <w:t>19.98%</w:t>
            </w:r>
          </w:p>
        </w:tc>
        <w:tc>
          <w:tcPr>
            <w:tcW w:w="1379" w:type="dxa"/>
            <w:vAlign w:val="bottom"/>
          </w:tcPr>
          <w:p w14:paraId="13F37B5A" w14:textId="1ECAD842" w:rsidR="00BA22BB" w:rsidRDefault="00BA22BB" w:rsidP="00BA22BB">
            <w:pPr>
              <w:rPr>
                <w:lang w:eastAsia="en-US"/>
              </w:rPr>
            </w:pPr>
            <w:r w:rsidRPr="009B73ED">
              <w:rPr>
                <w:rFonts w:ascii="Arial Narrow" w:hAnsi="Arial Narrow" w:cs="Calibri"/>
                <w:i/>
                <w:iCs/>
                <w:color w:val="000000"/>
                <w:sz w:val="18"/>
                <w:szCs w:val="18"/>
              </w:rPr>
              <w:t>6/30/2022</w:t>
            </w:r>
          </w:p>
        </w:tc>
      </w:tr>
      <w:tr w:rsidR="00BA22BB" w14:paraId="41E6440D" w14:textId="77777777" w:rsidTr="00BA22BB">
        <w:tc>
          <w:tcPr>
            <w:tcW w:w="1394" w:type="dxa"/>
            <w:vAlign w:val="bottom"/>
          </w:tcPr>
          <w:p w14:paraId="088902F6" w14:textId="66D724CE" w:rsidR="00BA22BB" w:rsidRDefault="00BA22BB" w:rsidP="00BA22BB">
            <w:pPr>
              <w:rPr>
                <w:lang w:eastAsia="en-US"/>
              </w:rPr>
            </w:pPr>
            <w:r w:rsidRPr="009B73ED">
              <w:rPr>
                <w:rFonts w:ascii="Arial Narrow" w:hAnsi="Arial Narrow" w:cs="Calibri"/>
                <w:i/>
                <w:iCs/>
                <w:color w:val="000000"/>
                <w:sz w:val="18"/>
                <w:szCs w:val="18"/>
              </w:rPr>
              <w:t>d. Implementation Support for Phil. Covid-19 Response Project</w:t>
            </w:r>
          </w:p>
        </w:tc>
        <w:tc>
          <w:tcPr>
            <w:tcW w:w="1295" w:type="dxa"/>
            <w:vAlign w:val="bottom"/>
          </w:tcPr>
          <w:p w14:paraId="0B43484D" w14:textId="66ABE1F4" w:rsidR="00BA22BB" w:rsidRDefault="00BA22BB" w:rsidP="00BA22BB">
            <w:pPr>
              <w:rPr>
                <w:lang w:eastAsia="en-US"/>
              </w:rPr>
            </w:pPr>
            <w:r w:rsidRPr="009B73ED">
              <w:rPr>
                <w:rFonts w:ascii="Arial Narrow" w:hAnsi="Arial Narrow" w:cs="Calibri"/>
                <w:i/>
                <w:iCs/>
                <w:color w:val="000000"/>
                <w:sz w:val="18"/>
                <w:szCs w:val="18"/>
              </w:rPr>
              <w:t>300,000.00</w:t>
            </w:r>
          </w:p>
        </w:tc>
        <w:tc>
          <w:tcPr>
            <w:tcW w:w="1421" w:type="dxa"/>
            <w:vAlign w:val="bottom"/>
          </w:tcPr>
          <w:p w14:paraId="2F39568A" w14:textId="6B0835CA" w:rsidR="00BA22BB" w:rsidRDefault="00BA22BB" w:rsidP="00BA22BB">
            <w:pPr>
              <w:rPr>
                <w:lang w:eastAsia="en-US"/>
              </w:rPr>
            </w:pPr>
            <w:r w:rsidRPr="009B73ED">
              <w:rPr>
                <w:rFonts w:ascii="Arial Narrow" w:hAnsi="Arial Narrow" w:cs="Calibri"/>
                <w:i/>
                <w:iCs/>
                <w:color w:val="000000"/>
                <w:sz w:val="18"/>
                <w:szCs w:val="18"/>
              </w:rPr>
              <w:t>300,000.00</w:t>
            </w:r>
          </w:p>
        </w:tc>
        <w:tc>
          <w:tcPr>
            <w:tcW w:w="1605" w:type="dxa"/>
            <w:vAlign w:val="bottom"/>
          </w:tcPr>
          <w:p w14:paraId="45B9B82F" w14:textId="350472A8" w:rsidR="00BA22BB" w:rsidRDefault="00BA22BB" w:rsidP="00BA22BB">
            <w:pPr>
              <w:rPr>
                <w:lang w:eastAsia="en-US"/>
              </w:rPr>
            </w:pPr>
            <w:r w:rsidRPr="009B73ED">
              <w:rPr>
                <w:rFonts w:ascii="Arial Narrow" w:hAnsi="Arial Narrow" w:cs="Calibri"/>
                <w:i/>
                <w:iCs/>
                <w:color w:val="000000"/>
                <w:sz w:val="18"/>
                <w:szCs w:val="18"/>
              </w:rPr>
              <w:t>-</w:t>
            </w:r>
          </w:p>
        </w:tc>
        <w:tc>
          <w:tcPr>
            <w:tcW w:w="1386" w:type="dxa"/>
            <w:vAlign w:val="bottom"/>
          </w:tcPr>
          <w:p w14:paraId="00DBCAEE" w14:textId="06AF5CA5" w:rsidR="00BA22BB" w:rsidRDefault="00BA22BB" w:rsidP="00BA22BB">
            <w:pPr>
              <w:rPr>
                <w:lang w:eastAsia="en-US"/>
              </w:rPr>
            </w:pPr>
            <w:r w:rsidRPr="009B73ED">
              <w:rPr>
                <w:rFonts w:ascii="Arial Narrow" w:hAnsi="Arial Narrow" w:cs="Calibri"/>
                <w:i/>
                <w:iCs/>
                <w:color w:val="000000"/>
                <w:sz w:val="18"/>
                <w:szCs w:val="18"/>
              </w:rPr>
              <w:t>186,960.54</w:t>
            </w:r>
          </w:p>
        </w:tc>
        <w:tc>
          <w:tcPr>
            <w:tcW w:w="1379" w:type="dxa"/>
            <w:vAlign w:val="bottom"/>
          </w:tcPr>
          <w:p w14:paraId="0B04B680" w14:textId="1081CF9B" w:rsidR="00BA22BB" w:rsidRDefault="00BA22BB" w:rsidP="00BA22BB">
            <w:pPr>
              <w:rPr>
                <w:lang w:eastAsia="en-US"/>
              </w:rPr>
            </w:pPr>
            <w:r w:rsidRPr="009B73ED">
              <w:rPr>
                <w:rFonts w:ascii="Arial Narrow" w:hAnsi="Arial Narrow" w:cs="Calibri"/>
                <w:i/>
                <w:iCs/>
                <w:color w:val="000000"/>
                <w:sz w:val="18"/>
                <w:szCs w:val="18"/>
              </w:rPr>
              <w:t>62.32%</w:t>
            </w:r>
          </w:p>
        </w:tc>
        <w:tc>
          <w:tcPr>
            <w:tcW w:w="1381" w:type="dxa"/>
            <w:vAlign w:val="bottom"/>
          </w:tcPr>
          <w:p w14:paraId="4ED9FC28" w14:textId="5F06207C" w:rsidR="00BA22BB" w:rsidRDefault="00BA22BB" w:rsidP="00BA22BB">
            <w:pPr>
              <w:rPr>
                <w:lang w:eastAsia="en-US"/>
              </w:rPr>
            </w:pPr>
            <w:r w:rsidRPr="009B73ED">
              <w:rPr>
                <w:rFonts w:ascii="Arial Narrow" w:hAnsi="Arial Narrow" w:cs="Calibri"/>
                <w:i/>
                <w:iCs/>
                <w:color w:val="000000"/>
                <w:sz w:val="18"/>
                <w:szCs w:val="18"/>
              </w:rPr>
              <w:t>60,070.73</w:t>
            </w:r>
          </w:p>
        </w:tc>
        <w:tc>
          <w:tcPr>
            <w:tcW w:w="1379" w:type="dxa"/>
            <w:vAlign w:val="bottom"/>
          </w:tcPr>
          <w:p w14:paraId="1BAB5D98" w14:textId="09191136" w:rsidR="00BA22BB" w:rsidRDefault="00BA22BB" w:rsidP="00BA22BB">
            <w:pPr>
              <w:rPr>
                <w:lang w:eastAsia="en-US"/>
              </w:rPr>
            </w:pPr>
            <w:r w:rsidRPr="009B73ED">
              <w:rPr>
                <w:rFonts w:ascii="Arial Narrow" w:hAnsi="Arial Narrow" w:cs="Calibri"/>
                <w:i/>
                <w:iCs/>
                <w:color w:val="000000"/>
                <w:sz w:val="18"/>
                <w:szCs w:val="18"/>
              </w:rPr>
              <w:t>52,968.73</w:t>
            </w:r>
          </w:p>
        </w:tc>
        <w:tc>
          <w:tcPr>
            <w:tcW w:w="1379" w:type="dxa"/>
            <w:vAlign w:val="bottom"/>
          </w:tcPr>
          <w:p w14:paraId="18323DEE" w14:textId="21B60821" w:rsidR="00BA22BB" w:rsidRDefault="00BA22BB" w:rsidP="00BA22BB">
            <w:pPr>
              <w:rPr>
                <w:lang w:eastAsia="en-US"/>
              </w:rPr>
            </w:pPr>
            <w:r w:rsidRPr="009B73ED">
              <w:rPr>
                <w:rFonts w:ascii="Arial Narrow" w:hAnsi="Arial Narrow" w:cs="Calibri"/>
                <w:i/>
                <w:iCs/>
                <w:color w:val="000000"/>
                <w:sz w:val="18"/>
                <w:szCs w:val="18"/>
              </w:rPr>
              <w:t>113,039.46</w:t>
            </w:r>
          </w:p>
        </w:tc>
        <w:tc>
          <w:tcPr>
            <w:tcW w:w="1372" w:type="dxa"/>
            <w:vAlign w:val="bottom"/>
          </w:tcPr>
          <w:p w14:paraId="33F4F182" w14:textId="5F62A6B7" w:rsidR="00BA22BB" w:rsidRDefault="00BA22BB" w:rsidP="00BA22BB">
            <w:pPr>
              <w:rPr>
                <w:lang w:eastAsia="en-US"/>
              </w:rPr>
            </w:pPr>
            <w:r w:rsidRPr="009B73ED">
              <w:rPr>
                <w:rFonts w:ascii="Arial Narrow" w:hAnsi="Arial Narrow" w:cs="Calibri"/>
                <w:i/>
                <w:iCs/>
                <w:color w:val="000000"/>
                <w:sz w:val="18"/>
                <w:szCs w:val="18"/>
              </w:rPr>
              <w:t>37.68%</w:t>
            </w:r>
          </w:p>
        </w:tc>
        <w:tc>
          <w:tcPr>
            <w:tcW w:w="1379" w:type="dxa"/>
            <w:vAlign w:val="bottom"/>
          </w:tcPr>
          <w:p w14:paraId="5A7E7F4B" w14:textId="66A29451" w:rsidR="00BA22BB" w:rsidRDefault="00BA22BB" w:rsidP="00BA22BB">
            <w:pPr>
              <w:rPr>
                <w:lang w:eastAsia="en-US"/>
              </w:rPr>
            </w:pPr>
            <w:r w:rsidRPr="009B73ED">
              <w:rPr>
                <w:rFonts w:ascii="Arial Narrow" w:hAnsi="Arial Narrow" w:cs="Calibri"/>
                <w:i/>
                <w:iCs/>
                <w:color w:val="000000"/>
                <w:sz w:val="18"/>
                <w:szCs w:val="18"/>
              </w:rPr>
              <w:t>6/30/2022</w:t>
            </w:r>
          </w:p>
        </w:tc>
      </w:tr>
      <w:tr w:rsidR="00BA22BB" w14:paraId="530CC10E" w14:textId="77777777" w:rsidTr="00BA22BB">
        <w:tc>
          <w:tcPr>
            <w:tcW w:w="1394" w:type="dxa"/>
            <w:vAlign w:val="bottom"/>
          </w:tcPr>
          <w:p w14:paraId="399DFDF6" w14:textId="2B571060"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e. Real Time Monitoring of Covid-19 Impacts in Phil.</w:t>
            </w:r>
          </w:p>
        </w:tc>
        <w:tc>
          <w:tcPr>
            <w:tcW w:w="1295" w:type="dxa"/>
            <w:vAlign w:val="bottom"/>
          </w:tcPr>
          <w:p w14:paraId="7D24A167" w14:textId="461C07FE"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500,000.00</w:t>
            </w:r>
          </w:p>
        </w:tc>
        <w:tc>
          <w:tcPr>
            <w:tcW w:w="1421" w:type="dxa"/>
            <w:vAlign w:val="bottom"/>
          </w:tcPr>
          <w:p w14:paraId="0150E0DC" w14:textId="3C6B824D"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500,000.00</w:t>
            </w:r>
          </w:p>
        </w:tc>
        <w:tc>
          <w:tcPr>
            <w:tcW w:w="1605" w:type="dxa"/>
            <w:vAlign w:val="bottom"/>
          </w:tcPr>
          <w:p w14:paraId="16CF15E4" w14:textId="03729473"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w:t>
            </w:r>
          </w:p>
        </w:tc>
        <w:tc>
          <w:tcPr>
            <w:tcW w:w="1386" w:type="dxa"/>
            <w:vAlign w:val="bottom"/>
          </w:tcPr>
          <w:p w14:paraId="218787A0" w14:textId="5DB5B666"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414,026.18</w:t>
            </w:r>
          </w:p>
        </w:tc>
        <w:tc>
          <w:tcPr>
            <w:tcW w:w="1379" w:type="dxa"/>
            <w:vAlign w:val="bottom"/>
          </w:tcPr>
          <w:p w14:paraId="676AC227" w14:textId="1F2350DB"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82.81%</w:t>
            </w:r>
          </w:p>
        </w:tc>
        <w:tc>
          <w:tcPr>
            <w:tcW w:w="1381" w:type="dxa"/>
            <w:vAlign w:val="bottom"/>
          </w:tcPr>
          <w:p w14:paraId="05A73D22" w14:textId="28E1A752"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64,722.00</w:t>
            </w:r>
          </w:p>
        </w:tc>
        <w:tc>
          <w:tcPr>
            <w:tcW w:w="1379" w:type="dxa"/>
            <w:vAlign w:val="bottom"/>
          </w:tcPr>
          <w:p w14:paraId="7BE0ECCF" w14:textId="73DCAC62"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21,251.82</w:t>
            </w:r>
          </w:p>
        </w:tc>
        <w:tc>
          <w:tcPr>
            <w:tcW w:w="1379" w:type="dxa"/>
            <w:vAlign w:val="bottom"/>
          </w:tcPr>
          <w:p w14:paraId="7EE9A886" w14:textId="73CE2342"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85,973.82</w:t>
            </w:r>
          </w:p>
        </w:tc>
        <w:tc>
          <w:tcPr>
            <w:tcW w:w="1372" w:type="dxa"/>
            <w:vAlign w:val="bottom"/>
          </w:tcPr>
          <w:p w14:paraId="64F30919" w14:textId="462B9E53"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17.19%</w:t>
            </w:r>
          </w:p>
        </w:tc>
        <w:tc>
          <w:tcPr>
            <w:tcW w:w="1379" w:type="dxa"/>
            <w:vAlign w:val="bottom"/>
          </w:tcPr>
          <w:p w14:paraId="5AB0FDFD" w14:textId="1265C007"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5/312022</w:t>
            </w:r>
          </w:p>
        </w:tc>
      </w:tr>
      <w:tr w:rsidR="00BA22BB" w14:paraId="05CEC335" w14:textId="77777777" w:rsidTr="00BA22BB">
        <w:tc>
          <w:tcPr>
            <w:tcW w:w="1394" w:type="dxa"/>
            <w:vAlign w:val="bottom"/>
          </w:tcPr>
          <w:p w14:paraId="5547AEFE" w14:textId="682383F8"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2. Closed</w:t>
            </w:r>
          </w:p>
        </w:tc>
        <w:tc>
          <w:tcPr>
            <w:tcW w:w="1295" w:type="dxa"/>
            <w:vAlign w:val="bottom"/>
          </w:tcPr>
          <w:p w14:paraId="3A1125E2" w14:textId="358AB861"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571,436.43</w:t>
            </w:r>
          </w:p>
        </w:tc>
        <w:tc>
          <w:tcPr>
            <w:tcW w:w="1421" w:type="dxa"/>
            <w:vAlign w:val="bottom"/>
          </w:tcPr>
          <w:p w14:paraId="3EE72040" w14:textId="25D041AC"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571,436.43</w:t>
            </w:r>
          </w:p>
        </w:tc>
        <w:tc>
          <w:tcPr>
            <w:tcW w:w="1605" w:type="dxa"/>
            <w:vAlign w:val="bottom"/>
          </w:tcPr>
          <w:p w14:paraId="43CD0639" w14:textId="4174348F"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w:t>
            </w:r>
          </w:p>
        </w:tc>
        <w:tc>
          <w:tcPr>
            <w:tcW w:w="1386" w:type="dxa"/>
            <w:vAlign w:val="bottom"/>
          </w:tcPr>
          <w:p w14:paraId="2B74A3C8" w14:textId="221119F5"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571,033.11</w:t>
            </w:r>
          </w:p>
        </w:tc>
        <w:tc>
          <w:tcPr>
            <w:tcW w:w="1379" w:type="dxa"/>
            <w:vAlign w:val="bottom"/>
          </w:tcPr>
          <w:p w14:paraId="34BBF8CA" w14:textId="402BF511"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color w:val="000000"/>
                <w:sz w:val="18"/>
                <w:szCs w:val="18"/>
              </w:rPr>
              <w:t> </w:t>
            </w:r>
            <w:r>
              <w:rPr>
                <w:rFonts w:ascii="Arial Narrow" w:hAnsi="Arial Narrow" w:cs="Calibri"/>
                <w:color w:val="000000"/>
                <w:sz w:val="18"/>
                <w:szCs w:val="18"/>
              </w:rPr>
              <w:t>-</w:t>
            </w:r>
          </w:p>
        </w:tc>
        <w:tc>
          <w:tcPr>
            <w:tcW w:w="1381" w:type="dxa"/>
            <w:vAlign w:val="bottom"/>
          </w:tcPr>
          <w:p w14:paraId="2A441BA6" w14:textId="5AE39E7F"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w:t>
            </w:r>
          </w:p>
        </w:tc>
        <w:tc>
          <w:tcPr>
            <w:tcW w:w="1379" w:type="dxa"/>
            <w:vAlign w:val="bottom"/>
          </w:tcPr>
          <w:p w14:paraId="11E586F9" w14:textId="69445649"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403.32</w:t>
            </w:r>
          </w:p>
        </w:tc>
        <w:tc>
          <w:tcPr>
            <w:tcW w:w="1379" w:type="dxa"/>
            <w:vAlign w:val="bottom"/>
          </w:tcPr>
          <w:p w14:paraId="2D77C5DD" w14:textId="7DAF1ACA"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403.32</w:t>
            </w:r>
          </w:p>
        </w:tc>
        <w:tc>
          <w:tcPr>
            <w:tcW w:w="1372" w:type="dxa"/>
            <w:vAlign w:val="bottom"/>
          </w:tcPr>
          <w:p w14:paraId="66EE8D18" w14:textId="051063E7"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color w:val="000000"/>
                <w:sz w:val="18"/>
                <w:szCs w:val="18"/>
              </w:rPr>
              <w:t> </w:t>
            </w:r>
            <w:r>
              <w:rPr>
                <w:rFonts w:ascii="Arial Narrow" w:hAnsi="Arial Narrow" w:cs="Calibri"/>
                <w:color w:val="000000"/>
                <w:sz w:val="18"/>
                <w:szCs w:val="18"/>
              </w:rPr>
              <w:t>-</w:t>
            </w:r>
          </w:p>
        </w:tc>
        <w:tc>
          <w:tcPr>
            <w:tcW w:w="1379" w:type="dxa"/>
            <w:vAlign w:val="bottom"/>
          </w:tcPr>
          <w:p w14:paraId="68A7BB71" w14:textId="60D5586D"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color w:val="000000"/>
                <w:sz w:val="18"/>
                <w:szCs w:val="18"/>
              </w:rPr>
              <w:t> </w:t>
            </w:r>
            <w:r>
              <w:rPr>
                <w:rFonts w:ascii="Arial Narrow" w:hAnsi="Arial Narrow" w:cs="Calibri"/>
                <w:color w:val="000000"/>
                <w:sz w:val="18"/>
                <w:szCs w:val="18"/>
              </w:rPr>
              <w:t>-</w:t>
            </w:r>
          </w:p>
        </w:tc>
      </w:tr>
      <w:tr w:rsidR="00BA22BB" w14:paraId="5DB7E5FD" w14:textId="77777777" w:rsidTr="00BA22BB">
        <w:tc>
          <w:tcPr>
            <w:tcW w:w="1394" w:type="dxa"/>
            <w:vAlign w:val="bottom"/>
          </w:tcPr>
          <w:p w14:paraId="701BE918" w14:textId="72FEF160"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i/>
                <w:iCs/>
                <w:color w:val="000000"/>
                <w:sz w:val="18"/>
                <w:szCs w:val="18"/>
              </w:rPr>
              <w:t>a. Subnational Finance &amp; Decentralization (</w:t>
            </w:r>
            <w:proofErr w:type="spellStart"/>
            <w:r w:rsidRPr="009B73ED">
              <w:rPr>
                <w:rFonts w:ascii="Arial Narrow" w:hAnsi="Arial Narrow" w:cs="Calibri"/>
                <w:i/>
                <w:iCs/>
                <w:color w:val="000000"/>
                <w:sz w:val="18"/>
                <w:szCs w:val="18"/>
              </w:rPr>
              <w:t>Mandanas</w:t>
            </w:r>
            <w:proofErr w:type="spellEnd"/>
            <w:r w:rsidRPr="009B73ED">
              <w:rPr>
                <w:rFonts w:ascii="Arial Narrow" w:hAnsi="Arial Narrow" w:cs="Calibri"/>
                <w:i/>
                <w:iCs/>
                <w:color w:val="000000"/>
                <w:sz w:val="18"/>
                <w:szCs w:val="18"/>
              </w:rPr>
              <w:t xml:space="preserve"> Ruling)</w:t>
            </w:r>
          </w:p>
        </w:tc>
        <w:tc>
          <w:tcPr>
            <w:tcW w:w="1295" w:type="dxa"/>
            <w:vAlign w:val="bottom"/>
          </w:tcPr>
          <w:p w14:paraId="79CA2C4F" w14:textId="397EE13E"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i/>
                <w:iCs/>
                <w:color w:val="000000"/>
                <w:sz w:val="18"/>
                <w:szCs w:val="18"/>
              </w:rPr>
              <w:t>271,436.43</w:t>
            </w:r>
          </w:p>
        </w:tc>
        <w:tc>
          <w:tcPr>
            <w:tcW w:w="1421" w:type="dxa"/>
            <w:vAlign w:val="bottom"/>
          </w:tcPr>
          <w:p w14:paraId="5C12D6CC" w14:textId="5393DA9E"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i/>
                <w:iCs/>
                <w:color w:val="000000"/>
                <w:sz w:val="18"/>
                <w:szCs w:val="18"/>
              </w:rPr>
              <w:t>271,436.43</w:t>
            </w:r>
          </w:p>
        </w:tc>
        <w:tc>
          <w:tcPr>
            <w:tcW w:w="1605" w:type="dxa"/>
            <w:vAlign w:val="bottom"/>
          </w:tcPr>
          <w:p w14:paraId="59C732F0" w14:textId="6A36CA18"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i/>
                <w:iCs/>
                <w:color w:val="000000"/>
                <w:sz w:val="18"/>
                <w:szCs w:val="18"/>
              </w:rPr>
              <w:t>-</w:t>
            </w:r>
          </w:p>
        </w:tc>
        <w:tc>
          <w:tcPr>
            <w:tcW w:w="1386" w:type="dxa"/>
            <w:vAlign w:val="bottom"/>
          </w:tcPr>
          <w:p w14:paraId="49FA116E" w14:textId="52F3EDBC"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i/>
                <w:iCs/>
                <w:color w:val="000000"/>
                <w:sz w:val="18"/>
                <w:szCs w:val="18"/>
              </w:rPr>
              <w:t>271,436.43</w:t>
            </w:r>
          </w:p>
        </w:tc>
        <w:tc>
          <w:tcPr>
            <w:tcW w:w="1379" w:type="dxa"/>
            <w:vAlign w:val="bottom"/>
          </w:tcPr>
          <w:p w14:paraId="197B868D" w14:textId="72F4182A" w:rsidR="00BA22BB" w:rsidRPr="009B73ED" w:rsidRDefault="00BA22BB" w:rsidP="00BA22BB">
            <w:pPr>
              <w:rPr>
                <w:rFonts w:ascii="Arial Narrow" w:hAnsi="Arial Narrow" w:cs="Calibri"/>
                <w:color w:val="000000"/>
                <w:sz w:val="18"/>
                <w:szCs w:val="18"/>
              </w:rPr>
            </w:pPr>
            <w:r w:rsidRPr="009B73ED">
              <w:rPr>
                <w:rFonts w:ascii="Arial Narrow" w:hAnsi="Arial Narrow" w:cs="Calibri"/>
                <w:i/>
                <w:iCs/>
                <w:color w:val="000000"/>
                <w:sz w:val="18"/>
                <w:szCs w:val="18"/>
              </w:rPr>
              <w:t>100.00%</w:t>
            </w:r>
          </w:p>
        </w:tc>
        <w:tc>
          <w:tcPr>
            <w:tcW w:w="1381" w:type="dxa"/>
            <w:vAlign w:val="bottom"/>
          </w:tcPr>
          <w:p w14:paraId="32E57DAE" w14:textId="194FFF6B"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i/>
                <w:iCs/>
                <w:color w:val="000000"/>
                <w:sz w:val="18"/>
                <w:szCs w:val="18"/>
              </w:rPr>
              <w:t>-</w:t>
            </w:r>
          </w:p>
        </w:tc>
        <w:tc>
          <w:tcPr>
            <w:tcW w:w="1379" w:type="dxa"/>
            <w:vAlign w:val="bottom"/>
          </w:tcPr>
          <w:p w14:paraId="2913475E" w14:textId="2D065E99"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i/>
                <w:iCs/>
                <w:color w:val="000000"/>
                <w:sz w:val="18"/>
                <w:szCs w:val="18"/>
              </w:rPr>
              <w:t>-</w:t>
            </w:r>
          </w:p>
        </w:tc>
        <w:tc>
          <w:tcPr>
            <w:tcW w:w="1379" w:type="dxa"/>
            <w:vAlign w:val="bottom"/>
          </w:tcPr>
          <w:p w14:paraId="63A59BBE" w14:textId="6867EC4C"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i/>
                <w:iCs/>
                <w:color w:val="000000"/>
                <w:sz w:val="18"/>
                <w:szCs w:val="18"/>
              </w:rPr>
              <w:t>-</w:t>
            </w:r>
          </w:p>
        </w:tc>
        <w:tc>
          <w:tcPr>
            <w:tcW w:w="1372" w:type="dxa"/>
            <w:vAlign w:val="bottom"/>
          </w:tcPr>
          <w:p w14:paraId="6354A382" w14:textId="75E0FBD8" w:rsidR="00BA22BB" w:rsidRPr="009B73ED" w:rsidRDefault="00BA22BB" w:rsidP="00BA22BB">
            <w:pPr>
              <w:rPr>
                <w:rFonts w:ascii="Arial Narrow" w:hAnsi="Arial Narrow" w:cs="Calibri"/>
                <w:color w:val="000000"/>
                <w:sz w:val="18"/>
                <w:szCs w:val="18"/>
              </w:rPr>
            </w:pPr>
            <w:r w:rsidRPr="009B73ED">
              <w:rPr>
                <w:rFonts w:ascii="Arial Narrow" w:hAnsi="Arial Narrow" w:cs="Calibri"/>
                <w:i/>
                <w:iCs/>
                <w:color w:val="000000"/>
                <w:sz w:val="18"/>
                <w:szCs w:val="18"/>
              </w:rPr>
              <w:t>0.00%</w:t>
            </w:r>
          </w:p>
        </w:tc>
        <w:tc>
          <w:tcPr>
            <w:tcW w:w="1379" w:type="dxa"/>
            <w:vAlign w:val="bottom"/>
          </w:tcPr>
          <w:p w14:paraId="4111AA1D" w14:textId="532A7E4F" w:rsidR="00BA22BB" w:rsidRPr="009B73ED" w:rsidRDefault="00BA22BB" w:rsidP="00BA22BB">
            <w:pPr>
              <w:rPr>
                <w:rFonts w:ascii="Arial Narrow" w:hAnsi="Arial Narrow" w:cs="Calibri"/>
                <w:color w:val="000000"/>
                <w:sz w:val="18"/>
                <w:szCs w:val="18"/>
              </w:rPr>
            </w:pPr>
            <w:r w:rsidRPr="009B73ED">
              <w:rPr>
                <w:rFonts w:ascii="Arial Narrow" w:hAnsi="Arial Narrow" w:cs="Calibri"/>
                <w:i/>
                <w:iCs/>
                <w:color w:val="000000"/>
                <w:sz w:val="18"/>
                <w:szCs w:val="18"/>
              </w:rPr>
              <w:t>11/30/2021</w:t>
            </w:r>
          </w:p>
        </w:tc>
      </w:tr>
      <w:tr w:rsidR="00BA22BB" w14:paraId="5E949022" w14:textId="77777777" w:rsidTr="00BA22BB">
        <w:tc>
          <w:tcPr>
            <w:tcW w:w="1394" w:type="dxa"/>
            <w:vAlign w:val="bottom"/>
          </w:tcPr>
          <w:p w14:paraId="4B5CC966" w14:textId="046A41D2"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b. Philippines Women's Economic Empowerment Program</w:t>
            </w:r>
          </w:p>
        </w:tc>
        <w:tc>
          <w:tcPr>
            <w:tcW w:w="1295" w:type="dxa"/>
            <w:vAlign w:val="bottom"/>
          </w:tcPr>
          <w:p w14:paraId="41A73947" w14:textId="7B6BC41E"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250,000.00</w:t>
            </w:r>
          </w:p>
        </w:tc>
        <w:tc>
          <w:tcPr>
            <w:tcW w:w="1421" w:type="dxa"/>
            <w:vAlign w:val="bottom"/>
          </w:tcPr>
          <w:p w14:paraId="474D2FDC" w14:textId="704FA0E4"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250,000.00</w:t>
            </w:r>
          </w:p>
        </w:tc>
        <w:tc>
          <w:tcPr>
            <w:tcW w:w="1605" w:type="dxa"/>
            <w:vAlign w:val="bottom"/>
          </w:tcPr>
          <w:p w14:paraId="7731E74E" w14:textId="39DC3D8B"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w:t>
            </w:r>
          </w:p>
        </w:tc>
        <w:tc>
          <w:tcPr>
            <w:tcW w:w="1386" w:type="dxa"/>
            <w:vAlign w:val="bottom"/>
          </w:tcPr>
          <w:p w14:paraId="50839A1D" w14:textId="5131DAEE"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249,941.99</w:t>
            </w:r>
          </w:p>
        </w:tc>
        <w:tc>
          <w:tcPr>
            <w:tcW w:w="1379" w:type="dxa"/>
            <w:vAlign w:val="bottom"/>
          </w:tcPr>
          <w:p w14:paraId="63BC3143" w14:textId="00A8C9B6"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99.98%</w:t>
            </w:r>
          </w:p>
        </w:tc>
        <w:tc>
          <w:tcPr>
            <w:tcW w:w="1381" w:type="dxa"/>
            <w:vAlign w:val="bottom"/>
          </w:tcPr>
          <w:p w14:paraId="45BAB24E" w14:textId="664EF826"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w:t>
            </w:r>
          </w:p>
        </w:tc>
        <w:tc>
          <w:tcPr>
            <w:tcW w:w="1379" w:type="dxa"/>
            <w:vAlign w:val="bottom"/>
          </w:tcPr>
          <w:p w14:paraId="26572172" w14:textId="7E92AA03"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58.01</w:t>
            </w:r>
          </w:p>
        </w:tc>
        <w:tc>
          <w:tcPr>
            <w:tcW w:w="1379" w:type="dxa"/>
            <w:vAlign w:val="bottom"/>
          </w:tcPr>
          <w:p w14:paraId="77AAD459" w14:textId="5B912315"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58.01</w:t>
            </w:r>
          </w:p>
        </w:tc>
        <w:tc>
          <w:tcPr>
            <w:tcW w:w="1372" w:type="dxa"/>
            <w:vAlign w:val="bottom"/>
          </w:tcPr>
          <w:p w14:paraId="6FA1548A" w14:textId="69FBCF58"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0.02%</w:t>
            </w:r>
          </w:p>
        </w:tc>
        <w:tc>
          <w:tcPr>
            <w:tcW w:w="1379" w:type="dxa"/>
            <w:vAlign w:val="bottom"/>
          </w:tcPr>
          <w:p w14:paraId="1B3515DD" w14:textId="7C4E4053"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3/31/2022</w:t>
            </w:r>
          </w:p>
        </w:tc>
      </w:tr>
      <w:tr w:rsidR="00BA22BB" w14:paraId="271E8E78" w14:textId="77777777" w:rsidTr="00BA22BB">
        <w:tc>
          <w:tcPr>
            <w:tcW w:w="1394" w:type="dxa"/>
            <w:vAlign w:val="bottom"/>
          </w:tcPr>
          <w:p w14:paraId="59A8F52D" w14:textId="5A4C6B6E"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 xml:space="preserve">c. Post Covid-19 Active Transport </w:t>
            </w:r>
            <w:r w:rsidRPr="009B73ED">
              <w:rPr>
                <w:rFonts w:ascii="Arial Narrow" w:hAnsi="Arial Narrow" w:cs="Calibri"/>
                <w:i/>
                <w:iCs/>
                <w:color w:val="000000"/>
                <w:sz w:val="18"/>
                <w:szCs w:val="18"/>
              </w:rPr>
              <w:lastRenderedPageBreak/>
              <w:t xml:space="preserve">Program </w:t>
            </w:r>
            <w:proofErr w:type="spellStart"/>
            <w:r w:rsidRPr="009B73ED">
              <w:rPr>
                <w:rFonts w:ascii="Arial Narrow" w:hAnsi="Arial Narrow" w:cs="Calibri"/>
                <w:i/>
                <w:iCs/>
                <w:color w:val="000000"/>
                <w:sz w:val="18"/>
                <w:szCs w:val="18"/>
              </w:rPr>
              <w:t>Dev't</w:t>
            </w:r>
            <w:proofErr w:type="spellEnd"/>
            <w:r w:rsidRPr="009B73ED">
              <w:rPr>
                <w:rFonts w:ascii="Arial Narrow" w:hAnsi="Arial Narrow" w:cs="Calibri"/>
                <w:i/>
                <w:iCs/>
                <w:color w:val="000000"/>
                <w:sz w:val="18"/>
                <w:szCs w:val="18"/>
              </w:rPr>
              <w:t xml:space="preserve"> in MM</w:t>
            </w:r>
          </w:p>
        </w:tc>
        <w:tc>
          <w:tcPr>
            <w:tcW w:w="1295" w:type="dxa"/>
            <w:vAlign w:val="bottom"/>
          </w:tcPr>
          <w:p w14:paraId="41D29883" w14:textId="40C252FF"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lastRenderedPageBreak/>
              <w:t>50,000.00</w:t>
            </w:r>
          </w:p>
        </w:tc>
        <w:tc>
          <w:tcPr>
            <w:tcW w:w="1421" w:type="dxa"/>
            <w:vAlign w:val="bottom"/>
          </w:tcPr>
          <w:p w14:paraId="4731B946" w14:textId="79F6DA06"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50,000.00</w:t>
            </w:r>
          </w:p>
        </w:tc>
        <w:tc>
          <w:tcPr>
            <w:tcW w:w="1605" w:type="dxa"/>
            <w:vAlign w:val="bottom"/>
          </w:tcPr>
          <w:p w14:paraId="599D8A8B" w14:textId="0E170CC5"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w:t>
            </w:r>
          </w:p>
        </w:tc>
        <w:tc>
          <w:tcPr>
            <w:tcW w:w="1386" w:type="dxa"/>
            <w:vAlign w:val="bottom"/>
          </w:tcPr>
          <w:p w14:paraId="0BD8E7B7" w14:textId="2551AD52"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49,654.69</w:t>
            </w:r>
          </w:p>
        </w:tc>
        <w:tc>
          <w:tcPr>
            <w:tcW w:w="1379" w:type="dxa"/>
            <w:vAlign w:val="bottom"/>
          </w:tcPr>
          <w:p w14:paraId="1B3E1C91" w14:textId="4972EEC4"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99.31%</w:t>
            </w:r>
          </w:p>
        </w:tc>
        <w:tc>
          <w:tcPr>
            <w:tcW w:w="1381" w:type="dxa"/>
            <w:vAlign w:val="bottom"/>
          </w:tcPr>
          <w:p w14:paraId="38DAAC49" w14:textId="593EB616"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w:t>
            </w:r>
          </w:p>
        </w:tc>
        <w:tc>
          <w:tcPr>
            <w:tcW w:w="1379" w:type="dxa"/>
            <w:vAlign w:val="bottom"/>
          </w:tcPr>
          <w:p w14:paraId="38103C8B" w14:textId="55DC3E83"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345.31</w:t>
            </w:r>
          </w:p>
        </w:tc>
        <w:tc>
          <w:tcPr>
            <w:tcW w:w="1379" w:type="dxa"/>
            <w:vAlign w:val="bottom"/>
          </w:tcPr>
          <w:p w14:paraId="61EF7A09" w14:textId="7D56FD3B"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345.31</w:t>
            </w:r>
          </w:p>
        </w:tc>
        <w:tc>
          <w:tcPr>
            <w:tcW w:w="1372" w:type="dxa"/>
            <w:vAlign w:val="bottom"/>
          </w:tcPr>
          <w:p w14:paraId="3B29876F" w14:textId="0D3DB1E1"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0.69%</w:t>
            </w:r>
          </w:p>
        </w:tc>
        <w:tc>
          <w:tcPr>
            <w:tcW w:w="1379" w:type="dxa"/>
            <w:vAlign w:val="bottom"/>
          </w:tcPr>
          <w:p w14:paraId="433D70D6" w14:textId="12DDB884"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i/>
                <w:iCs/>
                <w:color w:val="000000"/>
                <w:sz w:val="18"/>
                <w:szCs w:val="18"/>
              </w:rPr>
              <w:t>12/31/2021</w:t>
            </w:r>
          </w:p>
        </w:tc>
      </w:tr>
      <w:tr w:rsidR="00BA22BB" w14:paraId="515C69B3" w14:textId="77777777" w:rsidTr="00BA22BB">
        <w:tc>
          <w:tcPr>
            <w:tcW w:w="1394" w:type="dxa"/>
            <w:vAlign w:val="bottom"/>
          </w:tcPr>
          <w:p w14:paraId="23B6237D" w14:textId="614FD59C"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TOTAL</w:t>
            </w:r>
          </w:p>
        </w:tc>
        <w:tc>
          <w:tcPr>
            <w:tcW w:w="1295" w:type="dxa"/>
            <w:vAlign w:val="bottom"/>
          </w:tcPr>
          <w:p w14:paraId="1D7C4788" w14:textId="4EC2BCDA"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3,921,436.43</w:t>
            </w:r>
          </w:p>
        </w:tc>
        <w:tc>
          <w:tcPr>
            <w:tcW w:w="1421" w:type="dxa"/>
            <w:vAlign w:val="bottom"/>
          </w:tcPr>
          <w:p w14:paraId="43D0ED12" w14:textId="1FD3E8B7"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3,721,436.43</w:t>
            </w:r>
          </w:p>
        </w:tc>
        <w:tc>
          <w:tcPr>
            <w:tcW w:w="1605" w:type="dxa"/>
            <w:vAlign w:val="bottom"/>
          </w:tcPr>
          <w:p w14:paraId="41239C03" w14:textId="1F936F14"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200,000.00</w:t>
            </w:r>
          </w:p>
        </w:tc>
        <w:tc>
          <w:tcPr>
            <w:tcW w:w="1386" w:type="dxa"/>
            <w:vAlign w:val="bottom"/>
          </w:tcPr>
          <w:p w14:paraId="0E24FC14" w14:textId="76190763"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2,998,114.49</w:t>
            </w:r>
          </w:p>
        </w:tc>
        <w:tc>
          <w:tcPr>
            <w:tcW w:w="1379" w:type="dxa"/>
            <w:vAlign w:val="bottom"/>
          </w:tcPr>
          <w:p w14:paraId="3BE74EB4" w14:textId="393D58DA"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color w:val="000000"/>
                <w:sz w:val="18"/>
                <w:szCs w:val="18"/>
              </w:rPr>
              <w:t> </w:t>
            </w:r>
          </w:p>
        </w:tc>
        <w:tc>
          <w:tcPr>
            <w:tcW w:w="1381" w:type="dxa"/>
            <w:vAlign w:val="bottom"/>
          </w:tcPr>
          <w:p w14:paraId="33C31526" w14:textId="01866EA7"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194,771.53</w:t>
            </w:r>
          </w:p>
        </w:tc>
        <w:tc>
          <w:tcPr>
            <w:tcW w:w="1379" w:type="dxa"/>
            <w:vAlign w:val="bottom"/>
          </w:tcPr>
          <w:p w14:paraId="5E0F30C3" w14:textId="1D4FACC6"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528,550.41</w:t>
            </w:r>
          </w:p>
        </w:tc>
        <w:tc>
          <w:tcPr>
            <w:tcW w:w="1379" w:type="dxa"/>
            <w:vAlign w:val="bottom"/>
          </w:tcPr>
          <w:p w14:paraId="07CEA081" w14:textId="14A3F2F0"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b/>
                <w:bCs/>
                <w:color w:val="000000"/>
                <w:sz w:val="18"/>
                <w:szCs w:val="18"/>
              </w:rPr>
              <w:t>723,321.94</w:t>
            </w:r>
          </w:p>
        </w:tc>
        <w:tc>
          <w:tcPr>
            <w:tcW w:w="1372" w:type="dxa"/>
            <w:vAlign w:val="bottom"/>
          </w:tcPr>
          <w:p w14:paraId="1CF02B6A" w14:textId="54488FB5"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color w:val="000000"/>
                <w:sz w:val="18"/>
                <w:szCs w:val="18"/>
              </w:rPr>
              <w:t> </w:t>
            </w:r>
            <w:r>
              <w:rPr>
                <w:rFonts w:ascii="Arial Narrow" w:hAnsi="Arial Narrow" w:cs="Calibri"/>
                <w:color w:val="000000"/>
                <w:sz w:val="18"/>
                <w:szCs w:val="18"/>
              </w:rPr>
              <w:t>-</w:t>
            </w:r>
          </w:p>
        </w:tc>
        <w:tc>
          <w:tcPr>
            <w:tcW w:w="1379" w:type="dxa"/>
            <w:vAlign w:val="bottom"/>
          </w:tcPr>
          <w:p w14:paraId="44BE3DFA" w14:textId="124817A4" w:rsidR="00BA22BB" w:rsidRPr="009B73ED" w:rsidRDefault="00BA22BB" w:rsidP="00BA22BB">
            <w:pPr>
              <w:rPr>
                <w:rFonts w:ascii="Arial Narrow" w:hAnsi="Arial Narrow" w:cs="Calibri"/>
                <w:i/>
                <w:iCs/>
                <w:color w:val="000000"/>
                <w:sz w:val="18"/>
                <w:szCs w:val="18"/>
              </w:rPr>
            </w:pPr>
            <w:r w:rsidRPr="009B73ED">
              <w:rPr>
                <w:rFonts w:ascii="Arial Narrow" w:hAnsi="Arial Narrow" w:cs="Calibri"/>
                <w:color w:val="000000"/>
                <w:sz w:val="18"/>
                <w:szCs w:val="18"/>
              </w:rPr>
              <w:t> </w:t>
            </w:r>
            <w:r>
              <w:rPr>
                <w:rFonts w:ascii="Arial Narrow" w:hAnsi="Arial Narrow" w:cs="Calibri"/>
                <w:color w:val="000000"/>
                <w:sz w:val="18"/>
                <w:szCs w:val="18"/>
              </w:rPr>
              <w:t>-</w:t>
            </w:r>
          </w:p>
        </w:tc>
      </w:tr>
      <w:tr w:rsidR="00BA22BB" w14:paraId="541CFE09" w14:textId="77777777" w:rsidTr="00BA22BB">
        <w:tc>
          <w:tcPr>
            <w:tcW w:w="1394" w:type="dxa"/>
            <w:vAlign w:val="bottom"/>
          </w:tcPr>
          <w:p w14:paraId="061C734A" w14:textId="7AD7AD83"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b/>
                <w:bCs/>
                <w:i/>
                <w:iCs/>
                <w:color w:val="000000"/>
                <w:sz w:val="18"/>
                <w:szCs w:val="18"/>
              </w:rPr>
              <w:t>Initial TF allocation</w:t>
            </w:r>
          </w:p>
        </w:tc>
        <w:tc>
          <w:tcPr>
            <w:tcW w:w="1295" w:type="dxa"/>
            <w:vAlign w:val="bottom"/>
          </w:tcPr>
          <w:p w14:paraId="0C7F8AD8" w14:textId="3F287F5D"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b/>
                <w:bCs/>
                <w:i/>
                <w:iCs/>
                <w:color w:val="000000"/>
                <w:sz w:val="18"/>
                <w:szCs w:val="18"/>
              </w:rPr>
              <w:t>5,000,000.00</w:t>
            </w:r>
          </w:p>
        </w:tc>
        <w:tc>
          <w:tcPr>
            <w:tcW w:w="1421" w:type="dxa"/>
            <w:vAlign w:val="bottom"/>
          </w:tcPr>
          <w:p w14:paraId="13FE3359" w14:textId="71655E3F" w:rsidR="00BA22BB" w:rsidRPr="009B73ED" w:rsidRDefault="00BA22BB" w:rsidP="00BA22BB">
            <w:pPr>
              <w:rPr>
                <w:rFonts w:ascii="Arial Narrow" w:hAnsi="Arial Narrow" w:cs="Calibri"/>
                <w:b/>
                <w:bCs/>
                <w:color w:val="000000"/>
                <w:sz w:val="18"/>
                <w:szCs w:val="18"/>
              </w:rPr>
            </w:pPr>
            <w:r>
              <w:rPr>
                <w:rFonts w:ascii="Arial Narrow" w:hAnsi="Arial Narrow" w:cs="Calibri"/>
                <w:b/>
                <w:bCs/>
                <w:color w:val="000000"/>
                <w:sz w:val="18"/>
                <w:szCs w:val="18"/>
              </w:rPr>
              <w:t>-</w:t>
            </w:r>
          </w:p>
        </w:tc>
        <w:tc>
          <w:tcPr>
            <w:tcW w:w="1605" w:type="dxa"/>
            <w:vAlign w:val="bottom"/>
          </w:tcPr>
          <w:p w14:paraId="1A049DA0" w14:textId="58DD8541" w:rsidR="00BA22BB" w:rsidRPr="009B73ED" w:rsidRDefault="00BA22BB" w:rsidP="00BA22BB">
            <w:pPr>
              <w:rPr>
                <w:rFonts w:ascii="Arial Narrow" w:hAnsi="Arial Narrow" w:cs="Calibri"/>
                <w:b/>
                <w:bCs/>
                <w:color w:val="000000"/>
                <w:sz w:val="18"/>
                <w:szCs w:val="18"/>
              </w:rPr>
            </w:pPr>
            <w:r>
              <w:rPr>
                <w:rFonts w:ascii="Arial Narrow" w:hAnsi="Arial Narrow" w:cs="Calibri"/>
                <w:b/>
                <w:bCs/>
                <w:color w:val="000000"/>
                <w:sz w:val="18"/>
                <w:szCs w:val="18"/>
              </w:rPr>
              <w:t>-</w:t>
            </w:r>
          </w:p>
        </w:tc>
        <w:tc>
          <w:tcPr>
            <w:tcW w:w="1386" w:type="dxa"/>
            <w:vAlign w:val="bottom"/>
          </w:tcPr>
          <w:p w14:paraId="3E1FB0C2" w14:textId="454DFDE2" w:rsidR="00BA22BB" w:rsidRPr="009B73ED" w:rsidRDefault="00BA22BB" w:rsidP="00BA22BB">
            <w:pPr>
              <w:rPr>
                <w:rFonts w:ascii="Arial Narrow" w:hAnsi="Arial Narrow" w:cs="Calibri"/>
                <w:b/>
                <w:bCs/>
                <w:color w:val="000000"/>
                <w:sz w:val="18"/>
                <w:szCs w:val="18"/>
              </w:rPr>
            </w:pPr>
            <w:r>
              <w:rPr>
                <w:rFonts w:ascii="Arial Narrow" w:hAnsi="Arial Narrow" w:cs="Calibri"/>
                <w:b/>
                <w:bCs/>
                <w:color w:val="000000"/>
                <w:sz w:val="18"/>
                <w:szCs w:val="18"/>
              </w:rPr>
              <w:t>-</w:t>
            </w:r>
          </w:p>
        </w:tc>
        <w:tc>
          <w:tcPr>
            <w:tcW w:w="1379" w:type="dxa"/>
            <w:vAlign w:val="bottom"/>
          </w:tcPr>
          <w:p w14:paraId="60CCCDB4" w14:textId="0FAAE788" w:rsidR="00BA22BB" w:rsidRPr="009B73ED" w:rsidRDefault="00BA22BB" w:rsidP="00BA22BB">
            <w:pPr>
              <w:rPr>
                <w:rFonts w:ascii="Arial Narrow" w:hAnsi="Arial Narrow" w:cs="Calibri"/>
                <w:color w:val="000000"/>
                <w:sz w:val="18"/>
                <w:szCs w:val="18"/>
              </w:rPr>
            </w:pPr>
            <w:r w:rsidRPr="009B73ED">
              <w:rPr>
                <w:rFonts w:ascii="Arial Narrow" w:hAnsi="Arial Narrow" w:cs="Calibri"/>
                <w:b/>
                <w:bCs/>
                <w:color w:val="000000"/>
                <w:sz w:val="18"/>
                <w:szCs w:val="18"/>
              </w:rPr>
              <w:t>60%</w:t>
            </w:r>
          </w:p>
        </w:tc>
        <w:tc>
          <w:tcPr>
            <w:tcW w:w="1381" w:type="dxa"/>
            <w:vAlign w:val="bottom"/>
          </w:tcPr>
          <w:p w14:paraId="2BFC5A51" w14:textId="2A811098" w:rsidR="00BA22BB" w:rsidRPr="009B73ED" w:rsidRDefault="00BA22BB" w:rsidP="00BA22BB">
            <w:pPr>
              <w:rPr>
                <w:rFonts w:ascii="Arial Narrow" w:hAnsi="Arial Narrow" w:cs="Calibri"/>
                <w:b/>
                <w:bCs/>
                <w:color w:val="000000"/>
                <w:sz w:val="18"/>
                <w:szCs w:val="18"/>
              </w:rPr>
            </w:pPr>
            <w:r w:rsidRPr="009B73ED">
              <w:rPr>
                <w:rFonts w:ascii="Arial Narrow" w:hAnsi="Arial Narrow" w:cs="Calibri"/>
                <w:b/>
                <w:bCs/>
                <w:color w:val="000000"/>
                <w:sz w:val="18"/>
                <w:szCs w:val="18"/>
              </w:rPr>
              <w:t>64%</w:t>
            </w:r>
          </w:p>
        </w:tc>
        <w:tc>
          <w:tcPr>
            <w:tcW w:w="1379" w:type="dxa"/>
            <w:vAlign w:val="bottom"/>
          </w:tcPr>
          <w:p w14:paraId="0B21ACCC" w14:textId="5C1196D3" w:rsidR="00BA22BB" w:rsidRPr="009B73ED" w:rsidRDefault="00BA22BB" w:rsidP="00BA22BB">
            <w:pPr>
              <w:rPr>
                <w:rFonts w:ascii="Arial Narrow" w:hAnsi="Arial Narrow" w:cs="Calibri"/>
                <w:b/>
                <w:bCs/>
                <w:color w:val="000000"/>
                <w:sz w:val="18"/>
                <w:szCs w:val="18"/>
              </w:rPr>
            </w:pPr>
            <w:r>
              <w:rPr>
                <w:rFonts w:ascii="Arial Narrow" w:hAnsi="Arial Narrow" w:cs="Calibri"/>
                <w:b/>
                <w:bCs/>
                <w:color w:val="000000"/>
                <w:sz w:val="18"/>
                <w:szCs w:val="18"/>
              </w:rPr>
              <w:t>-</w:t>
            </w:r>
          </w:p>
        </w:tc>
        <w:tc>
          <w:tcPr>
            <w:tcW w:w="1379" w:type="dxa"/>
            <w:vAlign w:val="bottom"/>
          </w:tcPr>
          <w:p w14:paraId="25EEB9A5" w14:textId="29D400AF" w:rsidR="00BA22BB" w:rsidRPr="009B73ED" w:rsidRDefault="00BA22BB" w:rsidP="00BA22BB">
            <w:pPr>
              <w:rPr>
                <w:rFonts w:ascii="Arial Narrow" w:hAnsi="Arial Narrow" w:cs="Calibri"/>
                <w:b/>
                <w:bCs/>
                <w:color w:val="000000"/>
                <w:sz w:val="18"/>
                <w:szCs w:val="18"/>
              </w:rPr>
            </w:pPr>
            <w:r>
              <w:rPr>
                <w:rFonts w:ascii="Arial Narrow" w:hAnsi="Arial Narrow" w:cs="Calibri"/>
                <w:b/>
                <w:bCs/>
                <w:color w:val="000000"/>
                <w:sz w:val="18"/>
                <w:szCs w:val="18"/>
              </w:rPr>
              <w:t>-</w:t>
            </w:r>
          </w:p>
        </w:tc>
        <w:tc>
          <w:tcPr>
            <w:tcW w:w="1372" w:type="dxa"/>
            <w:vAlign w:val="bottom"/>
          </w:tcPr>
          <w:p w14:paraId="5254B6DF" w14:textId="452AFFDB" w:rsidR="00BA22BB" w:rsidRPr="009B73ED" w:rsidRDefault="00BA22BB" w:rsidP="00BA22BB">
            <w:pPr>
              <w:rPr>
                <w:rFonts w:ascii="Arial Narrow" w:hAnsi="Arial Narrow" w:cs="Calibri"/>
                <w:color w:val="000000"/>
                <w:sz w:val="18"/>
                <w:szCs w:val="18"/>
              </w:rPr>
            </w:pPr>
            <w:r>
              <w:rPr>
                <w:rFonts w:ascii="Arial Narrow" w:hAnsi="Arial Narrow" w:cs="Calibri"/>
                <w:color w:val="000000"/>
                <w:sz w:val="18"/>
                <w:szCs w:val="18"/>
              </w:rPr>
              <w:t>-</w:t>
            </w:r>
          </w:p>
        </w:tc>
        <w:tc>
          <w:tcPr>
            <w:tcW w:w="1379" w:type="dxa"/>
            <w:vAlign w:val="bottom"/>
          </w:tcPr>
          <w:p w14:paraId="16F8713D" w14:textId="1DA65CF0" w:rsidR="00BA22BB" w:rsidRPr="009B73ED" w:rsidRDefault="00BA22BB" w:rsidP="00BA22BB">
            <w:pPr>
              <w:rPr>
                <w:rFonts w:ascii="Arial Narrow" w:hAnsi="Arial Narrow" w:cs="Calibri"/>
                <w:color w:val="000000"/>
                <w:sz w:val="18"/>
                <w:szCs w:val="18"/>
              </w:rPr>
            </w:pPr>
            <w:r>
              <w:rPr>
                <w:rFonts w:ascii="Arial Narrow" w:hAnsi="Arial Narrow" w:cs="Calibri"/>
                <w:color w:val="000000"/>
                <w:sz w:val="18"/>
                <w:szCs w:val="18"/>
              </w:rPr>
              <w:t>-</w:t>
            </w:r>
          </w:p>
        </w:tc>
      </w:tr>
    </w:tbl>
    <w:p w14:paraId="2A25931A" w14:textId="77777777" w:rsidR="001A37D2" w:rsidRDefault="001A37D2" w:rsidP="00BA22BB">
      <w:pPr>
        <w:rPr>
          <w:rFonts w:cstheme="minorHAnsi"/>
          <w:sz w:val="20"/>
          <w:szCs w:val="20"/>
        </w:rPr>
      </w:pPr>
    </w:p>
    <w:p w14:paraId="7C1CD7C7" w14:textId="5A8E8F8A" w:rsidR="008305F9" w:rsidRDefault="008305F9" w:rsidP="008305F9">
      <w:pPr>
        <w:rPr>
          <w:rFonts w:cstheme="minorHAnsi"/>
          <w:sz w:val="20"/>
          <w:szCs w:val="20"/>
        </w:rPr>
        <w:sectPr w:rsidR="008305F9" w:rsidSect="00FC7246">
          <w:pgSz w:w="16820" w:h="11900" w:orient="landscape" w:code="1"/>
          <w:pgMar w:top="720" w:right="720" w:bottom="720" w:left="720" w:header="360" w:footer="720" w:gutter="0"/>
          <w:cols w:space="720"/>
          <w:docGrid w:linePitch="360"/>
        </w:sectPr>
      </w:pPr>
    </w:p>
    <w:p w14:paraId="24F4EDDB" w14:textId="7D0DBA86" w:rsidR="004F1D23" w:rsidRPr="009B73ED" w:rsidRDefault="003B38E1" w:rsidP="00E03DD0">
      <w:pPr>
        <w:pStyle w:val="Heading1"/>
        <w:rPr>
          <w:rFonts w:ascii="Arial" w:hAnsi="Arial" w:cs="Arial"/>
          <w:sz w:val="20"/>
          <w:szCs w:val="20"/>
          <w:lang w:val="en"/>
        </w:rPr>
      </w:pPr>
      <w:bookmarkStart w:id="45" w:name="_Toc125560023"/>
      <w:r w:rsidRPr="002900C0">
        <w:lastRenderedPageBreak/>
        <w:t>Annex 5</w:t>
      </w:r>
      <w:r w:rsidRPr="002900C0">
        <w:tab/>
        <w:t xml:space="preserve">List of </w:t>
      </w:r>
      <w:proofErr w:type="spellStart"/>
      <w:r w:rsidR="007628AF">
        <w:t>AGaP</w:t>
      </w:r>
      <w:proofErr w:type="spellEnd"/>
      <w:r w:rsidRPr="002900C0">
        <w:t xml:space="preserve"> Completed Outputs</w:t>
      </w:r>
      <w:bookmarkEnd w:id="45"/>
    </w:p>
    <w:p w14:paraId="2C8F748B" w14:textId="0484ED8E" w:rsidR="001D69EC" w:rsidRDefault="00D32E6E" w:rsidP="00950816">
      <w:pPr>
        <w:rPr>
          <w:rFonts w:cstheme="minorHAnsi"/>
          <w:b/>
          <w:bCs/>
        </w:rPr>
      </w:pPr>
      <w:r w:rsidRPr="00B14DF9">
        <w:rPr>
          <w:rFonts w:cstheme="minorHAnsi"/>
          <w:b/>
          <w:bCs/>
        </w:rPr>
        <w:t>OUTCOME 1: PROJECT DEVELOPMENT AND PREPARATION</w:t>
      </w:r>
    </w:p>
    <w:tbl>
      <w:tblPr>
        <w:tblStyle w:val="TableGrid"/>
        <w:tblW w:w="0" w:type="auto"/>
        <w:tblLook w:val="04A0" w:firstRow="1" w:lastRow="0" w:firstColumn="1" w:lastColumn="0" w:noHBand="0" w:noVBand="1"/>
      </w:tblPr>
      <w:tblGrid>
        <w:gridCol w:w="6965"/>
        <w:gridCol w:w="6965"/>
      </w:tblGrid>
      <w:tr w:rsidR="00614008" w14:paraId="5B173D93" w14:textId="77777777" w:rsidTr="005D30AE">
        <w:tc>
          <w:tcPr>
            <w:tcW w:w="6965" w:type="dxa"/>
            <w:vAlign w:val="center"/>
          </w:tcPr>
          <w:p w14:paraId="2F099326" w14:textId="3167727E" w:rsidR="00614008" w:rsidRDefault="00614008" w:rsidP="00614008">
            <w:r w:rsidRPr="00B14DF9">
              <w:rPr>
                <w:rFonts w:cstheme="minorHAnsi"/>
                <w:b/>
                <w:bCs/>
              </w:rPr>
              <w:t>Monitoring Level</w:t>
            </w:r>
          </w:p>
        </w:tc>
        <w:tc>
          <w:tcPr>
            <w:tcW w:w="6965" w:type="dxa"/>
            <w:vAlign w:val="center"/>
          </w:tcPr>
          <w:p w14:paraId="1D5EDB7E" w14:textId="68A016C6" w:rsidR="00614008" w:rsidRDefault="00614008" w:rsidP="00614008">
            <w:r w:rsidRPr="00B14DF9">
              <w:rPr>
                <w:rFonts w:cstheme="minorHAnsi"/>
                <w:b/>
                <w:bCs/>
              </w:rPr>
              <w:t>KPI</w:t>
            </w:r>
          </w:p>
        </w:tc>
      </w:tr>
      <w:tr w:rsidR="00614008" w14:paraId="6D74D562" w14:textId="77777777" w:rsidTr="00614008">
        <w:tc>
          <w:tcPr>
            <w:tcW w:w="6965" w:type="dxa"/>
          </w:tcPr>
          <w:p w14:paraId="6959DD16" w14:textId="77777777" w:rsidR="00614008" w:rsidRPr="00E211F9" w:rsidRDefault="00614008" w:rsidP="00614008">
            <w:pPr>
              <w:pStyle w:val="Header"/>
              <w:tabs>
                <w:tab w:val="clear" w:pos="4680"/>
                <w:tab w:val="clear" w:pos="9360"/>
              </w:tabs>
              <w:rPr>
                <w:rFonts w:ascii="Arial Narrow" w:hAnsi="Arial Narrow"/>
                <w:sz w:val="20"/>
                <w:szCs w:val="20"/>
              </w:rPr>
            </w:pPr>
            <w:r w:rsidRPr="00E211F9">
              <w:rPr>
                <w:rFonts w:ascii="Arial Narrow" w:hAnsi="Arial Narrow"/>
                <w:sz w:val="20"/>
                <w:szCs w:val="20"/>
              </w:rPr>
              <w:t>Projects to support GOP policy reform priorities enhanced</w:t>
            </w:r>
          </w:p>
          <w:p w14:paraId="25A21136" w14:textId="4B700E52" w:rsidR="00614008" w:rsidRDefault="00614008" w:rsidP="00614008">
            <w:r w:rsidRPr="00E211F9">
              <w:rPr>
                <w:rFonts w:ascii="Arial Narrow" w:hAnsi="Arial Narrow"/>
                <w:sz w:val="20"/>
                <w:szCs w:val="20"/>
              </w:rPr>
              <w:t>OUTPUT: Support activities to project preparation conducted</w:t>
            </w:r>
          </w:p>
        </w:tc>
        <w:tc>
          <w:tcPr>
            <w:tcW w:w="6965" w:type="dxa"/>
          </w:tcPr>
          <w:p w14:paraId="24E24C10" w14:textId="77777777" w:rsidR="00614008" w:rsidRPr="00E211F9" w:rsidRDefault="00614008" w:rsidP="00614008">
            <w:pPr>
              <w:rPr>
                <w:rFonts w:ascii="Arial Narrow" w:hAnsi="Arial Narrow"/>
                <w:sz w:val="20"/>
                <w:szCs w:val="20"/>
              </w:rPr>
            </w:pPr>
            <w:r w:rsidRPr="00E211F9">
              <w:rPr>
                <w:rFonts w:ascii="Arial Narrow" w:hAnsi="Arial Narrow"/>
                <w:sz w:val="20"/>
                <w:szCs w:val="20"/>
              </w:rPr>
              <w:t>Increased relevance and timeliness of projects developed</w:t>
            </w:r>
          </w:p>
          <w:p w14:paraId="188CC759" w14:textId="77777777" w:rsidR="00614008" w:rsidRPr="00E211F9" w:rsidRDefault="00614008" w:rsidP="00614008">
            <w:pPr>
              <w:pStyle w:val="ListParagraph"/>
              <w:numPr>
                <w:ilvl w:val="0"/>
                <w:numId w:val="9"/>
              </w:numPr>
              <w:suppressAutoHyphens w:val="0"/>
              <w:spacing w:before="0" w:after="0" w:line="240" w:lineRule="auto"/>
              <w:ind w:left="216" w:hanging="216"/>
              <w:contextualSpacing w:val="0"/>
              <w:rPr>
                <w:rFonts w:ascii="Arial Narrow" w:hAnsi="Arial Narrow"/>
                <w:sz w:val="20"/>
                <w:szCs w:val="20"/>
              </w:rPr>
            </w:pPr>
            <w:r w:rsidRPr="00E211F9">
              <w:rPr>
                <w:rFonts w:ascii="Arial Narrow" w:hAnsi="Arial Narrow"/>
                <w:sz w:val="20"/>
                <w:szCs w:val="20"/>
              </w:rPr>
              <w:t xml:space="preserve">Number of projects that have been pilot-tested </w:t>
            </w:r>
          </w:p>
          <w:p w14:paraId="6BC86A63" w14:textId="77777777" w:rsidR="00614008" w:rsidRPr="00E211F9" w:rsidRDefault="00614008" w:rsidP="00614008">
            <w:pPr>
              <w:pStyle w:val="ListParagraph"/>
              <w:numPr>
                <w:ilvl w:val="0"/>
                <w:numId w:val="9"/>
              </w:numPr>
              <w:suppressAutoHyphens w:val="0"/>
              <w:spacing w:before="0" w:after="0" w:line="240" w:lineRule="auto"/>
              <w:ind w:left="216" w:hanging="216"/>
              <w:contextualSpacing w:val="0"/>
              <w:rPr>
                <w:rFonts w:ascii="Arial Narrow" w:hAnsi="Arial Narrow"/>
                <w:sz w:val="20"/>
                <w:szCs w:val="20"/>
              </w:rPr>
            </w:pPr>
            <w:r w:rsidRPr="00E211F9">
              <w:rPr>
                <w:rFonts w:ascii="Arial Narrow" w:hAnsi="Arial Narrow"/>
                <w:sz w:val="20"/>
                <w:szCs w:val="20"/>
              </w:rPr>
              <w:t>Number of feasibility studies completed</w:t>
            </w:r>
          </w:p>
          <w:p w14:paraId="5F424008" w14:textId="77777777" w:rsidR="00614008" w:rsidRPr="00614008" w:rsidRDefault="00614008" w:rsidP="00614008">
            <w:pPr>
              <w:pStyle w:val="ListParagraph"/>
              <w:numPr>
                <w:ilvl w:val="0"/>
                <w:numId w:val="9"/>
              </w:numPr>
              <w:suppressAutoHyphens w:val="0"/>
              <w:spacing w:before="0" w:after="0" w:line="240" w:lineRule="auto"/>
              <w:ind w:left="216" w:hanging="216"/>
              <w:contextualSpacing w:val="0"/>
            </w:pPr>
            <w:r w:rsidRPr="00E211F9">
              <w:rPr>
                <w:rFonts w:ascii="Arial Narrow" w:hAnsi="Arial Narrow"/>
                <w:sz w:val="20"/>
                <w:szCs w:val="20"/>
              </w:rPr>
              <w:t xml:space="preserve">Number of situational </w:t>
            </w:r>
            <w:proofErr w:type="gramStart"/>
            <w:r w:rsidRPr="00E211F9">
              <w:rPr>
                <w:rFonts w:ascii="Arial Narrow" w:hAnsi="Arial Narrow"/>
                <w:sz w:val="20"/>
                <w:szCs w:val="20"/>
              </w:rPr>
              <w:t>studies/analysis</w:t>
            </w:r>
            <w:proofErr w:type="gramEnd"/>
            <w:r w:rsidRPr="00E211F9">
              <w:rPr>
                <w:rFonts w:ascii="Arial Narrow" w:hAnsi="Arial Narrow"/>
                <w:sz w:val="20"/>
                <w:szCs w:val="20"/>
              </w:rPr>
              <w:t xml:space="preserve"> conducted</w:t>
            </w:r>
          </w:p>
          <w:p w14:paraId="557B122B" w14:textId="16A551DD" w:rsidR="00614008" w:rsidRDefault="00614008" w:rsidP="00614008">
            <w:pPr>
              <w:pStyle w:val="ListParagraph"/>
              <w:numPr>
                <w:ilvl w:val="0"/>
                <w:numId w:val="9"/>
              </w:numPr>
              <w:suppressAutoHyphens w:val="0"/>
              <w:spacing w:before="0" w:after="0" w:line="240" w:lineRule="auto"/>
              <w:ind w:left="216" w:hanging="216"/>
              <w:contextualSpacing w:val="0"/>
            </w:pPr>
            <w:r w:rsidRPr="00E211F9">
              <w:rPr>
                <w:rFonts w:ascii="Arial Narrow" w:hAnsi="Arial Narrow"/>
                <w:sz w:val="20"/>
                <w:szCs w:val="20"/>
              </w:rPr>
              <w:t>Number of safeguard instruments</w:t>
            </w:r>
          </w:p>
        </w:tc>
      </w:tr>
    </w:tbl>
    <w:p w14:paraId="7A9A02AD" w14:textId="77777777" w:rsidR="00614008" w:rsidRPr="001D69EC" w:rsidRDefault="00614008" w:rsidP="00950816"/>
    <w:p w14:paraId="2B4279EC" w14:textId="47BAE849" w:rsidR="004E7A65" w:rsidRDefault="004E7A65">
      <w:pPr>
        <w:rPr>
          <w:rFonts w:cstheme="minorHAnsi"/>
          <w:b/>
          <w:bCs/>
        </w:rPr>
      </w:pPr>
      <w:r w:rsidRPr="00B14DF9">
        <w:rPr>
          <w:rFonts w:cstheme="minorHAnsi"/>
          <w:b/>
          <w:bCs/>
        </w:rPr>
        <w:t>Progress to Date</w:t>
      </w:r>
    </w:p>
    <w:tbl>
      <w:tblPr>
        <w:tblStyle w:val="TableGrid"/>
        <w:tblW w:w="142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38"/>
        <w:gridCol w:w="7825"/>
      </w:tblGrid>
      <w:tr w:rsidR="004E7A65" w:rsidRPr="00E211F9" w14:paraId="28C2B7F6" w14:textId="77777777" w:rsidTr="00614008">
        <w:trPr>
          <w:trHeight w:val="176"/>
          <w:tblHeader/>
        </w:trPr>
        <w:tc>
          <w:tcPr>
            <w:tcW w:w="6438" w:type="dxa"/>
            <w:shd w:val="clear" w:color="auto" w:fill="auto"/>
          </w:tcPr>
          <w:p w14:paraId="2F6A8BD3" w14:textId="77777777" w:rsidR="004E7A65" w:rsidRPr="00E211F9" w:rsidRDefault="004E7A65" w:rsidP="006C5D37">
            <w:pPr>
              <w:jc w:val="center"/>
              <w:rPr>
                <w:rFonts w:ascii="Arial Narrow" w:hAnsi="Arial Narrow" w:cstheme="minorHAnsi"/>
                <w:sz w:val="20"/>
                <w:szCs w:val="20"/>
              </w:rPr>
            </w:pPr>
            <w:r w:rsidRPr="00E211F9">
              <w:rPr>
                <w:rFonts w:ascii="Arial Narrow" w:hAnsi="Arial Narrow"/>
                <w:sz w:val="20"/>
                <w:szCs w:val="20"/>
              </w:rPr>
              <w:t xml:space="preserve">World Bank-Financed Projects Supported by </w:t>
            </w:r>
            <w:proofErr w:type="spellStart"/>
            <w:r>
              <w:rPr>
                <w:rFonts w:ascii="Arial Narrow" w:hAnsi="Arial Narrow"/>
                <w:sz w:val="20"/>
                <w:szCs w:val="20"/>
              </w:rPr>
              <w:t>AGaP</w:t>
            </w:r>
            <w:proofErr w:type="spellEnd"/>
          </w:p>
        </w:tc>
        <w:tc>
          <w:tcPr>
            <w:tcW w:w="7825" w:type="dxa"/>
            <w:shd w:val="clear" w:color="auto" w:fill="auto"/>
          </w:tcPr>
          <w:p w14:paraId="2582DF71" w14:textId="77777777" w:rsidR="004E7A65" w:rsidRPr="00E211F9" w:rsidRDefault="004E7A65" w:rsidP="006C5D37">
            <w:pPr>
              <w:jc w:val="center"/>
              <w:rPr>
                <w:rFonts w:ascii="Arial Narrow" w:hAnsi="Arial Narrow" w:cstheme="minorHAnsi"/>
                <w:sz w:val="20"/>
                <w:szCs w:val="20"/>
              </w:rPr>
            </w:pPr>
            <w:r w:rsidRPr="00E211F9">
              <w:rPr>
                <w:rFonts w:ascii="Arial Narrow" w:hAnsi="Arial Narrow"/>
                <w:sz w:val="20"/>
                <w:szCs w:val="20"/>
              </w:rPr>
              <w:t>Project Amount (US$)</w:t>
            </w:r>
          </w:p>
        </w:tc>
      </w:tr>
      <w:tr w:rsidR="004E7A65" w:rsidRPr="00E211F9" w14:paraId="20E6011F" w14:textId="77777777" w:rsidTr="00614008">
        <w:trPr>
          <w:trHeight w:val="331"/>
          <w:tblHeader/>
        </w:trPr>
        <w:tc>
          <w:tcPr>
            <w:tcW w:w="6438" w:type="dxa"/>
            <w:shd w:val="clear" w:color="auto" w:fill="auto"/>
          </w:tcPr>
          <w:p w14:paraId="51181DE6" w14:textId="77777777" w:rsidR="004E7A65" w:rsidRPr="00E211F9" w:rsidRDefault="004E7A65" w:rsidP="006C5D37">
            <w:pPr>
              <w:pStyle w:val="Header"/>
              <w:tabs>
                <w:tab w:val="clear" w:pos="4680"/>
                <w:tab w:val="clear" w:pos="9360"/>
              </w:tabs>
              <w:rPr>
                <w:rFonts w:ascii="Arial Narrow" w:hAnsi="Arial Narrow"/>
                <w:sz w:val="20"/>
                <w:szCs w:val="20"/>
              </w:rPr>
            </w:pPr>
            <w:r w:rsidRPr="00E211F9">
              <w:rPr>
                <w:rFonts w:ascii="Arial Narrow" w:hAnsi="Arial Narrow"/>
                <w:sz w:val="20"/>
                <w:szCs w:val="20"/>
              </w:rPr>
              <w:t xml:space="preserve">Promoting Competitiveness and Enhancing Resilience to Natural Disasters Development Policy Loan Series  </w:t>
            </w:r>
          </w:p>
        </w:tc>
        <w:tc>
          <w:tcPr>
            <w:tcW w:w="7825" w:type="dxa"/>
            <w:shd w:val="clear" w:color="auto" w:fill="auto"/>
          </w:tcPr>
          <w:p w14:paraId="253FEFFA" w14:textId="77777777" w:rsidR="004E7A65" w:rsidRPr="00E211F9" w:rsidRDefault="004E7A65" w:rsidP="006C5D37">
            <w:pPr>
              <w:jc w:val="center"/>
              <w:rPr>
                <w:rFonts w:ascii="Arial Narrow" w:hAnsi="Arial Narrow"/>
                <w:sz w:val="20"/>
                <w:szCs w:val="20"/>
              </w:rPr>
            </w:pPr>
            <w:r w:rsidRPr="00E211F9">
              <w:rPr>
                <w:rFonts w:ascii="Arial Narrow" w:hAnsi="Arial Narrow"/>
                <w:sz w:val="20"/>
                <w:szCs w:val="20"/>
              </w:rPr>
              <w:t>1.1 billion</w:t>
            </w:r>
          </w:p>
        </w:tc>
      </w:tr>
      <w:tr w:rsidR="004E7A65" w:rsidRPr="00E211F9" w14:paraId="2666886D" w14:textId="77777777" w:rsidTr="00614008">
        <w:trPr>
          <w:trHeight w:val="381"/>
          <w:tblHeader/>
        </w:trPr>
        <w:tc>
          <w:tcPr>
            <w:tcW w:w="6438" w:type="dxa"/>
            <w:shd w:val="clear" w:color="auto" w:fill="auto"/>
          </w:tcPr>
          <w:p w14:paraId="32C5B7B0" w14:textId="77777777" w:rsidR="004E7A65" w:rsidRPr="00E211F9" w:rsidRDefault="004E7A65" w:rsidP="006C5D37">
            <w:pPr>
              <w:pStyle w:val="Header"/>
              <w:tabs>
                <w:tab w:val="clear" w:pos="4680"/>
                <w:tab w:val="clear" w:pos="9360"/>
              </w:tabs>
              <w:rPr>
                <w:rFonts w:ascii="Arial Narrow" w:hAnsi="Arial Narrow"/>
                <w:sz w:val="20"/>
                <w:szCs w:val="20"/>
              </w:rPr>
            </w:pPr>
            <w:r w:rsidRPr="00E211F9">
              <w:rPr>
                <w:rFonts w:ascii="Arial Narrow" w:hAnsi="Arial Narrow"/>
                <w:sz w:val="20"/>
                <w:szCs w:val="20"/>
              </w:rPr>
              <w:t>Social Welfare and Development Reform Support Program</w:t>
            </w:r>
          </w:p>
        </w:tc>
        <w:tc>
          <w:tcPr>
            <w:tcW w:w="7825" w:type="dxa"/>
            <w:shd w:val="clear" w:color="auto" w:fill="auto"/>
          </w:tcPr>
          <w:p w14:paraId="6624A1F8" w14:textId="77777777" w:rsidR="004E7A65" w:rsidRPr="00E211F9" w:rsidRDefault="004E7A65" w:rsidP="006C5D37">
            <w:pPr>
              <w:jc w:val="center"/>
              <w:rPr>
                <w:rFonts w:ascii="Arial Narrow" w:hAnsi="Arial Narrow"/>
                <w:sz w:val="20"/>
                <w:szCs w:val="20"/>
              </w:rPr>
            </w:pPr>
            <w:r w:rsidRPr="00E211F9">
              <w:rPr>
                <w:rFonts w:ascii="Arial Narrow" w:hAnsi="Arial Narrow"/>
                <w:sz w:val="20"/>
                <w:szCs w:val="20"/>
              </w:rPr>
              <w:t>750 million</w:t>
            </w:r>
          </w:p>
        </w:tc>
      </w:tr>
      <w:tr w:rsidR="004E7A65" w:rsidRPr="00E211F9" w14:paraId="6DB4CC8B" w14:textId="77777777" w:rsidTr="00614008">
        <w:trPr>
          <w:trHeight w:val="176"/>
          <w:tblHeader/>
        </w:trPr>
        <w:tc>
          <w:tcPr>
            <w:tcW w:w="6438" w:type="dxa"/>
            <w:shd w:val="clear" w:color="auto" w:fill="auto"/>
          </w:tcPr>
          <w:p w14:paraId="468C9590" w14:textId="77777777" w:rsidR="004E7A65" w:rsidRPr="00E211F9" w:rsidRDefault="004E7A65" w:rsidP="006C5D37">
            <w:pPr>
              <w:pStyle w:val="Header"/>
              <w:tabs>
                <w:tab w:val="clear" w:pos="4680"/>
                <w:tab w:val="clear" w:pos="9360"/>
              </w:tabs>
              <w:rPr>
                <w:rFonts w:ascii="Arial Narrow" w:hAnsi="Arial Narrow"/>
                <w:sz w:val="20"/>
                <w:szCs w:val="20"/>
              </w:rPr>
            </w:pPr>
            <w:r w:rsidRPr="00E211F9">
              <w:rPr>
                <w:rFonts w:ascii="Arial Narrow" w:hAnsi="Arial Narrow"/>
                <w:sz w:val="20"/>
                <w:szCs w:val="20"/>
              </w:rPr>
              <w:t>Beneficiary FIRST Social Protection Project</w:t>
            </w:r>
          </w:p>
        </w:tc>
        <w:tc>
          <w:tcPr>
            <w:tcW w:w="7825" w:type="dxa"/>
            <w:shd w:val="clear" w:color="auto" w:fill="auto"/>
          </w:tcPr>
          <w:p w14:paraId="1A529898" w14:textId="77777777" w:rsidR="004E7A65" w:rsidRPr="00E211F9" w:rsidRDefault="004E7A65" w:rsidP="006C5D37">
            <w:pPr>
              <w:jc w:val="center"/>
              <w:rPr>
                <w:rFonts w:ascii="Arial Narrow" w:hAnsi="Arial Narrow"/>
                <w:sz w:val="20"/>
                <w:szCs w:val="20"/>
              </w:rPr>
            </w:pPr>
            <w:r w:rsidRPr="00E211F9">
              <w:rPr>
                <w:rFonts w:ascii="Arial Narrow" w:hAnsi="Arial Narrow"/>
                <w:sz w:val="20"/>
                <w:szCs w:val="20"/>
              </w:rPr>
              <w:t>600 million</w:t>
            </w:r>
          </w:p>
        </w:tc>
      </w:tr>
      <w:tr w:rsidR="004E7A65" w:rsidRPr="00E211F9" w14:paraId="38E0BEE7" w14:textId="77777777" w:rsidTr="00614008">
        <w:trPr>
          <w:trHeight w:val="344"/>
          <w:tblHeader/>
        </w:trPr>
        <w:tc>
          <w:tcPr>
            <w:tcW w:w="6438" w:type="dxa"/>
            <w:tcBorders>
              <w:bottom w:val="single" w:sz="2" w:space="0" w:color="auto"/>
            </w:tcBorders>
            <w:shd w:val="clear" w:color="auto" w:fill="auto"/>
          </w:tcPr>
          <w:p w14:paraId="4C17DBB8" w14:textId="77777777" w:rsidR="004E7A65" w:rsidRPr="00E211F9" w:rsidRDefault="004E7A65" w:rsidP="006C5D37">
            <w:pPr>
              <w:pStyle w:val="Header"/>
              <w:tabs>
                <w:tab w:val="clear" w:pos="4680"/>
                <w:tab w:val="clear" w:pos="9360"/>
              </w:tabs>
              <w:rPr>
                <w:rFonts w:ascii="Arial Narrow" w:hAnsi="Arial Narrow"/>
                <w:sz w:val="20"/>
                <w:szCs w:val="20"/>
              </w:rPr>
            </w:pPr>
            <w:r w:rsidRPr="00E211F9">
              <w:rPr>
                <w:rFonts w:ascii="Arial Narrow" w:hAnsi="Arial Narrow"/>
                <w:sz w:val="20"/>
                <w:szCs w:val="20"/>
              </w:rPr>
              <w:t>Philippines COVID-19 Emergency Response Project</w:t>
            </w:r>
          </w:p>
        </w:tc>
        <w:tc>
          <w:tcPr>
            <w:tcW w:w="7825" w:type="dxa"/>
            <w:tcBorders>
              <w:bottom w:val="single" w:sz="2" w:space="0" w:color="auto"/>
            </w:tcBorders>
            <w:shd w:val="clear" w:color="auto" w:fill="auto"/>
          </w:tcPr>
          <w:p w14:paraId="4A54F8FC" w14:textId="77777777" w:rsidR="004E7A65" w:rsidRPr="00E211F9" w:rsidRDefault="004E7A65" w:rsidP="006C5D37">
            <w:pPr>
              <w:jc w:val="center"/>
              <w:rPr>
                <w:rFonts w:ascii="Arial Narrow" w:hAnsi="Arial Narrow"/>
                <w:sz w:val="20"/>
                <w:szCs w:val="20"/>
              </w:rPr>
            </w:pPr>
            <w:r w:rsidRPr="00E211F9">
              <w:rPr>
                <w:rFonts w:ascii="Arial Narrow" w:hAnsi="Arial Narrow"/>
                <w:sz w:val="20"/>
                <w:szCs w:val="20"/>
              </w:rPr>
              <w:t>500 million</w:t>
            </w:r>
          </w:p>
        </w:tc>
      </w:tr>
    </w:tbl>
    <w:p w14:paraId="5546CC05" w14:textId="77777777" w:rsidR="004E7A65" w:rsidRDefault="004E7A65">
      <w:pPr>
        <w:rPr>
          <w:rFonts w:cstheme="minorHAnsi"/>
          <w:b/>
          <w:bCs/>
        </w:rPr>
      </w:pPr>
    </w:p>
    <w:p w14:paraId="0620FCA3" w14:textId="04C2F825" w:rsidR="00D32E6E" w:rsidRDefault="00D32E6E">
      <w:pPr>
        <w:rPr>
          <w:rFonts w:cstheme="minorHAnsi"/>
          <w:b/>
          <w:bCs/>
        </w:rPr>
      </w:pPr>
      <w:r w:rsidRPr="00B14DF9">
        <w:rPr>
          <w:rFonts w:cstheme="minorHAnsi"/>
          <w:b/>
          <w:bCs/>
        </w:rPr>
        <w:t xml:space="preserve">OUTCOME </w:t>
      </w:r>
      <w:r>
        <w:rPr>
          <w:rFonts w:cstheme="minorHAnsi"/>
          <w:b/>
          <w:bCs/>
        </w:rPr>
        <w:t>2</w:t>
      </w:r>
      <w:r w:rsidRPr="00B14DF9">
        <w:rPr>
          <w:rFonts w:cstheme="minorHAnsi"/>
          <w:b/>
          <w:bCs/>
        </w:rPr>
        <w:t xml:space="preserve">: </w:t>
      </w:r>
      <w:r>
        <w:rPr>
          <w:rFonts w:cstheme="minorHAnsi"/>
          <w:b/>
          <w:bCs/>
        </w:rPr>
        <w:t>POLICY REFORM AND DIALOGUE</w:t>
      </w:r>
    </w:p>
    <w:p w14:paraId="2516B643" w14:textId="735AFDAE" w:rsidR="00614008" w:rsidRDefault="00614008">
      <w:pPr>
        <w:rPr>
          <w:rFonts w:cstheme="minorHAnsi"/>
          <w:b/>
          <w:bCs/>
        </w:rPr>
      </w:pPr>
      <w:r>
        <w:rPr>
          <w:rFonts w:cstheme="minorHAnsi"/>
          <w:b/>
          <w:bCs/>
        </w:rPr>
        <w:t>Monitoring level</w:t>
      </w:r>
    </w:p>
    <w:p w14:paraId="600A4A00" w14:textId="5D76C9BF" w:rsidR="00614008" w:rsidRDefault="00614008" w:rsidP="00614008">
      <w:pPr>
        <w:rPr>
          <w:rFonts w:ascii="Arial Narrow" w:hAnsi="Arial Narrow"/>
          <w:sz w:val="20"/>
          <w:szCs w:val="20"/>
        </w:rPr>
      </w:pPr>
      <w:r w:rsidRPr="00E211F9">
        <w:rPr>
          <w:rFonts w:ascii="Arial Narrow" w:hAnsi="Arial Narrow"/>
          <w:sz w:val="20"/>
          <w:szCs w:val="20"/>
        </w:rPr>
        <w:t>GOP capacities on evidence-based and inclusive policy development and formulation improved</w:t>
      </w:r>
      <w:r>
        <w:rPr>
          <w:rFonts w:ascii="Arial Narrow" w:hAnsi="Arial Narrow"/>
          <w:sz w:val="20"/>
          <w:szCs w:val="20"/>
        </w:rPr>
        <w:t>.</w:t>
      </w:r>
      <w:r w:rsidRPr="00E211F9">
        <w:rPr>
          <w:rFonts w:ascii="Arial Narrow" w:hAnsi="Arial Narrow"/>
          <w:sz w:val="20"/>
          <w:szCs w:val="20"/>
        </w:rPr>
        <w:t xml:space="preserve"> </w:t>
      </w:r>
    </w:p>
    <w:p w14:paraId="271B1508" w14:textId="31268712" w:rsidR="00614008" w:rsidRDefault="00614008" w:rsidP="00614008">
      <w:pPr>
        <w:rPr>
          <w:rFonts w:ascii="Arial Narrow" w:hAnsi="Arial Narrow"/>
          <w:sz w:val="20"/>
          <w:szCs w:val="20"/>
        </w:rPr>
      </w:pPr>
      <w:r w:rsidRPr="00E211F9">
        <w:rPr>
          <w:rFonts w:ascii="Arial Narrow" w:hAnsi="Arial Narrow"/>
          <w:sz w:val="20"/>
          <w:szCs w:val="20"/>
        </w:rPr>
        <w:t>OUTPUT: Government capacity development projects and technical assistance on relevant policies and programs implemented</w:t>
      </w:r>
    </w:p>
    <w:p w14:paraId="2E18797C" w14:textId="0745FF68" w:rsidR="00614008" w:rsidRPr="00614008" w:rsidRDefault="00614008" w:rsidP="00614008">
      <w:pPr>
        <w:rPr>
          <w:b/>
          <w:bCs/>
        </w:rPr>
      </w:pPr>
      <w:r w:rsidRPr="00614008">
        <w:rPr>
          <w:b/>
          <w:bCs/>
        </w:rPr>
        <w:t>KPI</w:t>
      </w:r>
    </w:p>
    <w:p w14:paraId="60E2C1F8" w14:textId="77777777" w:rsidR="00614008" w:rsidRPr="00E211F9" w:rsidRDefault="00614008" w:rsidP="00614008">
      <w:pPr>
        <w:rPr>
          <w:rFonts w:ascii="Arial Narrow" w:hAnsi="Arial Narrow"/>
          <w:sz w:val="20"/>
          <w:szCs w:val="20"/>
        </w:rPr>
      </w:pPr>
      <w:r w:rsidRPr="00E211F9">
        <w:rPr>
          <w:rFonts w:ascii="Arial Narrow" w:hAnsi="Arial Narrow"/>
          <w:sz w:val="20"/>
          <w:szCs w:val="20"/>
        </w:rPr>
        <w:t xml:space="preserve">Increased utilization of research results and empirical data by relevant government agencies in policy development </w:t>
      </w:r>
    </w:p>
    <w:p w14:paraId="76383DC7" w14:textId="77777777" w:rsidR="00614008" w:rsidRPr="00E211F9" w:rsidRDefault="00614008" w:rsidP="00614008">
      <w:pPr>
        <w:pStyle w:val="ListParagraph"/>
        <w:numPr>
          <w:ilvl w:val="0"/>
          <w:numId w:val="9"/>
        </w:numPr>
        <w:suppressAutoHyphens w:val="0"/>
        <w:spacing w:before="0" w:after="0" w:line="240" w:lineRule="auto"/>
        <w:contextualSpacing w:val="0"/>
        <w:rPr>
          <w:rFonts w:ascii="Arial Narrow" w:hAnsi="Arial Narrow"/>
          <w:sz w:val="20"/>
          <w:szCs w:val="20"/>
        </w:rPr>
      </w:pPr>
      <w:r w:rsidRPr="00E211F9">
        <w:rPr>
          <w:rFonts w:ascii="Arial Narrow" w:hAnsi="Arial Narrow"/>
          <w:sz w:val="20"/>
          <w:szCs w:val="20"/>
        </w:rPr>
        <w:t xml:space="preserve">Number of advisory services and analytics reports completed </w:t>
      </w:r>
    </w:p>
    <w:p w14:paraId="66A6F0B4" w14:textId="77777777" w:rsidR="00614008" w:rsidRPr="00E211F9" w:rsidRDefault="00614008" w:rsidP="00614008">
      <w:pPr>
        <w:pStyle w:val="ListParagraph"/>
        <w:numPr>
          <w:ilvl w:val="0"/>
          <w:numId w:val="9"/>
        </w:numPr>
        <w:suppressAutoHyphens w:val="0"/>
        <w:spacing w:before="0" w:after="0" w:line="240" w:lineRule="auto"/>
        <w:contextualSpacing w:val="0"/>
        <w:rPr>
          <w:rFonts w:ascii="Arial Narrow" w:hAnsi="Arial Narrow"/>
          <w:sz w:val="20"/>
          <w:szCs w:val="20"/>
        </w:rPr>
      </w:pPr>
      <w:r w:rsidRPr="00E211F9">
        <w:rPr>
          <w:rFonts w:ascii="Arial Narrow" w:hAnsi="Arial Narrow"/>
          <w:sz w:val="20"/>
          <w:szCs w:val="20"/>
        </w:rPr>
        <w:t xml:space="preserve">Number of reports on options, trade-offs for government programs, policy reforms completed </w:t>
      </w:r>
    </w:p>
    <w:p w14:paraId="30D125B4" w14:textId="77777777" w:rsidR="00614008" w:rsidRPr="00614008" w:rsidRDefault="00614008" w:rsidP="004E0CFF">
      <w:pPr>
        <w:pStyle w:val="ListParagraph"/>
        <w:numPr>
          <w:ilvl w:val="0"/>
          <w:numId w:val="9"/>
        </w:numPr>
        <w:suppressAutoHyphens w:val="0"/>
        <w:spacing w:before="0" w:after="0" w:line="240" w:lineRule="auto"/>
        <w:contextualSpacing w:val="0"/>
      </w:pPr>
      <w:r w:rsidRPr="00614008">
        <w:rPr>
          <w:rFonts w:ascii="Arial Narrow" w:hAnsi="Arial Narrow"/>
          <w:sz w:val="20"/>
          <w:szCs w:val="20"/>
        </w:rPr>
        <w:t xml:space="preserve">Number of “How to Notes” for implementation supported </w:t>
      </w:r>
    </w:p>
    <w:p w14:paraId="2363E1EB" w14:textId="62A04102" w:rsidR="00614008" w:rsidRPr="00614008" w:rsidRDefault="00614008" w:rsidP="004E0CFF">
      <w:pPr>
        <w:pStyle w:val="ListParagraph"/>
        <w:numPr>
          <w:ilvl w:val="0"/>
          <w:numId w:val="9"/>
        </w:numPr>
        <w:suppressAutoHyphens w:val="0"/>
        <w:spacing w:before="0" w:after="0" w:line="240" w:lineRule="auto"/>
        <w:contextualSpacing w:val="0"/>
      </w:pPr>
      <w:r w:rsidRPr="00614008">
        <w:rPr>
          <w:rFonts w:ascii="Arial Narrow" w:hAnsi="Arial Narrow"/>
          <w:sz w:val="20"/>
          <w:szCs w:val="20"/>
        </w:rPr>
        <w:t>Number of inputs to IRRs of government policies/legislations provided</w:t>
      </w:r>
    </w:p>
    <w:p w14:paraId="38EAC2AB" w14:textId="45DEFD5A" w:rsidR="00614008" w:rsidRDefault="00614008" w:rsidP="00614008">
      <w:pPr>
        <w:spacing w:before="0"/>
        <w:rPr>
          <w:b/>
          <w:bCs/>
        </w:rPr>
      </w:pPr>
      <w:r>
        <w:lastRenderedPageBreak/>
        <w:br/>
      </w:r>
      <w:r w:rsidRPr="00614008">
        <w:rPr>
          <w:b/>
          <w:bCs/>
        </w:rPr>
        <w:t>Progress to date</w:t>
      </w:r>
    </w:p>
    <w:tbl>
      <w:tblPr>
        <w:tblStyle w:val="TableGrid"/>
        <w:tblW w:w="139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80"/>
        <w:gridCol w:w="7633"/>
      </w:tblGrid>
      <w:tr w:rsidR="00614008" w:rsidRPr="00E211F9" w14:paraId="12AB6D7F" w14:textId="77777777" w:rsidTr="00614008">
        <w:trPr>
          <w:trHeight w:val="25"/>
          <w:tblHeader/>
        </w:trPr>
        <w:tc>
          <w:tcPr>
            <w:tcW w:w="6280" w:type="dxa"/>
            <w:shd w:val="clear" w:color="auto" w:fill="F2F2F2" w:themeFill="background1" w:themeFillShade="F2"/>
            <w:vAlign w:val="center"/>
          </w:tcPr>
          <w:p w14:paraId="079F518F" w14:textId="77777777" w:rsidR="00614008" w:rsidRPr="00E211F9" w:rsidRDefault="00614008" w:rsidP="00424EA9">
            <w:pPr>
              <w:pStyle w:val="Header"/>
              <w:tabs>
                <w:tab w:val="clear" w:pos="4680"/>
                <w:tab w:val="clear" w:pos="9360"/>
              </w:tabs>
              <w:jc w:val="center"/>
              <w:rPr>
                <w:rFonts w:ascii="Arial Narrow" w:hAnsi="Arial Narrow"/>
                <w:sz w:val="20"/>
                <w:szCs w:val="20"/>
              </w:rPr>
            </w:pPr>
            <w:proofErr w:type="spellStart"/>
            <w:r>
              <w:rPr>
                <w:rFonts w:ascii="Arial Narrow" w:hAnsi="Arial Narrow"/>
                <w:sz w:val="20"/>
                <w:szCs w:val="20"/>
              </w:rPr>
              <w:t>AGaP</w:t>
            </w:r>
            <w:proofErr w:type="spellEnd"/>
            <w:r w:rsidRPr="00E211F9">
              <w:rPr>
                <w:rFonts w:ascii="Arial Narrow" w:hAnsi="Arial Narrow"/>
                <w:sz w:val="20"/>
                <w:szCs w:val="20"/>
              </w:rPr>
              <w:t xml:space="preserve"> Grant</w:t>
            </w:r>
          </w:p>
        </w:tc>
        <w:tc>
          <w:tcPr>
            <w:tcW w:w="7633" w:type="dxa"/>
            <w:shd w:val="clear" w:color="auto" w:fill="F2F2F2" w:themeFill="background1" w:themeFillShade="F2"/>
            <w:vAlign w:val="center"/>
          </w:tcPr>
          <w:p w14:paraId="06089792" w14:textId="77777777" w:rsidR="00614008" w:rsidRPr="00E211F9" w:rsidRDefault="00614008" w:rsidP="00424EA9">
            <w:pPr>
              <w:pStyle w:val="NoSpacing"/>
              <w:jc w:val="center"/>
              <w:rPr>
                <w:rFonts w:ascii="Arial Narrow" w:hAnsi="Arial Narrow"/>
                <w:szCs w:val="20"/>
              </w:rPr>
            </w:pPr>
            <w:r w:rsidRPr="00E211F9">
              <w:rPr>
                <w:rFonts w:ascii="Arial Narrow" w:hAnsi="Arial Narrow"/>
                <w:szCs w:val="20"/>
              </w:rPr>
              <w:t>No. of analytical reports, advisory services, guidance notes produced</w:t>
            </w:r>
          </w:p>
        </w:tc>
      </w:tr>
      <w:tr w:rsidR="00614008" w:rsidRPr="00E211F9" w14:paraId="636513B4" w14:textId="77777777" w:rsidTr="00614008">
        <w:trPr>
          <w:trHeight w:val="174"/>
          <w:tblHeader/>
        </w:trPr>
        <w:tc>
          <w:tcPr>
            <w:tcW w:w="6280" w:type="dxa"/>
            <w:shd w:val="clear" w:color="auto" w:fill="F2F2F2" w:themeFill="background1" w:themeFillShade="F2"/>
            <w:vAlign w:val="center"/>
          </w:tcPr>
          <w:p w14:paraId="5594501E" w14:textId="77777777" w:rsidR="00614008" w:rsidRPr="00E211F9" w:rsidRDefault="00614008" w:rsidP="00424EA9">
            <w:pPr>
              <w:pStyle w:val="Header"/>
              <w:tabs>
                <w:tab w:val="clear" w:pos="4680"/>
                <w:tab w:val="clear" w:pos="9360"/>
              </w:tabs>
              <w:rPr>
                <w:rFonts w:ascii="Arial Narrow" w:hAnsi="Arial Narrow"/>
                <w:sz w:val="20"/>
                <w:szCs w:val="20"/>
              </w:rPr>
            </w:pPr>
            <w:r w:rsidRPr="00E211F9">
              <w:rPr>
                <w:rFonts w:ascii="Arial Narrow" w:hAnsi="Arial Narrow"/>
                <w:sz w:val="20"/>
                <w:szCs w:val="20"/>
              </w:rPr>
              <w:t xml:space="preserve">Technical Assistance for DPL Reforms </w:t>
            </w:r>
          </w:p>
        </w:tc>
        <w:tc>
          <w:tcPr>
            <w:tcW w:w="7633" w:type="dxa"/>
            <w:shd w:val="clear" w:color="auto" w:fill="F2F2F2" w:themeFill="background1" w:themeFillShade="F2"/>
            <w:vAlign w:val="center"/>
          </w:tcPr>
          <w:p w14:paraId="35D26478" w14:textId="77777777" w:rsidR="00614008" w:rsidRPr="00E211F9" w:rsidRDefault="00614008" w:rsidP="00424EA9">
            <w:pPr>
              <w:jc w:val="center"/>
              <w:rPr>
                <w:rFonts w:ascii="Arial Narrow" w:hAnsi="Arial Narrow"/>
                <w:sz w:val="20"/>
                <w:szCs w:val="20"/>
              </w:rPr>
            </w:pPr>
            <w:r w:rsidRPr="00E211F9">
              <w:rPr>
                <w:rFonts w:ascii="Arial Narrow" w:hAnsi="Arial Narrow"/>
                <w:sz w:val="20"/>
                <w:szCs w:val="20"/>
              </w:rPr>
              <w:t>4</w:t>
            </w:r>
          </w:p>
        </w:tc>
      </w:tr>
      <w:tr w:rsidR="00614008" w:rsidRPr="00E211F9" w14:paraId="6D8FE7F7" w14:textId="77777777" w:rsidTr="00614008">
        <w:trPr>
          <w:trHeight w:val="424"/>
          <w:tblHeader/>
        </w:trPr>
        <w:tc>
          <w:tcPr>
            <w:tcW w:w="6280" w:type="dxa"/>
            <w:shd w:val="clear" w:color="auto" w:fill="F2F2F2" w:themeFill="background1" w:themeFillShade="F2"/>
            <w:vAlign w:val="center"/>
          </w:tcPr>
          <w:p w14:paraId="37B1BE80" w14:textId="77777777" w:rsidR="00614008" w:rsidRPr="00E211F9" w:rsidRDefault="00614008" w:rsidP="00424EA9">
            <w:pPr>
              <w:pStyle w:val="Header"/>
              <w:tabs>
                <w:tab w:val="clear" w:pos="4680"/>
                <w:tab w:val="clear" w:pos="9360"/>
              </w:tabs>
              <w:rPr>
                <w:rFonts w:ascii="Arial Narrow" w:hAnsi="Arial Narrow"/>
                <w:sz w:val="20"/>
                <w:szCs w:val="20"/>
              </w:rPr>
            </w:pPr>
            <w:r w:rsidRPr="00E211F9">
              <w:rPr>
                <w:rFonts w:ascii="Arial Narrow" w:hAnsi="Arial Narrow"/>
                <w:sz w:val="20"/>
                <w:szCs w:val="20"/>
              </w:rPr>
              <w:t xml:space="preserve">Strengthening Support for the </w:t>
            </w:r>
            <w:proofErr w:type="spellStart"/>
            <w:r w:rsidRPr="00E211F9">
              <w:rPr>
                <w:rFonts w:ascii="Arial Narrow" w:hAnsi="Arial Narrow"/>
                <w:sz w:val="20"/>
                <w:szCs w:val="20"/>
              </w:rPr>
              <w:t>Pantawid</w:t>
            </w:r>
            <w:proofErr w:type="spellEnd"/>
            <w:r w:rsidRPr="00E211F9">
              <w:rPr>
                <w:rFonts w:ascii="Arial Narrow" w:hAnsi="Arial Narrow"/>
                <w:sz w:val="20"/>
                <w:szCs w:val="20"/>
              </w:rPr>
              <w:t xml:space="preserve"> Program</w:t>
            </w:r>
          </w:p>
        </w:tc>
        <w:tc>
          <w:tcPr>
            <w:tcW w:w="7633" w:type="dxa"/>
            <w:shd w:val="clear" w:color="auto" w:fill="F2F2F2" w:themeFill="background1" w:themeFillShade="F2"/>
            <w:vAlign w:val="center"/>
          </w:tcPr>
          <w:p w14:paraId="38E613BC" w14:textId="77777777" w:rsidR="00614008" w:rsidRPr="00E211F9" w:rsidRDefault="00614008" w:rsidP="00424EA9">
            <w:pPr>
              <w:jc w:val="center"/>
              <w:rPr>
                <w:rFonts w:ascii="Arial Narrow" w:hAnsi="Arial Narrow"/>
                <w:sz w:val="20"/>
                <w:szCs w:val="20"/>
              </w:rPr>
            </w:pPr>
            <w:r w:rsidRPr="00E211F9">
              <w:rPr>
                <w:rFonts w:ascii="Arial Narrow" w:hAnsi="Arial Narrow"/>
                <w:sz w:val="20"/>
                <w:szCs w:val="20"/>
              </w:rPr>
              <w:t>3</w:t>
            </w:r>
          </w:p>
        </w:tc>
      </w:tr>
      <w:tr w:rsidR="00614008" w:rsidRPr="00E211F9" w14:paraId="1F8A772A" w14:textId="77777777" w:rsidTr="00614008">
        <w:trPr>
          <w:trHeight w:val="424"/>
          <w:tblHeader/>
        </w:trPr>
        <w:tc>
          <w:tcPr>
            <w:tcW w:w="6280" w:type="dxa"/>
            <w:shd w:val="clear" w:color="auto" w:fill="F2F2F2" w:themeFill="background1" w:themeFillShade="F2"/>
            <w:vAlign w:val="center"/>
          </w:tcPr>
          <w:p w14:paraId="44C2D24F" w14:textId="77777777" w:rsidR="00614008" w:rsidRPr="00E211F9" w:rsidRDefault="00614008" w:rsidP="00424EA9">
            <w:pPr>
              <w:pStyle w:val="Header"/>
              <w:tabs>
                <w:tab w:val="clear" w:pos="4680"/>
                <w:tab w:val="clear" w:pos="9360"/>
              </w:tabs>
              <w:rPr>
                <w:rFonts w:ascii="Arial Narrow" w:hAnsi="Arial Narrow"/>
                <w:sz w:val="20"/>
                <w:szCs w:val="20"/>
              </w:rPr>
            </w:pPr>
            <w:r w:rsidRPr="00E211F9">
              <w:rPr>
                <w:rFonts w:ascii="Arial Narrow" w:hAnsi="Arial Narrow"/>
                <w:sz w:val="20"/>
                <w:szCs w:val="20"/>
              </w:rPr>
              <w:t>Supporting Subnational Finance and Decentralization</w:t>
            </w:r>
          </w:p>
        </w:tc>
        <w:tc>
          <w:tcPr>
            <w:tcW w:w="7633" w:type="dxa"/>
            <w:shd w:val="clear" w:color="auto" w:fill="F2F2F2" w:themeFill="background1" w:themeFillShade="F2"/>
            <w:vAlign w:val="center"/>
          </w:tcPr>
          <w:p w14:paraId="010B09FA" w14:textId="77777777" w:rsidR="00614008" w:rsidRPr="00E211F9" w:rsidRDefault="00614008" w:rsidP="00424EA9">
            <w:pPr>
              <w:jc w:val="center"/>
              <w:rPr>
                <w:rFonts w:ascii="Arial Narrow" w:hAnsi="Arial Narrow"/>
                <w:sz w:val="20"/>
                <w:szCs w:val="20"/>
              </w:rPr>
            </w:pPr>
            <w:r w:rsidRPr="00E211F9">
              <w:rPr>
                <w:rFonts w:ascii="Arial Narrow" w:hAnsi="Arial Narrow"/>
                <w:sz w:val="20"/>
                <w:szCs w:val="20"/>
              </w:rPr>
              <w:t>3</w:t>
            </w:r>
          </w:p>
        </w:tc>
      </w:tr>
      <w:tr w:rsidR="00614008" w:rsidRPr="00E211F9" w14:paraId="427EE986" w14:textId="77777777" w:rsidTr="00614008">
        <w:trPr>
          <w:trHeight w:val="187"/>
          <w:tblHeader/>
        </w:trPr>
        <w:tc>
          <w:tcPr>
            <w:tcW w:w="6280" w:type="dxa"/>
            <w:shd w:val="clear" w:color="auto" w:fill="F2F2F2" w:themeFill="background1" w:themeFillShade="F2"/>
            <w:vAlign w:val="center"/>
          </w:tcPr>
          <w:p w14:paraId="1E0A5AB5" w14:textId="77777777" w:rsidR="00614008" w:rsidRPr="00E211F9" w:rsidRDefault="00614008" w:rsidP="00424EA9">
            <w:pPr>
              <w:pStyle w:val="Header"/>
              <w:tabs>
                <w:tab w:val="clear" w:pos="4680"/>
                <w:tab w:val="clear" w:pos="9360"/>
              </w:tabs>
              <w:rPr>
                <w:rFonts w:ascii="Arial Narrow" w:hAnsi="Arial Narrow"/>
                <w:sz w:val="20"/>
                <w:szCs w:val="20"/>
              </w:rPr>
            </w:pPr>
            <w:r w:rsidRPr="00E211F9">
              <w:rPr>
                <w:rFonts w:ascii="Arial Narrow" w:hAnsi="Arial Narrow"/>
                <w:sz w:val="20"/>
                <w:szCs w:val="20"/>
              </w:rPr>
              <w:t>Women’s Economic Empowerment</w:t>
            </w:r>
          </w:p>
        </w:tc>
        <w:tc>
          <w:tcPr>
            <w:tcW w:w="7633" w:type="dxa"/>
            <w:shd w:val="clear" w:color="auto" w:fill="F2F2F2" w:themeFill="background1" w:themeFillShade="F2"/>
            <w:vAlign w:val="center"/>
          </w:tcPr>
          <w:p w14:paraId="0E468592" w14:textId="77777777" w:rsidR="00614008" w:rsidRPr="00E211F9" w:rsidRDefault="00614008" w:rsidP="00424EA9">
            <w:pPr>
              <w:jc w:val="center"/>
              <w:rPr>
                <w:rFonts w:ascii="Arial Narrow" w:hAnsi="Arial Narrow"/>
                <w:sz w:val="20"/>
                <w:szCs w:val="20"/>
              </w:rPr>
            </w:pPr>
            <w:r w:rsidRPr="00E211F9">
              <w:rPr>
                <w:rFonts w:ascii="Arial Narrow" w:hAnsi="Arial Narrow"/>
                <w:sz w:val="20"/>
                <w:szCs w:val="20"/>
              </w:rPr>
              <w:t>1</w:t>
            </w:r>
          </w:p>
        </w:tc>
      </w:tr>
      <w:tr w:rsidR="00614008" w:rsidRPr="00E211F9" w14:paraId="12342A18" w14:textId="77777777" w:rsidTr="00614008">
        <w:trPr>
          <w:trHeight w:val="265"/>
          <w:tblHeader/>
        </w:trPr>
        <w:tc>
          <w:tcPr>
            <w:tcW w:w="6280" w:type="dxa"/>
            <w:shd w:val="clear" w:color="auto" w:fill="F2F2F2" w:themeFill="background1" w:themeFillShade="F2"/>
            <w:vAlign w:val="center"/>
          </w:tcPr>
          <w:p w14:paraId="19D193B5" w14:textId="77777777" w:rsidR="00614008" w:rsidRPr="00E211F9" w:rsidRDefault="00614008" w:rsidP="00424EA9">
            <w:pPr>
              <w:pStyle w:val="Header"/>
              <w:tabs>
                <w:tab w:val="clear" w:pos="4680"/>
                <w:tab w:val="clear" w:pos="9360"/>
              </w:tabs>
              <w:rPr>
                <w:rFonts w:ascii="Arial Narrow" w:hAnsi="Arial Narrow"/>
                <w:sz w:val="20"/>
                <w:szCs w:val="20"/>
              </w:rPr>
            </w:pPr>
            <w:r w:rsidRPr="00E211F9">
              <w:rPr>
                <w:rFonts w:ascii="Arial Narrow" w:hAnsi="Arial Narrow"/>
                <w:sz w:val="20"/>
                <w:szCs w:val="20"/>
              </w:rPr>
              <w:t>Real Time Monitoring of COVID-19 Impacts in the Philippines</w:t>
            </w:r>
          </w:p>
        </w:tc>
        <w:tc>
          <w:tcPr>
            <w:tcW w:w="7633" w:type="dxa"/>
            <w:shd w:val="clear" w:color="auto" w:fill="F2F2F2" w:themeFill="background1" w:themeFillShade="F2"/>
            <w:vAlign w:val="center"/>
          </w:tcPr>
          <w:p w14:paraId="181C56A1" w14:textId="77777777" w:rsidR="00614008" w:rsidRPr="00E211F9" w:rsidRDefault="00614008" w:rsidP="00424EA9">
            <w:pPr>
              <w:jc w:val="center"/>
              <w:rPr>
                <w:rFonts w:ascii="Arial Narrow" w:hAnsi="Arial Narrow"/>
                <w:sz w:val="20"/>
                <w:szCs w:val="20"/>
              </w:rPr>
            </w:pPr>
            <w:r w:rsidRPr="00E211F9">
              <w:rPr>
                <w:rFonts w:ascii="Arial Narrow" w:hAnsi="Arial Narrow"/>
                <w:sz w:val="20"/>
                <w:szCs w:val="20"/>
              </w:rPr>
              <w:t>5</w:t>
            </w:r>
          </w:p>
        </w:tc>
      </w:tr>
      <w:tr w:rsidR="00614008" w:rsidRPr="00E211F9" w14:paraId="67CC6ECA" w14:textId="77777777" w:rsidTr="00614008">
        <w:trPr>
          <w:trHeight w:val="250"/>
          <w:tblHeader/>
        </w:trPr>
        <w:tc>
          <w:tcPr>
            <w:tcW w:w="6280" w:type="dxa"/>
            <w:tcBorders>
              <w:bottom w:val="single" w:sz="2" w:space="0" w:color="auto"/>
            </w:tcBorders>
            <w:shd w:val="clear" w:color="auto" w:fill="F2F2F2" w:themeFill="background1" w:themeFillShade="F2"/>
            <w:vAlign w:val="center"/>
          </w:tcPr>
          <w:p w14:paraId="763F98C2" w14:textId="77777777" w:rsidR="00614008" w:rsidRPr="00E211F9" w:rsidRDefault="00614008" w:rsidP="00424EA9">
            <w:pPr>
              <w:pStyle w:val="Header"/>
              <w:tabs>
                <w:tab w:val="clear" w:pos="4680"/>
                <w:tab w:val="clear" w:pos="9360"/>
              </w:tabs>
              <w:rPr>
                <w:rFonts w:ascii="Arial Narrow" w:hAnsi="Arial Narrow"/>
                <w:sz w:val="20"/>
                <w:szCs w:val="20"/>
              </w:rPr>
            </w:pPr>
            <w:r w:rsidRPr="00E211F9">
              <w:rPr>
                <w:rFonts w:ascii="Arial Narrow" w:hAnsi="Arial Narrow"/>
                <w:sz w:val="20"/>
                <w:szCs w:val="20"/>
              </w:rPr>
              <w:t>Strengthening Implementation Support for Health COVID Response</w:t>
            </w:r>
          </w:p>
        </w:tc>
        <w:tc>
          <w:tcPr>
            <w:tcW w:w="7633" w:type="dxa"/>
            <w:shd w:val="clear" w:color="auto" w:fill="F2F2F2" w:themeFill="background1" w:themeFillShade="F2"/>
            <w:vAlign w:val="center"/>
          </w:tcPr>
          <w:p w14:paraId="00D4339B" w14:textId="77777777" w:rsidR="00614008" w:rsidRPr="00E211F9" w:rsidRDefault="00614008" w:rsidP="00424EA9">
            <w:pPr>
              <w:jc w:val="center"/>
              <w:rPr>
                <w:rFonts w:ascii="Arial Narrow" w:hAnsi="Arial Narrow"/>
                <w:sz w:val="20"/>
                <w:szCs w:val="20"/>
              </w:rPr>
            </w:pPr>
            <w:r w:rsidRPr="00E211F9">
              <w:rPr>
                <w:rFonts w:ascii="Arial Narrow" w:hAnsi="Arial Narrow"/>
                <w:sz w:val="20"/>
                <w:szCs w:val="20"/>
              </w:rPr>
              <w:t>8</w:t>
            </w:r>
          </w:p>
        </w:tc>
      </w:tr>
      <w:tr w:rsidR="00614008" w:rsidRPr="00E211F9" w14:paraId="3FF24785" w14:textId="77777777" w:rsidTr="00614008">
        <w:trPr>
          <w:trHeight w:val="180"/>
          <w:tblHeader/>
        </w:trPr>
        <w:tc>
          <w:tcPr>
            <w:tcW w:w="6280" w:type="dxa"/>
            <w:tcBorders>
              <w:bottom w:val="single" w:sz="2" w:space="0" w:color="auto"/>
            </w:tcBorders>
            <w:shd w:val="clear" w:color="auto" w:fill="F2F2F2" w:themeFill="background1" w:themeFillShade="F2"/>
            <w:vAlign w:val="center"/>
          </w:tcPr>
          <w:p w14:paraId="28C31F0A" w14:textId="77777777" w:rsidR="00614008" w:rsidRPr="00E211F9" w:rsidRDefault="00614008" w:rsidP="00424EA9">
            <w:pPr>
              <w:pStyle w:val="Header"/>
              <w:tabs>
                <w:tab w:val="clear" w:pos="4680"/>
                <w:tab w:val="clear" w:pos="9360"/>
              </w:tabs>
              <w:rPr>
                <w:rFonts w:ascii="Arial Narrow" w:hAnsi="Arial Narrow"/>
                <w:sz w:val="20"/>
                <w:szCs w:val="20"/>
              </w:rPr>
            </w:pPr>
            <w:r w:rsidRPr="00E211F9">
              <w:rPr>
                <w:rFonts w:ascii="Arial Narrow" w:hAnsi="Arial Narrow"/>
                <w:sz w:val="20"/>
                <w:szCs w:val="20"/>
              </w:rPr>
              <w:t>Support to Active Transport in Metro Manila</w:t>
            </w:r>
          </w:p>
        </w:tc>
        <w:tc>
          <w:tcPr>
            <w:tcW w:w="7633" w:type="dxa"/>
            <w:tcBorders>
              <w:bottom w:val="single" w:sz="2" w:space="0" w:color="auto"/>
            </w:tcBorders>
            <w:shd w:val="clear" w:color="auto" w:fill="F2F2F2" w:themeFill="background1" w:themeFillShade="F2"/>
            <w:vAlign w:val="center"/>
          </w:tcPr>
          <w:p w14:paraId="608A97E6" w14:textId="77777777" w:rsidR="00614008" w:rsidRPr="00E211F9" w:rsidRDefault="00614008" w:rsidP="00424EA9">
            <w:pPr>
              <w:jc w:val="center"/>
              <w:rPr>
                <w:rFonts w:ascii="Arial Narrow" w:hAnsi="Arial Narrow"/>
                <w:sz w:val="20"/>
                <w:szCs w:val="20"/>
              </w:rPr>
            </w:pPr>
            <w:r w:rsidRPr="00E211F9">
              <w:rPr>
                <w:rFonts w:ascii="Arial Narrow" w:hAnsi="Arial Narrow"/>
                <w:sz w:val="20"/>
                <w:szCs w:val="20"/>
              </w:rPr>
              <w:t>3</w:t>
            </w:r>
          </w:p>
        </w:tc>
      </w:tr>
    </w:tbl>
    <w:p w14:paraId="14848640" w14:textId="7F565027" w:rsidR="00614008" w:rsidRDefault="00614008">
      <w:r>
        <w:t>KPI</w:t>
      </w:r>
    </w:p>
    <w:p w14:paraId="20FDB481" w14:textId="77777777" w:rsidR="00614008" w:rsidRPr="00E211F9" w:rsidRDefault="00614008" w:rsidP="00614008">
      <w:pPr>
        <w:pStyle w:val="ListParagraph"/>
        <w:numPr>
          <w:ilvl w:val="0"/>
          <w:numId w:val="9"/>
        </w:numPr>
        <w:suppressAutoHyphens w:val="0"/>
        <w:spacing w:before="0" w:after="0" w:line="240" w:lineRule="auto"/>
        <w:contextualSpacing w:val="0"/>
        <w:rPr>
          <w:rFonts w:ascii="Arial Narrow" w:hAnsi="Arial Narrow"/>
          <w:sz w:val="20"/>
          <w:szCs w:val="20"/>
        </w:rPr>
      </w:pPr>
      <w:r w:rsidRPr="00E211F9">
        <w:rPr>
          <w:rFonts w:ascii="Arial Narrow" w:hAnsi="Arial Narrow"/>
          <w:sz w:val="20"/>
          <w:szCs w:val="20"/>
        </w:rPr>
        <w:t>Number of training programs conducted</w:t>
      </w:r>
    </w:p>
    <w:p w14:paraId="4002830B" w14:textId="77777777" w:rsidR="00614008" w:rsidRPr="00E211F9" w:rsidRDefault="00614008" w:rsidP="00614008">
      <w:pPr>
        <w:pStyle w:val="ListParagraph"/>
        <w:numPr>
          <w:ilvl w:val="0"/>
          <w:numId w:val="9"/>
        </w:numPr>
        <w:suppressAutoHyphens w:val="0"/>
        <w:spacing w:before="0" w:after="0" w:line="240" w:lineRule="auto"/>
        <w:contextualSpacing w:val="0"/>
        <w:rPr>
          <w:rFonts w:ascii="Arial Narrow" w:hAnsi="Arial Narrow"/>
          <w:sz w:val="20"/>
          <w:szCs w:val="20"/>
        </w:rPr>
      </w:pPr>
      <w:r w:rsidRPr="00E211F9">
        <w:rPr>
          <w:rFonts w:ascii="Arial Narrow" w:hAnsi="Arial Narrow"/>
          <w:sz w:val="20"/>
          <w:szCs w:val="20"/>
        </w:rPr>
        <w:t>Number of workshops among government agencies conducted</w:t>
      </w:r>
    </w:p>
    <w:p w14:paraId="3B080183" w14:textId="77777777" w:rsidR="00614008" w:rsidRPr="00614008" w:rsidRDefault="00614008" w:rsidP="00571D1E">
      <w:pPr>
        <w:pStyle w:val="ListParagraph"/>
        <w:numPr>
          <w:ilvl w:val="0"/>
          <w:numId w:val="9"/>
        </w:numPr>
        <w:suppressAutoHyphens w:val="0"/>
        <w:spacing w:before="0" w:after="0" w:line="240" w:lineRule="auto"/>
        <w:contextualSpacing w:val="0"/>
      </w:pPr>
      <w:r w:rsidRPr="00614008">
        <w:rPr>
          <w:rFonts w:ascii="Arial Narrow" w:hAnsi="Arial Narrow"/>
          <w:sz w:val="20"/>
          <w:szCs w:val="20"/>
        </w:rPr>
        <w:t>Number of government personnel that have participated in TF supported training and learning activities</w:t>
      </w:r>
    </w:p>
    <w:p w14:paraId="2D4DE959" w14:textId="6B587186" w:rsidR="00614008" w:rsidRDefault="00614008" w:rsidP="00571D1E">
      <w:pPr>
        <w:pStyle w:val="ListParagraph"/>
        <w:numPr>
          <w:ilvl w:val="0"/>
          <w:numId w:val="9"/>
        </w:numPr>
        <w:suppressAutoHyphens w:val="0"/>
        <w:spacing w:before="0" w:after="0" w:line="240" w:lineRule="auto"/>
        <w:contextualSpacing w:val="0"/>
      </w:pPr>
      <w:r w:rsidRPr="00614008">
        <w:rPr>
          <w:rFonts w:ascii="Arial Narrow" w:hAnsi="Arial Narrow"/>
          <w:sz w:val="20"/>
          <w:szCs w:val="20"/>
        </w:rPr>
        <w:t>Number of knowledge exchange with other countries undertaken</w:t>
      </w:r>
    </w:p>
    <w:tbl>
      <w:tblPr>
        <w:tblStyle w:val="TableGrid"/>
        <w:tblW w:w="142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26"/>
        <w:gridCol w:w="2503"/>
        <w:gridCol w:w="4191"/>
        <w:gridCol w:w="2004"/>
      </w:tblGrid>
      <w:tr w:rsidR="00614008" w:rsidRPr="00B14DF9" w14:paraId="4DA9E255" w14:textId="77777777" w:rsidTr="00614008">
        <w:trPr>
          <w:trHeight w:val="269"/>
          <w:tblHeader/>
        </w:trPr>
        <w:tc>
          <w:tcPr>
            <w:tcW w:w="5526" w:type="dxa"/>
            <w:tcBorders>
              <w:top w:val="single" w:sz="2" w:space="0" w:color="auto"/>
            </w:tcBorders>
            <w:shd w:val="clear" w:color="auto" w:fill="F2F2F2" w:themeFill="background1" w:themeFillShade="F2"/>
            <w:vAlign w:val="center"/>
          </w:tcPr>
          <w:p w14:paraId="0454A149" w14:textId="6B40C16E" w:rsidR="00614008" w:rsidRPr="00E211F9" w:rsidRDefault="00614008" w:rsidP="007805CE">
            <w:pPr>
              <w:pStyle w:val="Header"/>
              <w:tabs>
                <w:tab w:val="clear" w:pos="4680"/>
                <w:tab w:val="clear" w:pos="9360"/>
              </w:tabs>
              <w:jc w:val="center"/>
              <w:rPr>
                <w:rFonts w:ascii="Arial Narrow" w:hAnsi="Arial Narrow"/>
                <w:sz w:val="20"/>
                <w:szCs w:val="20"/>
              </w:rPr>
            </w:pPr>
            <w:proofErr w:type="spellStart"/>
            <w:r>
              <w:rPr>
                <w:rFonts w:ascii="Arial Narrow" w:hAnsi="Arial Narrow"/>
                <w:sz w:val="20"/>
                <w:szCs w:val="20"/>
              </w:rPr>
              <w:t>AGaP</w:t>
            </w:r>
            <w:proofErr w:type="spellEnd"/>
            <w:r w:rsidRPr="00E211F9">
              <w:rPr>
                <w:rFonts w:ascii="Arial Narrow" w:hAnsi="Arial Narrow"/>
                <w:sz w:val="20"/>
                <w:szCs w:val="20"/>
              </w:rPr>
              <w:t xml:space="preserve"> Grant</w:t>
            </w:r>
          </w:p>
        </w:tc>
        <w:tc>
          <w:tcPr>
            <w:tcW w:w="2503" w:type="dxa"/>
            <w:shd w:val="clear" w:color="auto" w:fill="F2F2F2" w:themeFill="background1" w:themeFillShade="F2"/>
            <w:vAlign w:val="center"/>
          </w:tcPr>
          <w:p w14:paraId="3DBC2A83" w14:textId="77777777" w:rsidR="00614008" w:rsidRPr="00E211F9" w:rsidRDefault="00614008" w:rsidP="007805CE">
            <w:pPr>
              <w:pStyle w:val="NoSpacing"/>
              <w:jc w:val="center"/>
              <w:rPr>
                <w:rFonts w:ascii="Arial Narrow" w:hAnsi="Arial Narrow"/>
                <w:szCs w:val="20"/>
              </w:rPr>
            </w:pPr>
            <w:r w:rsidRPr="00E211F9">
              <w:rPr>
                <w:rFonts w:ascii="Arial Narrow" w:hAnsi="Arial Narrow"/>
                <w:szCs w:val="20"/>
              </w:rPr>
              <w:t>No. of capacity building activities conducted</w:t>
            </w:r>
          </w:p>
        </w:tc>
        <w:tc>
          <w:tcPr>
            <w:tcW w:w="4191" w:type="dxa"/>
            <w:shd w:val="clear" w:color="auto" w:fill="F2F2F2" w:themeFill="background1" w:themeFillShade="F2"/>
            <w:vAlign w:val="center"/>
          </w:tcPr>
          <w:p w14:paraId="76B7B7E2" w14:textId="77777777" w:rsidR="00614008" w:rsidRPr="00E211F9" w:rsidRDefault="00614008" w:rsidP="007805CE">
            <w:pPr>
              <w:pStyle w:val="NoSpacing"/>
              <w:jc w:val="center"/>
              <w:rPr>
                <w:rFonts w:ascii="Arial Narrow" w:hAnsi="Arial Narrow"/>
                <w:szCs w:val="20"/>
              </w:rPr>
            </w:pPr>
            <w:r w:rsidRPr="00E211F9">
              <w:rPr>
                <w:rFonts w:ascii="Arial Narrow" w:hAnsi="Arial Narrow"/>
                <w:szCs w:val="20"/>
              </w:rPr>
              <w:t>Participating Government Agencies</w:t>
            </w:r>
          </w:p>
        </w:tc>
        <w:tc>
          <w:tcPr>
            <w:tcW w:w="2004" w:type="dxa"/>
            <w:shd w:val="clear" w:color="auto" w:fill="F2F2F2" w:themeFill="background1" w:themeFillShade="F2"/>
            <w:vAlign w:val="center"/>
          </w:tcPr>
          <w:p w14:paraId="01164035" w14:textId="77777777" w:rsidR="00614008" w:rsidRPr="00E211F9" w:rsidRDefault="00614008" w:rsidP="007805CE">
            <w:pPr>
              <w:pStyle w:val="NoSpacing"/>
              <w:jc w:val="center"/>
              <w:rPr>
                <w:rFonts w:ascii="Arial Narrow" w:hAnsi="Arial Narrow"/>
                <w:szCs w:val="20"/>
              </w:rPr>
            </w:pPr>
            <w:r w:rsidRPr="00E211F9">
              <w:rPr>
                <w:rFonts w:ascii="Arial Narrow" w:hAnsi="Arial Narrow"/>
                <w:szCs w:val="20"/>
              </w:rPr>
              <w:t>No. of Pax</w:t>
            </w:r>
          </w:p>
        </w:tc>
      </w:tr>
      <w:tr w:rsidR="00614008" w:rsidRPr="00B14DF9" w14:paraId="5A20E4C3" w14:textId="77777777" w:rsidTr="00614008">
        <w:trPr>
          <w:trHeight w:val="151"/>
          <w:tblHeader/>
        </w:trPr>
        <w:tc>
          <w:tcPr>
            <w:tcW w:w="5526" w:type="dxa"/>
            <w:shd w:val="clear" w:color="auto" w:fill="F2F2F2" w:themeFill="background1" w:themeFillShade="F2"/>
            <w:vAlign w:val="center"/>
          </w:tcPr>
          <w:p w14:paraId="777F90F9" w14:textId="77777777" w:rsidR="00614008" w:rsidRPr="00E211F9" w:rsidRDefault="00614008" w:rsidP="007805CE">
            <w:pPr>
              <w:pStyle w:val="Header"/>
              <w:tabs>
                <w:tab w:val="clear" w:pos="4680"/>
                <w:tab w:val="clear" w:pos="9360"/>
              </w:tabs>
              <w:rPr>
                <w:rFonts w:ascii="Arial Narrow" w:hAnsi="Arial Narrow"/>
                <w:sz w:val="20"/>
                <w:szCs w:val="20"/>
              </w:rPr>
            </w:pPr>
            <w:r w:rsidRPr="00E211F9">
              <w:rPr>
                <w:rFonts w:ascii="Arial Narrow" w:hAnsi="Arial Narrow"/>
                <w:sz w:val="20"/>
                <w:szCs w:val="20"/>
              </w:rPr>
              <w:t xml:space="preserve">TA for DPL Reforms </w:t>
            </w:r>
          </w:p>
        </w:tc>
        <w:tc>
          <w:tcPr>
            <w:tcW w:w="2503" w:type="dxa"/>
            <w:shd w:val="clear" w:color="auto" w:fill="F2F2F2" w:themeFill="background1" w:themeFillShade="F2"/>
            <w:vAlign w:val="center"/>
          </w:tcPr>
          <w:p w14:paraId="73E9A5D4"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2</w:t>
            </w:r>
          </w:p>
        </w:tc>
        <w:tc>
          <w:tcPr>
            <w:tcW w:w="4191" w:type="dxa"/>
            <w:shd w:val="clear" w:color="auto" w:fill="F2F2F2" w:themeFill="background1" w:themeFillShade="F2"/>
            <w:vAlign w:val="center"/>
          </w:tcPr>
          <w:p w14:paraId="658B9C24"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DA, DICT, NTC</w:t>
            </w:r>
          </w:p>
        </w:tc>
        <w:tc>
          <w:tcPr>
            <w:tcW w:w="2004" w:type="dxa"/>
            <w:shd w:val="clear" w:color="auto" w:fill="F2F2F2" w:themeFill="background1" w:themeFillShade="F2"/>
            <w:vAlign w:val="center"/>
          </w:tcPr>
          <w:p w14:paraId="37F20119"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50</w:t>
            </w:r>
          </w:p>
        </w:tc>
      </w:tr>
      <w:tr w:rsidR="00614008" w:rsidRPr="00B14DF9" w14:paraId="3436FE38" w14:textId="77777777" w:rsidTr="00614008">
        <w:trPr>
          <w:trHeight w:val="311"/>
          <w:tblHeader/>
        </w:trPr>
        <w:tc>
          <w:tcPr>
            <w:tcW w:w="5526" w:type="dxa"/>
            <w:shd w:val="clear" w:color="auto" w:fill="F2F2F2" w:themeFill="background1" w:themeFillShade="F2"/>
            <w:vAlign w:val="center"/>
          </w:tcPr>
          <w:p w14:paraId="2732AAC7" w14:textId="77777777" w:rsidR="00614008" w:rsidRPr="00E211F9" w:rsidRDefault="00614008" w:rsidP="007805CE">
            <w:pPr>
              <w:pStyle w:val="Header"/>
              <w:tabs>
                <w:tab w:val="clear" w:pos="4680"/>
                <w:tab w:val="clear" w:pos="9360"/>
              </w:tabs>
              <w:rPr>
                <w:rFonts w:ascii="Arial Narrow" w:hAnsi="Arial Narrow"/>
                <w:sz w:val="20"/>
                <w:szCs w:val="20"/>
              </w:rPr>
            </w:pPr>
            <w:r w:rsidRPr="00E211F9">
              <w:rPr>
                <w:rFonts w:ascii="Arial Narrow" w:hAnsi="Arial Narrow"/>
                <w:sz w:val="20"/>
                <w:szCs w:val="20"/>
              </w:rPr>
              <w:t xml:space="preserve">Strengthening Support for the </w:t>
            </w:r>
            <w:proofErr w:type="spellStart"/>
            <w:r w:rsidRPr="00E211F9">
              <w:rPr>
                <w:rFonts w:ascii="Arial Narrow" w:hAnsi="Arial Narrow"/>
                <w:sz w:val="20"/>
                <w:szCs w:val="20"/>
              </w:rPr>
              <w:t>Pantawid</w:t>
            </w:r>
            <w:proofErr w:type="spellEnd"/>
            <w:r w:rsidRPr="00E211F9">
              <w:rPr>
                <w:rFonts w:ascii="Arial Narrow" w:hAnsi="Arial Narrow"/>
                <w:sz w:val="20"/>
                <w:szCs w:val="20"/>
              </w:rPr>
              <w:t xml:space="preserve"> Program</w:t>
            </w:r>
          </w:p>
        </w:tc>
        <w:tc>
          <w:tcPr>
            <w:tcW w:w="2503" w:type="dxa"/>
            <w:shd w:val="clear" w:color="auto" w:fill="F2F2F2" w:themeFill="background1" w:themeFillShade="F2"/>
            <w:vAlign w:val="center"/>
          </w:tcPr>
          <w:p w14:paraId="5DCE60DE"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52</w:t>
            </w:r>
          </w:p>
        </w:tc>
        <w:tc>
          <w:tcPr>
            <w:tcW w:w="4191" w:type="dxa"/>
            <w:shd w:val="clear" w:color="auto" w:fill="F2F2F2" w:themeFill="background1" w:themeFillShade="F2"/>
            <w:vAlign w:val="center"/>
          </w:tcPr>
          <w:p w14:paraId="516716EA"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 xml:space="preserve">BSP, DOLE, DSWD, </w:t>
            </w:r>
            <w:proofErr w:type="gramStart"/>
            <w:r w:rsidRPr="00E211F9">
              <w:rPr>
                <w:rFonts w:ascii="Arial Narrow" w:hAnsi="Arial Narrow"/>
                <w:sz w:val="20"/>
                <w:szCs w:val="20"/>
              </w:rPr>
              <w:t>IPA,  LBP</w:t>
            </w:r>
            <w:proofErr w:type="gramEnd"/>
            <w:r w:rsidRPr="00E211F9">
              <w:rPr>
                <w:rFonts w:ascii="Arial Narrow" w:hAnsi="Arial Narrow"/>
                <w:sz w:val="20"/>
                <w:szCs w:val="20"/>
              </w:rPr>
              <w:t>, MSSD, PIDS, PSA</w:t>
            </w:r>
          </w:p>
          <w:p w14:paraId="7AE6E8EB"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ADB, UNICEF, USAID E-PESO</w:t>
            </w:r>
          </w:p>
        </w:tc>
        <w:tc>
          <w:tcPr>
            <w:tcW w:w="2004" w:type="dxa"/>
            <w:shd w:val="clear" w:color="auto" w:fill="F2F2F2" w:themeFill="background1" w:themeFillShade="F2"/>
            <w:vAlign w:val="center"/>
          </w:tcPr>
          <w:p w14:paraId="07827E61"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250</w:t>
            </w:r>
          </w:p>
        </w:tc>
      </w:tr>
      <w:tr w:rsidR="00614008" w:rsidRPr="00B14DF9" w14:paraId="2F1D581C" w14:textId="77777777" w:rsidTr="00614008">
        <w:trPr>
          <w:trHeight w:val="374"/>
          <w:tblHeader/>
        </w:trPr>
        <w:tc>
          <w:tcPr>
            <w:tcW w:w="5526" w:type="dxa"/>
            <w:shd w:val="clear" w:color="auto" w:fill="F2F2F2" w:themeFill="background1" w:themeFillShade="F2"/>
            <w:vAlign w:val="center"/>
          </w:tcPr>
          <w:p w14:paraId="60517502" w14:textId="77777777" w:rsidR="00614008" w:rsidRPr="00E211F9" w:rsidRDefault="00614008" w:rsidP="007805CE">
            <w:pPr>
              <w:pStyle w:val="Header"/>
              <w:tabs>
                <w:tab w:val="clear" w:pos="4680"/>
                <w:tab w:val="clear" w:pos="9360"/>
              </w:tabs>
              <w:rPr>
                <w:rFonts w:ascii="Arial Narrow" w:hAnsi="Arial Narrow"/>
                <w:sz w:val="20"/>
                <w:szCs w:val="20"/>
              </w:rPr>
            </w:pPr>
            <w:r w:rsidRPr="00E211F9">
              <w:rPr>
                <w:rFonts w:ascii="Arial Narrow" w:hAnsi="Arial Narrow"/>
                <w:sz w:val="20"/>
                <w:szCs w:val="20"/>
              </w:rPr>
              <w:t>Supporting Subnational Finance and Decentralization</w:t>
            </w:r>
          </w:p>
        </w:tc>
        <w:tc>
          <w:tcPr>
            <w:tcW w:w="2503" w:type="dxa"/>
            <w:shd w:val="clear" w:color="auto" w:fill="F2F2F2" w:themeFill="background1" w:themeFillShade="F2"/>
            <w:vAlign w:val="center"/>
          </w:tcPr>
          <w:p w14:paraId="3002ACF6"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3</w:t>
            </w:r>
          </w:p>
        </w:tc>
        <w:tc>
          <w:tcPr>
            <w:tcW w:w="4191" w:type="dxa"/>
            <w:shd w:val="clear" w:color="auto" w:fill="F2F2F2" w:themeFill="background1" w:themeFillShade="F2"/>
            <w:vAlign w:val="center"/>
          </w:tcPr>
          <w:p w14:paraId="71B22E09"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DBM, DILG, NEDA</w:t>
            </w:r>
          </w:p>
        </w:tc>
        <w:tc>
          <w:tcPr>
            <w:tcW w:w="2004" w:type="dxa"/>
            <w:shd w:val="clear" w:color="auto" w:fill="F2F2F2" w:themeFill="background1" w:themeFillShade="F2"/>
            <w:vAlign w:val="center"/>
          </w:tcPr>
          <w:p w14:paraId="5B9CF2D9"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400</w:t>
            </w:r>
          </w:p>
        </w:tc>
      </w:tr>
      <w:tr w:rsidR="00614008" w:rsidRPr="00B14DF9" w14:paraId="09615DAE" w14:textId="77777777" w:rsidTr="00614008">
        <w:trPr>
          <w:trHeight w:val="133"/>
          <w:tblHeader/>
        </w:trPr>
        <w:tc>
          <w:tcPr>
            <w:tcW w:w="5526" w:type="dxa"/>
            <w:shd w:val="clear" w:color="auto" w:fill="F2F2F2" w:themeFill="background1" w:themeFillShade="F2"/>
            <w:vAlign w:val="center"/>
          </w:tcPr>
          <w:p w14:paraId="3FB290BB" w14:textId="77777777" w:rsidR="00614008" w:rsidRPr="00E211F9" w:rsidRDefault="00614008" w:rsidP="007805CE">
            <w:pPr>
              <w:pStyle w:val="Header"/>
              <w:tabs>
                <w:tab w:val="clear" w:pos="4680"/>
                <w:tab w:val="clear" w:pos="9360"/>
              </w:tabs>
              <w:rPr>
                <w:rFonts w:ascii="Arial Narrow" w:hAnsi="Arial Narrow"/>
                <w:sz w:val="20"/>
                <w:szCs w:val="20"/>
              </w:rPr>
            </w:pPr>
            <w:r w:rsidRPr="00E211F9">
              <w:rPr>
                <w:rFonts w:ascii="Arial Narrow" w:hAnsi="Arial Narrow"/>
                <w:sz w:val="20"/>
                <w:szCs w:val="20"/>
              </w:rPr>
              <w:t>Women’s Economic Empowerment</w:t>
            </w:r>
          </w:p>
        </w:tc>
        <w:tc>
          <w:tcPr>
            <w:tcW w:w="2503" w:type="dxa"/>
            <w:shd w:val="clear" w:color="auto" w:fill="F2F2F2" w:themeFill="background1" w:themeFillShade="F2"/>
            <w:vAlign w:val="center"/>
          </w:tcPr>
          <w:p w14:paraId="40672522"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3</w:t>
            </w:r>
          </w:p>
        </w:tc>
        <w:tc>
          <w:tcPr>
            <w:tcW w:w="4191" w:type="dxa"/>
            <w:shd w:val="clear" w:color="auto" w:fill="F2F2F2" w:themeFill="background1" w:themeFillShade="F2"/>
            <w:vAlign w:val="center"/>
          </w:tcPr>
          <w:p w14:paraId="500862F7"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NEDA</w:t>
            </w:r>
          </w:p>
        </w:tc>
        <w:tc>
          <w:tcPr>
            <w:tcW w:w="2004" w:type="dxa"/>
            <w:shd w:val="clear" w:color="auto" w:fill="F2F2F2" w:themeFill="background1" w:themeFillShade="F2"/>
            <w:vAlign w:val="center"/>
          </w:tcPr>
          <w:p w14:paraId="6CC980DC"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50</w:t>
            </w:r>
          </w:p>
        </w:tc>
      </w:tr>
      <w:tr w:rsidR="00614008" w:rsidRPr="00B14DF9" w14:paraId="425E58F3" w14:textId="77777777" w:rsidTr="00614008">
        <w:trPr>
          <w:trHeight w:val="133"/>
          <w:tblHeader/>
        </w:trPr>
        <w:tc>
          <w:tcPr>
            <w:tcW w:w="5526" w:type="dxa"/>
            <w:shd w:val="clear" w:color="auto" w:fill="F2F2F2" w:themeFill="background1" w:themeFillShade="F2"/>
            <w:vAlign w:val="center"/>
          </w:tcPr>
          <w:p w14:paraId="7D9FD094" w14:textId="77777777" w:rsidR="00614008" w:rsidRPr="00E211F9" w:rsidRDefault="00614008" w:rsidP="007805CE">
            <w:pPr>
              <w:pStyle w:val="Header"/>
              <w:tabs>
                <w:tab w:val="clear" w:pos="4680"/>
                <w:tab w:val="clear" w:pos="9360"/>
              </w:tabs>
              <w:rPr>
                <w:rFonts w:ascii="Arial Narrow" w:hAnsi="Arial Narrow"/>
                <w:sz w:val="20"/>
                <w:szCs w:val="20"/>
              </w:rPr>
            </w:pPr>
            <w:r w:rsidRPr="00E211F9">
              <w:rPr>
                <w:rFonts w:ascii="Arial Narrow" w:hAnsi="Arial Narrow"/>
                <w:sz w:val="20"/>
                <w:szCs w:val="20"/>
              </w:rPr>
              <w:t>Real Time Monitoring of COVID-19 Impacts in the Philippines</w:t>
            </w:r>
          </w:p>
        </w:tc>
        <w:tc>
          <w:tcPr>
            <w:tcW w:w="2503" w:type="dxa"/>
            <w:shd w:val="clear" w:color="auto" w:fill="F2F2F2" w:themeFill="background1" w:themeFillShade="F2"/>
            <w:vAlign w:val="center"/>
          </w:tcPr>
          <w:p w14:paraId="7711A7B6"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3</w:t>
            </w:r>
          </w:p>
        </w:tc>
        <w:tc>
          <w:tcPr>
            <w:tcW w:w="4191" w:type="dxa"/>
            <w:shd w:val="clear" w:color="auto" w:fill="F2F2F2" w:themeFill="background1" w:themeFillShade="F2"/>
            <w:vAlign w:val="center"/>
          </w:tcPr>
          <w:p w14:paraId="7B5BEB52"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 xml:space="preserve">DOF, </w:t>
            </w:r>
            <w:proofErr w:type="gramStart"/>
            <w:r w:rsidRPr="00E211F9">
              <w:rPr>
                <w:rFonts w:ascii="Arial Narrow" w:hAnsi="Arial Narrow"/>
                <w:sz w:val="20"/>
                <w:szCs w:val="20"/>
              </w:rPr>
              <w:t>DOLE,  DSWD</w:t>
            </w:r>
            <w:proofErr w:type="gramEnd"/>
            <w:r w:rsidRPr="00E211F9">
              <w:rPr>
                <w:rFonts w:ascii="Arial Narrow" w:hAnsi="Arial Narrow"/>
                <w:sz w:val="20"/>
                <w:szCs w:val="20"/>
              </w:rPr>
              <w:t>, NEDA</w:t>
            </w:r>
          </w:p>
        </w:tc>
        <w:tc>
          <w:tcPr>
            <w:tcW w:w="2004" w:type="dxa"/>
            <w:shd w:val="clear" w:color="auto" w:fill="F2F2F2" w:themeFill="background1" w:themeFillShade="F2"/>
            <w:vAlign w:val="center"/>
          </w:tcPr>
          <w:p w14:paraId="105FB2E3"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50</w:t>
            </w:r>
          </w:p>
        </w:tc>
      </w:tr>
      <w:tr w:rsidR="00614008" w:rsidRPr="00B14DF9" w14:paraId="4E144638" w14:textId="77777777" w:rsidTr="00614008">
        <w:trPr>
          <w:trHeight w:val="178"/>
          <w:tblHeader/>
        </w:trPr>
        <w:tc>
          <w:tcPr>
            <w:tcW w:w="5526" w:type="dxa"/>
            <w:tcBorders>
              <w:bottom w:val="single" w:sz="2" w:space="0" w:color="auto"/>
            </w:tcBorders>
            <w:shd w:val="clear" w:color="auto" w:fill="F2F2F2" w:themeFill="background1" w:themeFillShade="F2"/>
            <w:vAlign w:val="center"/>
          </w:tcPr>
          <w:p w14:paraId="5866D4F9" w14:textId="77777777" w:rsidR="00614008" w:rsidRPr="00E211F9" w:rsidRDefault="00614008" w:rsidP="007805CE">
            <w:pPr>
              <w:pStyle w:val="Header"/>
              <w:tabs>
                <w:tab w:val="clear" w:pos="4680"/>
                <w:tab w:val="clear" w:pos="9360"/>
              </w:tabs>
              <w:rPr>
                <w:rFonts w:ascii="Arial Narrow" w:hAnsi="Arial Narrow"/>
                <w:sz w:val="20"/>
                <w:szCs w:val="20"/>
              </w:rPr>
            </w:pPr>
            <w:r w:rsidRPr="00E211F9">
              <w:rPr>
                <w:rFonts w:ascii="Arial Narrow" w:hAnsi="Arial Narrow"/>
                <w:sz w:val="20"/>
                <w:szCs w:val="20"/>
              </w:rPr>
              <w:t>Strengthening Implementation Support for Health COVID Response</w:t>
            </w:r>
          </w:p>
        </w:tc>
        <w:tc>
          <w:tcPr>
            <w:tcW w:w="2503" w:type="dxa"/>
            <w:tcBorders>
              <w:bottom w:val="single" w:sz="2" w:space="0" w:color="auto"/>
            </w:tcBorders>
            <w:shd w:val="clear" w:color="auto" w:fill="F2F2F2" w:themeFill="background1" w:themeFillShade="F2"/>
            <w:vAlign w:val="center"/>
          </w:tcPr>
          <w:p w14:paraId="7C05472B"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1</w:t>
            </w:r>
          </w:p>
        </w:tc>
        <w:tc>
          <w:tcPr>
            <w:tcW w:w="4191" w:type="dxa"/>
            <w:tcBorders>
              <w:bottom w:val="single" w:sz="2" w:space="0" w:color="auto"/>
            </w:tcBorders>
            <w:shd w:val="clear" w:color="auto" w:fill="F2F2F2" w:themeFill="background1" w:themeFillShade="F2"/>
            <w:vAlign w:val="center"/>
          </w:tcPr>
          <w:p w14:paraId="71884058"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AFP, PNP</w:t>
            </w:r>
          </w:p>
        </w:tc>
        <w:tc>
          <w:tcPr>
            <w:tcW w:w="2004" w:type="dxa"/>
            <w:tcBorders>
              <w:bottom w:val="single" w:sz="2" w:space="0" w:color="auto"/>
            </w:tcBorders>
            <w:shd w:val="clear" w:color="auto" w:fill="F2F2F2" w:themeFill="background1" w:themeFillShade="F2"/>
            <w:vAlign w:val="center"/>
          </w:tcPr>
          <w:p w14:paraId="13195666"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800</w:t>
            </w:r>
          </w:p>
        </w:tc>
      </w:tr>
      <w:tr w:rsidR="00614008" w:rsidRPr="00B14DF9" w14:paraId="579D0366" w14:textId="77777777" w:rsidTr="00614008">
        <w:trPr>
          <w:trHeight w:val="383"/>
          <w:tblHeader/>
        </w:trPr>
        <w:tc>
          <w:tcPr>
            <w:tcW w:w="5526" w:type="dxa"/>
            <w:tcBorders>
              <w:bottom w:val="single" w:sz="2" w:space="0" w:color="auto"/>
            </w:tcBorders>
            <w:shd w:val="clear" w:color="auto" w:fill="F2F2F2" w:themeFill="background1" w:themeFillShade="F2"/>
            <w:vAlign w:val="center"/>
          </w:tcPr>
          <w:p w14:paraId="4AE57FF6" w14:textId="77777777" w:rsidR="00614008" w:rsidRPr="00E211F9" w:rsidRDefault="00614008" w:rsidP="007805CE">
            <w:pPr>
              <w:pStyle w:val="Header"/>
              <w:tabs>
                <w:tab w:val="clear" w:pos="4680"/>
                <w:tab w:val="clear" w:pos="9360"/>
              </w:tabs>
              <w:rPr>
                <w:rFonts w:ascii="Arial Narrow" w:hAnsi="Arial Narrow"/>
                <w:sz w:val="20"/>
                <w:szCs w:val="20"/>
              </w:rPr>
            </w:pPr>
            <w:r w:rsidRPr="00E211F9">
              <w:rPr>
                <w:rFonts w:ascii="Arial Narrow" w:hAnsi="Arial Narrow"/>
                <w:sz w:val="20"/>
                <w:szCs w:val="20"/>
              </w:rPr>
              <w:t>Support to Active Transport in Metro Manila</w:t>
            </w:r>
          </w:p>
        </w:tc>
        <w:tc>
          <w:tcPr>
            <w:tcW w:w="2503" w:type="dxa"/>
            <w:tcBorders>
              <w:bottom w:val="single" w:sz="2" w:space="0" w:color="auto"/>
            </w:tcBorders>
            <w:shd w:val="clear" w:color="auto" w:fill="F2F2F2" w:themeFill="background1" w:themeFillShade="F2"/>
            <w:vAlign w:val="center"/>
          </w:tcPr>
          <w:p w14:paraId="616AED29"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2</w:t>
            </w:r>
          </w:p>
        </w:tc>
        <w:tc>
          <w:tcPr>
            <w:tcW w:w="4191" w:type="dxa"/>
            <w:tcBorders>
              <w:bottom w:val="single" w:sz="2" w:space="0" w:color="auto"/>
            </w:tcBorders>
            <w:shd w:val="clear" w:color="auto" w:fill="F2F2F2" w:themeFill="background1" w:themeFillShade="F2"/>
            <w:vAlign w:val="center"/>
          </w:tcPr>
          <w:p w14:paraId="5E193434"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 xml:space="preserve">DILG, DOH, </w:t>
            </w:r>
            <w:proofErr w:type="spellStart"/>
            <w:r w:rsidRPr="00E211F9">
              <w:rPr>
                <w:rFonts w:ascii="Arial Narrow" w:hAnsi="Arial Narrow"/>
                <w:sz w:val="20"/>
                <w:szCs w:val="20"/>
              </w:rPr>
              <w:t>DOTr</w:t>
            </w:r>
            <w:proofErr w:type="spellEnd"/>
            <w:r w:rsidRPr="00E211F9">
              <w:rPr>
                <w:rFonts w:ascii="Arial Narrow" w:hAnsi="Arial Narrow"/>
                <w:sz w:val="20"/>
                <w:szCs w:val="20"/>
              </w:rPr>
              <w:t>, DPWH, NEDA</w:t>
            </w:r>
          </w:p>
          <w:p w14:paraId="07F4A7D4"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 xml:space="preserve"> LGUs</w:t>
            </w:r>
          </w:p>
          <w:p w14:paraId="4FD729EF"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Academia, NGOs</w:t>
            </w:r>
          </w:p>
        </w:tc>
        <w:tc>
          <w:tcPr>
            <w:tcW w:w="2004" w:type="dxa"/>
            <w:tcBorders>
              <w:bottom w:val="single" w:sz="2" w:space="0" w:color="auto"/>
            </w:tcBorders>
            <w:shd w:val="clear" w:color="auto" w:fill="F2F2F2" w:themeFill="background1" w:themeFillShade="F2"/>
            <w:vAlign w:val="center"/>
          </w:tcPr>
          <w:p w14:paraId="0C709F54" w14:textId="77777777" w:rsidR="00614008" w:rsidRPr="00E211F9" w:rsidRDefault="00614008" w:rsidP="007805CE">
            <w:pPr>
              <w:jc w:val="center"/>
              <w:rPr>
                <w:rFonts w:ascii="Arial Narrow" w:hAnsi="Arial Narrow"/>
                <w:sz w:val="20"/>
                <w:szCs w:val="20"/>
              </w:rPr>
            </w:pPr>
            <w:r w:rsidRPr="00E211F9">
              <w:rPr>
                <w:rFonts w:ascii="Arial Narrow" w:hAnsi="Arial Narrow"/>
                <w:sz w:val="20"/>
                <w:szCs w:val="20"/>
              </w:rPr>
              <w:t>400</w:t>
            </w:r>
          </w:p>
        </w:tc>
      </w:tr>
    </w:tbl>
    <w:p w14:paraId="440E97EF" w14:textId="77777777" w:rsidR="00614008" w:rsidRDefault="00614008">
      <w:pPr>
        <w:rPr>
          <w:rFonts w:cstheme="minorHAnsi"/>
          <w:b/>
          <w:bCs/>
        </w:rPr>
      </w:pPr>
    </w:p>
    <w:p w14:paraId="2358138A" w14:textId="1EBFEDB2" w:rsidR="00D32E6E" w:rsidRDefault="00D32E6E">
      <w:r w:rsidRPr="00B14DF9">
        <w:rPr>
          <w:rFonts w:cstheme="minorHAnsi"/>
          <w:b/>
          <w:bCs/>
        </w:rPr>
        <w:lastRenderedPageBreak/>
        <w:t xml:space="preserve">OUTCOME </w:t>
      </w:r>
      <w:r>
        <w:rPr>
          <w:rFonts w:cstheme="minorHAnsi"/>
          <w:b/>
          <w:bCs/>
        </w:rPr>
        <w:t>3</w:t>
      </w:r>
      <w:r w:rsidRPr="00B14DF9">
        <w:rPr>
          <w:rFonts w:cstheme="minorHAnsi"/>
          <w:b/>
          <w:bCs/>
        </w:rPr>
        <w:t xml:space="preserve">: </w:t>
      </w:r>
      <w:r>
        <w:rPr>
          <w:rFonts w:cstheme="minorHAnsi"/>
          <w:b/>
          <w:bCs/>
        </w:rPr>
        <w:t>PUBLIC DEBATE AND AWARENESS</w:t>
      </w:r>
    </w:p>
    <w:tbl>
      <w:tblPr>
        <w:tblStyle w:val="TableGrid"/>
        <w:tblW w:w="141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69"/>
        <w:gridCol w:w="3002"/>
        <w:gridCol w:w="8607"/>
      </w:tblGrid>
      <w:tr w:rsidR="001D69EC" w:rsidRPr="00B14DF9" w14:paraId="0D5AA137" w14:textId="77777777" w:rsidTr="00614008">
        <w:trPr>
          <w:tblHeader/>
        </w:trPr>
        <w:tc>
          <w:tcPr>
            <w:tcW w:w="2569" w:type="dxa"/>
            <w:shd w:val="clear" w:color="auto" w:fill="auto"/>
            <w:vAlign w:val="center"/>
          </w:tcPr>
          <w:p w14:paraId="2603E9E7" w14:textId="77777777" w:rsidR="001D69EC" w:rsidRPr="00B14DF9" w:rsidRDefault="001D69EC" w:rsidP="007805CE">
            <w:pPr>
              <w:pStyle w:val="Header"/>
              <w:tabs>
                <w:tab w:val="clear" w:pos="4680"/>
                <w:tab w:val="clear" w:pos="9360"/>
              </w:tabs>
              <w:jc w:val="center"/>
              <w:rPr>
                <w:rFonts w:cstheme="minorHAnsi"/>
                <w:b/>
                <w:bCs/>
              </w:rPr>
            </w:pPr>
            <w:r w:rsidRPr="00B14DF9">
              <w:rPr>
                <w:rFonts w:cstheme="minorHAnsi"/>
                <w:b/>
                <w:bCs/>
              </w:rPr>
              <w:t>Monitoring Level</w:t>
            </w:r>
          </w:p>
        </w:tc>
        <w:tc>
          <w:tcPr>
            <w:tcW w:w="3002" w:type="dxa"/>
            <w:shd w:val="clear" w:color="auto" w:fill="auto"/>
            <w:vAlign w:val="center"/>
          </w:tcPr>
          <w:p w14:paraId="7F310DC5" w14:textId="77777777" w:rsidR="001D69EC" w:rsidRPr="00B14DF9" w:rsidRDefault="001D69EC" w:rsidP="007805CE">
            <w:pPr>
              <w:pStyle w:val="Header"/>
              <w:tabs>
                <w:tab w:val="clear" w:pos="4680"/>
                <w:tab w:val="clear" w:pos="9360"/>
              </w:tabs>
              <w:jc w:val="center"/>
              <w:rPr>
                <w:rFonts w:cstheme="minorHAnsi"/>
                <w:b/>
                <w:bCs/>
              </w:rPr>
            </w:pPr>
            <w:r w:rsidRPr="00B14DF9">
              <w:rPr>
                <w:rFonts w:cstheme="minorHAnsi"/>
                <w:b/>
                <w:bCs/>
              </w:rPr>
              <w:t>KPI</w:t>
            </w:r>
          </w:p>
        </w:tc>
        <w:tc>
          <w:tcPr>
            <w:tcW w:w="8607" w:type="dxa"/>
            <w:tcBorders>
              <w:bottom w:val="single" w:sz="2" w:space="0" w:color="auto"/>
            </w:tcBorders>
            <w:shd w:val="clear" w:color="auto" w:fill="auto"/>
            <w:vAlign w:val="center"/>
          </w:tcPr>
          <w:p w14:paraId="17EA2A04" w14:textId="77777777" w:rsidR="001D69EC" w:rsidRPr="00B14DF9" w:rsidRDefault="001D69EC" w:rsidP="007805CE">
            <w:pPr>
              <w:jc w:val="center"/>
              <w:rPr>
                <w:rFonts w:cstheme="minorHAnsi"/>
                <w:b/>
                <w:bCs/>
              </w:rPr>
            </w:pPr>
            <w:r w:rsidRPr="00B14DF9">
              <w:rPr>
                <w:rFonts w:cstheme="minorHAnsi"/>
                <w:b/>
                <w:bCs/>
              </w:rPr>
              <w:t>Progress to Date</w:t>
            </w:r>
          </w:p>
        </w:tc>
      </w:tr>
      <w:tr w:rsidR="001D69EC" w:rsidRPr="00B14DF9" w14:paraId="6CD20709" w14:textId="77777777" w:rsidTr="00614008">
        <w:trPr>
          <w:tblHeader/>
        </w:trPr>
        <w:tc>
          <w:tcPr>
            <w:tcW w:w="2569" w:type="dxa"/>
            <w:shd w:val="clear" w:color="auto" w:fill="auto"/>
          </w:tcPr>
          <w:p w14:paraId="68E77293" w14:textId="77777777" w:rsidR="001D69EC" w:rsidRPr="005655A6" w:rsidRDefault="001D69EC" w:rsidP="0089441D">
            <w:pPr>
              <w:pStyle w:val="Header"/>
              <w:numPr>
                <w:ilvl w:val="0"/>
                <w:numId w:val="10"/>
              </w:numPr>
              <w:tabs>
                <w:tab w:val="clear" w:pos="4680"/>
                <w:tab w:val="clear" w:pos="9360"/>
              </w:tabs>
              <w:suppressAutoHyphens w:val="0"/>
              <w:ind w:left="216" w:hanging="216"/>
              <w:rPr>
                <w:rFonts w:ascii="Arial Narrow" w:hAnsi="Arial Narrow" w:cstheme="minorHAnsi"/>
                <w:sz w:val="20"/>
                <w:szCs w:val="20"/>
              </w:rPr>
            </w:pPr>
            <w:r w:rsidRPr="005655A6">
              <w:rPr>
                <w:rFonts w:ascii="Arial Narrow" w:hAnsi="Arial Narrow"/>
                <w:sz w:val="20"/>
                <w:szCs w:val="20"/>
              </w:rPr>
              <w:t>Awareness of identified stakeholders to relevant GOP policies and programs increased</w:t>
            </w:r>
          </w:p>
        </w:tc>
        <w:tc>
          <w:tcPr>
            <w:tcW w:w="3002" w:type="dxa"/>
            <w:shd w:val="clear" w:color="auto" w:fill="auto"/>
          </w:tcPr>
          <w:p w14:paraId="12236911" w14:textId="77777777" w:rsidR="001D69EC" w:rsidRPr="005655A6" w:rsidRDefault="001D69EC" w:rsidP="007805CE">
            <w:pPr>
              <w:pStyle w:val="Header"/>
              <w:tabs>
                <w:tab w:val="clear" w:pos="4680"/>
                <w:tab w:val="clear" w:pos="9360"/>
              </w:tabs>
              <w:rPr>
                <w:rFonts w:ascii="Arial Narrow" w:hAnsi="Arial Narrow" w:cstheme="minorHAnsi"/>
                <w:sz w:val="20"/>
                <w:szCs w:val="20"/>
              </w:rPr>
            </w:pPr>
            <w:r w:rsidRPr="005655A6">
              <w:rPr>
                <w:rFonts w:ascii="Arial Narrow" w:hAnsi="Arial Narrow" w:cstheme="minorHAnsi"/>
                <w:sz w:val="20"/>
                <w:szCs w:val="20"/>
              </w:rPr>
              <w:t>Increased proportion of identified stakeholders that have become aware or have gained knowledge on relevant government policies and programs per thematic area</w:t>
            </w:r>
          </w:p>
        </w:tc>
        <w:tc>
          <w:tcPr>
            <w:tcW w:w="8607" w:type="dxa"/>
            <w:tcBorders>
              <w:tl2br w:val="nil"/>
              <w:tr2bl w:val="nil"/>
            </w:tcBorders>
            <w:shd w:val="clear" w:color="auto" w:fill="auto"/>
          </w:tcPr>
          <w:p w14:paraId="738267B9" w14:textId="77777777" w:rsidR="001D69EC" w:rsidRPr="005655A6" w:rsidRDefault="001D69EC" w:rsidP="007805CE">
            <w:pPr>
              <w:pStyle w:val="NoteTitle"/>
              <w:keepNext w:val="0"/>
              <w:rPr>
                <w:rFonts w:ascii="Arial Narrow" w:hAnsi="Arial Narrow" w:cstheme="minorHAnsi"/>
                <w:b w:val="0"/>
                <w:bCs w:val="0"/>
                <w:sz w:val="20"/>
                <w:szCs w:val="20"/>
              </w:rPr>
            </w:pPr>
            <w:r w:rsidRPr="005655A6">
              <w:rPr>
                <w:rFonts w:ascii="Arial Narrow" w:hAnsi="Arial Narrow" w:cstheme="minorHAnsi"/>
                <w:b w:val="0"/>
                <w:bCs w:val="0"/>
                <w:color w:val="auto"/>
                <w:sz w:val="20"/>
                <w:szCs w:val="20"/>
              </w:rPr>
              <w:t xml:space="preserve">The grant for Supporting Subnational Finance and Decentralization in the Context of the </w:t>
            </w:r>
            <w:proofErr w:type="spellStart"/>
            <w:r w:rsidRPr="005655A6">
              <w:rPr>
                <w:rFonts w:ascii="Arial Narrow" w:hAnsi="Arial Narrow" w:cstheme="minorHAnsi"/>
                <w:b w:val="0"/>
                <w:bCs w:val="0"/>
                <w:color w:val="auto"/>
                <w:sz w:val="20"/>
                <w:szCs w:val="20"/>
              </w:rPr>
              <w:t>Mandanas</w:t>
            </w:r>
            <w:proofErr w:type="spellEnd"/>
            <w:r w:rsidRPr="005655A6">
              <w:rPr>
                <w:rFonts w:ascii="Arial Narrow" w:hAnsi="Arial Narrow" w:cstheme="minorHAnsi"/>
                <w:b w:val="0"/>
                <w:bCs w:val="0"/>
                <w:color w:val="auto"/>
                <w:sz w:val="20"/>
                <w:szCs w:val="20"/>
              </w:rPr>
              <w:t xml:space="preserve"> Ruling took a multisectoral approach in helping the government achieve a more effective decentralization of public resources, which has benefitted the quality of the policy advice and TA support to the government. The webinars and public dialogues galvanized the support of two key oversight agencies (the DBM and the DILG) and built consensus among line agencies, local government leaders, and civil society groups on the demand-side and supply-side of transparency and accountability for a more efficient public service delivery.</w:t>
            </w:r>
          </w:p>
        </w:tc>
      </w:tr>
      <w:tr w:rsidR="001D69EC" w:rsidRPr="00B14DF9" w14:paraId="697338DE" w14:textId="77777777" w:rsidTr="00614008">
        <w:trPr>
          <w:tblHeader/>
        </w:trPr>
        <w:tc>
          <w:tcPr>
            <w:tcW w:w="2569" w:type="dxa"/>
            <w:shd w:val="clear" w:color="auto" w:fill="auto"/>
          </w:tcPr>
          <w:p w14:paraId="5064D496" w14:textId="77777777" w:rsidR="001D69EC" w:rsidRPr="005655A6" w:rsidRDefault="001D69EC" w:rsidP="0089441D">
            <w:pPr>
              <w:pStyle w:val="ListParagraph"/>
              <w:numPr>
                <w:ilvl w:val="0"/>
                <w:numId w:val="10"/>
              </w:numPr>
              <w:suppressAutoHyphens w:val="0"/>
              <w:spacing w:before="0" w:after="0" w:line="240" w:lineRule="auto"/>
              <w:ind w:left="216" w:hanging="216"/>
              <w:contextualSpacing w:val="0"/>
              <w:rPr>
                <w:rFonts w:ascii="Arial Narrow" w:hAnsi="Arial Narrow"/>
                <w:sz w:val="20"/>
                <w:szCs w:val="20"/>
              </w:rPr>
            </w:pPr>
            <w:r w:rsidRPr="005655A6">
              <w:rPr>
                <w:rFonts w:ascii="Arial Narrow" w:hAnsi="Arial Narrow"/>
                <w:sz w:val="20"/>
                <w:szCs w:val="20"/>
              </w:rPr>
              <w:t>Public debate informed by empirical evidence and analysis enhanced</w:t>
            </w:r>
          </w:p>
        </w:tc>
        <w:tc>
          <w:tcPr>
            <w:tcW w:w="3002" w:type="dxa"/>
            <w:shd w:val="clear" w:color="auto" w:fill="auto"/>
          </w:tcPr>
          <w:p w14:paraId="473C631F" w14:textId="77777777" w:rsidR="001D69EC" w:rsidRPr="005655A6" w:rsidRDefault="001D69EC" w:rsidP="007805CE">
            <w:pPr>
              <w:pStyle w:val="Header"/>
              <w:tabs>
                <w:tab w:val="clear" w:pos="4680"/>
                <w:tab w:val="clear" w:pos="9360"/>
              </w:tabs>
              <w:rPr>
                <w:rFonts w:ascii="Arial Narrow" w:hAnsi="Arial Narrow" w:cstheme="minorHAnsi"/>
                <w:sz w:val="20"/>
                <w:szCs w:val="20"/>
              </w:rPr>
            </w:pPr>
            <w:r w:rsidRPr="005655A6">
              <w:rPr>
                <w:rFonts w:ascii="Arial Narrow" w:hAnsi="Arial Narrow" w:cstheme="minorHAnsi"/>
                <w:sz w:val="20"/>
                <w:szCs w:val="20"/>
              </w:rPr>
              <w:t>Increased number of references made on studies/analysis supported by the Trust Fund during public debates per thematic area</w:t>
            </w:r>
          </w:p>
        </w:tc>
        <w:tc>
          <w:tcPr>
            <w:tcW w:w="8607" w:type="dxa"/>
            <w:shd w:val="clear" w:color="auto" w:fill="auto"/>
          </w:tcPr>
          <w:p w14:paraId="72B373ED" w14:textId="77777777" w:rsidR="001D69EC" w:rsidRPr="005655A6" w:rsidRDefault="001D69EC" w:rsidP="007805CE">
            <w:pPr>
              <w:pStyle w:val="Header"/>
              <w:tabs>
                <w:tab w:val="clear" w:pos="4680"/>
                <w:tab w:val="clear" w:pos="9360"/>
              </w:tabs>
              <w:rPr>
                <w:rFonts w:ascii="Arial Narrow" w:hAnsi="Arial Narrow" w:cstheme="minorHAnsi"/>
                <w:sz w:val="20"/>
                <w:szCs w:val="20"/>
              </w:rPr>
            </w:pPr>
            <w:r w:rsidRPr="005655A6">
              <w:rPr>
                <w:rFonts w:ascii="Arial Narrow" w:hAnsi="Arial Narrow" w:cstheme="minorHAnsi"/>
                <w:sz w:val="20"/>
                <w:szCs w:val="20"/>
              </w:rPr>
              <w:t>The Real Time Monitoring of COVID-19 Impacts in the Philippines complemented the information available from other sources and they were used by oversight and implementing agencies in developing interventions and implementing rules and regulations for COVID response. The project was notable for providing timely information, especially on geographic areas and topics that were not usually covered in other surveys, such as vaccines, perception of government actions, and challenges in online learning. In addition, the survey findings were used extensively in World Bank analytical work, including the Philippines Economic Update. Two policy notes emanated from the surveys, which received considerable media coverage: one on strengthening effective learning during the pandemic and another on vaccine hesitancy. The survey webpage (worldbank.org/</w:t>
            </w:r>
            <w:proofErr w:type="spellStart"/>
            <w:r w:rsidRPr="005655A6">
              <w:rPr>
                <w:rFonts w:ascii="Arial Narrow" w:hAnsi="Arial Narrow" w:cstheme="minorHAnsi"/>
                <w:sz w:val="20"/>
                <w:szCs w:val="20"/>
              </w:rPr>
              <w:t>covidmonitor</w:t>
            </w:r>
            <w:proofErr w:type="spellEnd"/>
            <w:r w:rsidRPr="005655A6">
              <w:rPr>
                <w:rFonts w:ascii="Arial Narrow" w:hAnsi="Arial Narrow" w:cstheme="minorHAnsi"/>
                <w:sz w:val="20"/>
                <w:szCs w:val="20"/>
              </w:rPr>
              <w:t>) is in the top 10 most visited pages in the World Bank Philippines’ website.</w:t>
            </w:r>
          </w:p>
        </w:tc>
      </w:tr>
    </w:tbl>
    <w:p w14:paraId="07B3BDC5" w14:textId="77777777" w:rsidR="00614008" w:rsidRPr="005655A6" w:rsidRDefault="00614008" w:rsidP="00614008">
      <w:pPr>
        <w:jc w:val="both"/>
        <w:rPr>
          <w:rFonts w:ascii="Arial Narrow" w:hAnsi="Arial Narrow"/>
          <w:sz w:val="20"/>
          <w:szCs w:val="20"/>
        </w:rPr>
      </w:pPr>
      <w:r w:rsidRPr="005655A6">
        <w:rPr>
          <w:rFonts w:ascii="Arial Narrow" w:hAnsi="Arial Narrow"/>
          <w:sz w:val="20"/>
          <w:szCs w:val="20"/>
        </w:rPr>
        <w:t>OUTPUT:</w:t>
      </w:r>
    </w:p>
    <w:p w14:paraId="1431416F" w14:textId="176794C5" w:rsidR="00614008" w:rsidRDefault="00614008" w:rsidP="00614008">
      <w:pPr>
        <w:rPr>
          <w:rFonts w:ascii="Arial Narrow" w:hAnsi="Arial Narrow"/>
          <w:sz w:val="20"/>
          <w:szCs w:val="20"/>
        </w:rPr>
      </w:pPr>
      <w:r w:rsidRPr="005655A6">
        <w:rPr>
          <w:rFonts w:ascii="Arial Narrow" w:hAnsi="Arial Narrow"/>
          <w:sz w:val="20"/>
          <w:szCs w:val="20"/>
        </w:rPr>
        <w:t>Public information, education and awareness projects on relevant policies and programs conducted</w:t>
      </w:r>
    </w:p>
    <w:p w14:paraId="7BC307D4" w14:textId="643A4A98" w:rsidR="00614008" w:rsidRDefault="00614008" w:rsidP="00614008">
      <w:pPr>
        <w:rPr>
          <w:rFonts w:ascii="Arial Narrow" w:hAnsi="Arial Narrow"/>
          <w:sz w:val="20"/>
          <w:szCs w:val="20"/>
        </w:rPr>
      </w:pPr>
      <w:r>
        <w:rPr>
          <w:rFonts w:ascii="Arial Narrow" w:hAnsi="Arial Narrow"/>
          <w:sz w:val="20"/>
          <w:szCs w:val="20"/>
        </w:rPr>
        <w:t>KPI</w:t>
      </w:r>
    </w:p>
    <w:p w14:paraId="4644C77C" w14:textId="77777777" w:rsidR="00614008" w:rsidRPr="00614008" w:rsidRDefault="00614008" w:rsidP="00CF4F7F">
      <w:pPr>
        <w:pStyle w:val="Header"/>
        <w:numPr>
          <w:ilvl w:val="0"/>
          <w:numId w:val="11"/>
        </w:numPr>
        <w:suppressAutoHyphens w:val="0"/>
        <w:ind w:left="216" w:hanging="216"/>
      </w:pPr>
      <w:r w:rsidRPr="00614008">
        <w:rPr>
          <w:rFonts w:ascii="Arial Narrow" w:hAnsi="Arial Narrow" w:cstheme="minorHAnsi"/>
          <w:sz w:val="20"/>
          <w:szCs w:val="20"/>
        </w:rPr>
        <w:t>Number of dissemination workshops, forum and stakeholder consultations conducted</w:t>
      </w:r>
    </w:p>
    <w:p w14:paraId="2B4C9A9F" w14:textId="27D8E137" w:rsidR="00614008" w:rsidRDefault="00614008" w:rsidP="00CF4F7F">
      <w:pPr>
        <w:pStyle w:val="Header"/>
        <w:numPr>
          <w:ilvl w:val="0"/>
          <w:numId w:val="11"/>
        </w:numPr>
        <w:suppressAutoHyphens w:val="0"/>
        <w:ind w:left="216" w:hanging="216"/>
      </w:pPr>
      <w:r w:rsidRPr="00614008">
        <w:rPr>
          <w:rFonts w:ascii="Arial Narrow" w:hAnsi="Arial Narrow" w:cstheme="minorHAnsi"/>
          <w:sz w:val="20"/>
          <w:szCs w:val="20"/>
        </w:rPr>
        <w:t>Number of participants that benefitted from dissemination workshops and stakeholder consultations</w:t>
      </w:r>
    </w:p>
    <w:tbl>
      <w:tblPr>
        <w:tblStyle w:val="TableGrid"/>
        <w:tblW w:w="14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78"/>
        <w:gridCol w:w="2055"/>
        <w:gridCol w:w="7019"/>
        <w:gridCol w:w="2432"/>
      </w:tblGrid>
      <w:tr w:rsidR="00614008" w:rsidRPr="00B14DF9" w14:paraId="66BB7D1A" w14:textId="77777777" w:rsidTr="00614008">
        <w:trPr>
          <w:trHeight w:val="248"/>
          <w:tblHeader/>
        </w:trPr>
        <w:tc>
          <w:tcPr>
            <w:tcW w:w="2778" w:type="dxa"/>
            <w:shd w:val="clear" w:color="auto" w:fill="auto"/>
            <w:vAlign w:val="center"/>
          </w:tcPr>
          <w:p w14:paraId="581AA38B" w14:textId="2E4991AC" w:rsidR="00614008" w:rsidRPr="005655A6" w:rsidRDefault="00614008" w:rsidP="007805CE">
            <w:pPr>
              <w:pStyle w:val="Header"/>
              <w:tabs>
                <w:tab w:val="clear" w:pos="4680"/>
                <w:tab w:val="clear" w:pos="9360"/>
              </w:tabs>
              <w:jc w:val="center"/>
              <w:rPr>
                <w:rFonts w:ascii="Arial Narrow" w:hAnsi="Arial Narrow" w:cstheme="minorHAnsi"/>
                <w:sz w:val="20"/>
                <w:szCs w:val="20"/>
              </w:rPr>
            </w:pPr>
            <w:proofErr w:type="spellStart"/>
            <w:r>
              <w:rPr>
                <w:rFonts w:ascii="Arial Narrow" w:hAnsi="Arial Narrow"/>
                <w:sz w:val="20"/>
                <w:szCs w:val="20"/>
              </w:rPr>
              <w:lastRenderedPageBreak/>
              <w:t>AGaP</w:t>
            </w:r>
            <w:proofErr w:type="spellEnd"/>
            <w:r w:rsidRPr="005655A6">
              <w:rPr>
                <w:rFonts w:ascii="Arial Narrow" w:hAnsi="Arial Narrow"/>
                <w:sz w:val="20"/>
                <w:szCs w:val="20"/>
              </w:rPr>
              <w:t xml:space="preserve"> Grant</w:t>
            </w:r>
          </w:p>
        </w:tc>
        <w:tc>
          <w:tcPr>
            <w:tcW w:w="2055" w:type="dxa"/>
            <w:shd w:val="clear" w:color="auto" w:fill="auto"/>
            <w:vAlign w:val="center"/>
          </w:tcPr>
          <w:p w14:paraId="1100F992" w14:textId="77777777" w:rsidR="00614008" w:rsidRPr="005655A6" w:rsidRDefault="00614008" w:rsidP="007805CE">
            <w:pPr>
              <w:pStyle w:val="Header"/>
              <w:jc w:val="center"/>
              <w:rPr>
                <w:rFonts w:ascii="Arial Narrow" w:hAnsi="Arial Narrow"/>
                <w:sz w:val="20"/>
                <w:szCs w:val="20"/>
              </w:rPr>
            </w:pPr>
            <w:r w:rsidRPr="005655A6">
              <w:rPr>
                <w:rFonts w:ascii="Arial Narrow" w:hAnsi="Arial Narrow"/>
                <w:sz w:val="20"/>
                <w:szCs w:val="20"/>
              </w:rPr>
              <w:t xml:space="preserve">Dissemination workshops, </w:t>
            </w:r>
            <w:proofErr w:type="gramStart"/>
            <w:r w:rsidRPr="005655A6">
              <w:rPr>
                <w:rFonts w:ascii="Arial Narrow" w:hAnsi="Arial Narrow"/>
                <w:sz w:val="20"/>
                <w:szCs w:val="20"/>
              </w:rPr>
              <w:t>forum</w:t>
            </w:r>
            <w:proofErr w:type="gramEnd"/>
            <w:r w:rsidRPr="005655A6">
              <w:rPr>
                <w:rFonts w:ascii="Arial Narrow" w:hAnsi="Arial Narrow"/>
                <w:sz w:val="20"/>
                <w:szCs w:val="20"/>
              </w:rPr>
              <w:t xml:space="preserve"> and stakeholder consultations</w:t>
            </w:r>
          </w:p>
        </w:tc>
        <w:tc>
          <w:tcPr>
            <w:tcW w:w="7019" w:type="dxa"/>
            <w:shd w:val="clear" w:color="auto" w:fill="auto"/>
            <w:vAlign w:val="center"/>
          </w:tcPr>
          <w:p w14:paraId="6D7302FE"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sz w:val="20"/>
                <w:szCs w:val="20"/>
              </w:rPr>
              <w:t>Audience</w:t>
            </w:r>
          </w:p>
        </w:tc>
        <w:tc>
          <w:tcPr>
            <w:tcW w:w="2432" w:type="dxa"/>
            <w:shd w:val="clear" w:color="auto" w:fill="auto"/>
            <w:vAlign w:val="center"/>
          </w:tcPr>
          <w:p w14:paraId="7046C9E0"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sz w:val="20"/>
                <w:szCs w:val="20"/>
              </w:rPr>
              <w:t>No. of Pax/Reach</w:t>
            </w:r>
          </w:p>
        </w:tc>
      </w:tr>
      <w:tr w:rsidR="00614008" w:rsidRPr="00B14DF9" w14:paraId="0CEC0F1A" w14:textId="77777777" w:rsidTr="00614008">
        <w:trPr>
          <w:trHeight w:val="247"/>
          <w:tblHeader/>
        </w:trPr>
        <w:tc>
          <w:tcPr>
            <w:tcW w:w="2778" w:type="dxa"/>
            <w:shd w:val="clear" w:color="auto" w:fill="auto"/>
            <w:vAlign w:val="center"/>
          </w:tcPr>
          <w:p w14:paraId="7E62B170" w14:textId="77777777" w:rsidR="00614008" w:rsidRPr="005655A6" w:rsidRDefault="00614008" w:rsidP="007805CE">
            <w:pPr>
              <w:pStyle w:val="Header"/>
              <w:tabs>
                <w:tab w:val="clear" w:pos="4680"/>
                <w:tab w:val="clear" w:pos="9360"/>
              </w:tabs>
              <w:rPr>
                <w:rFonts w:ascii="Arial Narrow" w:hAnsi="Arial Narrow" w:cstheme="minorHAnsi"/>
                <w:sz w:val="20"/>
                <w:szCs w:val="20"/>
              </w:rPr>
            </w:pPr>
            <w:r w:rsidRPr="005655A6">
              <w:rPr>
                <w:rFonts w:ascii="Arial Narrow" w:hAnsi="Arial Narrow"/>
                <w:sz w:val="20"/>
                <w:szCs w:val="20"/>
              </w:rPr>
              <w:t xml:space="preserve">TA for DPL Reforms </w:t>
            </w:r>
          </w:p>
        </w:tc>
        <w:tc>
          <w:tcPr>
            <w:tcW w:w="2055" w:type="dxa"/>
            <w:shd w:val="clear" w:color="auto" w:fill="auto"/>
            <w:vAlign w:val="center"/>
          </w:tcPr>
          <w:p w14:paraId="2B3E1046"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7</w:t>
            </w:r>
          </w:p>
        </w:tc>
        <w:tc>
          <w:tcPr>
            <w:tcW w:w="7019" w:type="dxa"/>
            <w:shd w:val="clear" w:color="auto" w:fill="auto"/>
            <w:vAlign w:val="center"/>
          </w:tcPr>
          <w:p w14:paraId="07030734"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 xml:space="preserve">ARTA, BIR, BOC, BSP, CAAP, DA, DBM, DENR, DFA, DHSUD, DICT, DILG, DOF, </w:t>
            </w:r>
            <w:proofErr w:type="spellStart"/>
            <w:r w:rsidRPr="005655A6">
              <w:rPr>
                <w:rFonts w:ascii="Arial Narrow" w:hAnsi="Arial Narrow" w:cstheme="minorHAnsi"/>
                <w:sz w:val="20"/>
                <w:szCs w:val="20"/>
              </w:rPr>
              <w:t>DoTr</w:t>
            </w:r>
            <w:proofErr w:type="spellEnd"/>
            <w:r w:rsidRPr="005655A6">
              <w:rPr>
                <w:rFonts w:ascii="Arial Narrow" w:hAnsi="Arial Narrow" w:cstheme="minorHAnsi"/>
                <w:sz w:val="20"/>
                <w:szCs w:val="20"/>
              </w:rPr>
              <w:t>, DPWH, DTI, ERC, FDA, NEA, NEDA, PCC, PEZA, PRC, PSA, SEC, TC</w:t>
            </w:r>
          </w:p>
          <w:p w14:paraId="1A380B18"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LGUs</w:t>
            </w:r>
          </w:p>
          <w:p w14:paraId="730E49D8"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Academia, Think tanks</w:t>
            </w:r>
          </w:p>
        </w:tc>
        <w:tc>
          <w:tcPr>
            <w:tcW w:w="2432" w:type="dxa"/>
            <w:shd w:val="clear" w:color="auto" w:fill="auto"/>
            <w:vAlign w:val="center"/>
          </w:tcPr>
          <w:p w14:paraId="0633D12B"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400</w:t>
            </w:r>
          </w:p>
        </w:tc>
      </w:tr>
      <w:tr w:rsidR="00614008" w:rsidRPr="00B14DF9" w14:paraId="15F05B89" w14:textId="77777777" w:rsidTr="00614008">
        <w:trPr>
          <w:trHeight w:val="50"/>
          <w:tblHeader/>
        </w:trPr>
        <w:tc>
          <w:tcPr>
            <w:tcW w:w="2778" w:type="dxa"/>
            <w:shd w:val="clear" w:color="auto" w:fill="auto"/>
            <w:vAlign w:val="center"/>
          </w:tcPr>
          <w:p w14:paraId="179B95FB" w14:textId="77777777" w:rsidR="00614008" w:rsidRPr="005655A6" w:rsidRDefault="00614008" w:rsidP="007805CE">
            <w:pPr>
              <w:pStyle w:val="Header"/>
              <w:tabs>
                <w:tab w:val="clear" w:pos="4680"/>
                <w:tab w:val="clear" w:pos="9360"/>
              </w:tabs>
              <w:rPr>
                <w:rFonts w:ascii="Arial Narrow" w:hAnsi="Arial Narrow" w:cstheme="minorHAnsi"/>
                <w:sz w:val="20"/>
                <w:szCs w:val="20"/>
              </w:rPr>
            </w:pPr>
            <w:r w:rsidRPr="005655A6">
              <w:rPr>
                <w:rFonts w:ascii="Arial Narrow" w:hAnsi="Arial Narrow"/>
                <w:sz w:val="20"/>
                <w:szCs w:val="20"/>
              </w:rPr>
              <w:t xml:space="preserve">Strengthening Support for the </w:t>
            </w:r>
            <w:proofErr w:type="spellStart"/>
            <w:r w:rsidRPr="005655A6">
              <w:rPr>
                <w:rFonts w:ascii="Arial Narrow" w:hAnsi="Arial Narrow"/>
                <w:sz w:val="20"/>
                <w:szCs w:val="20"/>
              </w:rPr>
              <w:t>Pantawid</w:t>
            </w:r>
            <w:proofErr w:type="spellEnd"/>
            <w:r w:rsidRPr="005655A6">
              <w:rPr>
                <w:rFonts w:ascii="Arial Narrow" w:hAnsi="Arial Narrow"/>
                <w:sz w:val="20"/>
                <w:szCs w:val="20"/>
              </w:rPr>
              <w:t xml:space="preserve"> Program</w:t>
            </w:r>
          </w:p>
        </w:tc>
        <w:tc>
          <w:tcPr>
            <w:tcW w:w="2055" w:type="dxa"/>
            <w:shd w:val="clear" w:color="auto" w:fill="auto"/>
            <w:vAlign w:val="center"/>
          </w:tcPr>
          <w:p w14:paraId="46D57D59"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4</w:t>
            </w:r>
          </w:p>
        </w:tc>
        <w:tc>
          <w:tcPr>
            <w:tcW w:w="7019" w:type="dxa"/>
            <w:shd w:val="clear" w:color="auto" w:fill="auto"/>
            <w:vAlign w:val="center"/>
          </w:tcPr>
          <w:p w14:paraId="07369DE5"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DSWD</w:t>
            </w:r>
          </w:p>
        </w:tc>
        <w:tc>
          <w:tcPr>
            <w:tcW w:w="2432" w:type="dxa"/>
            <w:shd w:val="clear" w:color="auto" w:fill="auto"/>
            <w:vAlign w:val="center"/>
          </w:tcPr>
          <w:p w14:paraId="55541682"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50</w:t>
            </w:r>
          </w:p>
        </w:tc>
      </w:tr>
      <w:tr w:rsidR="00614008" w:rsidRPr="00B14DF9" w14:paraId="4CDED995" w14:textId="77777777" w:rsidTr="00614008">
        <w:trPr>
          <w:trHeight w:val="247"/>
          <w:tblHeader/>
        </w:trPr>
        <w:tc>
          <w:tcPr>
            <w:tcW w:w="2778" w:type="dxa"/>
            <w:shd w:val="clear" w:color="auto" w:fill="auto"/>
            <w:vAlign w:val="center"/>
          </w:tcPr>
          <w:p w14:paraId="3C7689D8" w14:textId="77777777" w:rsidR="00614008" w:rsidRPr="005655A6" w:rsidRDefault="00614008" w:rsidP="007805CE">
            <w:pPr>
              <w:pStyle w:val="Header"/>
              <w:tabs>
                <w:tab w:val="clear" w:pos="4680"/>
                <w:tab w:val="clear" w:pos="9360"/>
              </w:tabs>
              <w:rPr>
                <w:rFonts w:ascii="Arial Narrow" w:hAnsi="Arial Narrow" w:cstheme="minorHAnsi"/>
                <w:sz w:val="20"/>
                <w:szCs w:val="20"/>
              </w:rPr>
            </w:pPr>
            <w:r w:rsidRPr="005655A6">
              <w:rPr>
                <w:rFonts w:ascii="Arial Narrow" w:hAnsi="Arial Narrow"/>
                <w:sz w:val="20"/>
                <w:szCs w:val="20"/>
              </w:rPr>
              <w:t>Supporting Subnational Finance and Decentralization</w:t>
            </w:r>
          </w:p>
        </w:tc>
        <w:tc>
          <w:tcPr>
            <w:tcW w:w="2055" w:type="dxa"/>
            <w:shd w:val="clear" w:color="auto" w:fill="auto"/>
            <w:vAlign w:val="center"/>
          </w:tcPr>
          <w:p w14:paraId="2A93075A"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2</w:t>
            </w:r>
          </w:p>
        </w:tc>
        <w:tc>
          <w:tcPr>
            <w:tcW w:w="7019" w:type="dxa"/>
            <w:shd w:val="clear" w:color="auto" w:fill="auto"/>
            <w:vAlign w:val="center"/>
          </w:tcPr>
          <w:p w14:paraId="658DC00A" w14:textId="77777777" w:rsidR="00614008" w:rsidRPr="005655A6" w:rsidRDefault="00614008" w:rsidP="007805CE">
            <w:pPr>
              <w:pStyle w:val="Header"/>
              <w:jc w:val="center"/>
              <w:rPr>
                <w:rFonts w:ascii="Arial Narrow" w:hAnsi="Arial Narrow" w:cstheme="minorHAnsi"/>
                <w:sz w:val="20"/>
                <w:szCs w:val="20"/>
              </w:rPr>
            </w:pPr>
            <w:r w:rsidRPr="005655A6">
              <w:rPr>
                <w:rFonts w:ascii="Arial Narrow" w:hAnsi="Arial Narrow" w:cstheme="minorHAnsi"/>
                <w:sz w:val="20"/>
                <w:szCs w:val="20"/>
              </w:rPr>
              <w:t>DBM, DILG, House of Representatives, Senate, NEDA</w:t>
            </w:r>
          </w:p>
          <w:p w14:paraId="0A0D3041" w14:textId="77777777" w:rsidR="00614008" w:rsidRPr="005655A6" w:rsidRDefault="00614008" w:rsidP="007805CE">
            <w:pPr>
              <w:pStyle w:val="Header"/>
              <w:jc w:val="center"/>
              <w:rPr>
                <w:rFonts w:ascii="Arial Narrow" w:hAnsi="Arial Narrow" w:cstheme="minorHAnsi"/>
                <w:sz w:val="20"/>
                <w:szCs w:val="20"/>
              </w:rPr>
            </w:pPr>
            <w:r w:rsidRPr="005655A6">
              <w:rPr>
                <w:rFonts w:ascii="Arial Narrow" w:hAnsi="Arial Narrow" w:cstheme="minorHAnsi"/>
                <w:sz w:val="20"/>
                <w:szCs w:val="20"/>
              </w:rPr>
              <w:t>LGUs</w:t>
            </w:r>
          </w:p>
          <w:p w14:paraId="3700E151" w14:textId="77777777" w:rsidR="00614008" w:rsidRPr="005655A6" w:rsidRDefault="00614008" w:rsidP="007805CE">
            <w:pPr>
              <w:pStyle w:val="Header"/>
              <w:jc w:val="center"/>
              <w:rPr>
                <w:rFonts w:ascii="Arial Narrow" w:hAnsi="Arial Narrow" w:cstheme="minorHAnsi"/>
                <w:sz w:val="20"/>
                <w:szCs w:val="20"/>
              </w:rPr>
            </w:pPr>
            <w:r w:rsidRPr="005655A6">
              <w:rPr>
                <w:rFonts w:ascii="Arial Narrow" w:hAnsi="Arial Narrow" w:cstheme="minorHAnsi"/>
                <w:sz w:val="20"/>
                <w:szCs w:val="20"/>
              </w:rPr>
              <w:t>Private Sector</w:t>
            </w:r>
          </w:p>
          <w:p w14:paraId="37D0A0A4" w14:textId="77777777" w:rsidR="00614008" w:rsidRPr="005655A6" w:rsidRDefault="00614008" w:rsidP="007805CE">
            <w:pPr>
              <w:pStyle w:val="Header"/>
              <w:jc w:val="center"/>
              <w:rPr>
                <w:rFonts w:ascii="Arial Narrow" w:hAnsi="Arial Narrow" w:cstheme="minorHAnsi"/>
                <w:sz w:val="20"/>
                <w:szCs w:val="20"/>
              </w:rPr>
            </w:pPr>
            <w:r w:rsidRPr="005655A6">
              <w:rPr>
                <w:rFonts w:ascii="Arial Narrow" w:hAnsi="Arial Narrow" w:cstheme="minorHAnsi"/>
                <w:sz w:val="20"/>
                <w:szCs w:val="20"/>
              </w:rPr>
              <w:t xml:space="preserve">Academia, Think Tanks </w:t>
            </w:r>
          </w:p>
          <w:p w14:paraId="59AF809A"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DFAT, EU, UN</w:t>
            </w:r>
          </w:p>
        </w:tc>
        <w:tc>
          <w:tcPr>
            <w:tcW w:w="2432" w:type="dxa"/>
            <w:shd w:val="clear" w:color="auto" w:fill="auto"/>
            <w:vAlign w:val="center"/>
          </w:tcPr>
          <w:p w14:paraId="3CE589A8"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1,000</w:t>
            </w:r>
          </w:p>
        </w:tc>
      </w:tr>
      <w:tr w:rsidR="00614008" w:rsidRPr="00B14DF9" w14:paraId="3B21A4D5" w14:textId="77777777" w:rsidTr="00614008">
        <w:trPr>
          <w:trHeight w:val="247"/>
          <w:tblHeader/>
        </w:trPr>
        <w:tc>
          <w:tcPr>
            <w:tcW w:w="2778" w:type="dxa"/>
            <w:shd w:val="clear" w:color="auto" w:fill="auto"/>
            <w:vAlign w:val="center"/>
          </w:tcPr>
          <w:p w14:paraId="3E27C410" w14:textId="77777777" w:rsidR="00614008" w:rsidRPr="005655A6" w:rsidRDefault="00614008" w:rsidP="007805CE">
            <w:pPr>
              <w:pStyle w:val="Header"/>
              <w:tabs>
                <w:tab w:val="clear" w:pos="4680"/>
                <w:tab w:val="clear" w:pos="9360"/>
              </w:tabs>
              <w:rPr>
                <w:rFonts w:ascii="Arial Narrow" w:hAnsi="Arial Narrow" w:cstheme="minorHAnsi"/>
                <w:strike/>
                <w:sz w:val="20"/>
                <w:szCs w:val="20"/>
              </w:rPr>
            </w:pPr>
            <w:r w:rsidRPr="005655A6">
              <w:rPr>
                <w:rFonts w:ascii="Arial Narrow" w:hAnsi="Arial Narrow"/>
                <w:sz w:val="20"/>
                <w:szCs w:val="20"/>
              </w:rPr>
              <w:t>Real Time Monitoring of COVID-19 Impacts in the Philippines</w:t>
            </w:r>
          </w:p>
        </w:tc>
        <w:tc>
          <w:tcPr>
            <w:tcW w:w="2055" w:type="dxa"/>
            <w:shd w:val="clear" w:color="auto" w:fill="auto"/>
            <w:vAlign w:val="center"/>
          </w:tcPr>
          <w:p w14:paraId="16996D5C"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3</w:t>
            </w:r>
          </w:p>
        </w:tc>
        <w:tc>
          <w:tcPr>
            <w:tcW w:w="7019" w:type="dxa"/>
            <w:shd w:val="clear" w:color="auto" w:fill="auto"/>
            <w:vAlign w:val="center"/>
          </w:tcPr>
          <w:p w14:paraId="17052A35" w14:textId="7058F740"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Private Sector</w:t>
            </w:r>
            <w:r>
              <w:rPr>
                <w:rFonts w:ascii="Arial Narrow" w:hAnsi="Arial Narrow" w:cstheme="minorHAnsi"/>
                <w:sz w:val="20"/>
                <w:szCs w:val="20"/>
              </w:rPr>
              <w:t>,</w:t>
            </w:r>
            <w:r w:rsidRPr="005655A6">
              <w:rPr>
                <w:rFonts w:ascii="Arial Narrow" w:hAnsi="Arial Narrow" w:cstheme="minorHAnsi"/>
                <w:sz w:val="20"/>
                <w:szCs w:val="20"/>
              </w:rPr>
              <w:t xml:space="preserve"> Labo</w:t>
            </w:r>
            <w:r>
              <w:rPr>
                <w:rFonts w:ascii="Arial Narrow" w:hAnsi="Arial Narrow" w:cstheme="minorHAnsi"/>
                <w:sz w:val="20"/>
                <w:szCs w:val="20"/>
              </w:rPr>
              <w:t>u</w:t>
            </w:r>
            <w:r w:rsidRPr="005655A6">
              <w:rPr>
                <w:rFonts w:ascii="Arial Narrow" w:hAnsi="Arial Narrow" w:cstheme="minorHAnsi"/>
                <w:sz w:val="20"/>
                <w:szCs w:val="20"/>
              </w:rPr>
              <w:t>r</w:t>
            </w:r>
          </w:p>
        </w:tc>
        <w:tc>
          <w:tcPr>
            <w:tcW w:w="2432" w:type="dxa"/>
            <w:shd w:val="clear" w:color="auto" w:fill="auto"/>
            <w:vAlign w:val="center"/>
          </w:tcPr>
          <w:p w14:paraId="3C30E72E"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60</w:t>
            </w:r>
          </w:p>
        </w:tc>
      </w:tr>
      <w:tr w:rsidR="00614008" w:rsidRPr="00B14DF9" w14:paraId="0D270D1A" w14:textId="77777777" w:rsidTr="00614008">
        <w:trPr>
          <w:trHeight w:val="247"/>
          <w:tblHeader/>
        </w:trPr>
        <w:tc>
          <w:tcPr>
            <w:tcW w:w="2778" w:type="dxa"/>
            <w:shd w:val="clear" w:color="auto" w:fill="auto"/>
            <w:vAlign w:val="center"/>
          </w:tcPr>
          <w:p w14:paraId="55BAF694" w14:textId="77777777" w:rsidR="00614008" w:rsidRPr="005655A6" w:rsidRDefault="00614008" w:rsidP="007805CE">
            <w:pPr>
              <w:pStyle w:val="Header"/>
              <w:tabs>
                <w:tab w:val="clear" w:pos="4680"/>
                <w:tab w:val="clear" w:pos="9360"/>
              </w:tabs>
              <w:rPr>
                <w:rFonts w:ascii="Arial Narrow" w:hAnsi="Arial Narrow" w:cstheme="minorHAnsi"/>
                <w:sz w:val="20"/>
                <w:szCs w:val="20"/>
              </w:rPr>
            </w:pPr>
            <w:r w:rsidRPr="005655A6">
              <w:rPr>
                <w:rFonts w:ascii="Arial Narrow" w:hAnsi="Arial Narrow"/>
                <w:sz w:val="20"/>
                <w:szCs w:val="20"/>
              </w:rPr>
              <w:t>Strengthening Implementation Support for Health COVID Response</w:t>
            </w:r>
          </w:p>
        </w:tc>
        <w:tc>
          <w:tcPr>
            <w:tcW w:w="2055" w:type="dxa"/>
            <w:shd w:val="clear" w:color="auto" w:fill="auto"/>
            <w:vAlign w:val="center"/>
          </w:tcPr>
          <w:p w14:paraId="00927592"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11</w:t>
            </w:r>
          </w:p>
        </w:tc>
        <w:tc>
          <w:tcPr>
            <w:tcW w:w="7019" w:type="dxa"/>
            <w:shd w:val="clear" w:color="auto" w:fill="auto"/>
            <w:vAlign w:val="center"/>
          </w:tcPr>
          <w:p w14:paraId="0DB50170"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 xml:space="preserve">NCIP </w:t>
            </w:r>
          </w:p>
          <w:p w14:paraId="7404DD48"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IPs, PWDs, Women</w:t>
            </w:r>
          </w:p>
        </w:tc>
        <w:tc>
          <w:tcPr>
            <w:tcW w:w="2432" w:type="dxa"/>
            <w:shd w:val="clear" w:color="auto" w:fill="auto"/>
            <w:vAlign w:val="center"/>
          </w:tcPr>
          <w:p w14:paraId="79AA1651"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350</w:t>
            </w:r>
          </w:p>
        </w:tc>
      </w:tr>
      <w:tr w:rsidR="00614008" w:rsidRPr="00B14DF9" w14:paraId="3F5449D6" w14:textId="77777777" w:rsidTr="00614008">
        <w:trPr>
          <w:trHeight w:val="247"/>
          <w:tblHeader/>
        </w:trPr>
        <w:tc>
          <w:tcPr>
            <w:tcW w:w="2778" w:type="dxa"/>
            <w:shd w:val="clear" w:color="auto" w:fill="auto"/>
            <w:vAlign w:val="center"/>
          </w:tcPr>
          <w:p w14:paraId="54823E14" w14:textId="77777777" w:rsidR="00614008" w:rsidRPr="005655A6" w:rsidRDefault="00614008" w:rsidP="007805CE">
            <w:pPr>
              <w:pStyle w:val="Header"/>
              <w:tabs>
                <w:tab w:val="clear" w:pos="4680"/>
                <w:tab w:val="clear" w:pos="9360"/>
              </w:tabs>
              <w:rPr>
                <w:rFonts w:ascii="Arial Narrow" w:hAnsi="Arial Narrow" w:cstheme="minorHAnsi"/>
                <w:sz w:val="20"/>
                <w:szCs w:val="20"/>
              </w:rPr>
            </w:pPr>
            <w:r w:rsidRPr="005655A6">
              <w:rPr>
                <w:rFonts w:ascii="Arial Narrow" w:hAnsi="Arial Narrow"/>
                <w:sz w:val="20"/>
                <w:szCs w:val="20"/>
              </w:rPr>
              <w:t>Support to Active Transport in Metro Manila</w:t>
            </w:r>
          </w:p>
        </w:tc>
        <w:tc>
          <w:tcPr>
            <w:tcW w:w="2055" w:type="dxa"/>
            <w:shd w:val="clear" w:color="auto" w:fill="auto"/>
            <w:vAlign w:val="center"/>
          </w:tcPr>
          <w:p w14:paraId="2394573D"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4</w:t>
            </w:r>
          </w:p>
        </w:tc>
        <w:tc>
          <w:tcPr>
            <w:tcW w:w="7019" w:type="dxa"/>
            <w:shd w:val="clear" w:color="auto" w:fill="auto"/>
            <w:vAlign w:val="center"/>
          </w:tcPr>
          <w:p w14:paraId="0CE38E10"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 xml:space="preserve">Vulnerable groups, road users, </w:t>
            </w:r>
            <w:proofErr w:type="gramStart"/>
            <w:r w:rsidRPr="005655A6">
              <w:rPr>
                <w:rFonts w:ascii="Arial Narrow" w:hAnsi="Arial Narrow" w:cstheme="minorHAnsi"/>
                <w:sz w:val="20"/>
                <w:szCs w:val="20"/>
              </w:rPr>
              <w:t>general public</w:t>
            </w:r>
            <w:proofErr w:type="gramEnd"/>
          </w:p>
        </w:tc>
        <w:tc>
          <w:tcPr>
            <w:tcW w:w="2432" w:type="dxa"/>
            <w:shd w:val="clear" w:color="auto" w:fill="auto"/>
            <w:vAlign w:val="center"/>
          </w:tcPr>
          <w:p w14:paraId="10CDB98E"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cstheme="minorHAnsi"/>
                <w:sz w:val="20"/>
                <w:szCs w:val="20"/>
              </w:rPr>
              <w:t>7,600</w:t>
            </w:r>
          </w:p>
        </w:tc>
      </w:tr>
    </w:tbl>
    <w:p w14:paraId="15893F34" w14:textId="77777777" w:rsidR="00614008" w:rsidRDefault="00614008"/>
    <w:p w14:paraId="3D9C75BF" w14:textId="77777777" w:rsidR="00614008" w:rsidRDefault="00614008">
      <w:pPr>
        <w:spacing w:before="0"/>
      </w:pPr>
      <w:r>
        <w:br w:type="page"/>
      </w:r>
    </w:p>
    <w:p w14:paraId="57A5BBFC" w14:textId="4D4A7CA4" w:rsidR="00614008" w:rsidRDefault="00614008">
      <w:r>
        <w:lastRenderedPageBreak/>
        <w:t>KPI</w:t>
      </w:r>
    </w:p>
    <w:p w14:paraId="0B26FED8" w14:textId="720B5325" w:rsidR="00614008" w:rsidRDefault="00614008">
      <w:r w:rsidRPr="005655A6">
        <w:rPr>
          <w:rFonts w:ascii="Arial Narrow" w:hAnsi="Arial Narrow" w:cstheme="minorHAnsi"/>
          <w:sz w:val="20"/>
          <w:szCs w:val="20"/>
        </w:rPr>
        <w:t xml:space="preserve">Number of information, </w:t>
      </w:r>
      <w:proofErr w:type="gramStart"/>
      <w:r w:rsidRPr="005655A6">
        <w:rPr>
          <w:rFonts w:ascii="Arial Narrow" w:hAnsi="Arial Narrow" w:cstheme="minorHAnsi"/>
          <w:sz w:val="20"/>
          <w:szCs w:val="20"/>
        </w:rPr>
        <w:t>education</w:t>
      </w:r>
      <w:proofErr w:type="gramEnd"/>
      <w:r w:rsidRPr="005655A6">
        <w:rPr>
          <w:rFonts w:ascii="Arial Narrow" w:hAnsi="Arial Narrow" w:cstheme="minorHAnsi"/>
          <w:sz w:val="20"/>
          <w:szCs w:val="20"/>
        </w:rPr>
        <w:t xml:space="preserve"> and communication materials</w:t>
      </w:r>
    </w:p>
    <w:tbl>
      <w:tblPr>
        <w:tblStyle w:val="TableGrid"/>
        <w:tblW w:w="13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21"/>
        <w:gridCol w:w="8563"/>
        <w:gridCol w:w="2294"/>
      </w:tblGrid>
      <w:tr w:rsidR="00614008" w:rsidRPr="00B14DF9" w14:paraId="5E4AEEF1" w14:textId="77777777" w:rsidTr="00614008">
        <w:trPr>
          <w:trHeight w:val="109"/>
          <w:tblHeader/>
        </w:trPr>
        <w:tc>
          <w:tcPr>
            <w:tcW w:w="2621" w:type="dxa"/>
            <w:shd w:val="clear" w:color="auto" w:fill="auto"/>
            <w:vAlign w:val="center"/>
          </w:tcPr>
          <w:p w14:paraId="241A71AB" w14:textId="57663EF0" w:rsidR="00614008" w:rsidRPr="005655A6" w:rsidRDefault="00614008" w:rsidP="007805CE">
            <w:pPr>
              <w:pStyle w:val="Header"/>
              <w:tabs>
                <w:tab w:val="clear" w:pos="4680"/>
                <w:tab w:val="clear" w:pos="9360"/>
              </w:tabs>
              <w:jc w:val="center"/>
              <w:rPr>
                <w:rFonts w:ascii="Arial Narrow" w:hAnsi="Arial Narrow"/>
                <w:sz w:val="20"/>
                <w:szCs w:val="20"/>
              </w:rPr>
            </w:pPr>
            <w:proofErr w:type="spellStart"/>
            <w:r>
              <w:rPr>
                <w:rFonts w:ascii="Arial Narrow" w:hAnsi="Arial Narrow"/>
                <w:sz w:val="20"/>
                <w:szCs w:val="20"/>
              </w:rPr>
              <w:t>AGaP</w:t>
            </w:r>
            <w:proofErr w:type="spellEnd"/>
            <w:r w:rsidRPr="005655A6">
              <w:rPr>
                <w:rFonts w:ascii="Arial Narrow" w:hAnsi="Arial Narrow"/>
                <w:sz w:val="20"/>
                <w:szCs w:val="20"/>
              </w:rPr>
              <w:t xml:space="preserve"> Grant</w:t>
            </w:r>
          </w:p>
        </w:tc>
        <w:tc>
          <w:tcPr>
            <w:tcW w:w="8563" w:type="dxa"/>
            <w:shd w:val="clear" w:color="auto" w:fill="auto"/>
            <w:vAlign w:val="center"/>
          </w:tcPr>
          <w:p w14:paraId="258762B2"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sz w:val="20"/>
                <w:szCs w:val="20"/>
              </w:rPr>
              <w:t>IEC materials developed</w:t>
            </w:r>
          </w:p>
        </w:tc>
        <w:tc>
          <w:tcPr>
            <w:tcW w:w="2294" w:type="dxa"/>
            <w:shd w:val="clear" w:color="auto" w:fill="auto"/>
            <w:vAlign w:val="center"/>
          </w:tcPr>
          <w:p w14:paraId="55E21BA2" w14:textId="77777777" w:rsidR="00614008" w:rsidRPr="005655A6" w:rsidRDefault="00614008" w:rsidP="007805CE">
            <w:pPr>
              <w:pStyle w:val="Header"/>
              <w:tabs>
                <w:tab w:val="clear" w:pos="4680"/>
                <w:tab w:val="clear" w:pos="9360"/>
              </w:tabs>
              <w:jc w:val="center"/>
              <w:rPr>
                <w:rFonts w:ascii="Arial Narrow" w:hAnsi="Arial Narrow" w:cstheme="minorHAnsi"/>
                <w:sz w:val="20"/>
                <w:szCs w:val="20"/>
              </w:rPr>
            </w:pPr>
            <w:r w:rsidRPr="005655A6">
              <w:rPr>
                <w:rFonts w:ascii="Arial Narrow" w:hAnsi="Arial Narrow"/>
                <w:sz w:val="20"/>
                <w:szCs w:val="20"/>
              </w:rPr>
              <w:t>Scope/ Reach</w:t>
            </w:r>
          </w:p>
        </w:tc>
      </w:tr>
      <w:tr w:rsidR="00614008" w:rsidRPr="00B14DF9" w14:paraId="0B5BCEEF" w14:textId="77777777" w:rsidTr="00614008">
        <w:trPr>
          <w:trHeight w:val="315"/>
          <w:tblHeader/>
        </w:trPr>
        <w:tc>
          <w:tcPr>
            <w:tcW w:w="2621" w:type="dxa"/>
            <w:shd w:val="clear" w:color="auto" w:fill="auto"/>
            <w:vAlign w:val="center"/>
          </w:tcPr>
          <w:p w14:paraId="72CE101A" w14:textId="77777777" w:rsidR="00614008" w:rsidRPr="005655A6" w:rsidRDefault="00614008" w:rsidP="007805CE">
            <w:pPr>
              <w:pStyle w:val="Header"/>
              <w:tabs>
                <w:tab w:val="clear" w:pos="4680"/>
                <w:tab w:val="clear" w:pos="9360"/>
              </w:tabs>
              <w:rPr>
                <w:rFonts w:ascii="Arial Narrow" w:hAnsi="Arial Narrow"/>
                <w:sz w:val="20"/>
                <w:szCs w:val="20"/>
              </w:rPr>
            </w:pPr>
            <w:r w:rsidRPr="005655A6">
              <w:rPr>
                <w:rFonts w:ascii="Arial Narrow" w:hAnsi="Arial Narrow"/>
                <w:sz w:val="20"/>
                <w:szCs w:val="20"/>
              </w:rPr>
              <w:t xml:space="preserve">TA for DPL Reforms </w:t>
            </w:r>
          </w:p>
        </w:tc>
        <w:tc>
          <w:tcPr>
            <w:tcW w:w="8563" w:type="dxa"/>
            <w:shd w:val="clear" w:color="auto" w:fill="auto"/>
            <w:vAlign w:val="center"/>
          </w:tcPr>
          <w:p w14:paraId="664CAB61" w14:textId="76D169C7" w:rsidR="00614008" w:rsidRPr="005655A6" w:rsidRDefault="00614008" w:rsidP="007805CE">
            <w:pPr>
              <w:pStyle w:val="Header"/>
              <w:tabs>
                <w:tab w:val="clear" w:pos="4680"/>
                <w:tab w:val="clear" w:pos="9360"/>
              </w:tabs>
              <w:jc w:val="center"/>
              <w:rPr>
                <w:rFonts w:ascii="Arial Narrow" w:hAnsi="Arial Narrow"/>
                <w:sz w:val="20"/>
                <w:szCs w:val="20"/>
              </w:rPr>
            </w:pPr>
            <w:r w:rsidRPr="005655A6">
              <w:rPr>
                <w:rFonts w:ascii="Arial Narrow" w:hAnsi="Arial Narrow"/>
                <w:sz w:val="20"/>
                <w:szCs w:val="20"/>
              </w:rPr>
              <w:t>300</w:t>
            </w:r>
          </w:p>
        </w:tc>
        <w:tc>
          <w:tcPr>
            <w:tcW w:w="2294" w:type="dxa"/>
            <w:shd w:val="clear" w:color="auto" w:fill="auto"/>
            <w:vAlign w:val="center"/>
          </w:tcPr>
          <w:p w14:paraId="2657A4D9" w14:textId="0A804BB1" w:rsidR="00614008" w:rsidRPr="005655A6" w:rsidRDefault="00614008" w:rsidP="007805CE">
            <w:pPr>
              <w:pStyle w:val="Header"/>
              <w:tabs>
                <w:tab w:val="clear" w:pos="4680"/>
                <w:tab w:val="clear" w:pos="9360"/>
              </w:tabs>
              <w:jc w:val="center"/>
              <w:rPr>
                <w:rFonts w:ascii="Arial Narrow" w:hAnsi="Arial Narrow"/>
                <w:sz w:val="20"/>
                <w:szCs w:val="20"/>
              </w:rPr>
            </w:pPr>
            <w:r>
              <w:rPr>
                <w:rFonts w:ascii="Arial Narrow" w:hAnsi="Arial Narrow"/>
                <w:sz w:val="20"/>
                <w:szCs w:val="20"/>
              </w:rPr>
              <w:t>2</w:t>
            </w:r>
          </w:p>
        </w:tc>
      </w:tr>
      <w:tr w:rsidR="00614008" w:rsidRPr="00B14DF9" w14:paraId="4AAB715E" w14:textId="77777777" w:rsidTr="00614008">
        <w:trPr>
          <w:trHeight w:val="263"/>
          <w:tblHeader/>
        </w:trPr>
        <w:tc>
          <w:tcPr>
            <w:tcW w:w="2621" w:type="dxa"/>
            <w:shd w:val="clear" w:color="auto" w:fill="auto"/>
            <w:vAlign w:val="center"/>
          </w:tcPr>
          <w:p w14:paraId="5321E83D" w14:textId="77777777" w:rsidR="00614008" w:rsidRPr="005655A6" w:rsidRDefault="00614008" w:rsidP="007805CE">
            <w:pPr>
              <w:pStyle w:val="Header"/>
              <w:tabs>
                <w:tab w:val="clear" w:pos="4680"/>
                <w:tab w:val="clear" w:pos="9360"/>
              </w:tabs>
              <w:rPr>
                <w:rFonts w:ascii="Arial Narrow" w:hAnsi="Arial Narrow"/>
                <w:sz w:val="20"/>
                <w:szCs w:val="20"/>
              </w:rPr>
            </w:pPr>
            <w:r w:rsidRPr="005655A6">
              <w:rPr>
                <w:rFonts w:ascii="Arial Narrow" w:hAnsi="Arial Narrow"/>
                <w:sz w:val="20"/>
                <w:szCs w:val="20"/>
              </w:rPr>
              <w:t xml:space="preserve">Strengthening Support for the </w:t>
            </w:r>
            <w:proofErr w:type="spellStart"/>
            <w:r w:rsidRPr="005655A6">
              <w:rPr>
                <w:rFonts w:ascii="Arial Narrow" w:hAnsi="Arial Narrow"/>
                <w:sz w:val="20"/>
                <w:szCs w:val="20"/>
              </w:rPr>
              <w:t>Pantawid</w:t>
            </w:r>
            <w:proofErr w:type="spellEnd"/>
            <w:r w:rsidRPr="005655A6">
              <w:rPr>
                <w:rFonts w:ascii="Arial Narrow" w:hAnsi="Arial Narrow"/>
                <w:sz w:val="20"/>
                <w:szCs w:val="20"/>
              </w:rPr>
              <w:t xml:space="preserve"> Program</w:t>
            </w:r>
          </w:p>
        </w:tc>
        <w:tc>
          <w:tcPr>
            <w:tcW w:w="8563" w:type="dxa"/>
            <w:shd w:val="clear" w:color="auto" w:fill="auto"/>
            <w:vAlign w:val="center"/>
          </w:tcPr>
          <w:p w14:paraId="56D7561C" w14:textId="291EB7AE" w:rsidR="00614008" w:rsidRPr="005655A6" w:rsidRDefault="00614008" w:rsidP="007805CE">
            <w:pPr>
              <w:pStyle w:val="Header"/>
              <w:tabs>
                <w:tab w:val="clear" w:pos="4680"/>
                <w:tab w:val="clear" w:pos="9360"/>
              </w:tabs>
              <w:jc w:val="center"/>
              <w:rPr>
                <w:rFonts w:ascii="Arial Narrow" w:hAnsi="Arial Narrow"/>
                <w:sz w:val="20"/>
                <w:szCs w:val="20"/>
              </w:rPr>
            </w:pPr>
            <w:r w:rsidRPr="005655A6">
              <w:rPr>
                <w:rFonts w:ascii="Arial Narrow" w:hAnsi="Arial Narrow"/>
                <w:sz w:val="20"/>
                <w:szCs w:val="20"/>
              </w:rPr>
              <w:t xml:space="preserve">DSWD partner agencies, </w:t>
            </w:r>
            <w:proofErr w:type="gramStart"/>
            <w:r w:rsidRPr="005655A6">
              <w:rPr>
                <w:rFonts w:ascii="Arial Narrow" w:hAnsi="Arial Narrow"/>
                <w:sz w:val="20"/>
                <w:szCs w:val="20"/>
              </w:rPr>
              <w:t>general public</w:t>
            </w:r>
            <w:proofErr w:type="gramEnd"/>
            <w:r w:rsidRPr="005655A6">
              <w:rPr>
                <w:rFonts w:ascii="Arial Narrow" w:hAnsi="Arial Narrow"/>
                <w:sz w:val="20"/>
                <w:szCs w:val="20"/>
              </w:rPr>
              <w:t xml:space="preserve"> thru DSWD website and social media pages</w:t>
            </w:r>
          </w:p>
        </w:tc>
        <w:tc>
          <w:tcPr>
            <w:tcW w:w="2294" w:type="dxa"/>
            <w:shd w:val="clear" w:color="auto" w:fill="auto"/>
            <w:vAlign w:val="center"/>
          </w:tcPr>
          <w:p w14:paraId="1E0F43DF" w14:textId="0045F62A" w:rsidR="00614008" w:rsidRPr="005655A6" w:rsidRDefault="00614008" w:rsidP="007805CE">
            <w:pPr>
              <w:pStyle w:val="Header"/>
              <w:tabs>
                <w:tab w:val="clear" w:pos="4680"/>
                <w:tab w:val="clear" w:pos="9360"/>
              </w:tabs>
              <w:jc w:val="center"/>
              <w:rPr>
                <w:rFonts w:ascii="Arial Narrow" w:hAnsi="Arial Narrow"/>
                <w:sz w:val="20"/>
                <w:szCs w:val="20"/>
              </w:rPr>
            </w:pPr>
            <w:r>
              <w:rPr>
                <w:rFonts w:ascii="Arial Narrow" w:hAnsi="Arial Narrow"/>
                <w:sz w:val="20"/>
                <w:szCs w:val="20"/>
              </w:rPr>
              <w:t>5</w:t>
            </w:r>
          </w:p>
        </w:tc>
      </w:tr>
      <w:tr w:rsidR="00614008" w:rsidRPr="00B14DF9" w14:paraId="68C932D9" w14:textId="77777777" w:rsidTr="00614008">
        <w:trPr>
          <w:trHeight w:val="315"/>
          <w:tblHeader/>
        </w:trPr>
        <w:tc>
          <w:tcPr>
            <w:tcW w:w="2621" w:type="dxa"/>
            <w:shd w:val="clear" w:color="auto" w:fill="auto"/>
            <w:vAlign w:val="center"/>
          </w:tcPr>
          <w:p w14:paraId="3BF1F3E4" w14:textId="77777777" w:rsidR="00614008" w:rsidRPr="005655A6" w:rsidRDefault="00614008" w:rsidP="007805CE">
            <w:pPr>
              <w:pStyle w:val="Header"/>
              <w:tabs>
                <w:tab w:val="clear" w:pos="4680"/>
                <w:tab w:val="clear" w:pos="9360"/>
              </w:tabs>
              <w:rPr>
                <w:rFonts w:ascii="Arial Narrow" w:hAnsi="Arial Narrow"/>
                <w:sz w:val="20"/>
                <w:szCs w:val="20"/>
              </w:rPr>
            </w:pPr>
            <w:r w:rsidRPr="005655A6">
              <w:rPr>
                <w:rFonts w:ascii="Arial Narrow" w:hAnsi="Arial Narrow"/>
                <w:sz w:val="20"/>
                <w:szCs w:val="20"/>
              </w:rPr>
              <w:t>Supporting Subnational Finance and Decentralization</w:t>
            </w:r>
          </w:p>
        </w:tc>
        <w:tc>
          <w:tcPr>
            <w:tcW w:w="8563" w:type="dxa"/>
            <w:shd w:val="clear" w:color="auto" w:fill="auto"/>
            <w:vAlign w:val="center"/>
          </w:tcPr>
          <w:p w14:paraId="4C263F87" w14:textId="41EEF856" w:rsidR="00614008" w:rsidRPr="005655A6" w:rsidRDefault="00614008" w:rsidP="007805CE">
            <w:pPr>
              <w:pStyle w:val="Header"/>
              <w:tabs>
                <w:tab w:val="clear" w:pos="4680"/>
                <w:tab w:val="clear" w:pos="9360"/>
              </w:tabs>
              <w:jc w:val="center"/>
              <w:rPr>
                <w:rFonts w:ascii="Arial Narrow" w:hAnsi="Arial Narrow"/>
                <w:sz w:val="20"/>
                <w:szCs w:val="20"/>
              </w:rPr>
            </w:pPr>
            <w:r w:rsidRPr="005655A6">
              <w:rPr>
                <w:rFonts w:ascii="Arial Narrow" w:hAnsi="Arial Narrow"/>
                <w:sz w:val="20"/>
                <w:szCs w:val="20"/>
              </w:rPr>
              <w:t xml:space="preserve">2 million thru websites and social media pages of DBM, </w:t>
            </w:r>
            <w:proofErr w:type="gramStart"/>
            <w:r w:rsidRPr="005655A6">
              <w:rPr>
                <w:rFonts w:ascii="Arial Narrow" w:hAnsi="Arial Narrow"/>
                <w:sz w:val="20"/>
                <w:szCs w:val="20"/>
              </w:rPr>
              <w:t>DILG,  World</w:t>
            </w:r>
            <w:proofErr w:type="gramEnd"/>
            <w:r w:rsidRPr="005655A6">
              <w:rPr>
                <w:rFonts w:ascii="Arial Narrow" w:hAnsi="Arial Narrow"/>
                <w:sz w:val="20"/>
                <w:szCs w:val="20"/>
              </w:rPr>
              <w:t xml:space="preserve"> Bank, LGUs</w:t>
            </w:r>
          </w:p>
        </w:tc>
        <w:tc>
          <w:tcPr>
            <w:tcW w:w="2294" w:type="dxa"/>
            <w:shd w:val="clear" w:color="auto" w:fill="auto"/>
            <w:vAlign w:val="center"/>
          </w:tcPr>
          <w:p w14:paraId="726005BE" w14:textId="79EE0E6E" w:rsidR="00614008" w:rsidRPr="005655A6" w:rsidRDefault="00614008" w:rsidP="007805CE">
            <w:pPr>
              <w:pStyle w:val="Header"/>
              <w:tabs>
                <w:tab w:val="clear" w:pos="4680"/>
                <w:tab w:val="clear" w:pos="9360"/>
              </w:tabs>
              <w:jc w:val="center"/>
              <w:rPr>
                <w:rFonts w:ascii="Arial Narrow" w:hAnsi="Arial Narrow"/>
                <w:sz w:val="20"/>
                <w:szCs w:val="20"/>
              </w:rPr>
            </w:pPr>
            <w:r>
              <w:rPr>
                <w:rFonts w:ascii="Arial Narrow" w:hAnsi="Arial Narrow"/>
                <w:sz w:val="20"/>
                <w:szCs w:val="20"/>
              </w:rPr>
              <w:t>12</w:t>
            </w:r>
          </w:p>
        </w:tc>
      </w:tr>
      <w:tr w:rsidR="00614008" w:rsidRPr="00B14DF9" w14:paraId="03087AB4" w14:textId="77777777" w:rsidTr="00614008">
        <w:trPr>
          <w:trHeight w:val="211"/>
          <w:tblHeader/>
        </w:trPr>
        <w:tc>
          <w:tcPr>
            <w:tcW w:w="2621" w:type="dxa"/>
            <w:shd w:val="clear" w:color="auto" w:fill="auto"/>
            <w:vAlign w:val="center"/>
          </w:tcPr>
          <w:p w14:paraId="732BA95C" w14:textId="77777777" w:rsidR="00614008" w:rsidRPr="005655A6" w:rsidRDefault="00614008" w:rsidP="007805CE">
            <w:pPr>
              <w:pStyle w:val="Header"/>
              <w:tabs>
                <w:tab w:val="clear" w:pos="4680"/>
                <w:tab w:val="clear" w:pos="9360"/>
              </w:tabs>
              <w:rPr>
                <w:rFonts w:ascii="Arial Narrow" w:hAnsi="Arial Narrow"/>
                <w:sz w:val="20"/>
                <w:szCs w:val="20"/>
              </w:rPr>
            </w:pPr>
            <w:r w:rsidRPr="005655A6">
              <w:rPr>
                <w:rFonts w:ascii="Arial Narrow" w:hAnsi="Arial Narrow"/>
                <w:sz w:val="20"/>
                <w:szCs w:val="20"/>
              </w:rPr>
              <w:t>Women’s Economic Empowerment</w:t>
            </w:r>
          </w:p>
        </w:tc>
        <w:tc>
          <w:tcPr>
            <w:tcW w:w="8563" w:type="dxa"/>
            <w:shd w:val="clear" w:color="auto" w:fill="auto"/>
            <w:vAlign w:val="center"/>
          </w:tcPr>
          <w:p w14:paraId="6D0D1320" w14:textId="71A310F6" w:rsidR="00614008" w:rsidRPr="005655A6" w:rsidRDefault="00614008" w:rsidP="007805CE">
            <w:pPr>
              <w:pStyle w:val="Header"/>
              <w:tabs>
                <w:tab w:val="clear" w:pos="4680"/>
                <w:tab w:val="clear" w:pos="9360"/>
              </w:tabs>
              <w:jc w:val="center"/>
              <w:rPr>
                <w:rFonts w:ascii="Arial Narrow" w:hAnsi="Arial Narrow"/>
                <w:sz w:val="20"/>
                <w:szCs w:val="20"/>
              </w:rPr>
            </w:pPr>
            <w:r w:rsidRPr="005655A6">
              <w:rPr>
                <w:rFonts w:ascii="Arial Narrow" w:hAnsi="Arial Narrow"/>
                <w:sz w:val="20"/>
                <w:szCs w:val="20"/>
              </w:rPr>
              <w:t>1,000 thru WB website and social media pages</w:t>
            </w:r>
          </w:p>
        </w:tc>
        <w:tc>
          <w:tcPr>
            <w:tcW w:w="2294" w:type="dxa"/>
            <w:shd w:val="clear" w:color="auto" w:fill="auto"/>
            <w:vAlign w:val="center"/>
          </w:tcPr>
          <w:p w14:paraId="29A39143" w14:textId="681BEFF1" w:rsidR="00614008" w:rsidRPr="005655A6" w:rsidRDefault="00614008" w:rsidP="007805CE">
            <w:pPr>
              <w:pStyle w:val="Header"/>
              <w:tabs>
                <w:tab w:val="clear" w:pos="4680"/>
                <w:tab w:val="clear" w:pos="9360"/>
              </w:tabs>
              <w:jc w:val="center"/>
              <w:rPr>
                <w:rFonts w:ascii="Arial Narrow" w:hAnsi="Arial Narrow"/>
                <w:sz w:val="20"/>
                <w:szCs w:val="20"/>
              </w:rPr>
            </w:pPr>
            <w:r>
              <w:rPr>
                <w:rFonts w:ascii="Arial Narrow" w:hAnsi="Arial Narrow"/>
                <w:sz w:val="20"/>
                <w:szCs w:val="20"/>
              </w:rPr>
              <w:t>1</w:t>
            </w:r>
          </w:p>
        </w:tc>
      </w:tr>
      <w:tr w:rsidR="00614008" w:rsidRPr="00B14DF9" w14:paraId="3AB795A7" w14:textId="77777777" w:rsidTr="00614008">
        <w:trPr>
          <w:trHeight w:val="315"/>
          <w:tblHeader/>
        </w:trPr>
        <w:tc>
          <w:tcPr>
            <w:tcW w:w="2621" w:type="dxa"/>
            <w:shd w:val="clear" w:color="auto" w:fill="auto"/>
            <w:vAlign w:val="center"/>
          </w:tcPr>
          <w:p w14:paraId="0A401BAD" w14:textId="77777777" w:rsidR="00614008" w:rsidRPr="005655A6" w:rsidRDefault="00614008" w:rsidP="007805CE">
            <w:pPr>
              <w:pStyle w:val="Header"/>
              <w:tabs>
                <w:tab w:val="clear" w:pos="4680"/>
                <w:tab w:val="clear" w:pos="9360"/>
              </w:tabs>
              <w:rPr>
                <w:rFonts w:ascii="Arial Narrow" w:hAnsi="Arial Narrow"/>
                <w:sz w:val="20"/>
                <w:szCs w:val="20"/>
              </w:rPr>
            </w:pPr>
            <w:r w:rsidRPr="005655A6">
              <w:rPr>
                <w:rFonts w:ascii="Arial Narrow" w:hAnsi="Arial Narrow"/>
                <w:sz w:val="20"/>
                <w:szCs w:val="20"/>
              </w:rPr>
              <w:t>Real Time Monitoring of COVID-19 Impacts in the Philippines</w:t>
            </w:r>
          </w:p>
        </w:tc>
        <w:tc>
          <w:tcPr>
            <w:tcW w:w="8563" w:type="dxa"/>
            <w:shd w:val="clear" w:color="auto" w:fill="auto"/>
            <w:vAlign w:val="center"/>
          </w:tcPr>
          <w:p w14:paraId="58726CD9" w14:textId="6ED89885" w:rsidR="00614008" w:rsidRPr="005655A6" w:rsidRDefault="00614008" w:rsidP="007805CE">
            <w:pPr>
              <w:pStyle w:val="Header"/>
              <w:tabs>
                <w:tab w:val="clear" w:pos="4680"/>
                <w:tab w:val="clear" w:pos="9360"/>
              </w:tabs>
              <w:jc w:val="center"/>
              <w:rPr>
                <w:rFonts w:ascii="Arial Narrow" w:hAnsi="Arial Narrow"/>
                <w:sz w:val="20"/>
                <w:szCs w:val="20"/>
              </w:rPr>
            </w:pPr>
            <w:r w:rsidRPr="005655A6">
              <w:rPr>
                <w:rFonts w:ascii="Arial Narrow" w:hAnsi="Arial Narrow"/>
                <w:sz w:val="20"/>
                <w:szCs w:val="20"/>
              </w:rPr>
              <w:t>35,000 thru WB website and social media pages</w:t>
            </w:r>
          </w:p>
        </w:tc>
        <w:tc>
          <w:tcPr>
            <w:tcW w:w="2294" w:type="dxa"/>
            <w:shd w:val="clear" w:color="auto" w:fill="auto"/>
            <w:vAlign w:val="center"/>
          </w:tcPr>
          <w:p w14:paraId="38C6B918" w14:textId="5F65E705" w:rsidR="00614008" w:rsidRPr="005655A6" w:rsidRDefault="00614008" w:rsidP="007805CE">
            <w:pPr>
              <w:pStyle w:val="Header"/>
              <w:tabs>
                <w:tab w:val="clear" w:pos="4680"/>
                <w:tab w:val="clear" w:pos="9360"/>
              </w:tabs>
              <w:jc w:val="center"/>
              <w:rPr>
                <w:rFonts w:ascii="Arial Narrow" w:hAnsi="Arial Narrow"/>
                <w:sz w:val="20"/>
                <w:szCs w:val="20"/>
              </w:rPr>
            </w:pPr>
            <w:r>
              <w:rPr>
                <w:rFonts w:ascii="Arial Narrow" w:hAnsi="Arial Narrow"/>
                <w:sz w:val="20"/>
                <w:szCs w:val="20"/>
              </w:rPr>
              <w:t>8</w:t>
            </w:r>
          </w:p>
        </w:tc>
      </w:tr>
      <w:tr w:rsidR="00614008" w:rsidRPr="00B14DF9" w14:paraId="38D2304C" w14:textId="77777777" w:rsidTr="00614008">
        <w:trPr>
          <w:trHeight w:val="315"/>
          <w:tblHeader/>
        </w:trPr>
        <w:tc>
          <w:tcPr>
            <w:tcW w:w="2621" w:type="dxa"/>
            <w:shd w:val="clear" w:color="auto" w:fill="auto"/>
            <w:vAlign w:val="center"/>
          </w:tcPr>
          <w:p w14:paraId="314958EF" w14:textId="77777777" w:rsidR="00614008" w:rsidRPr="005655A6" w:rsidRDefault="00614008" w:rsidP="007805CE">
            <w:pPr>
              <w:pStyle w:val="Header"/>
              <w:tabs>
                <w:tab w:val="clear" w:pos="4680"/>
                <w:tab w:val="clear" w:pos="9360"/>
              </w:tabs>
              <w:rPr>
                <w:rFonts w:ascii="Arial Narrow" w:hAnsi="Arial Narrow"/>
                <w:sz w:val="20"/>
                <w:szCs w:val="20"/>
              </w:rPr>
            </w:pPr>
            <w:r w:rsidRPr="005655A6">
              <w:rPr>
                <w:rFonts w:ascii="Arial Narrow" w:hAnsi="Arial Narrow"/>
                <w:sz w:val="20"/>
                <w:szCs w:val="20"/>
              </w:rPr>
              <w:t>Strengthening Implementation Support for Health COVID Response</w:t>
            </w:r>
          </w:p>
        </w:tc>
        <w:tc>
          <w:tcPr>
            <w:tcW w:w="8563" w:type="dxa"/>
            <w:shd w:val="clear" w:color="auto" w:fill="auto"/>
            <w:vAlign w:val="center"/>
          </w:tcPr>
          <w:p w14:paraId="65E59241" w14:textId="17B86185" w:rsidR="00614008" w:rsidRPr="005655A6" w:rsidRDefault="00614008" w:rsidP="007805CE">
            <w:pPr>
              <w:pStyle w:val="Header"/>
              <w:tabs>
                <w:tab w:val="clear" w:pos="4680"/>
                <w:tab w:val="clear" w:pos="9360"/>
              </w:tabs>
              <w:jc w:val="center"/>
              <w:rPr>
                <w:rFonts w:ascii="Arial Narrow" w:hAnsi="Arial Narrow"/>
                <w:sz w:val="20"/>
                <w:szCs w:val="20"/>
              </w:rPr>
            </w:pPr>
            <w:r w:rsidRPr="005655A6">
              <w:rPr>
                <w:rFonts w:ascii="Arial Narrow" w:hAnsi="Arial Narrow"/>
                <w:sz w:val="20"/>
                <w:szCs w:val="20"/>
              </w:rPr>
              <w:t>DOH Website</w:t>
            </w:r>
          </w:p>
        </w:tc>
        <w:tc>
          <w:tcPr>
            <w:tcW w:w="2294" w:type="dxa"/>
            <w:shd w:val="clear" w:color="auto" w:fill="auto"/>
            <w:vAlign w:val="center"/>
          </w:tcPr>
          <w:p w14:paraId="3328A1C1" w14:textId="63A461BF" w:rsidR="00614008" w:rsidRPr="005655A6" w:rsidRDefault="00614008" w:rsidP="007805CE">
            <w:pPr>
              <w:pStyle w:val="Header"/>
              <w:tabs>
                <w:tab w:val="clear" w:pos="4680"/>
                <w:tab w:val="clear" w:pos="9360"/>
              </w:tabs>
              <w:jc w:val="center"/>
              <w:rPr>
                <w:rFonts w:ascii="Arial Narrow" w:hAnsi="Arial Narrow"/>
                <w:sz w:val="20"/>
                <w:szCs w:val="20"/>
              </w:rPr>
            </w:pPr>
            <w:r>
              <w:rPr>
                <w:rFonts w:ascii="Arial Narrow" w:hAnsi="Arial Narrow"/>
                <w:sz w:val="20"/>
                <w:szCs w:val="20"/>
              </w:rPr>
              <w:t>1</w:t>
            </w:r>
          </w:p>
        </w:tc>
      </w:tr>
      <w:tr w:rsidR="00614008" w:rsidRPr="00B14DF9" w14:paraId="333D3C38" w14:textId="77777777" w:rsidTr="00614008">
        <w:trPr>
          <w:trHeight w:val="234"/>
          <w:tblHeader/>
        </w:trPr>
        <w:tc>
          <w:tcPr>
            <w:tcW w:w="2621" w:type="dxa"/>
            <w:shd w:val="clear" w:color="auto" w:fill="auto"/>
            <w:vAlign w:val="center"/>
          </w:tcPr>
          <w:p w14:paraId="207927E1" w14:textId="77777777" w:rsidR="00614008" w:rsidRPr="005655A6" w:rsidRDefault="00614008" w:rsidP="007805CE">
            <w:pPr>
              <w:pStyle w:val="Header"/>
              <w:tabs>
                <w:tab w:val="clear" w:pos="4680"/>
                <w:tab w:val="clear" w:pos="9360"/>
              </w:tabs>
              <w:rPr>
                <w:rFonts w:ascii="Arial Narrow" w:hAnsi="Arial Narrow"/>
                <w:sz w:val="20"/>
                <w:szCs w:val="20"/>
              </w:rPr>
            </w:pPr>
            <w:r w:rsidRPr="005655A6">
              <w:rPr>
                <w:rFonts w:ascii="Arial Narrow" w:hAnsi="Arial Narrow"/>
                <w:sz w:val="20"/>
                <w:szCs w:val="20"/>
              </w:rPr>
              <w:t>Support to Active Transport in Metro Manila</w:t>
            </w:r>
          </w:p>
        </w:tc>
        <w:tc>
          <w:tcPr>
            <w:tcW w:w="8563" w:type="dxa"/>
            <w:shd w:val="clear" w:color="auto" w:fill="auto"/>
            <w:vAlign w:val="center"/>
          </w:tcPr>
          <w:p w14:paraId="78E01ADC" w14:textId="6597F5F2" w:rsidR="00614008" w:rsidRPr="005655A6" w:rsidRDefault="00614008" w:rsidP="005655A6">
            <w:pPr>
              <w:pStyle w:val="Header"/>
              <w:tabs>
                <w:tab w:val="clear" w:pos="4680"/>
                <w:tab w:val="clear" w:pos="9360"/>
              </w:tabs>
              <w:jc w:val="center"/>
              <w:rPr>
                <w:rFonts w:ascii="Arial Narrow" w:hAnsi="Arial Narrow"/>
                <w:sz w:val="20"/>
                <w:szCs w:val="20"/>
              </w:rPr>
            </w:pPr>
            <w:r w:rsidRPr="005655A6">
              <w:rPr>
                <w:rFonts w:ascii="Arial Narrow" w:hAnsi="Arial Narrow"/>
                <w:sz w:val="20"/>
                <w:szCs w:val="20"/>
              </w:rPr>
              <w:t xml:space="preserve">DILG, </w:t>
            </w:r>
            <w:proofErr w:type="spellStart"/>
            <w:r w:rsidRPr="005655A6">
              <w:rPr>
                <w:rFonts w:ascii="Arial Narrow" w:hAnsi="Arial Narrow"/>
                <w:sz w:val="20"/>
                <w:szCs w:val="20"/>
              </w:rPr>
              <w:t>DOTr</w:t>
            </w:r>
            <w:proofErr w:type="spellEnd"/>
            <w:r w:rsidRPr="005655A6">
              <w:rPr>
                <w:rFonts w:ascii="Arial Narrow" w:hAnsi="Arial Narrow"/>
                <w:sz w:val="20"/>
                <w:szCs w:val="20"/>
              </w:rPr>
              <w:t>, DPWH, NEDA</w:t>
            </w:r>
            <w:r>
              <w:rPr>
                <w:rFonts w:ascii="Arial Narrow" w:hAnsi="Arial Narrow"/>
                <w:sz w:val="20"/>
                <w:szCs w:val="20"/>
              </w:rPr>
              <w:t xml:space="preserve">, </w:t>
            </w:r>
            <w:r w:rsidRPr="005655A6">
              <w:rPr>
                <w:rFonts w:ascii="Arial Narrow" w:hAnsi="Arial Narrow"/>
                <w:sz w:val="20"/>
                <w:szCs w:val="20"/>
              </w:rPr>
              <w:t xml:space="preserve">LGUs </w:t>
            </w:r>
          </w:p>
          <w:p w14:paraId="62FBA905" w14:textId="487372E4" w:rsidR="00614008" w:rsidRPr="005655A6" w:rsidRDefault="00614008" w:rsidP="005655A6">
            <w:pPr>
              <w:pStyle w:val="Header"/>
              <w:tabs>
                <w:tab w:val="clear" w:pos="4680"/>
                <w:tab w:val="clear" w:pos="9360"/>
              </w:tabs>
              <w:jc w:val="center"/>
              <w:rPr>
                <w:rFonts w:ascii="Arial Narrow" w:hAnsi="Arial Narrow"/>
                <w:sz w:val="20"/>
                <w:szCs w:val="20"/>
              </w:rPr>
            </w:pPr>
            <w:r w:rsidRPr="005655A6">
              <w:rPr>
                <w:rFonts w:ascii="Arial Narrow" w:hAnsi="Arial Narrow"/>
                <w:sz w:val="20"/>
                <w:szCs w:val="20"/>
              </w:rPr>
              <w:t>Academia, Citizens, NGOs</w:t>
            </w:r>
          </w:p>
        </w:tc>
        <w:tc>
          <w:tcPr>
            <w:tcW w:w="2294" w:type="dxa"/>
            <w:shd w:val="clear" w:color="auto" w:fill="auto"/>
            <w:vAlign w:val="center"/>
          </w:tcPr>
          <w:p w14:paraId="7199C591" w14:textId="08E44264" w:rsidR="00614008" w:rsidRPr="005655A6" w:rsidRDefault="00614008" w:rsidP="007805CE">
            <w:pPr>
              <w:pStyle w:val="Header"/>
              <w:tabs>
                <w:tab w:val="clear" w:pos="4680"/>
                <w:tab w:val="clear" w:pos="9360"/>
              </w:tabs>
              <w:jc w:val="center"/>
              <w:rPr>
                <w:rFonts w:ascii="Arial Narrow" w:hAnsi="Arial Narrow"/>
                <w:sz w:val="20"/>
                <w:szCs w:val="20"/>
              </w:rPr>
            </w:pPr>
            <w:r>
              <w:rPr>
                <w:rFonts w:ascii="Arial Narrow" w:hAnsi="Arial Narrow"/>
                <w:sz w:val="20"/>
                <w:szCs w:val="20"/>
              </w:rPr>
              <w:t>3</w:t>
            </w:r>
          </w:p>
        </w:tc>
      </w:tr>
    </w:tbl>
    <w:p w14:paraId="4DAE9C3E" w14:textId="77777777" w:rsidR="00614008" w:rsidRDefault="00614008">
      <w:pPr>
        <w:rPr>
          <w:rFonts w:cstheme="minorHAnsi"/>
          <w:b/>
          <w:bCs/>
        </w:rPr>
      </w:pPr>
    </w:p>
    <w:p w14:paraId="080442FA" w14:textId="77777777" w:rsidR="00614008" w:rsidRDefault="00614008">
      <w:pPr>
        <w:spacing w:before="0"/>
        <w:rPr>
          <w:rFonts w:cstheme="minorHAnsi"/>
          <w:b/>
          <w:bCs/>
        </w:rPr>
      </w:pPr>
      <w:r>
        <w:rPr>
          <w:rFonts w:cstheme="minorHAnsi"/>
          <w:b/>
          <w:bCs/>
        </w:rPr>
        <w:br w:type="page"/>
      </w:r>
    </w:p>
    <w:p w14:paraId="21B33E5B" w14:textId="0481D046" w:rsidR="00D32E6E" w:rsidRDefault="00D32E6E">
      <w:pPr>
        <w:rPr>
          <w:rFonts w:cstheme="minorHAnsi"/>
          <w:b/>
          <w:bCs/>
        </w:rPr>
      </w:pPr>
      <w:r w:rsidRPr="00B14DF9">
        <w:rPr>
          <w:rFonts w:cstheme="minorHAnsi"/>
          <w:b/>
          <w:bCs/>
        </w:rPr>
        <w:lastRenderedPageBreak/>
        <w:t xml:space="preserve">OUTCOME </w:t>
      </w:r>
      <w:r>
        <w:rPr>
          <w:rFonts w:cstheme="minorHAnsi"/>
          <w:b/>
          <w:bCs/>
        </w:rPr>
        <w:t>4</w:t>
      </w:r>
      <w:r w:rsidRPr="00B14DF9">
        <w:rPr>
          <w:rFonts w:cstheme="minorHAnsi"/>
          <w:b/>
          <w:bCs/>
        </w:rPr>
        <w:t xml:space="preserve">: </w:t>
      </w:r>
      <w:r>
        <w:rPr>
          <w:rFonts w:cstheme="minorHAnsi"/>
          <w:b/>
          <w:bCs/>
        </w:rPr>
        <w:t>PARTNERSHIPS AND IMPLEMENTATION PLATFORMS</w:t>
      </w:r>
    </w:p>
    <w:p w14:paraId="031FBF56" w14:textId="554C86B4" w:rsidR="00614008" w:rsidRDefault="00614008">
      <w:pPr>
        <w:rPr>
          <w:rFonts w:cstheme="minorHAnsi"/>
          <w:b/>
          <w:bCs/>
        </w:rPr>
      </w:pPr>
      <w:r w:rsidRPr="00B14DF9">
        <w:rPr>
          <w:rFonts w:cstheme="minorHAnsi"/>
          <w:b/>
          <w:bCs/>
        </w:rPr>
        <w:t>Monitoring Level</w:t>
      </w:r>
    </w:p>
    <w:p w14:paraId="5310AF8C" w14:textId="77777777" w:rsidR="00614008" w:rsidRPr="005655A6" w:rsidRDefault="00614008" w:rsidP="00614008">
      <w:pPr>
        <w:rPr>
          <w:rFonts w:ascii="Arial Narrow" w:hAnsi="Arial Narrow"/>
          <w:sz w:val="20"/>
          <w:szCs w:val="20"/>
        </w:rPr>
      </w:pPr>
      <w:r w:rsidRPr="005655A6">
        <w:rPr>
          <w:rFonts w:ascii="Arial Narrow" w:hAnsi="Arial Narrow"/>
          <w:sz w:val="20"/>
          <w:szCs w:val="20"/>
        </w:rPr>
        <w:t>Partnerships and platforms for effective and efficient collaboration strengthened</w:t>
      </w:r>
    </w:p>
    <w:p w14:paraId="275D8CD2" w14:textId="4E324E78" w:rsidR="00614008" w:rsidRPr="005655A6" w:rsidRDefault="00614008" w:rsidP="00614008">
      <w:pPr>
        <w:rPr>
          <w:rFonts w:ascii="Arial Narrow" w:hAnsi="Arial Narrow"/>
          <w:sz w:val="20"/>
          <w:szCs w:val="20"/>
        </w:rPr>
      </w:pPr>
      <w:r w:rsidRPr="005655A6">
        <w:rPr>
          <w:rFonts w:ascii="Arial Narrow" w:hAnsi="Arial Narrow"/>
          <w:sz w:val="20"/>
          <w:szCs w:val="20"/>
        </w:rPr>
        <w:t>OUTPUT:</w:t>
      </w:r>
      <w:r>
        <w:rPr>
          <w:rFonts w:ascii="Arial Narrow" w:hAnsi="Arial Narrow"/>
          <w:sz w:val="20"/>
          <w:szCs w:val="20"/>
        </w:rPr>
        <w:t xml:space="preserve"> </w:t>
      </w:r>
      <w:r w:rsidRPr="005655A6">
        <w:rPr>
          <w:rFonts w:ascii="Arial Narrow" w:hAnsi="Arial Narrow"/>
          <w:sz w:val="20"/>
          <w:szCs w:val="20"/>
        </w:rPr>
        <w:t>Partnerships and governance platforms for collaboration established</w:t>
      </w:r>
    </w:p>
    <w:p w14:paraId="73D87BC2" w14:textId="76CDAB5C" w:rsidR="00614008" w:rsidRPr="00614008" w:rsidRDefault="00614008">
      <w:pPr>
        <w:rPr>
          <w:b/>
          <w:bCs/>
        </w:rPr>
      </w:pPr>
      <w:r w:rsidRPr="00614008">
        <w:rPr>
          <w:b/>
          <w:bCs/>
        </w:rPr>
        <w:t>KPI</w:t>
      </w:r>
    </w:p>
    <w:p w14:paraId="22280B99" w14:textId="77777777" w:rsidR="00614008" w:rsidRPr="005655A6" w:rsidRDefault="00614008" w:rsidP="00614008">
      <w:pPr>
        <w:rPr>
          <w:rFonts w:ascii="Arial Narrow" w:hAnsi="Arial Narrow"/>
          <w:sz w:val="20"/>
          <w:szCs w:val="20"/>
        </w:rPr>
      </w:pPr>
      <w:r w:rsidRPr="005655A6">
        <w:rPr>
          <w:rFonts w:ascii="Arial Narrow" w:hAnsi="Arial Narrow"/>
          <w:sz w:val="20"/>
          <w:szCs w:val="20"/>
        </w:rPr>
        <w:t>Increased satisfaction on the collaboration platform established</w:t>
      </w:r>
    </w:p>
    <w:p w14:paraId="4B33ED6B" w14:textId="039E3412" w:rsidR="00614008" w:rsidRPr="00614008" w:rsidRDefault="00614008">
      <w:pPr>
        <w:rPr>
          <w:b/>
          <w:bCs/>
        </w:rPr>
      </w:pPr>
      <w:r w:rsidRPr="00614008">
        <w:rPr>
          <w:b/>
          <w:bCs/>
        </w:rPr>
        <w:t>Progress to date</w:t>
      </w:r>
    </w:p>
    <w:p w14:paraId="67404465" w14:textId="5178B25F" w:rsidR="00614008" w:rsidRDefault="00614008">
      <w:pPr>
        <w:rPr>
          <w:rFonts w:ascii="Arial Narrow" w:hAnsi="Arial Narrow"/>
          <w:sz w:val="20"/>
          <w:szCs w:val="20"/>
        </w:rPr>
      </w:pPr>
      <w:r w:rsidRPr="005655A6">
        <w:rPr>
          <w:rFonts w:ascii="Arial Narrow" w:hAnsi="Arial Narrow"/>
          <w:sz w:val="20"/>
          <w:szCs w:val="20"/>
        </w:rPr>
        <w:t xml:space="preserve">Functional structure of implementation through the Trust Fund Steering Committee; processes and procedures are stipulated in the </w:t>
      </w:r>
      <w:proofErr w:type="spellStart"/>
      <w:r>
        <w:rPr>
          <w:rFonts w:ascii="Arial Narrow" w:hAnsi="Arial Narrow"/>
          <w:sz w:val="20"/>
          <w:szCs w:val="20"/>
        </w:rPr>
        <w:t>AGaP</w:t>
      </w:r>
      <w:proofErr w:type="spellEnd"/>
      <w:r w:rsidRPr="005655A6">
        <w:rPr>
          <w:rFonts w:ascii="Arial Narrow" w:hAnsi="Arial Narrow"/>
          <w:sz w:val="20"/>
          <w:szCs w:val="20"/>
        </w:rPr>
        <w:t xml:space="preserve"> Operations Manual. The partnership is expected to expand with the Steering Committee’s approval of new proposals, including on Mindanao connectivity and energy transitions under the Partnerships for Infrastructure (P4I).</w:t>
      </w:r>
    </w:p>
    <w:p w14:paraId="1E5FC7FF" w14:textId="15393663" w:rsidR="00614008" w:rsidRDefault="00614008">
      <w:pPr>
        <w:rPr>
          <w:rFonts w:cstheme="minorHAnsi"/>
          <w:b/>
          <w:bCs/>
        </w:rPr>
      </w:pPr>
      <w:r w:rsidRPr="00B14DF9">
        <w:rPr>
          <w:rFonts w:cstheme="minorHAnsi"/>
          <w:b/>
          <w:bCs/>
        </w:rPr>
        <w:t>KPI</w:t>
      </w:r>
    </w:p>
    <w:p w14:paraId="6365A0F1" w14:textId="77777777" w:rsidR="00614008" w:rsidRPr="005655A6" w:rsidRDefault="00614008" w:rsidP="00614008">
      <w:pPr>
        <w:pStyle w:val="ListParagraph"/>
        <w:numPr>
          <w:ilvl w:val="0"/>
          <w:numId w:val="11"/>
        </w:numPr>
        <w:suppressAutoHyphens w:val="0"/>
        <w:spacing w:before="0" w:after="0" w:line="240" w:lineRule="auto"/>
        <w:ind w:left="216" w:hanging="216"/>
        <w:contextualSpacing w:val="0"/>
        <w:rPr>
          <w:rFonts w:ascii="Arial Narrow" w:hAnsi="Arial Narrow"/>
          <w:sz w:val="20"/>
          <w:szCs w:val="20"/>
        </w:rPr>
      </w:pPr>
      <w:r w:rsidRPr="005655A6">
        <w:rPr>
          <w:rFonts w:ascii="Arial Narrow" w:hAnsi="Arial Narrow"/>
          <w:sz w:val="20"/>
          <w:szCs w:val="20"/>
        </w:rPr>
        <w:t>Presence of functional implementation structure and procedures</w:t>
      </w:r>
    </w:p>
    <w:p w14:paraId="4CDC3C67" w14:textId="77777777" w:rsidR="00614008" w:rsidRPr="005655A6" w:rsidRDefault="00614008" w:rsidP="00614008">
      <w:pPr>
        <w:pStyle w:val="ListParagraph"/>
        <w:numPr>
          <w:ilvl w:val="0"/>
          <w:numId w:val="11"/>
        </w:numPr>
        <w:suppressAutoHyphens w:val="0"/>
        <w:spacing w:before="0" w:after="0" w:line="240" w:lineRule="auto"/>
        <w:ind w:left="216" w:hanging="216"/>
        <w:contextualSpacing w:val="0"/>
        <w:rPr>
          <w:rFonts w:ascii="Arial Narrow" w:hAnsi="Arial Narrow"/>
          <w:sz w:val="20"/>
          <w:szCs w:val="20"/>
        </w:rPr>
      </w:pPr>
      <w:r w:rsidRPr="005655A6">
        <w:rPr>
          <w:rFonts w:ascii="Arial Narrow" w:hAnsi="Arial Narrow"/>
          <w:sz w:val="20"/>
          <w:szCs w:val="20"/>
        </w:rPr>
        <w:t>Number of collaborative activities conducted</w:t>
      </w:r>
    </w:p>
    <w:p w14:paraId="4EE8420A" w14:textId="77777777" w:rsidR="00614008" w:rsidRDefault="00614008"/>
    <w:tbl>
      <w:tblPr>
        <w:tblStyle w:val="TableGrid"/>
        <w:tblW w:w="139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04"/>
        <w:gridCol w:w="11225"/>
      </w:tblGrid>
      <w:tr w:rsidR="00614008" w:rsidRPr="00B14DF9" w14:paraId="6605EB95" w14:textId="77777777" w:rsidTr="00614008">
        <w:trPr>
          <w:trHeight w:val="279"/>
          <w:tblHeader/>
        </w:trPr>
        <w:tc>
          <w:tcPr>
            <w:tcW w:w="2704" w:type="dxa"/>
            <w:tcBorders>
              <w:bottom w:val="single" w:sz="2" w:space="0" w:color="auto"/>
            </w:tcBorders>
            <w:shd w:val="clear" w:color="auto" w:fill="F2F2F2" w:themeFill="background1" w:themeFillShade="F2"/>
            <w:vAlign w:val="center"/>
          </w:tcPr>
          <w:p w14:paraId="1C77AA18" w14:textId="175B1F0A" w:rsidR="00614008" w:rsidRPr="005655A6" w:rsidRDefault="00614008" w:rsidP="007805CE">
            <w:pPr>
              <w:jc w:val="center"/>
              <w:rPr>
                <w:rFonts w:ascii="Arial Narrow" w:hAnsi="Arial Narrow"/>
                <w:sz w:val="20"/>
                <w:szCs w:val="20"/>
              </w:rPr>
            </w:pPr>
            <w:proofErr w:type="spellStart"/>
            <w:r>
              <w:rPr>
                <w:rFonts w:ascii="Arial Narrow" w:hAnsi="Arial Narrow"/>
                <w:sz w:val="20"/>
                <w:szCs w:val="20"/>
              </w:rPr>
              <w:t>AGaP</w:t>
            </w:r>
            <w:proofErr w:type="spellEnd"/>
            <w:r w:rsidRPr="005655A6">
              <w:rPr>
                <w:rFonts w:ascii="Arial Narrow" w:hAnsi="Arial Narrow"/>
                <w:sz w:val="20"/>
                <w:szCs w:val="20"/>
              </w:rPr>
              <w:t xml:space="preserve"> Grant</w:t>
            </w:r>
          </w:p>
        </w:tc>
        <w:tc>
          <w:tcPr>
            <w:tcW w:w="11225" w:type="dxa"/>
            <w:shd w:val="clear" w:color="auto" w:fill="F2F2F2" w:themeFill="background1" w:themeFillShade="F2"/>
            <w:vAlign w:val="center"/>
          </w:tcPr>
          <w:p w14:paraId="35C51D68" w14:textId="77777777" w:rsidR="00614008" w:rsidRPr="005655A6" w:rsidRDefault="00614008" w:rsidP="007805CE">
            <w:pPr>
              <w:pStyle w:val="Header"/>
              <w:tabs>
                <w:tab w:val="clear" w:pos="4680"/>
                <w:tab w:val="clear" w:pos="9360"/>
              </w:tabs>
              <w:jc w:val="center"/>
              <w:rPr>
                <w:rFonts w:ascii="Arial Narrow" w:hAnsi="Arial Narrow"/>
                <w:sz w:val="20"/>
                <w:szCs w:val="20"/>
              </w:rPr>
            </w:pPr>
            <w:r w:rsidRPr="005655A6">
              <w:rPr>
                <w:rFonts w:ascii="Arial Narrow" w:hAnsi="Arial Narrow"/>
                <w:sz w:val="20"/>
                <w:szCs w:val="20"/>
              </w:rPr>
              <w:t>Collaboration</w:t>
            </w:r>
          </w:p>
        </w:tc>
      </w:tr>
      <w:tr w:rsidR="00614008" w:rsidRPr="00B14DF9" w14:paraId="590E2A39" w14:textId="77777777" w:rsidTr="00614008">
        <w:trPr>
          <w:trHeight w:val="279"/>
          <w:tblHeader/>
        </w:trPr>
        <w:tc>
          <w:tcPr>
            <w:tcW w:w="2704" w:type="dxa"/>
            <w:tcBorders>
              <w:bottom w:val="single" w:sz="2" w:space="0" w:color="auto"/>
            </w:tcBorders>
            <w:shd w:val="clear" w:color="auto" w:fill="F2F2F2" w:themeFill="background1" w:themeFillShade="F2"/>
            <w:vAlign w:val="center"/>
          </w:tcPr>
          <w:p w14:paraId="1FB5CB6D"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 xml:space="preserve">TA for DPL Reforms </w:t>
            </w:r>
          </w:p>
        </w:tc>
        <w:tc>
          <w:tcPr>
            <w:tcW w:w="11225" w:type="dxa"/>
            <w:tcBorders>
              <w:bottom w:val="single" w:sz="2" w:space="0" w:color="auto"/>
            </w:tcBorders>
            <w:shd w:val="clear" w:color="auto" w:fill="F2F2F2" w:themeFill="background1" w:themeFillShade="F2"/>
          </w:tcPr>
          <w:p w14:paraId="1C49DF74"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 xml:space="preserve">ICT infrastructure design and data integration of the Small Business Wage Subsidy (SBWS) program of DOF, COVID-19 Adjustment Measures Program (CAMP) of DOLE, Financial Subsidy to Rice Farmers (FSRF) Program of DA, and Social Amelioration Program (SAP) of DSWD  </w:t>
            </w:r>
          </w:p>
        </w:tc>
      </w:tr>
      <w:tr w:rsidR="00614008" w:rsidRPr="00B14DF9" w14:paraId="78C0324A" w14:textId="77777777" w:rsidTr="00614008">
        <w:trPr>
          <w:trHeight w:val="79"/>
          <w:tblHeader/>
        </w:trPr>
        <w:tc>
          <w:tcPr>
            <w:tcW w:w="2704" w:type="dxa"/>
            <w:tcBorders>
              <w:bottom w:val="single" w:sz="2" w:space="0" w:color="auto"/>
            </w:tcBorders>
            <w:shd w:val="clear" w:color="auto" w:fill="F2F2F2" w:themeFill="background1" w:themeFillShade="F2"/>
            <w:vAlign w:val="center"/>
          </w:tcPr>
          <w:p w14:paraId="4FF6C656"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 xml:space="preserve">Strengthening Support for the </w:t>
            </w:r>
            <w:proofErr w:type="spellStart"/>
            <w:r w:rsidRPr="005655A6">
              <w:rPr>
                <w:rFonts w:ascii="Arial Narrow" w:hAnsi="Arial Narrow"/>
                <w:sz w:val="20"/>
                <w:szCs w:val="20"/>
              </w:rPr>
              <w:t>Pantawid</w:t>
            </w:r>
            <w:proofErr w:type="spellEnd"/>
            <w:r w:rsidRPr="005655A6">
              <w:rPr>
                <w:rFonts w:ascii="Arial Narrow" w:hAnsi="Arial Narrow"/>
                <w:sz w:val="20"/>
                <w:szCs w:val="20"/>
              </w:rPr>
              <w:t xml:space="preserve"> Program</w:t>
            </w:r>
          </w:p>
        </w:tc>
        <w:tc>
          <w:tcPr>
            <w:tcW w:w="11225" w:type="dxa"/>
            <w:tcBorders>
              <w:bottom w:val="single" w:sz="2" w:space="0" w:color="auto"/>
            </w:tcBorders>
            <w:shd w:val="clear" w:color="auto" w:fill="F2F2F2" w:themeFill="background1" w:themeFillShade="F2"/>
          </w:tcPr>
          <w:p w14:paraId="4923AD67"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DSWD and DOLE for the Family Development Session and Youth Development Session program design; BSP and PSA for the digitalization of cash transfers; and development partners to contribute resources and technical expertise for the program, including USAID, ADB, and UNICEF</w:t>
            </w:r>
          </w:p>
        </w:tc>
      </w:tr>
      <w:tr w:rsidR="00614008" w:rsidRPr="00B14DF9" w14:paraId="52E36F4F" w14:textId="77777777" w:rsidTr="00614008">
        <w:trPr>
          <w:trHeight w:val="79"/>
          <w:tblHeader/>
        </w:trPr>
        <w:tc>
          <w:tcPr>
            <w:tcW w:w="2704" w:type="dxa"/>
            <w:tcBorders>
              <w:bottom w:val="single" w:sz="2" w:space="0" w:color="auto"/>
            </w:tcBorders>
            <w:shd w:val="clear" w:color="auto" w:fill="F2F2F2" w:themeFill="background1" w:themeFillShade="F2"/>
            <w:vAlign w:val="center"/>
          </w:tcPr>
          <w:p w14:paraId="62E28248"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Supporting Subnational Finance and Decentralization</w:t>
            </w:r>
          </w:p>
        </w:tc>
        <w:tc>
          <w:tcPr>
            <w:tcW w:w="11225" w:type="dxa"/>
            <w:tcBorders>
              <w:bottom w:val="single" w:sz="2" w:space="0" w:color="auto"/>
            </w:tcBorders>
            <w:shd w:val="clear" w:color="auto" w:fill="F2F2F2" w:themeFill="background1" w:themeFillShade="F2"/>
          </w:tcPr>
          <w:p w14:paraId="26ACEBEB"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DBM, DILG, DPWH on roles, co-sharing scheme, institutional framework following re-devolution for improved monitoring and accountability</w:t>
            </w:r>
          </w:p>
        </w:tc>
      </w:tr>
      <w:tr w:rsidR="00614008" w:rsidRPr="00B14DF9" w14:paraId="2484A5E2" w14:textId="77777777" w:rsidTr="00614008">
        <w:trPr>
          <w:trHeight w:val="79"/>
          <w:tblHeader/>
        </w:trPr>
        <w:tc>
          <w:tcPr>
            <w:tcW w:w="2704" w:type="dxa"/>
            <w:tcBorders>
              <w:bottom w:val="single" w:sz="2" w:space="0" w:color="auto"/>
            </w:tcBorders>
            <w:shd w:val="clear" w:color="auto" w:fill="F2F2F2" w:themeFill="background1" w:themeFillShade="F2"/>
            <w:vAlign w:val="center"/>
          </w:tcPr>
          <w:p w14:paraId="0136DA4D"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Women’s Economic Empowerment</w:t>
            </w:r>
          </w:p>
        </w:tc>
        <w:tc>
          <w:tcPr>
            <w:tcW w:w="11225" w:type="dxa"/>
            <w:tcBorders>
              <w:bottom w:val="single" w:sz="2" w:space="0" w:color="auto"/>
            </w:tcBorders>
            <w:shd w:val="clear" w:color="auto" w:fill="F2F2F2" w:themeFill="background1" w:themeFillShade="F2"/>
          </w:tcPr>
          <w:p w14:paraId="30616C4D"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WB specialists representing urban, health, social protection and other global practices drew up technical proposals for gender analytical work that conjoin gender in the Bank’s portfolio and the priority areas of the Bank-administered think-tank Consultative Group to Assist the Poor (CGAP)</w:t>
            </w:r>
          </w:p>
        </w:tc>
      </w:tr>
      <w:tr w:rsidR="00614008" w:rsidRPr="00B14DF9" w14:paraId="62ACF717" w14:textId="77777777" w:rsidTr="00614008">
        <w:trPr>
          <w:trHeight w:val="79"/>
          <w:tblHeader/>
        </w:trPr>
        <w:tc>
          <w:tcPr>
            <w:tcW w:w="2704" w:type="dxa"/>
            <w:tcBorders>
              <w:bottom w:val="single" w:sz="2" w:space="0" w:color="auto"/>
            </w:tcBorders>
            <w:shd w:val="clear" w:color="auto" w:fill="F2F2F2" w:themeFill="background1" w:themeFillShade="F2"/>
            <w:vAlign w:val="center"/>
          </w:tcPr>
          <w:p w14:paraId="4C6CB94E"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Real Time Monitoring of COVID-19 Impacts in the Philippines</w:t>
            </w:r>
          </w:p>
        </w:tc>
        <w:tc>
          <w:tcPr>
            <w:tcW w:w="11225" w:type="dxa"/>
            <w:tcBorders>
              <w:bottom w:val="single" w:sz="2" w:space="0" w:color="auto"/>
            </w:tcBorders>
            <w:shd w:val="clear" w:color="auto" w:fill="F2F2F2" w:themeFill="background1" w:themeFillShade="F2"/>
          </w:tcPr>
          <w:p w14:paraId="020DB387"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DOF, NEDA, DSWD on the survey instruments, identification of sampling population, and deployment of survey instruments</w:t>
            </w:r>
          </w:p>
        </w:tc>
      </w:tr>
      <w:tr w:rsidR="00614008" w:rsidRPr="00B14DF9" w14:paraId="4616986B" w14:textId="77777777" w:rsidTr="00614008">
        <w:trPr>
          <w:trHeight w:val="79"/>
          <w:tblHeader/>
        </w:trPr>
        <w:tc>
          <w:tcPr>
            <w:tcW w:w="2704" w:type="dxa"/>
            <w:tcBorders>
              <w:bottom w:val="single" w:sz="2" w:space="0" w:color="auto"/>
            </w:tcBorders>
            <w:shd w:val="clear" w:color="auto" w:fill="F2F2F2" w:themeFill="background1" w:themeFillShade="F2"/>
            <w:vAlign w:val="center"/>
          </w:tcPr>
          <w:p w14:paraId="44B1FBC1"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Strengthening Implementation Support for Health COVID Response</w:t>
            </w:r>
          </w:p>
        </w:tc>
        <w:tc>
          <w:tcPr>
            <w:tcW w:w="11225" w:type="dxa"/>
            <w:tcBorders>
              <w:bottom w:val="single" w:sz="2" w:space="0" w:color="auto"/>
            </w:tcBorders>
            <w:shd w:val="clear" w:color="auto" w:fill="F2F2F2" w:themeFill="background1" w:themeFillShade="F2"/>
          </w:tcPr>
          <w:p w14:paraId="7B13EA76" w14:textId="44B81E8A" w:rsidR="00614008" w:rsidRPr="005655A6" w:rsidRDefault="00614008" w:rsidP="007805CE">
            <w:pPr>
              <w:rPr>
                <w:rFonts w:ascii="Arial Narrow" w:hAnsi="Arial Narrow"/>
                <w:sz w:val="20"/>
                <w:szCs w:val="20"/>
              </w:rPr>
            </w:pPr>
            <w:r w:rsidRPr="005655A6">
              <w:rPr>
                <w:rFonts w:ascii="Arial Narrow" w:hAnsi="Arial Narrow"/>
                <w:sz w:val="20"/>
                <w:szCs w:val="20"/>
              </w:rPr>
              <w:t>Better communication, coordination, and accountability within the DOH central office, its regional centres, and line agencies, and extending to LGUs. The grant drew from the expertise of WHO, UNICEF, and other international partners in developing COVID assessment and monitoring tools.</w:t>
            </w:r>
          </w:p>
        </w:tc>
      </w:tr>
      <w:tr w:rsidR="00614008" w:rsidRPr="00B14DF9" w14:paraId="3505A0F8" w14:textId="77777777" w:rsidTr="00614008">
        <w:trPr>
          <w:trHeight w:val="79"/>
          <w:tblHeader/>
        </w:trPr>
        <w:tc>
          <w:tcPr>
            <w:tcW w:w="2704" w:type="dxa"/>
            <w:tcBorders>
              <w:bottom w:val="single" w:sz="2" w:space="0" w:color="auto"/>
            </w:tcBorders>
            <w:shd w:val="clear" w:color="auto" w:fill="F2F2F2" w:themeFill="background1" w:themeFillShade="F2"/>
            <w:vAlign w:val="center"/>
          </w:tcPr>
          <w:p w14:paraId="5844822C"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Support to Active Transport in Metro Manila</w:t>
            </w:r>
          </w:p>
        </w:tc>
        <w:tc>
          <w:tcPr>
            <w:tcW w:w="11225" w:type="dxa"/>
            <w:tcBorders>
              <w:bottom w:val="single" w:sz="2" w:space="0" w:color="auto"/>
            </w:tcBorders>
            <w:shd w:val="clear" w:color="auto" w:fill="F2F2F2" w:themeFill="background1" w:themeFillShade="F2"/>
          </w:tcPr>
          <w:p w14:paraId="5742B424" w14:textId="77777777" w:rsidR="00614008" w:rsidRPr="005655A6" w:rsidRDefault="00614008" w:rsidP="007805CE">
            <w:pPr>
              <w:rPr>
                <w:rFonts w:ascii="Arial Narrow" w:hAnsi="Arial Narrow"/>
                <w:sz w:val="20"/>
                <w:szCs w:val="20"/>
              </w:rPr>
            </w:pPr>
            <w:r w:rsidRPr="005655A6">
              <w:rPr>
                <w:rFonts w:ascii="Arial Narrow" w:hAnsi="Arial Narrow"/>
                <w:sz w:val="20"/>
                <w:szCs w:val="20"/>
              </w:rPr>
              <w:t>Additional resources were provided by the Global Road Safety Facility under the Bloomberg Philanthropies Initiative for Global Road Safety and the Netherlands Embassy.</w:t>
            </w:r>
          </w:p>
        </w:tc>
      </w:tr>
    </w:tbl>
    <w:p w14:paraId="6355A2E7" w14:textId="55B2DD03" w:rsidR="004F1D23" w:rsidRDefault="003B38E1" w:rsidP="00E03DD0">
      <w:pPr>
        <w:pStyle w:val="Heading1"/>
      </w:pPr>
      <w:bookmarkStart w:id="46" w:name="_Toc125560024"/>
      <w:r w:rsidRPr="002900C0">
        <w:lastRenderedPageBreak/>
        <w:t>Annex 6</w:t>
      </w:r>
      <w:r w:rsidRPr="002900C0">
        <w:tab/>
        <w:t xml:space="preserve">List of </w:t>
      </w:r>
      <w:r w:rsidR="00014E80">
        <w:t>Persons</w:t>
      </w:r>
      <w:r w:rsidRPr="002900C0">
        <w:t xml:space="preserve"> </w:t>
      </w:r>
      <w:r w:rsidR="008A60BC">
        <w:t>Consulted</w:t>
      </w:r>
      <w:r w:rsidR="001D69EC">
        <w:t xml:space="preserve"> and Schedule of Meetings</w:t>
      </w:r>
      <w:bookmarkEnd w:id="46"/>
    </w:p>
    <w:p w14:paraId="325E0BBD" w14:textId="30A087A9" w:rsidR="001D69EC" w:rsidRPr="001D69EC" w:rsidRDefault="00D32E6E" w:rsidP="007178A3">
      <w:r w:rsidRPr="00E87B21">
        <w:rPr>
          <w:rFonts w:cstheme="minorHAnsi"/>
          <w:b/>
          <w:bCs/>
          <w:color w:val="000000" w:themeColor="text1"/>
        </w:rPr>
        <w:t>World Bank</w:t>
      </w:r>
    </w:p>
    <w:tbl>
      <w:tblPr>
        <w:tblStyle w:val="TableGrid"/>
        <w:tblW w:w="13183" w:type="dxa"/>
        <w:tblLook w:val="04A0" w:firstRow="1" w:lastRow="0" w:firstColumn="1" w:lastColumn="0" w:noHBand="0" w:noVBand="1"/>
      </w:tblPr>
      <w:tblGrid>
        <w:gridCol w:w="2065"/>
        <w:gridCol w:w="8992"/>
        <w:gridCol w:w="2126"/>
      </w:tblGrid>
      <w:tr w:rsidR="00E87B21" w:rsidRPr="00E87B21" w14:paraId="01B80A82" w14:textId="77777777" w:rsidTr="00D32E6E">
        <w:trPr>
          <w:tblHeader/>
        </w:trPr>
        <w:tc>
          <w:tcPr>
            <w:tcW w:w="2065" w:type="dxa"/>
            <w:shd w:val="clear" w:color="auto" w:fill="E7E6E6" w:themeFill="background2"/>
            <w:vAlign w:val="center"/>
          </w:tcPr>
          <w:p w14:paraId="4008ADF5" w14:textId="29887BAC" w:rsidR="000E4F8D" w:rsidRPr="00E87B21" w:rsidRDefault="00970491" w:rsidP="000E4F8D">
            <w:pPr>
              <w:pStyle w:val="NoSpacing"/>
              <w:rPr>
                <w:color w:val="000000" w:themeColor="text1"/>
              </w:rPr>
            </w:pPr>
            <w:r w:rsidRPr="00E87B21">
              <w:rPr>
                <w:color w:val="000000" w:themeColor="text1"/>
              </w:rPr>
              <w:t>Person Consulted</w:t>
            </w:r>
          </w:p>
        </w:tc>
        <w:tc>
          <w:tcPr>
            <w:tcW w:w="8992" w:type="dxa"/>
            <w:shd w:val="clear" w:color="auto" w:fill="E7E6E6" w:themeFill="background2"/>
          </w:tcPr>
          <w:p w14:paraId="28066FFD" w14:textId="77777777" w:rsidR="000E4F8D" w:rsidRPr="00E87B21" w:rsidRDefault="000E4F8D" w:rsidP="000E4F8D">
            <w:pPr>
              <w:pStyle w:val="NoSpacing"/>
              <w:rPr>
                <w:color w:val="000000" w:themeColor="text1"/>
              </w:rPr>
            </w:pPr>
            <w:r w:rsidRPr="00E87B21">
              <w:rPr>
                <w:color w:val="000000" w:themeColor="text1"/>
              </w:rPr>
              <w:t>Role</w:t>
            </w:r>
          </w:p>
        </w:tc>
        <w:tc>
          <w:tcPr>
            <w:tcW w:w="2126" w:type="dxa"/>
            <w:shd w:val="clear" w:color="auto" w:fill="E7E6E6" w:themeFill="background2"/>
            <w:vAlign w:val="center"/>
          </w:tcPr>
          <w:p w14:paraId="1A030A8A" w14:textId="77777777" w:rsidR="000E4F8D" w:rsidRPr="00E87B21" w:rsidRDefault="000E4F8D" w:rsidP="000E4F8D">
            <w:pPr>
              <w:pStyle w:val="NoSpacing"/>
              <w:rPr>
                <w:color w:val="000000" w:themeColor="text1"/>
              </w:rPr>
            </w:pPr>
            <w:r w:rsidRPr="00E87B21">
              <w:rPr>
                <w:color w:val="000000" w:themeColor="text1"/>
              </w:rPr>
              <w:t>Date</w:t>
            </w:r>
          </w:p>
        </w:tc>
      </w:tr>
      <w:tr w:rsidR="00B849DB" w:rsidRPr="00E87B21" w14:paraId="5799430B" w14:textId="77777777" w:rsidTr="00D32E6E">
        <w:tc>
          <w:tcPr>
            <w:tcW w:w="2065" w:type="dxa"/>
            <w:shd w:val="clear" w:color="auto" w:fill="auto"/>
          </w:tcPr>
          <w:p w14:paraId="33BD7183"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 xml:space="preserve">Abrigo, Vincent </w:t>
            </w:r>
          </w:p>
        </w:tc>
        <w:tc>
          <w:tcPr>
            <w:tcW w:w="8992" w:type="dxa"/>
            <w:shd w:val="clear" w:color="auto" w:fill="auto"/>
          </w:tcPr>
          <w:p w14:paraId="05B876C0"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Program Assistant</w:t>
            </w:r>
          </w:p>
        </w:tc>
        <w:tc>
          <w:tcPr>
            <w:tcW w:w="2126" w:type="dxa"/>
            <w:shd w:val="clear" w:color="auto" w:fill="auto"/>
          </w:tcPr>
          <w:p w14:paraId="10B05428"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Aug 17 &amp; Sep 1, 2022</w:t>
            </w:r>
          </w:p>
        </w:tc>
      </w:tr>
      <w:tr w:rsidR="00B849DB" w:rsidRPr="00E87B21" w14:paraId="3BB69689" w14:textId="77777777" w:rsidTr="00D32E6E">
        <w:tc>
          <w:tcPr>
            <w:tcW w:w="2065" w:type="dxa"/>
            <w:shd w:val="clear" w:color="auto" w:fill="auto"/>
          </w:tcPr>
          <w:p w14:paraId="2DADE5E6" w14:textId="77777777" w:rsidR="00B849DB" w:rsidRPr="00E87B21" w:rsidRDefault="00B849DB" w:rsidP="000E4F8D">
            <w:pPr>
              <w:pStyle w:val="NoSpacing"/>
              <w:rPr>
                <w:rFonts w:cstheme="minorHAnsi"/>
                <w:color w:val="000000" w:themeColor="text1"/>
              </w:rPr>
            </w:pPr>
            <w:proofErr w:type="spellStart"/>
            <w:r w:rsidRPr="00E87B21">
              <w:rPr>
                <w:rFonts w:cstheme="minorHAnsi"/>
                <w:color w:val="000000" w:themeColor="text1"/>
              </w:rPr>
              <w:t>Azarcon</w:t>
            </w:r>
            <w:proofErr w:type="spellEnd"/>
            <w:r w:rsidRPr="00E87B21">
              <w:rPr>
                <w:rFonts w:cstheme="minorHAnsi"/>
                <w:color w:val="000000" w:themeColor="text1"/>
              </w:rPr>
              <w:t xml:space="preserve">, Yolanda </w:t>
            </w:r>
          </w:p>
        </w:tc>
        <w:tc>
          <w:tcPr>
            <w:tcW w:w="8992" w:type="dxa"/>
            <w:shd w:val="clear" w:color="auto" w:fill="auto"/>
          </w:tcPr>
          <w:p w14:paraId="0359676C"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Former Trust Fund Coordinator (2019-June 2022)</w:t>
            </w:r>
          </w:p>
        </w:tc>
        <w:tc>
          <w:tcPr>
            <w:tcW w:w="2126" w:type="dxa"/>
            <w:shd w:val="clear" w:color="auto" w:fill="auto"/>
          </w:tcPr>
          <w:p w14:paraId="17E15CEC" w14:textId="457105AD" w:rsidR="00B849DB" w:rsidRPr="00E87B21" w:rsidRDefault="00B849DB" w:rsidP="000E4F8D">
            <w:pPr>
              <w:pStyle w:val="NoSpacing"/>
              <w:rPr>
                <w:rFonts w:cstheme="minorHAnsi"/>
                <w:color w:val="000000" w:themeColor="text1"/>
              </w:rPr>
            </w:pPr>
            <w:r w:rsidRPr="00E87B21">
              <w:rPr>
                <w:rFonts w:cstheme="minorHAnsi"/>
                <w:color w:val="000000" w:themeColor="text1"/>
              </w:rPr>
              <w:t>July 22</w:t>
            </w:r>
            <w:r w:rsidR="00CC13CB">
              <w:rPr>
                <w:rFonts w:cstheme="minorHAnsi"/>
                <w:color w:val="000000" w:themeColor="text1"/>
              </w:rPr>
              <w:t xml:space="preserve"> &amp; Sep 8, </w:t>
            </w:r>
            <w:r w:rsidRPr="00E87B21">
              <w:rPr>
                <w:rFonts w:cstheme="minorHAnsi"/>
                <w:color w:val="000000" w:themeColor="text1"/>
              </w:rPr>
              <w:t>2022</w:t>
            </w:r>
          </w:p>
        </w:tc>
      </w:tr>
      <w:tr w:rsidR="00B849DB" w:rsidRPr="00E87B21" w14:paraId="5ECD9C81" w14:textId="77777777" w:rsidTr="00D32E6E">
        <w:tc>
          <w:tcPr>
            <w:tcW w:w="2065" w:type="dxa"/>
            <w:shd w:val="clear" w:color="auto" w:fill="auto"/>
          </w:tcPr>
          <w:p w14:paraId="66B9E693" w14:textId="77777777" w:rsidR="00B849DB" w:rsidRPr="00E87B21" w:rsidRDefault="00B849DB" w:rsidP="007805CE">
            <w:pPr>
              <w:pStyle w:val="NoSpacing"/>
              <w:rPr>
                <w:rFonts w:cstheme="minorHAnsi"/>
                <w:color w:val="000000" w:themeColor="text1"/>
              </w:rPr>
            </w:pPr>
            <w:proofErr w:type="spellStart"/>
            <w:r w:rsidRPr="00E87B21">
              <w:rPr>
                <w:rFonts w:cstheme="minorHAnsi"/>
                <w:color w:val="000000" w:themeColor="text1"/>
                <w:szCs w:val="20"/>
              </w:rPr>
              <w:t>Belghith</w:t>
            </w:r>
            <w:proofErr w:type="spellEnd"/>
            <w:r>
              <w:rPr>
                <w:rFonts w:cstheme="minorHAnsi"/>
                <w:color w:val="000000" w:themeColor="text1"/>
                <w:szCs w:val="20"/>
              </w:rPr>
              <w:t xml:space="preserve">, </w:t>
            </w:r>
            <w:r w:rsidRPr="00E87B21">
              <w:rPr>
                <w:rFonts w:cstheme="minorHAnsi"/>
                <w:color w:val="000000" w:themeColor="text1"/>
                <w:szCs w:val="20"/>
              </w:rPr>
              <w:t>Nadia</w:t>
            </w:r>
            <w:r w:rsidRPr="00E87B21">
              <w:rPr>
                <w:rFonts w:cstheme="minorHAnsi"/>
                <w:color w:val="000000" w:themeColor="text1"/>
              </w:rPr>
              <w:t xml:space="preserve"> </w:t>
            </w:r>
          </w:p>
        </w:tc>
        <w:tc>
          <w:tcPr>
            <w:tcW w:w="8992" w:type="dxa"/>
            <w:shd w:val="clear" w:color="auto" w:fill="auto"/>
          </w:tcPr>
          <w:p w14:paraId="04CF8952" w14:textId="77777777" w:rsidR="00B849DB" w:rsidRPr="006E52F7" w:rsidRDefault="00B849DB" w:rsidP="007805CE">
            <w:pPr>
              <w:pStyle w:val="NoSpacing"/>
              <w:rPr>
                <w:rFonts w:cstheme="minorHAnsi"/>
                <w:color w:val="000000" w:themeColor="text1"/>
                <w:sz w:val="19"/>
                <w:szCs w:val="19"/>
              </w:rPr>
            </w:pPr>
            <w:r w:rsidRPr="006E52F7">
              <w:rPr>
                <w:rFonts w:cstheme="minorHAnsi"/>
                <w:color w:val="000000" w:themeColor="text1"/>
                <w:sz w:val="19"/>
                <w:szCs w:val="19"/>
              </w:rPr>
              <w:t>Task Team Member for Philippine Women’s Economic Empowerment Program (P173002/ TF0B2024)</w:t>
            </w:r>
          </w:p>
        </w:tc>
        <w:tc>
          <w:tcPr>
            <w:tcW w:w="2126" w:type="dxa"/>
            <w:shd w:val="clear" w:color="auto" w:fill="auto"/>
          </w:tcPr>
          <w:p w14:paraId="28D3C231" w14:textId="77777777" w:rsidR="00B849DB" w:rsidRPr="00E87B21" w:rsidRDefault="00B849DB" w:rsidP="007805CE">
            <w:pPr>
              <w:pStyle w:val="NoSpacing"/>
              <w:rPr>
                <w:rFonts w:cstheme="minorHAnsi"/>
                <w:color w:val="000000" w:themeColor="text1"/>
              </w:rPr>
            </w:pPr>
            <w:r w:rsidRPr="00E87B21">
              <w:rPr>
                <w:rFonts w:cstheme="minorHAnsi"/>
                <w:color w:val="000000" w:themeColor="text1"/>
              </w:rPr>
              <w:t>September 6, 2022</w:t>
            </w:r>
          </w:p>
        </w:tc>
      </w:tr>
      <w:tr w:rsidR="00B849DB" w:rsidRPr="00E87B21" w14:paraId="31E27B0D" w14:textId="77777777" w:rsidTr="00D32E6E">
        <w:tc>
          <w:tcPr>
            <w:tcW w:w="2065" w:type="dxa"/>
            <w:shd w:val="clear" w:color="auto" w:fill="auto"/>
          </w:tcPr>
          <w:p w14:paraId="10F9DE61" w14:textId="77777777" w:rsidR="00B849DB" w:rsidRPr="00E87B21" w:rsidRDefault="00B849DB" w:rsidP="007805CE">
            <w:pPr>
              <w:pStyle w:val="NoSpacing"/>
              <w:rPr>
                <w:rFonts w:cstheme="minorHAnsi"/>
                <w:color w:val="000000" w:themeColor="text1"/>
              </w:rPr>
            </w:pPr>
            <w:proofErr w:type="spellStart"/>
            <w:r w:rsidRPr="00E87B21">
              <w:rPr>
                <w:rFonts w:cstheme="minorHAnsi"/>
                <w:color w:val="000000" w:themeColor="text1"/>
                <w:szCs w:val="20"/>
              </w:rPr>
              <w:t>Buchhave</w:t>
            </w:r>
            <w:proofErr w:type="spellEnd"/>
            <w:r>
              <w:rPr>
                <w:rFonts w:cstheme="minorHAnsi"/>
                <w:color w:val="000000" w:themeColor="text1"/>
                <w:szCs w:val="20"/>
              </w:rPr>
              <w:t xml:space="preserve">, </w:t>
            </w:r>
            <w:proofErr w:type="spellStart"/>
            <w:r w:rsidRPr="00E87B21">
              <w:rPr>
                <w:rFonts w:cstheme="minorHAnsi"/>
                <w:color w:val="000000" w:themeColor="text1"/>
                <w:szCs w:val="20"/>
              </w:rPr>
              <w:t>Helle</w:t>
            </w:r>
            <w:proofErr w:type="spellEnd"/>
            <w:r w:rsidRPr="00E87B21">
              <w:rPr>
                <w:rFonts w:cstheme="minorHAnsi"/>
                <w:color w:val="000000" w:themeColor="text1"/>
                <w:szCs w:val="20"/>
              </w:rPr>
              <w:t xml:space="preserve"> </w:t>
            </w:r>
          </w:p>
        </w:tc>
        <w:tc>
          <w:tcPr>
            <w:tcW w:w="8992" w:type="dxa"/>
            <w:shd w:val="clear" w:color="auto" w:fill="auto"/>
          </w:tcPr>
          <w:p w14:paraId="5CD4D6B9" w14:textId="77777777" w:rsidR="00B849DB" w:rsidRPr="006E52F7" w:rsidRDefault="00B849DB" w:rsidP="007805CE">
            <w:pPr>
              <w:pStyle w:val="NoSpacing"/>
              <w:rPr>
                <w:rFonts w:cstheme="minorHAnsi"/>
                <w:color w:val="000000" w:themeColor="text1"/>
                <w:sz w:val="19"/>
                <w:szCs w:val="19"/>
              </w:rPr>
            </w:pPr>
            <w:r w:rsidRPr="006E52F7">
              <w:rPr>
                <w:rFonts w:cstheme="minorHAnsi"/>
                <w:color w:val="000000" w:themeColor="text1"/>
                <w:sz w:val="19"/>
                <w:szCs w:val="19"/>
              </w:rPr>
              <w:t>Former Task Team Lead for Philippine Women’s Economic Empowerment Program (P173002/ TF0B2024)</w:t>
            </w:r>
          </w:p>
        </w:tc>
        <w:tc>
          <w:tcPr>
            <w:tcW w:w="2126" w:type="dxa"/>
            <w:shd w:val="clear" w:color="auto" w:fill="auto"/>
          </w:tcPr>
          <w:p w14:paraId="6C3E6CD8" w14:textId="77777777" w:rsidR="00B849DB" w:rsidRPr="00E87B21" w:rsidRDefault="00B849DB" w:rsidP="007805CE">
            <w:pPr>
              <w:pStyle w:val="NoSpacing"/>
              <w:rPr>
                <w:rFonts w:cstheme="minorHAnsi"/>
                <w:color w:val="000000" w:themeColor="text1"/>
              </w:rPr>
            </w:pPr>
            <w:r w:rsidRPr="00E87B21">
              <w:rPr>
                <w:rFonts w:cstheme="minorHAnsi"/>
                <w:color w:val="000000" w:themeColor="text1"/>
              </w:rPr>
              <w:t>September 6, 2022</w:t>
            </w:r>
          </w:p>
        </w:tc>
      </w:tr>
      <w:tr w:rsidR="00B849DB" w:rsidRPr="00E87B21" w14:paraId="6839139B" w14:textId="77777777" w:rsidTr="00D32E6E">
        <w:tc>
          <w:tcPr>
            <w:tcW w:w="2065" w:type="dxa"/>
            <w:shd w:val="clear" w:color="auto" w:fill="auto"/>
          </w:tcPr>
          <w:p w14:paraId="589780CE"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David, Clarissa</w:t>
            </w:r>
          </w:p>
        </w:tc>
        <w:tc>
          <w:tcPr>
            <w:tcW w:w="8992" w:type="dxa"/>
            <w:shd w:val="clear" w:color="auto" w:fill="auto"/>
          </w:tcPr>
          <w:p w14:paraId="47354BEE"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Senior External Relations Officer</w:t>
            </w:r>
          </w:p>
        </w:tc>
        <w:tc>
          <w:tcPr>
            <w:tcW w:w="2126" w:type="dxa"/>
            <w:shd w:val="clear" w:color="auto" w:fill="auto"/>
          </w:tcPr>
          <w:p w14:paraId="62AED548"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August 24, 2022</w:t>
            </w:r>
          </w:p>
        </w:tc>
      </w:tr>
      <w:tr w:rsidR="00B849DB" w:rsidRPr="00E87B21" w14:paraId="3BC808E9" w14:textId="77777777" w:rsidTr="00D32E6E">
        <w:tc>
          <w:tcPr>
            <w:tcW w:w="2065" w:type="dxa"/>
            <w:shd w:val="clear" w:color="auto" w:fill="auto"/>
          </w:tcPr>
          <w:p w14:paraId="70B20316" w14:textId="77777777" w:rsidR="00B849DB" w:rsidRPr="00E87B21" w:rsidRDefault="00B849DB" w:rsidP="007805CE">
            <w:pPr>
              <w:pStyle w:val="NoSpacing"/>
              <w:rPr>
                <w:rFonts w:cstheme="minorHAnsi"/>
                <w:color w:val="000000" w:themeColor="text1"/>
                <w:szCs w:val="20"/>
              </w:rPr>
            </w:pPr>
            <w:proofErr w:type="spellStart"/>
            <w:r w:rsidRPr="00E87B21">
              <w:rPr>
                <w:rFonts w:cstheme="minorHAnsi"/>
                <w:color w:val="000000" w:themeColor="text1"/>
                <w:szCs w:val="20"/>
              </w:rPr>
              <w:t>Fock</w:t>
            </w:r>
            <w:proofErr w:type="spellEnd"/>
            <w:r w:rsidRPr="00E87B21">
              <w:rPr>
                <w:rFonts w:cstheme="minorHAnsi"/>
                <w:color w:val="000000" w:themeColor="text1"/>
                <w:szCs w:val="20"/>
              </w:rPr>
              <w:t>, Achim</w:t>
            </w:r>
          </w:p>
        </w:tc>
        <w:tc>
          <w:tcPr>
            <w:tcW w:w="8992" w:type="dxa"/>
            <w:shd w:val="clear" w:color="auto" w:fill="auto"/>
          </w:tcPr>
          <w:p w14:paraId="782D64C4" w14:textId="77777777" w:rsidR="00B849DB" w:rsidRPr="006E52F7" w:rsidRDefault="00B849DB" w:rsidP="007805CE">
            <w:pPr>
              <w:pStyle w:val="NoSpacing"/>
              <w:rPr>
                <w:rFonts w:cstheme="minorHAnsi"/>
                <w:color w:val="000000" w:themeColor="text1"/>
                <w:sz w:val="19"/>
                <w:szCs w:val="19"/>
              </w:rPr>
            </w:pPr>
            <w:r w:rsidRPr="006E52F7">
              <w:rPr>
                <w:rFonts w:cstheme="minorHAnsi"/>
                <w:color w:val="000000" w:themeColor="text1"/>
                <w:sz w:val="19"/>
                <w:szCs w:val="19"/>
              </w:rPr>
              <w:t>Operations Manager</w:t>
            </w:r>
          </w:p>
        </w:tc>
        <w:tc>
          <w:tcPr>
            <w:tcW w:w="2126" w:type="dxa"/>
            <w:shd w:val="clear" w:color="auto" w:fill="auto"/>
          </w:tcPr>
          <w:p w14:paraId="007FA420" w14:textId="77777777" w:rsidR="00B849DB" w:rsidRPr="00E87B21" w:rsidRDefault="00B849DB" w:rsidP="007805CE">
            <w:pPr>
              <w:pStyle w:val="NoSpacing"/>
              <w:rPr>
                <w:rFonts w:cstheme="minorHAnsi"/>
                <w:color w:val="000000" w:themeColor="text1"/>
              </w:rPr>
            </w:pPr>
            <w:r w:rsidRPr="00E87B21">
              <w:rPr>
                <w:rFonts w:cstheme="minorHAnsi"/>
                <w:color w:val="000000" w:themeColor="text1"/>
              </w:rPr>
              <w:t>August 26, 2022</w:t>
            </w:r>
          </w:p>
        </w:tc>
      </w:tr>
      <w:tr w:rsidR="00B849DB" w:rsidRPr="00E87B21" w14:paraId="313E3C03" w14:textId="77777777" w:rsidTr="00D32E6E">
        <w:tc>
          <w:tcPr>
            <w:tcW w:w="2065" w:type="dxa"/>
            <w:shd w:val="clear" w:color="auto" w:fill="auto"/>
          </w:tcPr>
          <w:p w14:paraId="040AAFB6" w14:textId="77777777" w:rsidR="00B849DB" w:rsidRPr="00E87B21" w:rsidRDefault="00B849DB" w:rsidP="007805CE">
            <w:pPr>
              <w:pStyle w:val="NoSpacing"/>
              <w:rPr>
                <w:rFonts w:cstheme="minorHAnsi"/>
                <w:color w:val="000000" w:themeColor="text1"/>
                <w:szCs w:val="20"/>
              </w:rPr>
            </w:pPr>
            <w:proofErr w:type="spellStart"/>
            <w:r w:rsidRPr="00E87B21">
              <w:rPr>
                <w:rFonts w:cstheme="minorHAnsi"/>
                <w:color w:val="000000" w:themeColor="text1"/>
                <w:szCs w:val="20"/>
              </w:rPr>
              <w:t>Galang</w:t>
            </w:r>
            <w:proofErr w:type="spellEnd"/>
            <w:r w:rsidRPr="00E87B21">
              <w:rPr>
                <w:rFonts w:cstheme="minorHAnsi"/>
                <w:color w:val="000000" w:themeColor="text1"/>
                <w:szCs w:val="20"/>
              </w:rPr>
              <w:t>, Roberto</w:t>
            </w:r>
          </w:p>
        </w:tc>
        <w:tc>
          <w:tcPr>
            <w:tcW w:w="8992" w:type="dxa"/>
            <w:shd w:val="clear" w:color="auto" w:fill="auto"/>
          </w:tcPr>
          <w:p w14:paraId="290388A0" w14:textId="77777777" w:rsidR="00B849DB" w:rsidRPr="006E52F7" w:rsidRDefault="00B849DB" w:rsidP="007805CE">
            <w:pPr>
              <w:pStyle w:val="NoSpacing"/>
              <w:rPr>
                <w:rFonts w:cstheme="minorHAnsi"/>
                <w:color w:val="000000" w:themeColor="text1"/>
                <w:sz w:val="19"/>
                <w:szCs w:val="19"/>
              </w:rPr>
            </w:pPr>
            <w:r w:rsidRPr="006E52F7">
              <w:rPr>
                <w:rFonts w:cstheme="minorHAnsi"/>
                <w:color w:val="000000" w:themeColor="text1"/>
                <w:sz w:val="19"/>
                <w:szCs w:val="19"/>
              </w:rPr>
              <w:t>Senior Private Sector Specialist, Lead for Trade and Competitiveness in TA for DPL Reforms (P172157 / TF0B278)</w:t>
            </w:r>
          </w:p>
        </w:tc>
        <w:tc>
          <w:tcPr>
            <w:tcW w:w="2126" w:type="dxa"/>
            <w:shd w:val="clear" w:color="auto" w:fill="auto"/>
          </w:tcPr>
          <w:p w14:paraId="079D1BC0" w14:textId="77777777" w:rsidR="00B849DB" w:rsidRPr="00E87B21" w:rsidRDefault="00B849DB" w:rsidP="007805CE">
            <w:pPr>
              <w:pStyle w:val="NoSpacing"/>
              <w:rPr>
                <w:rFonts w:cstheme="minorHAnsi"/>
                <w:color w:val="000000" w:themeColor="text1"/>
              </w:rPr>
            </w:pPr>
            <w:r w:rsidRPr="00E87B21">
              <w:rPr>
                <w:rFonts w:cstheme="minorHAnsi"/>
                <w:color w:val="000000" w:themeColor="text1"/>
              </w:rPr>
              <w:t>September 1, 2022</w:t>
            </w:r>
          </w:p>
        </w:tc>
      </w:tr>
      <w:tr w:rsidR="00B849DB" w:rsidRPr="00E87B21" w14:paraId="3F137AE7" w14:textId="77777777" w:rsidTr="00D32E6E">
        <w:tc>
          <w:tcPr>
            <w:tcW w:w="2065" w:type="dxa"/>
            <w:shd w:val="clear" w:color="auto" w:fill="auto"/>
          </w:tcPr>
          <w:p w14:paraId="3B911FD3" w14:textId="77777777" w:rsidR="00B849DB" w:rsidRPr="00E87B21" w:rsidRDefault="00B849DB" w:rsidP="007805CE">
            <w:pPr>
              <w:pStyle w:val="NoSpacing"/>
              <w:rPr>
                <w:rFonts w:cstheme="minorHAnsi"/>
                <w:color w:val="000000" w:themeColor="text1"/>
              </w:rPr>
            </w:pPr>
            <w:proofErr w:type="spellStart"/>
            <w:r w:rsidRPr="00E87B21">
              <w:rPr>
                <w:rFonts w:cstheme="minorHAnsi"/>
                <w:color w:val="000000" w:themeColor="text1"/>
                <w:szCs w:val="20"/>
              </w:rPr>
              <w:t>Gerochi</w:t>
            </w:r>
            <w:proofErr w:type="spellEnd"/>
            <w:r w:rsidRPr="00E87B21">
              <w:rPr>
                <w:rFonts w:cstheme="minorHAnsi"/>
                <w:color w:val="000000" w:themeColor="text1"/>
                <w:szCs w:val="20"/>
              </w:rPr>
              <w:t>, Hope</w:t>
            </w:r>
            <w:r w:rsidRPr="00E87B21">
              <w:rPr>
                <w:rFonts w:cstheme="minorHAnsi"/>
                <w:color w:val="000000" w:themeColor="text1"/>
              </w:rPr>
              <w:t xml:space="preserve"> </w:t>
            </w:r>
          </w:p>
        </w:tc>
        <w:tc>
          <w:tcPr>
            <w:tcW w:w="8992" w:type="dxa"/>
            <w:shd w:val="clear" w:color="auto" w:fill="auto"/>
          </w:tcPr>
          <w:p w14:paraId="497EA83C" w14:textId="77777777" w:rsidR="00B849DB" w:rsidRPr="006E52F7" w:rsidRDefault="00B849DB" w:rsidP="007805CE">
            <w:pPr>
              <w:pStyle w:val="NoSpacing"/>
              <w:rPr>
                <w:rFonts w:cstheme="minorHAnsi"/>
                <w:color w:val="000000" w:themeColor="text1"/>
                <w:sz w:val="19"/>
                <w:szCs w:val="19"/>
              </w:rPr>
            </w:pPr>
            <w:r w:rsidRPr="006E52F7">
              <w:rPr>
                <w:rFonts w:cstheme="minorHAnsi"/>
                <w:color w:val="000000" w:themeColor="text1"/>
                <w:sz w:val="19"/>
                <w:szCs w:val="19"/>
              </w:rPr>
              <w:t>Task Team Member of Support Post COVID-19 Active Transport Development in Metro Manila (TF0B2079 / P172913)</w:t>
            </w:r>
          </w:p>
        </w:tc>
        <w:tc>
          <w:tcPr>
            <w:tcW w:w="2126" w:type="dxa"/>
            <w:shd w:val="clear" w:color="auto" w:fill="auto"/>
          </w:tcPr>
          <w:p w14:paraId="1B08E3AF" w14:textId="77777777" w:rsidR="00B849DB" w:rsidRPr="00E87B21" w:rsidRDefault="00B849DB" w:rsidP="007805CE">
            <w:pPr>
              <w:pStyle w:val="NoSpacing"/>
              <w:rPr>
                <w:rFonts w:cstheme="minorHAnsi"/>
                <w:color w:val="000000" w:themeColor="text1"/>
              </w:rPr>
            </w:pPr>
            <w:r w:rsidRPr="00E87B21">
              <w:rPr>
                <w:rFonts w:cstheme="minorHAnsi"/>
                <w:color w:val="000000" w:themeColor="text1"/>
              </w:rPr>
              <w:t>August 19, 2022</w:t>
            </w:r>
          </w:p>
        </w:tc>
      </w:tr>
      <w:tr w:rsidR="00B849DB" w:rsidRPr="00E87B21" w14:paraId="122ACFEF" w14:textId="77777777" w:rsidTr="00D32E6E">
        <w:tc>
          <w:tcPr>
            <w:tcW w:w="2065" w:type="dxa"/>
            <w:shd w:val="clear" w:color="auto" w:fill="auto"/>
          </w:tcPr>
          <w:p w14:paraId="695ED0F3" w14:textId="77777777" w:rsidR="00B849DB" w:rsidRPr="00E87B21" w:rsidRDefault="00B849DB" w:rsidP="000E4F8D">
            <w:pPr>
              <w:pStyle w:val="NoSpacing"/>
              <w:rPr>
                <w:rFonts w:cstheme="minorHAnsi"/>
                <w:color w:val="000000" w:themeColor="text1"/>
              </w:rPr>
            </w:pPr>
            <w:proofErr w:type="spellStart"/>
            <w:r w:rsidRPr="00E87B21">
              <w:rPr>
                <w:rFonts w:cstheme="minorHAnsi"/>
                <w:color w:val="000000" w:themeColor="text1"/>
                <w:szCs w:val="20"/>
              </w:rPr>
              <w:t>Grafilo</w:t>
            </w:r>
            <w:proofErr w:type="spellEnd"/>
            <w:r w:rsidRPr="00E87B21">
              <w:rPr>
                <w:rFonts w:cstheme="minorHAnsi"/>
                <w:color w:val="000000" w:themeColor="text1"/>
                <w:szCs w:val="20"/>
              </w:rPr>
              <w:t xml:space="preserve">, Pamela </w:t>
            </w:r>
          </w:p>
        </w:tc>
        <w:tc>
          <w:tcPr>
            <w:tcW w:w="8992" w:type="dxa"/>
            <w:shd w:val="clear" w:color="auto" w:fill="auto"/>
          </w:tcPr>
          <w:p w14:paraId="7582DCBB"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Former Consultant for Monitoring and Evaluation</w:t>
            </w:r>
          </w:p>
        </w:tc>
        <w:tc>
          <w:tcPr>
            <w:tcW w:w="2126" w:type="dxa"/>
            <w:shd w:val="clear" w:color="auto" w:fill="auto"/>
          </w:tcPr>
          <w:p w14:paraId="385AE5B3"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August 9, 2022</w:t>
            </w:r>
          </w:p>
        </w:tc>
      </w:tr>
      <w:tr w:rsidR="00B849DB" w:rsidRPr="00E87B21" w14:paraId="5E7B4875" w14:textId="77777777" w:rsidTr="00D32E6E">
        <w:tc>
          <w:tcPr>
            <w:tcW w:w="2065" w:type="dxa"/>
            <w:shd w:val="clear" w:color="auto" w:fill="auto"/>
          </w:tcPr>
          <w:p w14:paraId="0F77B761"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Herrera, Rommel</w:t>
            </w:r>
          </w:p>
        </w:tc>
        <w:tc>
          <w:tcPr>
            <w:tcW w:w="8992" w:type="dxa"/>
            <w:shd w:val="clear" w:color="auto" w:fill="auto"/>
          </w:tcPr>
          <w:p w14:paraId="7EC2B683"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Operations Officer</w:t>
            </w:r>
          </w:p>
        </w:tc>
        <w:tc>
          <w:tcPr>
            <w:tcW w:w="2126" w:type="dxa"/>
            <w:shd w:val="clear" w:color="auto" w:fill="auto"/>
          </w:tcPr>
          <w:p w14:paraId="0EE0BB3A"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Aug 17 &amp; Sep 1, 2022</w:t>
            </w:r>
          </w:p>
        </w:tc>
      </w:tr>
      <w:tr w:rsidR="00B849DB" w:rsidRPr="00E87B21" w14:paraId="64245562" w14:textId="77777777" w:rsidTr="00D32E6E">
        <w:tc>
          <w:tcPr>
            <w:tcW w:w="2065" w:type="dxa"/>
            <w:shd w:val="clear" w:color="auto" w:fill="auto"/>
          </w:tcPr>
          <w:p w14:paraId="3A9786AC" w14:textId="77777777" w:rsidR="00B849DB" w:rsidRPr="00E87B21" w:rsidRDefault="00B849DB" w:rsidP="000E4F8D">
            <w:pPr>
              <w:pStyle w:val="NoSpacing"/>
              <w:rPr>
                <w:rFonts w:cstheme="minorHAnsi"/>
                <w:color w:val="000000" w:themeColor="text1"/>
                <w:lang w:val="en-PH"/>
              </w:rPr>
            </w:pPr>
            <w:proofErr w:type="spellStart"/>
            <w:r w:rsidRPr="00E87B21">
              <w:rPr>
                <w:rFonts w:cstheme="minorHAnsi"/>
                <w:color w:val="000000" w:themeColor="text1"/>
              </w:rPr>
              <w:t>Magdamo-Maitim</w:t>
            </w:r>
            <w:proofErr w:type="spellEnd"/>
            <w:r w:rsidRPr="00E87B21">
              <w:rPr>
                <w:rFonts w:cstheme="minorHAnsi"/>
                <w:color w:val="000000" w:themeColor="text1"/>
              </w:rPr>
              <w:t xml:space="preserve">, </w:t>
            </w:r>
            <w:proofErr w:type="spellStart"/>
            <w:r w:rsidRPr="00E87B21">
              <w:rPr>
                <w:rFonts w:cstheme="minorHAnsi"/>
                <w:color w:val="000000" w:themeColor="text1"/>
              </w:rPr>
              <w:t>Lilanie</w:t>
            </w:r>
            <w:proofErr w:type="spellEnd"/>
          </w:p>
        </w:tc>
        <w:tc>
          <w:tcPr>
            <w:tcW w:w="8992" w:type="dxa"/>
            <w:shd w:val="clear" w:color="auto" w:fill="auto"/>
          </w:tcPr>
          <w:p w14:paraId="621649FA" w14:textId="12431C61"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 xml:space="preserve">Senior </w:t>
            </w:r>
            <w:r w:rsidR="00CC4292">
              <w:rPr>
                <w:rFonts w:cstheme="minorHAnsi"/>
                <w:color w:val="000000" w:themeColor="text1"/>
                <w:sz w:val="19"/>
                <w:szCs w:val="19"/>
              </w:rPr>
              <w:t>Operations</w:t>
            </w:r>
            <w:r w:rsidR="00CC4292" w:rsidRPr="006E52F7">
              <w:rPr>
                <w:rFonts w:cstheme="minorHAnsi"/>
                <w:color w:val="000000" w:themeColor="text1"/>
                <w:sz w:val="19"/>
                <w:szCs w:val="19"/>
              </w:rPr>
              <w:t xml:space="preserve"> </w:t>
            </w:r>
            <w:r w:rsidRPr="006E52F7">
              <w:rPr>
                <w:rFonts w:cstheme="minorHAnsi"/>
                <w:color w:val="000000" w:themeColor="text1"/>
                <w:sz w:val="19"/>
                <w:szCs w:val="19"/>
              </w:rPr>
              <w:t>Officer</w:t>
            </w:r>
          </w:p>
        </w:tc>
        <w:tc>
          <w:tcPr>
            <w:tcW w:w="2126" w:type="dxa"/>
            <w:shd w:val="clear" w:color="auto" w:fill="auto"/>
          </w:tcPr>
          <w:p w14:paraId="0C20DF54"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Aug 17 &amp; Sep 1, 2022</w:t>
            </w:r>
          </w:p>
        </w:tc>
      </w:tr>
      <w:tr w:rsidR="00B849DB" w:rsidRPr="00E87B21" w14:paraId="520F9564" w14:textId="77777777" w:rsidTr="00D32E6E">
        <w:tc>
          <w:tcPr>
            <w:tcW w:w="2065" w:type="dxa"/>
            <w:shd w:val="clear" w:color="auto" w:fill="auto"/>
          </w:tcPr>
          <w:p w14:paraId="60EC6F76"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szCs w:val="20"/>
              </w:rPr>
              <w:t>Morrison Mary</w:t>
            </w:r>
          </w:p>
        </w:tc>
        <w:tc>
          <w:tcPr>
            <w:tcW w:w="8992" w:type="dxa"/>
            <w:shd w:val="clear" w:color="auto" w:fill="auto"/>
          </w:tcPr>
          <w:p w14:paraId="697CDA0E"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Task Team Lead for Philippine Women’s Economic Empowerment Program (P173002/ TF0B2024)</w:t>
            </w:r>
          </w:p>
        </w:tc>
        <w:tc>
          <w:tcPr>
            <w:tcW w:w="2126" w:type="dxa"/>
            <w:shd w:val="clear" w:color="auto" w:fill="auto"/>
          </w:tcPr>
          <w:p w14:paraId="75C64345"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August 4, 2022</w:t>
            </w:r>
          </w:p>
        </w:tc>
      </w:tr>
      <w:tr w:rsidR="00B849DB" w:rsidRPr="00E87B21" w14:paraId="3C1459BA" w14:textId="77777777" w:rsidTr="00D32E6E">
        <w:tc>
          <w:tcPr>
            <w:tcW w:w="2065" w:type="dxa"/>
            <w:shd w:val="clear" w:color="auto" w:fill="auto"/>
          </w:tcPr>
          <w:p w14:paraId="3AE309C0" w14:textId="77777777" w:rsidR="00B849DB" w:rsidRPr="00E87B21" w:rsidRDefault="00B849DB" w:rsidP="000E4F8D">
            <w:pPr>
              <w:pStyle w:val="NoSpacing"/>
              <w:rPr>
                <w:rFonts w:cstheme="minorHAnsi"/>
                <w:color w:val="000000" w:themeColor="text1"/>
              </w:rPr>
            </w:pPr>
            <w:proofErr w:type="spellStart"/>
            <w:r w:rsidRPr="00E87B21">
              <w:rPr>
                <w:rFonts w:cstheme="minorHAnsi"/>
                <w:color w:val="000000" w:themeColor="text1"/>
                <w:szCs w:val="20"/>
              </w:rPr>
              <w:t>Osornprasop</w:t>
            </w:r>
            <w:proofErr w:type="spellEnd"/>
            <w:r w:rsidRPr="00E87B21">
              <w:rPr>
                <w:rFonts w:cstheme="minorHAnsi"/>
                <w:color w:val="000000" w:themeColor="text1"/>
                <w:szCs w:val="20"/>
              </w:rPr>
              <w:t xml:space="preserve">, </w:t>
            </w:r>
            <w:proofErr w:type="spellStart"/>
            <w:r w:rsidRPr="00E87B21">
              <w:rPr>
                <w:rFonts w:cstheme="minorHAnsi"/>
                <w:color w:val="000000" w:themeColor="text1"/>
                <w:szCs w:val="20"/>
              </w:rPr>
              <w:t>Sutayut</w:t>
            </w:r>
            <w:proofErr w:type="spellEnd"/>
            <w:r w:rsidRPr="00E87B21">
              <w:rPr>
                <w:rFonts w:cstheme="minorHAnsi"/>
                <w:color w:val="000000" w:themeColor="text1"/>
              </w:rPr>
              <w:t xml:space="preserve"> </w:t>
            </w:r>
          </w:p>
        </w:tc>
        <w:tc>
          <w:tcPr>
            <w:tcW w:w="8992" w:type="dxa"/>
            <w:shd w:val="clear" w:color="auto" w:fill="auto"/>
          </w:tcPr>
          <w:p w14:paraId="32F9DE39"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Task Team Lead for Strengthening Implementation Support for the Philippines COVID-19Response Project (P173877/ TF0B3554)</w:t>
            </w:r>
          </w:p>
        </w:tc>
        <w:tc>
          <w:tcPr>
            <w:tcW w:w="2126" w:type="dxa"/>
            <w:shd w:val="clear" w:color="auto" w:fill="auto"/>
          </w:tcPr>
          <w:p w14:paraId="36CEF185"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August 18, 2022</w:t>
            </w:r>
          </w:p>
        </w:tc>
      </w:tr>
      <w:tr w:rsidR="00B849DB" w:rsidRPr="00E87B21" w14:paraId="6889FD9A" w14:textId="77777777" w:rsidTr="00D32E6E">
        <w:tc>
          <w:tcPr>
            <w:tcW w:w="2065" w:type="dxa"/>
            <w:shd w:val="clear" w:color="auto" w:fill="auto"/>
          </w:tcPr>
          <w:p w14:paraId="73C30950" w14:textId="77777777" w:rsidR="00B849DB" w:rsidRPr="00E87B21" w:rsidRDefault="00B849DB" w:rsidP="000E4F8D">
            <w:pPr>
              <w:pStyle w:val="NoSpacing"/>
              <w:rPr>
                <w:rFonts w:cstheme="minorHAnsi"/>
                <w:color w:val="000000" w:themeColor="text1"/>
              </w:rPr>
            </w:pPr>
            <w:proofErr w:type="spellStart"/>
            <w:r w:rsidRPr="00E87B21">
              <w:rPr>
                <w:rFonts w:cstheme="minorHAnsi"/>
                <w:color w:val="000000" w:themeColor="text1"/>
                <w:szCs w:val="20"/>
              </w:rPr>
              <w:t>Piza</w:t>
            </w:r>
            <w:proofErr w:type="spellEnd"/>
            <w:r w:rsidRPr="00E87B21">
              <w:rPr>
                <w:rFonts w:cstheme="minorHAnsi"/>
                <w:color w:val="000000" w:themeColor="text1"/>
                <w:szCs w:val="20"/>
              </w:rPr>
              <w:t xml:space="preserve">, Sharon </w:t>
            </w:r>
          </w:p>
        </w:tc>
        <w:tc>
          <w:tcPr>
            <w:tcW w:w="8992" w:type="dxa"/>
            <w:shd w:val="clear" w:color="auto" w:fill="auto"/>
          </w:tcPr>
          <w:p w14:paraId="1C492C9D"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Task Team Lead for Real time monitoring of COVID-19 impacts in the Philippines (P174356/ TF0B3554)</w:t>
            </w:r>
          </w:p>
        </w:tc>
        <w:tc>
          <w:tcPr>
            <w:tcW w:w="2126" w:type="dxa"/>
            <w:shd w:val="clear" w:color="auto" w:fill="auto"/>
          </w:tcPr>
          <w:p w14:paraId="3E4141E7"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July 26, 2022</w:t>
            </w:r>
          </w:p>
        </w:tc>
      </w:tr>
      <w:tr w:rsidR="00B849DB" w:rsidRPr="00E87B21" w14:paraId="06DCE2AB" w14:textId="77777777" w:rsidTr="00D32E6E">
        <w:tc>
          <w:tcPr>
            <w:tcW w:w="2065" w:type="dxa"/>
            <w:shd w:val="clear" w:color="auto" w:fill="auto"/>
          </w:tcPr>
          <w:p w14:paraId="10D2F01D"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szCs w:val="20"/>
              </w:rPr>
              <w:t xml:space="preserve">Qian, Rong </w:t>
            </w:r>
          </w:p>
        </w:tc>
        <w:tc>
          <w:tcPr>
            <w:tcW w:w="8992" w:type="dxa"/>
            <w:shd w:val="clear" w:color="auto" w:fill="auto"/>
          </w:tcPr>
          <w:p w14:paraId="075242FC"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Task Team Lead for TA for DPL Reforms (P172157 / TF0B278)</w:t>
            </w:r>
          </w:p>
          <w:p w14:paraId="79E064BB"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 xml:space="preserve">Supporting Subnational Finance and Decentralization in the Context of the </w:t>
            </w:r>
            <w:proofErr w:type="spellStart"/>
            <w:r w:rsidRPr="006E52F7">
              <w:rPr>
                <w:rFonts w:cstheme="minorHAnsi"/>
                <w:color w:val="000000" w:themeColor="text1"/>
                <w:sz w:val="19"/>
                <w:szCs w:val="19"/>
              </w:rPr>
              <w:t>Mandanas</w:t>
            </w:r>
            <w:proofErr w:type="spellEnd"/>
            <w:r w:rsidRPr="006E52F7">
              <w:rPr>
                <w:rFonts w:cstheme="minorHAnsi"/>
                <w:color w:val="000000" w:themeColor="text1"/>
                <w:sz w:val="19"/>
                <w:szCs w:val="19"/>
              </w:rPr>
              <w:t xml:space="preserve"> Ruling (TF0B2079/P172913)</w:t>
            </w:r>
          </w:p>
        </w:tc>
        <w:tc>
          <w:tcPr>
            <w:tcW w:w="2126" w:type="dxa"/>
            <w:shd w:val="clear" w:color="auto" w:fill="auto"/>
          </w:tcPr>
          <w:p w14:paraId="30855A10"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July 25, 2022</w:t>
            </w:r>
          </w:p>
        </w:tc>
      </w:tr>
      <w:tr w:rsidR="00B849DB" w:rsidRPr="00E87B21" w14:paraId="22A7873E" w14:textId="77777777" w:rsidTr="00D32E6E">
        <w:tc>
          <w:tcPr>
            <w:tcW w:w="2065" w:type="dxa"/>
            <w:shd w:val="clear" w:color="auto" w:fill="auto"/>
          </w:tcPr>
          <w:p w14:paraId="62F07F34"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szCs w:val="20"/>
              </w:rPr>
              <w:t>Rodriguez, Ruth</w:t>
            </w:r>
            <w:r w:rsidRPr="00E87B21">
              <w:rPr>
                <w:rFonts w:cstheme="minorHAnsi"/>
                <w:color w:val="000000" w:themeColor="text1"/>
              </w:rPr>
              <w:t xml:space="preserve"> </w:t>
            </w:r>
          </w:p>
        </w:tc>
        <w:tc>
          <w:tcPr>
            <w:tcW w:w="8992" w:type="dxa"/>
            <w:shd w:val="clear" w:color="auto" w:fill="auto"/>
          </w:tcPr>
          <w:p w14:paraId="3F4CD9DD" w14:textId="77777777" w:rsidR="00B849DB" w:rsidRPr="006E52F7" w:rsidRDefault="00B849DB" w:rsidP="000E4F8D">
            <w:pPr>
              <w:pStyle w:val="NoSpacing"/>
              <w:rPr>
                <w:rFonts w:cstheme="minorHAnsi"/>
                <w:color w:val="000000" w:themeColor="text1"/>
                <w:sz w:val="19"/>
                <w:szCs w:val="19"/>
              </w:rPr>
            </w:pPr>
            <w:r w:rsidRPr="006E52F7">
              <w:rPr>
                <w:rFonts w:cstheme="minorHAnsi"/>
                <w:color w:val="000000" w:themeColor="text1"/>
                <w:sz w:val="19"/>
                <w:szCs w:val="19"/>
              </w:rPr>
              <w:t xml:space="preserve">Co-Task Team Lead for Strengthening Support for the </w:t>
            </w:r>
            <w:proofErr w:type="spellStart"/>
            <w:r w:rsidRPr="006E52F7">
              <w:rPr>
                <w:rFonts w:cstheme="minorHAnsi"/>
                <w:color w:val="000000" w:themeColor="text1"/>
                <w:sz w:val="19"/>
                <w:szCs w:val="19"/>
              </w:rPr>
              <w:t>Pantawid</w:t>
            </w:r>
            <w:proofErr w:type="spellEnd"/>
            <w:r w:rsidRPr="006E52F7">
              <w:rPr>
                <w:rFonts w:cstheme="minorHAnsi"/>
                <w:color w:val="000000" w:themeColor="text1"/>
                <w:sz w:val="19"/>
                <w:szCs w:val="19"/>
              </w:rPr>
              <w:t xml:space="preserve"> Program and Philippine Social Protection Systems (P173380/TF0B2024)</w:t>
            </w:r>
          </w:p>
        </w:tc>
        <w:tc>
          <w:tcPr>
            <w:tcW w:w="2126" w:type="dxa"/>
            <w:shd w:val="clear" w:color="auto" w:fill="auto"/>
          </w:tcPr>
          <w:p w14:paraId="024EC350" w14:textId="77777777" w:rsidR="00B849DB" w:rsidRPr="00E87B21" w:rsidRDefault="00B849DB" w:rsidP="000E4F8D">
            <w:pPr>
              <w:pStyle w:val="NoSpacing"/>
              <w:rPr>
                <w:rFonts w:cstheme="minorHAnsi"/>
                <w:color w:val="000000" w:themeColor="text1"/>
              </w:rPr>
            </w:pPr>
            <w:r w:rsidRPr="00E87B21">
              <w:rPr>
                <w:rFonts w:cstheme="minorHAnsi"/>
                <w:color w:val="000000" w:themeColor="text1"/>
              </w:rPr>
              <w:t>August 15, 2022</w:t>
            </w:r>
          </w:p>
        </w:tc>
      </w:tr>
    </w:tbl>
    <w:p w14:paraId="0253AB1F" w14:textId="394F7244" w:rsidR="00D32E6E" w:rsidRDefault="00D32E6E">
      <w:r w:rsidRPr="00E87B21">
        <w:rPr>
          <w:rFonts w:cstheme="minorHAnsi"/>
          <w:b/>
          <w:bCs/>
          <w:color w:val="000000" w:themeColor="text1"/>
        </w:rPr>
        <w:t>Australian Embassy – DFAT</w:t>
      </w:r>
    </w:p>
    <w:tbl>
      <w:tblPr>
        <w:tblStyle w:val="TableGrid"/>
        <w:tblW w:w="13183" w:type="dxa"/>
        <w:tblLook w:val="04A0" w:firstRow="1" w:lastRow="0" w:firstColumn="1" w:lastColumn="0" w:noHBand="0" w:noVBand="1"/>
      </w:tblPr>
      <w:tblGrid>
        <w:gridCol w:w="2065"/>
        <w:gridCol w:w="8992"/>
        <w:gridCol w:w="2126"/>
      </w:tblGrid>
      <w:tr w:rsidR="00E87B21" w:rsidRPr="00E87B21" w14:paraId="0ACF26FE" w14:textId="77777777" w:rsidTr="00D32E6E">
        <w:trPr>
          <w:tblHeader/>
        </w:trPr>
        <w:tc>
          <w:tcPr>
            <w:tcW w:w="2065" w:type="dxa"/>
            <w:shd w:val="clear" w:color="auto" w:fill="E7E6E6" w:themeFill="background2"/>
            <w:vAlign w:val="center"/>
          </w:tcPr>
          <w:p w14:paraId="4C647AE6" w14:textId="13B40EF6" w:rsidR="000E4F8D" w:rsidRPr="00E87B21" w:rsidRDefault="00970491" w:rsidP="007805CE">
            <w:pPr>
              <w:pStyle w:val="NoSpacing"/>
              <w:rPr>
                <w:color w:val="000000" w:themeColor="text1"/>
              </w:rPr>
            </w:pPr>
            <w:r w:rsidRPr="00E87B21">
              <w:rPr>
                <w:color w:val="000000" w:themeColor="text1"/>
              </w:rPr>
              <w:t>Person Consulted</w:t>
            </w:r>
          </w:p>
        </w:tc>
        <w:tc>
          <w:tcPr>
            <w:tcW w:w="8992" w:type="dxa"/>
            <w:shd w:val="clear" w:color="auto" w:fill="E7E6E6" w:themeFill="background2"/>
          </w:tcPr>
          <w:p w14:paraId="45CBA9B0" w14:textId="77777777" w:rsidR="000E4F8D" w:rsidRPr="00E87B21" w:rsidRDefault="000E4F8D" w:rsidP="007805CE">
            <w:pPr>
              <w:pStyle w:val="NoSpacing"/>
              <w:rPr>
                <w:color w:val="000000" w:themeColor="text1"/>
              </w:rPr>
            </w:pPr>
            <w:r w:rsidRPr="00E87B21">
              <w:rPr>
                <w:color w:val="000000" w:themeColor="text1"/>
              </w:rPr>
              <w:t>Role</w:t>
            </w:r>
          </w:p>
        </w:tc>
        <w:tc>
          <w:tcPr>
            <w:tcW w:w="2126" w:type="dxa"/>
            <w:shd w:val="clear" w:color="auto" w:fill="E7E6E6" w:themeFill="background2"/>
            <w:vAlign w:val="center"/>
          </w:tcPr>
          <w:p w14:paraId="3139A080" w14:textId="77777777" w:rsidR="000E4F8D" w:rsidRPr="00E87B21" w:rsidRDefault="000E4F8D" w:rsidP="007805CE">
            <w:pPr>
              <w:pStyle w:val="NoSpacing"/>
              <w:rPr>
                <w:color w:val="000000" w:themeColor="text1"/>
              </w:rPr>
            </w:pPr>
            <w:r w:rsidRPr="00E87B21">
              <w:rPr>
                <w:color w:val="000000" w:themeColor="text1"/>
              </w:rPr>
              <w:t>Date</w:t>
            </w:r>
          </w:p>
        </w:tc>
      </w:tr>
      <w:tr w:rsidR="00E87B21" w:rsidRPr="00E87B21" w14:paraId="02649C97" w14:textId="77777777" w:rsidTr="00D32E6E">
        <w:tc>
          <w:tcPr>
            <w:tcW w:w="2065" w:type="dxa"/>
            <w:shd w:val="clear" w:color="auto" w:fill="auto"/>
          </w:tcPr>
          <w:p w14:paraId="3A617F16" w14:textId="77777777" w:rsidR="00615755" w:rsidRPr="00E87B21" w:rsidRDefault="00615755" w:rsidP="000E4F8D">
            <w:pPr>
              <w:pStyle w:val="NoSpacing"/>
              <w:rPr>
                <w:rFonts w:cstheme="minorHAnsi"/>
                <w:color w:val="000000" w:themeColor="text1"/>
              </w:rPr>
            </w:pPr>
            <w:r w:rsidRPr="00E87B21">
              <w:rPr>
                <w:rFonts w:cstheme="minorHAnsi"/>
                <w:color w:val="000000" w:themeColor="text1"/>
              </w:rPr>
              <w:t>Aquino, Angela</w:t>
            </w:r>
          </w:p>
        </w:tc>
        <w:tc>
          <w:tcPr>
            <w:tcW w:w="8992" w:type="dxa"/>
            <w:shd w:val="clear" w:color="auto" w:fill="auto"/>
          </w:tcPr>
          <w:p w14:paraId="4955375F" w14:textId="5178EE28" w:rsidR="00615755" w:rsidRPr="006E52F7" w:rsidRDefault="00615755" w:rsidP="000E4F8D">
            <w:pPr>
              <w:pStyle w:val="NoSpacing"/>
              <w:rPr>
                <w:rFonts w:cstheme="minorHAnsi"/>
                <w:color w:val="000000" w:themeColor="text1"/>
                <w:sz w:val="19"/>
                <w:szCs w:val="19"/>
              </w:rPr>
            </w:pPr>
            <w:r w:rsidRPr="006E52F7">
              <w:rPr>
                <w:rFonts w:cstheme="minorHAnsi"/>
                <w:color w:val="000000" w:themeColor="text1"/>
                <w:sz w:val="19"/>
                <w:szCs w:val="19"/>
              </w:rPr>
              <w:t xml:space="preserve">Program </w:t>
            </w:r>
            <w:r w:rsidR="009D6837" w:rsidRPr="006E52F7">
              <w:rPr>
                <w:rFonts w:cstheme="minorHAnsi"/>
                <w:color w:val="000000" w:themeColor="text1"/>
                <w:sz w:val="19"/>
                <w:szCs w:val="19"/>
              </w:rPr>
              <w:t>Officer (Development)</w:t>
            </w:r>
          </w:p>
        </w:tc>
        <w:tc>
          <w:tcPr>
            <w:tcW w:w="2126" w:type="dxa"/>
            <w:shd w:val="clear" w:color="auto" w:fill="auto"/>
          </w:tcPr>
          <w:p w14:paraId="653A232F" w14:textId="77777777" w:rsidR="00615755" w:rsidRPr="00E87B21" w:rsidRDefault="00615755" w:rsidP="000E4F8D">
            <w:pPr>
              <w:pStyle w:val="NoSpacing"/>
              <w:rPr>
                <w:rFonts w:cstheme="minorHAnsi"/>
                <w:color w:val="000000" w:themeColor="text1"/>
              </w:rPr>
            </w:pPr>
            <w:r w:rsidRPr="00E87B21">
              <w:rPr>
                <w:rFonts w:cstheme="minorHAnsi"/>
                <w:color w:val="000000" w:themeColor="text1"/>
              </w:rPr>
              <w:t>July 29 &amp; Aug 8, 2022</w:t>
            </w:r>
          </w:p>
        </w:tc>
      </w:tr>
      <w:tr w:rsidR="00E87B21" w:rsidRPr="00E87B21" w14:paraId="308CC95B" w14:textId="77777777" w:rsidTr="00D32E6E">
        <w:tc>
          <w:tcPr>
            <w:tcW w:w="2065" w:type="dxa"/>
            <w:shd w:val="clear" w:color="auto" w:fill="auto"/>
          </w:tcPr>
          <w:p w14:paraId="68D81083" w14:textId="77777777" w:rsidR="00615755" w:rsidRPr="00E87B21" w:rsidRDefault="00615755" w:rsidP="000E4F8D">
            <w:pPr>
              <w:pStyle w:val="NoSpacing"/>
              <w:rPr>
                <w:color w:val="000000" w:themeColor="text1"/>
              </w:rPr>
            </w:pPr>
            <w:r w:rsidRPr="00E87B21">
              <w:rPr>
                <w:color w:val="000000" w:themeColor="text1"/>
              </w:rPr>
              <w:t xml:space="preserve">Bakker, Abigail </w:t>
            </w:r>
          </w:p>
        </w:tc>
        <w:tc>
          <w:tcPr>
            <w:tcW w:w="8992" w:type="dxa"/>
            <w:shd w:val="clear" w:color="auto" w:fill="auto"/>
          </w:tcPr>
          <w:p w14:paraId="43FE729E" w14:textId="77777777" w:rsidR="00615755" w:rsidRPr="006E52F7" w:rsidRDefault="00615755" w:rsidP="00A75B1F">
            <w:pPr>
              <w:pStyle w:val="NoSpacing"/>
              <w:rPr>
                <w:color w:val="000000" w:themeColor="text1"/>
                <w:sz w:val="19"/>
                <w:szCs w:val="19"/>
              </w:rPr>
            </w:pPr>
            <w:r w:rsidRPr="006E52F7">
              <w:rPr>
                <w:color w:val="000000" w:themeColor="text1"/>
                <w:sz w:val="19"/>
                <w:szCs w:val="19"/>
              </w:rPr>
              <w:t xml:space="preserve">Second Secretary (Development) </w:t>
            </w:r>
          </w:p>
        </w:tc>
        <w:tc>
          <w:tcPr>
            <w:tcW w:w="2126" w:type="dxa"/>
            <w:shd w:val="clear" w:color="auto" w:fill="auto"/>
          </w:tcPr>
          <w:p w14:paraId="13800000" w14:textId="77777777" w:rsidR="00615755" w:rsidRPr="00E87B21" w:rsidRDefault="00615755" w:rsidP="000E4F8D">
            <w:pPr>
              <w:pStyle w:val="NoSpacing"/>
              <w:rPr>
                <w:color w:val="000000" w:themeColor="text1"/>
              </w:rPr>
            </w:pPr>
            <w:r w:rsidRPr="00E87B21">
              <w:rPr>
                <w:color w:val="000000" w:themeColor="text1"/>
              </w:rPr>
              <w:t>August 9, 2022</w:t>
            </w:r>
          </w:p>
        </w:tc>
      </w:tr>
      <w:tr w:rsidR="00E87B21" w:rsidRPr="00E87B21" w14:paraId="0B1E930D" w14:textId="77777777" w:rsidTr="00D32E6E">
        <w:tc>
          <w:tcPr>
            <w:tcW w:w="2065" w:type="dxa"/>
            <w:shd w:val="clear" w:color="auto" w:fill="auto"/>
          </w:tcPr>
          <w:p w14:paraId="24157B3B" w14:textId="77777777" w:rsidR="00615755" w:rsidRPr="00E87B21" w:rsidRDefault="00615755" w:rsidP="000E4F8D">
            <w:pPr>
              <w:pStyle w:val="NoSpacing"/>
              <w:rPr>
                <w:rFonts w:cstheme="minorHAnsi"/>
                <w:color w:val="000000" w:themeColor="text1"/>
              </w:rPr>
            </w:pPr>
            <w:r w:rsidRPr="00E87B21">
              <w:rPr>
                <w:rFonts w:cstheme="minorHAnsi"/>
                <w:color w:val="000000" w:themeColor="text1"/>
              </w:rPr>
              <w:t xml:space="preserve">Borja, Grace </w:t>
            </w:r>
          </w:p>
        </w:tc>
        <w:tc>
          <w:tcPr>
            <w:tcW w:w="8992" w:type="dxa"/>
            <w:shd w:val="clear" w:color="auto" w:fill="auto"/>
          </w:tcPr>
          <w:p w14:paraId="672551BC" w14:textId="33A469C4" w:rsidR="00615755" w:rsidRPr="006E52F7" w:rsidRDefault="00615755" w:rsidP="000E4F8D">
            <w:pPr>
              <w:pStyle w:val="NoSpacing"/>
              <w:rPr>
                <w:rFonts w:cstheme="minorHAnsi"/>
                <w:color w:val="000000" w:themeColor="text1"/>
                <w:sz w:val="19"/>
                <w:szCs w:val="19"/>
              </w:rPr>
            </w:pPr>
            <w:r w:rsidRPr="006E52F7">
              <w:rPr>
                <w:rFonts w:cstheme="minorHAnsi"/>
                <w:color w:val="000000" w:themeColor="text1"/>
                <w:sz w:val="19"/>
                <w:szCs w:val="19"/>
              </w:rPr>
              <w:t>Senior Program Officer (</w:t>
            </w:r>
            <w:r w:rsidR="001F182F">
              <w:rPr>
                <w:rFonts w:cstheme="minorHAnsi"/>
                <w:color w:val="000000" w:themeColor="text1"/>
                <w:sz w:val="19"/>
                <w:szCs w:val="19"/>
              </w:rPr>
              <w:t>Development</w:t>
            </w:r>
            <w:r w:rsidRPr="006E52F7">
              <w:rPr>
                <w:rFonts w:cstheme="minorHAnsi"/>
                <w:color w:val="000000" w:themeColor="text1"/>
                <w:sz w:val="19"/>
                <w:szCs w:val="19"/>
              </w:rPr>
              <w:t xml:space="preserve">) </w:t>
            </w:r>
          </w:p>
        </w:tc>
        <w:tc>
          <w:tcPr>
            <w:tcW w:w="2126" w:type="dxa"/>
            <w:shd w:val="clear" w:color="auto" w:fill="auto"/>
          </w:tcPr>
          <w:p w14:paraId="1DBD8831" w14:textId="77777777" w:rsidR="00615755" w:rsidRPr="00E87B21" w:rsidRDefault="00615755" w:rsidP="000E4F8D">
            <w:pPr>
              <w:pStyle w:val="NoSpacing"/>
              <w:rPr>
                <w:rFonts w:cstheme="minorHAnsi"/>
                <w:color w:val="000000" w:themeColor="text1"/>
              </w:rPr>
            </w:pPr>
            <w:r w:rsidRPr="00E87B21">
              <w:rPr>
                <w:rFonts w:cstheme="minorHAnsi"/>
                <w:color w:val="000000" w:themeColor="text1"/>
              </w:rPr>
              <w:t>July 29 &amp; Aug 8, 2022</w:t>
            </w:r>
          </w:p>
        </w:tc>
      </w:tr>
      <w:tr w:rsidR="00E87B21" w:rsidRPr="00E87B21" w14:paraId="2356B11E" w14:textId="77777777" w:rsidTr="00D32E6E">
        <w:tc>
          <w:tcPr>
            <w:tcW w:w="2065" w:type="dxa"/>
            <w:shd w:val="clear" w:color="auto" w:fill="auto"/>
          </w:tcPr>
          <w:p w14:paraId="2EFC05A2" w14:textId="77777777" w:rsidR="00615755" w:rsidRPr="00E87B21" w:rsidRDefault="00615755" w:rsidP="000E4F8D">
            <w:pPr>
              <w:pStyle w:val="NoSpacing"/>
              <w:rPr>
                <w:color w:val="000000" w:themeColor="text1"/>
              </w:rPr>
            </w:pPr>
            <w:r w:rsidRPr="00E87B21">
              <w:rPr>
                <w:color w:val="000000" w:themeColor="text1"/>
              </w:rPr>
              <w:t>Harley-</w:t>
            </w:r>
            <w:proofErr w:type="spellStart"/>
            <w:r w:rsidRPr="00E87B21">
              <w:rPr>
                <w:color w:val="000000" w:themeColor="text1"/>
              </w:rPr>
              <w:t>Cavanough</w:t>
            </w:r>
            <w:proofErr w:type="spellEnd"/>
            <w:r w:rsidRPr="00E87B21">
              <w:rPr>
                <w:color w:val="000000" w:themeColor="text1"/>
              </w:rPr>
              <w:t>, Georgina</w:t>
            </w:r>
          </w:p>
        </w:tc>
        <w:tc>
          <w:tcPr>
            <w:tcW w:w="8992" w:type="dxa"/>
            <w:shd w:val="clear" w:color="auto" w:fill="auto"/>
          </w:tcPr>
          <w:p w14:paraId="1570DC44" w14:textId="77777777" w:rsidR="00615755" w:rsidRPr="006E52F7" w:rsidRDefault="00615755" w:rsidP="000E4F8D">
            <w:pPr>
              <w:pStyle w:val="NoSpacing"/>
              <w:rPr>
                <w:color w:val="000000" w:themeColor="text1"/>
                <w:sz w:val="19"/>
                <w:szCs w:val="19"/>
              </w:rPr>
            </w:pPr>
            <w:r w:rsidRPr="006E52F7">
              <w:rPr>
                <w:color w:val="000000" w:themeColor="text1"/>
                <w:sz w:val="19"/>
                <w:szCs w:val="19"/>
              </w:rPr>
              <w:t>First Secretary (Development)</w:t>
            </w:r>
          </w:p>
        </w:tc>
        <w:tc>
          <w:tcPr>
            <w:tcW w:w="2126" w:type="dxa"/>
            <w:shd w:val="clear" w:color="auto" w:fill="auto"/>
          </w:tcPr>
          <w:p w14:paraId="25BEC9F6" w14:textId="77777777" w:rsidR="00615755" w:rsidRPr="00E87B21" w:rsidRDefault="00615755" w:rsidP="000E4F8D">
            <w:pPr>
              <w:pStyle w:val="NoSpacing"/>
              <w:rPr>
                <w:color w:val="000000" w:themeColor="text1"/>
              </w:rPr>
            </w:pPr>
            <w:r w:rsidRPr="00E87B21">
              <w:rPr>
                <w:color w:val="000000" w:themeColor="text1"/>
              </w:rPr>
              <w:t>August 8, 2022</w:t>
            </w:r>
          </w:p>
        </w:tc>
      </w:tr>
      <w:tr w:rsidR="00E87B21" w:rsidRPr="00E87B21" w14:paraId="2400C65C" w14:textId="77777777" w:rsidTr="00D32E6E">
        <w:tc>
          <w:tcPr>
            <w:tcW w:w="2065" w:type="dxa"/>
            <w:shd w:val="clear" w:color="auto" w:fill="auto"/>
          </w:tcPr>
          <w:p w14:paraId="4FD5A211" w14:textId="77777777" w:rsidR="00615755" w:rsidRPr="00E87B21" w:rsidRDefault="00615755" w:rsidP="000E4F8D">
            <w:pPr>
              <w:pStyle w:val="NoSpacing"/>
              <w:rPr>
                <w:rFonts w:cstheme="minorHAnsi"/>
                <w:color w:val="000000" w:themeColor="text1"/>
              </w:rPr>
            </w:pPr>
            <w:r w:rsidRPr="00E87B21">
              <w:rPr>
                <w:rFonts w:cstheme="minorHAnsi"/>
                <w:color w:val="000000" w:themeColor="text1"/>
              </w:rPr>
              <w:t xml:space="preserve">Le, Thanh </w:t>
            </w:r>
          </w:p>
        </w:tc>
        <w:tc>
          <w:tcPr>
            <w:tcW w:w="8992" w:type="dxa"/>
            <w:shd w:val="clear" w:color="auto" w:fill="auto"/>
          </w:tcPr>
          <w:p w14:paraId="51B73BAB" w14:textId="77777777" w:rsidR="00615755" w:rsidRPr="006E52F7" w:rsidRDefault="00615755" w:rsidP="000E4F8D">
            <w:pPr>
              <w:pStyle w:val="NoSpacing"/>
              <w:rPr>
                <w:rFonts w:cstheme="minorHAnsi"/>
                <w:color w:val="000000" w:themeColor="text1"/>
                <w:sz w:val="19"/>
                <w:szCs w:val="19"/>
              </w:rPr>
            </w:pPr>
            <w:r w:rsidRPr="006E52F7">
              <w:rPr>
                <w:rFonts w:cstheme="minorHAnsi"/>
                <w:color w:val="000000" w:themeColor="text1"/>
                <w:sz w:val="19"/>
                <w:szCs w:val="19"/>
              </w:rPr>
              <w:t>Counsellor (Development)</w:t>
            </w:r>
          </w:p>
        </w:tc>
        <w:tc>
          <w:tcPr>
            <w:tcW w:w="2126" w:type="dxa"/>
            <w:shd w:val="clear" w:color="auto" w:fill="auto"/>
          </w:tcPr>
          <w:p w14:paraId="7D78F29F" w14:textId="77777777" w:rsidR="00615755" w:rsidRPr="00E87B21" w:rsidRDefault="00615755" w:rsidP="000E4F8D">
            <w:pPr>
              <w:pStyle w:val="NoSpacing"/>
              <w:rPr>
                <w:rFonts w:cstheme="minorHAnsi"/>
                <w:color w:val="000000" w:themeColor="text1"/>
              </w:rPr>
            </w:pPr>
            <w:r w:rsidRPr="00E87B21">
              <w:rPr>
                <w:rFonts w:cstheme="minorHAnsi"/>
                <w:color w:val="000000" w:themeColor="text1"/>
              </w:rPr>
              <w:t>July 29, 2022</w:t>
            </w:r>
          </w:p>
        </w:tc>
      </w:tr>
      <w:tr w:rsidR="00E87B21" w:rsidRPr="00E87B21" w14:paraId="1D684FF5" w14:textId="77777777" w:rsidTr="00D32E6E">
        <w:tc>
          <w:tcPr>
            <w:tcW w:w="2065" w:type="dxa"/>
            <w:shd w:val="clear" w:color="auto" w:fill="auto"/>
          </w:tcPr>
          <w:p w14:paraId="4CC66FFE" w14:textId="77777777" w:rsidR="00615755" w:rsidRPr="00E87B21" w:rsidRDefault="00615755" w:rsidP="000E4F8D">
            <w:pPr>
              <w:pStyle w:val="NoSpacing"/>
              <w:rPr>
                <w:color w:val="000000" w:themeColor="text1"/>
              </w:rPr>
            </w:pPr>
            <w:proofErr w:type="spellStart"/>
            <w:r w:rsidRPr="00E87B21">
              <w:rPr>
                <w:color w:val="000000" w:themeColor="text1"/>
              </w:rPr>
              <w:t>Lorico</w:t>
            </w:r>
            <w:proofErr w:type="spellEnd"/>
            <w:r w:rsidRPr="00E87B21">
              <w:rPr>
                <w:color w:val="000000" w:themeColor="text1"/>
              </w:rPr>
              <w:t>, Glennie</w:t>
            </w:r>
          </w:p>
        </w:tc>
        <w:tc>
          <w:tcPr>
            <w:tcW w:w="8992" w:type="dxa"/>
            <w:shd w:val="clear" w:color="auto" w:fill="auto"/>
          </w:tcPr>
          <w:p w14:paraId="73C3426E" w14:textId="0BB55FD9" w:rsidR="00615755" w:rsidRPr="006E52F7" w:rsidRDefault="00615755" w:rsidP="000E4F8D">
            <w:pPr>
              <w:pStyle w:val="NoSpacing"/>
              <w:rPr>
                <w:color w:val="000000" w:themeColor="text1"/>
                <w:sz w:val="19"/>
                <w:szCs w:val="19"/>
              </w:rPr>
            </w:pPr>
            <w:r w:rsidRPr="006E52F7">
              <w:rPr>
                <w:color w:val="000000" w:themeColor="text1"/>
                <w:sz w:val="19"/>
                <w:szCs w:val="19"/>
              </w:rPr>
              <w:t xml:space="preserve">Program Officer </w:t>
            </w:r>
            <w:r w:rsidR="009D6837" w:rsidRPr="006E52F7">
              <w:rPr>
                <w:color w:val="000000" w:themeColor="text1"/>
                <w:sz w:val="19"/>
                <w:szCs w:val="19"/>
              </w:rPr>
              <w:t>(Development)</w:t>
            </w:r>
          </w:p>
        </w:tc>
        <w:tc>
          <w:tcPr>
            <w:tcW w:w="2126" w:type="dxa"/>
            <w:shd w:val="clear" w:color="auto" w:fill="auto"/>
          </w:tcPr>
          <w:p w14:paraId="24D86A07" w14:textId="77777777" w:rsidR="00615755" w:rsidRPr="00E87B21" w:rsidRDefault="00615755" w:rsidP="000E4F8D">
            <w:pPr>
              <w:pStyle w:val="NoSpacing"/>
              <w:rPr>
                <w:color w:val="000000" w:themeColor="text1"/>
              </w:rPr>
            </w:pPr>
            <w:r w:rsidRPr="00E87B21">
              <w:rPr>
                <w:color w:val="000000" w:themeColor="text1"/>
              </w:rPr>
              <w:t>August 9, 2022</w:t>
            </w:r>
          </w:p>
        </w:tc>
      </w:tr>
      <w:tr w:rsidR="00E87B21" w:rsidRPr="00E87B21" w14:paraId="20FEB26A" w14:textId="77777777" w:rsidTr="00D32E6E">
        <w:tc>
          <w:tcPr>
            <w:tcW w:w="2065" w:type="dxa"/>
            <w:shd w:val="clear" w:color="auto" w:fill="auto"/>
          </w:tcPr>
          <w:p w14:paraId="45D0336F" w14:textId="77777777" w:rsidR="00615755" w:rsidRPr="00E87B21" w:rsidRDefault="00615755" w:rsidP="00014E80">
            <w:pPr>
              <w:pStyle w:val="NoSpacing"/>
              <w:rPr>
                <w:rFonts w:cstheme="minorHAnsi"/>
                <w:color w:val="000000" w:themeColor="text1"/>
              </w:rPr>
            </w:pPr>
            <w:r w:rsidRPr="00E87B21">
              <w:rPr>
                <w:color w:val="000000" w:themeColor="text1"/>
                <w:shd w:val="clear" w:color="auto" w:fill="FFFFFF"/>
              </w:rPr>
              <w:lastRenderedPageBreak/>
              <w:t>Mckenna, Sheona</w:t>
            </w:r>
          </w:p>
        </w:tc>
        <w:tc>
          <w:tcPr>
            <w:tcW w:w="8992" w:type="dxa"/>
            <w:shd w:val="clear" w:color="auto" w:fill="auto"/>
          </w:tcPr>
          <w:p w14:paraId="5F520376" w14:textId="77777777" w:rsidR="00615755" w:rsidRPr="006E52F7" w:rsidRDefault="00615755" w:rsidP="00014E80">
            <w:pPr>
              <w:pStyle w:val="NoSpacing"/>
              <w:rPr>
                <w:rFonts w:cstheme="minorHAnsi"/>
                <w:color w:val="000000" w:themeColor="text1"/>
                <w:sz w:val="19"/>
                <w:szCs w:val="19"/>
              </w:rPr>
            </w:pPr>
            <w:r w:rsidRPr="006E52F7">
              <w:rPr>
                <w:rFonts w:cstheme="minorHAnsi"/>
                <w:color w:val="000000" w:themeColor="text1"/>
                <w:sz w:val="19"/>
                <w:szCs w:val="19"/>
              </w:rPr>
              <w:t>Former Counsellor (Development)</w:t>
            </w:r>
          </w:p>
        </w:tc>
        <w:tc>
          <w:tcPr>
            <w:tcW w:w="2126" w:type="dxa"/>
            <w:shd w:val="clear" w:color="auto" w:fill="auto"/>
          </w:tcPr>
          <w:p w14:paraId="685BB369" w14:textId="77777777" w:rsidR="00615755" w:rsidRPr="00E87B21" w:rsidRDefault="00615755" w:rsidP="00014E80">
            <w:pPr>
              <w:pStyle w:val="NoSpacing"/>
              <w:rPr>
                <w:rFonts w:cstheme="minorHAnsi"/>
                <w:color w:val="000000" w:themeColor="text1"/>
              </w:rPr>
            </w:pPr>
            <w:r w:rsidRPr="00E87B21">
              <w:rPr>
                <w:rFonts w:cstheme="minorHAnsi"/>
                <w:color w:val="000000" w:themeColor="text1"/>
              </w:rPr>
              <w:t>August 18, 2022</w:t>
            </w:r>
          </w:p>
        </w:tc>
      </w:tr>
      <w:tr w:rsidR="00E87B21" w:rsidRPr="00E87B21" w14:paraId="268C781E" w14:textId="77777777" w:rsidTr="00D32E6E">
        <w:tc>
          <w:tcPr>
            <w:tcW w:w="2065" w:type="dxa"/>
            <w:shd w:val="clear" w:color="auto" w:fill="auto"/>
          </w:tcPr>
          <w:p w14:paraId="660F5C3B" w14:textId="77777777" w:rsidR="00615755" w:rsidRPr="00E87B21" w:rsidRDefault="00615755" w:rsidP="000E4F8D">
            <w:pPr>
              <w:pStyle w:val="NoSpacing"/>
              <w:rPr>
                <w:color w:val="000000" w:themeColor="text1"/>
              </w:rPr>
            </w:pPr>
            <w:proofErr w:type="spellStart"/>
            <w:r w:rsidRPr="00E87B21">
              <w:rPr>
                <w:color w:val="000000" w:themeColor="text1"/>
              </w:rPr>
              <w:t>Palomo</w:t>
            </w:r>
            <w:proofErr w:type="spellEnd"/>
            <w:r w:rsidRPr="00E87B21">
              <w:rPr>
                <w:color w:val="000000" w:themeColor="text1"/>
              </w:rPr>
              <w:t>-Jensen, Elnora</w:t>
            </w:r>
          </w:p>
        </w:tc>
        <w:tc>
          <w:tcPr>
            <w:tcW w:w="8992" w:type="dxa"/>
            <w:shd w:val="clear" w:color="auto" w:fill="auto"/>
          </w:tcPr>
          <w:p w14:paraId="76522776" w14:textId="48714823" w:rsidR="00615755" w:rsidRPr="006E52F7" w:rsidRDefault="009D6837" w:rsidP="000E4F8D">
            <w:pPr>
              <w:pStyle w:val="NoSpacing"/>
              <w:rPr>
                <w:color w:val="000000" w:themeColor="text1"/>
                <w:sz w:val="19"/>
                <w:szCs w:val="19"/>
              </w:rPr>
            </w:pPr>
            <w:r w:rsidRPr="006E52F7">
              <w:rPr>
                <w:color w:val="000000" w:themeColor="text1"/>
                <w:sz w:val="19"/>
                <w:szCs w:val="19"/>
              </w:rPr>
              <w:t>Senior Program Officer (Trade and Economic)</w:t>
            </w:r>
          </w:p>
        </w:tc>
        <w:tc>
          <w:tcPr>
            <w:tcW w:w="2126" w:type="dxa"/>
            <w:shd w:val="clear" w:color="auto" w:fill="auto"/>
          </w:tcPr>
          <w:p w14:paraId="48C0C683" w14:textId="77777777" w:rsidR="00615755" w:rsidRPr="00E87B21" w:rsidRDefault="00615755" w:rsidP="000E4F8D">
            <w:pPr>
              <w:pStyle w:val="NoSpacing"/>
              <w:rPr>
                <w:color w:val="000000" w:themeColor="text1"/>
              </w:rPr>
            </w:pPr>
            <w:r w:rsidRPr="00E87B21">
              <w:rPr>
                <w:rFonts w:cstheme="minorHAnsi"/>
                <w:color w:val="000000" w:themeColor="text1"/>
              </w:rPr>
              <w:t>August 25, 2022</w:t>
            </w:r>
          </w:p>
        </w:tc>
      </w:tr>
      <w:tr w:rsidR="00E87B21" w:rsidRPr="00E87B21" w14:paraId="5F4967B2" w14:textId="77777777" w:rsidTr="00D32E6E">
        <w:tc>
          <w:tcPr>
            <w:tcW w:w="2065" w:type="dxa"/>
            <w:shd w:val="clear" w:color="auto" w:fill="auto"/>
          </w:tcPr>
          <w:p w14:paraId="75E8D948" w14:textId="77777777" w:rsidR="00615755" w:rsidRPr="00E87B21" w:rsidRDefault="00615755" w:rsidP="000E4F8D">
            <w:pPr>
              <w:pStyle w:val="NoSpacing"/>
              <w:rPr>
                <w:color w:val="000000" w:themeColor="text1"/>
              </w:rPr>
            </w:pPr>
            <w:r w:rsidRPr="00E87B21">
              <w:rPr>
                <w:color w:val="000000" w:themeColor="text1"/>
              </w:rPr>
              <w:t xml:space="preserve">Reid, Simon </w:t>
            </w:r>
          </w:p>
        </w:tc>
        <w:tc>
          <w:tcPr>
            <w:tcW w:w="8992" w:type="dxa"/>
            <w:shd w:val="clear" w:color="auto" w:fill="auto"/>
          </w:tcPr>
          <w:p w14:paraId="00E49CD1" w14:textId="030741C8" w:rsidR="00615755" w:rsidRPr="006E52F7" w:rsidRDefault="002E039D" w:rsidP="000E4F8D">
            <w:pPr>
              <w:pStyle w:val="NoSpacing"/>
              <w:rPr>
                <w:rFonts w:cstheme="minorHAnsi"/>
                <w:color w:val="000000" w:themeColor="text1"/>
                <w:sz w:val="19"/>
                <w:szCs w:val="19"/>
              </w:rPr>
            </w:pPr>
            <w:r w:rsidRPr="006E52F7">
              <w:rPr>
                <w:rFonts w:cstheme="minorHAnsi"/>
                <w:color w:val="000000" w:themeColor="text1"/>
                <w:sz w:val="19"/>
                <w:szCs w:val="19"/>
              </w:rPr>
              <w:t>First Secretary (Trade and Economic)</w:t>
            </w:r>
          </w:p>
        </w:tc>
        <w:tc>
          <w:tcPr>
            <w:tcW w:w="2126" w:type="dxa"/>
            <w:shd w:val="clear" w:color="auto" w:fill="auto"/>
          </w:tcPr>
          <w:p w14:paraId="5D60A290" w14:textId="77777777" w:rsidR="00615755" w:rsidRPr="00E87B21" w:rsidRDefault="00615755" w:rsidP="000E4F8D">
            <w:pPr>
              <w:pStyle w:val="NoSpacing"/>
              <w:rPr>
                <w:rFonts w:cstheme="minorHAnsi"/>
                <w:color w:val="000000" w:themeColor="text1"/>
              </w:rPr>
            </w:pPr>
            <w:r w:rsidRPr="00E87B21">
              <w:rPr>
                <w:rFonts w:cstheme="minorHAnsi"/>
                <w:color w:val="000000" w:themeColor="text1"/>
              </w:rPr>
              <w:t>August 25, 2022</w:t>
            </w:r>
          </w:p>
        </w:tc>
      </w:tr>
      <w:tr w:rsidR="00E87B21" w:rsidRPr="00E87B21" w14:paraId="06AE04E9" w14:textId="77777777" w:rsidTr="00D32E6E">
        <w:tc>
          <w:tcPr>
            <w:tcW w:w="2065" w:type="dxa"/>
            <w:shd w:val="clear" w:color="auto" w:fill="auto"/>
          </w:tcPr>
          <w:p w14:paraId="1E1C06DC" w14:textId="77777777" w:rsidR="00615755" w:rsidRPr="00E87B21" w:rsidRDefault="00615755" w:rsidP="000E4F8D">
            <w:pPr>
              <w:pStyle w:val="NoSpacing"/>
              <w:rPr>
                <w:color w:val="000000" w:themeColor="text1"/>
              </w:rPr>
            </w:pPr>
            <w:r w:rsidRPr="00E87B21">
              <w:rPr>
                <w:color w:val="000000" w:themeColor="text1"/>
              </w:rPr>
              <w:t xml:space="preserve">Rico, </w:t>
            </w:r>
            <w:proofErr w:type="spellStart"/>
            <w:r w:rsidRPr="00E87B21">
              <w:rPr>
                <w:color w:val="000000" w:themeColor="text1"/>
              </w:rPr>
              <w:t>Jore</w:t>
            </w:r>
            <w:proofErr w:type="spellEnd"/>
            <w:r w:rsidRPr="00E87B21">
              <w:rPr>
                <w:color w:val="000000" w:themeColor="text1"/>
              </w:rPr>
              <w:t xml:space="preserve">-Annie </w:t>
            </w:r>
          </w:p>
        </w:tc>
        <w:tc>
          <w:tcPr>
            <w:tcW w:w="8992" w:type="dxa"/>
            <w:shd w:val="clear" w:color="auto" w:fill="auto"/>
          </w:tcPr>
          <w:p w14:paraId="343FEEAE" w14:textId="7E9CAA06" w:rsidR="00615755" w:rsidRPr="006E52F7" w:rsidRDefault="00615755" w:rsidP="000E4F8D">
            <w:pPr>
              <w:pStyle w:val="NoSpacing"/>
              <w:rPr>
                <w:color w:val="000000" w:themeColor="text1"/>
                <w:sz w:val="19"/>
                <w:szCs w:val="19"/>
              </w:rPr>
            </w:pPr>
            <w:r w:rsidRPr="006E52F7">
              <w:rPr>
                <w:color w:val="000000" w:themeColor="text1"/>
                <w:sz w:val="19"/>
                <w:szCs w:val="19"/>
              </w:rPr>
              <w:t xml:space="preserve">Senior Program </w:t>
            </w:r>
            <w:r w:rsidR="001F182F">
              <w:rPr>
                <w:color w:val="000000" w:themeColor="text1"/>
                <w:sz w:val="19"/>
                <w:szCs w:val="19"/>
              </w:rPr>
              <w:t>Officer (Development)</w:t>
            </w:r>
          </w:p>
        </w:tc>
        <w:tc>
          <w:tcPr>
            <w:tcW w:w="2126" w:type="dxa"/>
            <w:shd w:val="clear" w:color="auto" w:fill="auto"/>
          </w:tcPr>
          <w:p w14:paraId="13B44B00" w14:textId="77777777" w:rsidR="00615755" w:rsidRPr="00E87B21" w:rsidRDefault="00615755" w:rsidP="000E4F8D">
            <w:pPr>
              <w:pStyle w:val="NoSpacing"/>
              <w:rPr>
                <w:color w:val="000000" w:themeColor="text1"/>
              </w:rPr>
            </w:pPr>
            <w:r w:rsidRPr="00E87B21">
              <w:rPr>
                <w:color w:val="000000" w:themeColor="text1"/>
              </w:rPr>
              <w:t>August 8, 2022</w:t>
            </w:r>
          </w:p>
        </w:tc>
      </w:tr>
      <w:tr w:rsidR="00E87B21" w:rsidRPr="00E87B21" w14:paraId="6BB54F12" w14:textId="77777777" w:rsidTr="00D32E6E">
        <w:tc>
          <w:tcPr>
            <w:tcW w:w="2065" w:type="dxa"/>
            <w:shd w:val="clear" w:color="auto" w:fill="auto"/>
          </w:tcPr>
          <w:p w14:paraId="5CFF242D" w14:textId="77777777" w:rsidR="00615755" w:rsidRPr="00E87B21" w:rsidRDefault="00615755" w:rsidP="000E4F8D">
            <w:pPr>
              <w:pStyle w:val="NoSpacing"/>
              <w:rPr>
                <w:color w:val="000000" w:themeColor="text1"/>
              </w:rPr>
            </w:pPr>
            <w:r w:rsidRPr="00E87B21">
              <w:rPr>
                <w:color w:val="000000" w:themeColor="text1"/>
              </w:rPr>
              <w:t xml:space="preserve">San Jose, Daniel </w:t>
            </w:r>
          </w:p>
        </w:tc>
        <w:tc>
          <w:tcPr>
            <w:tcW w:w="8992" w:type="dxa"/>
            <w:shd w:val="clear" w:color="auto" w:fill="auto"/>
          </w:tcPr>
          <w:p w14:paraId="431BC1C4" w14:textId="66DB346A" w:rsidR="00615755" w:rsidRPr="006E52F7" w:rsidRDefault="009F1C94" w:rsidP="000E4F8D">
            <w:pPr>
              <w:pStyle w:val="NoSpacing"/>
              <w:rPr>
                <w:color w:val="000000" w:themeColor="text1"/>
                <w:sz w:val="19"/>
                <w:szCs w:val="19"/>
              </w:rPr>
            </w:pPr>
            <w:r>
              <w:rPr>
                <w:color w:val="000000" w:themeColor="text1"/>
                <w:sz w:val="19"/>
                <w:szCs w:val="19"/>
              </w:rPr>
              <w:t>Senior Program Officer</w:t>
            </w:r>
          </w:p>
        </w:tc>
        <w:tc>
          <w:tcPr>
            <w:tcW w:w="2126" w:type="dxa"/>
            <w:shd w:val="clear" w:color="auto" w:fill="auto"/>
          </w:tcPr>
          <w:p w14:paraId="1AE559DE" w14:textId="77777777" w:rsidR="00615755" w:rsidRPr="00E87B21" w:rsidRDefault="00615755" w:rsidP="000E4F8D">
            <w:pPr>
              <w:pStyle w:val="NoSpacing"/>
              <w:rPr>
                <w:color w:val="000000" w:themeColor="text1"/>
              </w:rPr>
            </w:pPr>
            <w:r w:rsidRPr="00E87B21">
              <w:rPr>
                <w:color w:val="000000" w:themeColor="text1"/>
              </w:rPr>
              <w:t>August 8, 2022</w:t>
            </w:r>
          </w:p>
        </w:tc>
      </w:tr>
    </w:tbl>
    <w:p w14:paraId="07000A03" w14:textId="3BFA7EA7" w:rsidR="00D32E6E" w:rsidRDefault="00D32E6E">
      <w:r w:rsidRPr="00E87B21">
        <w:rPr>
          <w:rFonts w:cstheme="minorHAnsi"/>
          <w:b/>
          <w:bCs/>
          <w:color w:val="000000" w:themeColor="text1"/>
        </w:rPr>
        <w:t>Government of the Philippines</w:t>
      </w:r>
      <w:r>
        <w:rPr>
          <w:rFonts w:cstheme="minorHAnsi"/>
          <w:b/>
          <w:bCs/>
          <w:color w:val="000000" w:themeColor="text1"/>
        </w:rPr>
        <w:br/>
      </w:r>
      <w:r w:rsidRPr="000164CC">
        <w:rPr>
          <w:rFonts w:cstheme="minorHAnsi"/>
          <w:i/>
          <w:iCs/>
          <w:color w:val="000000" w:themeColor="text1"/>
        </w:rPr>
        <w:t xml:space="preserve">[Note that as only one person in </w:t>
      </w:r>
      <w:proofErr w:type="spellStart"/>
      <w:r w:rsidRPr="000164CC">
        <w:rPr>
          <w:rFonts w:cstheme="minorHAnsi"/>
          <w:i/>
          <w:iCs/>
          <w:color w:val="000000" w:themeColor="text1"/>
        </w:rPr>
        <w:t>GoP</w:t>
      </w:r>
      <w:proofErr w:type="spellEnd"/>
      <w:r w:rsidRPr="000164CC">
        <w:rPr>
          <w:rFonts w:cstheme="minorHAnsi"/>
          <w:i/>
          <w:iCs/>
          <w:color w:val="000000" w:themeColor="text1"/>
        </w:rPr>
        <w:t xml:space="preserve"> was available for interview, the name has been redacted. This is explained in the ‘limitations’ section of this report]</w:t>
      </w:r>
    </w:p>
    <w:tbl>
      <w:tblPr>
        <w:tblStyle w:val="TableGrid"/>
        <w:tblW w:w="13183" w:type="dxa"/>
        <w:tblLook w:val="04A0" w:firstRow="1" w:lastRow="0" w:firstColumn="1" w:lastColumn="0" w:noHBand="0" w:noVBand="1"/>
      </w:tblPr>
      <w:tblGrid>
        <w:gridCol w:w="2065"/>
        <w:gridCol w:w="8992"/>
        <w:gridCol w:w="2126"/>
      </w:tblGrid>
      <w:tr w:rsidR="00E87B21" w:rsidRPr="00E87B21" w14:paraId="7C3BCAF0" w14:textId="77777777" w:rsidTr="00D32E6E">
        <w:trPr>
          <w:tblHeader/>
        </w:trPr>
        <w:tc>
          <w:tcPr>
            <w:tcW w:w="2065" w:type="dxa"/>
            <w:shd w:val="clear" w:color="auto" w:fill="E7E6E6" w:themeFill="background2"/>
            <w:vAlign w:val="center"/>
          </w:tcPr>
          <w:p w14:paraId="167D70BA" w14:textId="24709A0F" w:rsidR="007178A3" w:rsidRPr="00E87B21" w:rsidRDefault="000164CC" w:rsidP="007805CE">
            <w:pPr>
              <w:pStyle w:val="NoSpacing"/>
              <w:rPr>
                <w:color w:val="000000" w:themeColor="text1"/>
              </w:rPr>
            </w:pPr>
            <w:r w:rsidRPr="00E87B21">
              <w:rPr>
                <w:color w:val="000000" w:themeColor="text1"/>
              </w:rPr>
              <w:t>Person Consulted</w:t>
            </w:r>
          </w:p>
        </w:tc>
        <w:tc>
          <w:tcPr>
            <w:tcW w:w="8992" w:type="dxa"/>
            <w:shd w:val="clear" w:color="auto" w:fill="E7E6E6" w:themeFill="background2"/>
          </w:tcPr>
          <w:p w14:paraId="655A4B83" w14:textId="77777777" w:rsidR="007178A3" w:rsidRPr="00E87B21" w:rsidRDefault="007178A3" w:rsidP="007805CE">
            <w:pPr>
              <w:pStyle w:val="NoSpacing"/>
              <w:rPr>
                <w:color w:val="000000" w:themeColor="text1"/>
              </w:rPr>
            </w:pPr>
            <w:r w:rsidRPr="00E87B21">
              <w:rPr>
                <w:color w:val="000000" w:themeColor="text1"/>
              </w:rPr>
              <w:t>Role</w:t>
            </w:r>
          </w:p>
        </w:tc>
        <w:tc>
          <w:tcPr>
            <w:tcW w:w="2126" w:type="dxa"/>
            <w:shd w:val="clear" w:color="auto" w:fill="E7E6E6" w:themeFill="background2"/>
            <w:vAlign w:val="center"/>
          </w:tcPr>
          <w:p w14:paraId="540FC66B" w14:textId="77777777" w:rsidR="007178A3" w:rsidRPr="00E87B21" w:rsidRDefault="007178A3" w:rsidP="007805CE">
            <w:pPr>
              <w:pStyle w:val="NoSpacing"/>
              <w:rPr>
                <w:color w:val="000000" w:themeColor="text1"/>
              </w:rPr>
            </w:pPr>
            <w:r w:rsidRPr="00E87B21">
              <w:rPr>
                <w:color w:val="000000" w:themeColor="text1"/>
              </w:rPr>
              <w:t>Date</w:t>
            </w:r>
          </w:p>
        </w:tc>
      </w:tr>
      <w:tr w:rsidR="00E87B21" w:rsidRPr="00E87B21" w14:paraId="372AECB1" w14:textId="77777777" w:rsidTr="00D32E6E">
        <w:tc>
          <w:tcPr>
            <w:tcW w:w="2065" w:type="dxa"/>
            <w:shd w:val="clear" w:color="auto" w:fill="auto"/>
          </w:tcPr>
          <w:p w14:paraId="55BFE694" w14:textId="00C90C37" w:rsidR="00C2412D" w:rsidRPr="00E87B21" w:rsidRDefault="000164CC" w:rsidP="007805CE">
            <w:pPr>
              <w:pStyle w:val="NoSpacing"/>
              <w:rPr>
                <w:rFonts w:cstheme="minorHAnsi"/>
                <w:color w:val="000000" w:themeColor="text1"/>
              </w:rPr>
            </w:pPr>
            <w:r>
              <w:rPr>
                <w:color w:val="000000" w:themeColor="text1"/>
              </w:rPr>
              <w:t>Anonymous</w:t>
            </w:r>
            <w:r w:rsidRPr="00E87B21">
              <w:rPr>
                <w:rFonts w:cstheme="minorHAnsi"/>
                <w:color w:val="000000" w:themeColor="text1"/>
              </w:rPr>
              <w:t xml:space="preserve"> </w:t>
            </w:r>
          </w:p>
        </w:tc>
        <w:tc>
          <w:tcPr>
            <w:tcW w:w="8992" w:type="dxa"/>
            <w:shd w:val="clear" w:color="auto" w:fill="auto"/>
          </w:tcPr>
          <w:p w14:paraId="3DFDA8B6" w14:textId="54C4E05D" w:rsidR="00C2412D" w:rsidRPr="006E52F7" w:rsidRDefault="001F182F" w:rsidP="007805CE">
            <w:pPr>
              <w:pStyle w:val="NoSpacing"/>
              <w:rPr>
                <w:rFonts w:cstheme="minorHAnsi"/>
                <w:color w:val="000000" w:themeColor="text1"/>
                <w:sz w:val="19"/>
                <w:szCs w:val="19"/>
              </w:rPr>
            </w:pPr>
            <w:r>
              <w:rPr>
                <w:rFonts w:cstheme="minorHAnsi"/>
                <w:color w:val="000000" w:themeColor="text1"/>
                <w:sz w:val="19"/>
                <w:szCs w:val="19"/>
              </w:rPr>
              <w:t xml:space="preserve">Former </w:t>
            </w:r>
            <w:r w:rsidR="00D17715">
              <w:rPr>
                <w:rFonts w:cstheme="minorHAnsi"/>
                <w:color w:val="000000" w:themeColor="text1"/>
                <w:sz w:val="19"/>
                <w:szCs w:val="19"/>
              </w:rPr>
              <w:t>Department</w:t>
            </w:r>
            <w:r>
              <w:rPr>
                <w:rFonts w:cstheme="minorHAnsi"/>
                <w:color w:val="000000" w:themeColor="text1"/>
                <w:sz w:val="19"/>
                <w:szCs w:val="19"/>
              </w:rPr>
              <w:t xml:space="preserve"> of Finance </w:t>
            </w:r>
          </w:p>
        </w:tc>
        <w:tc>
          <w:tcPr>
            <w:tcW w:w="2126" w:type="dxa"/>
            <w:shd w:val="clear" w:color="auto" w:fill="auto"/>
          </w:tcPr>
          <w:p w14:paraId="473E2C01" w14:textId="4C135EEC" w:rsidR="00C2412D" w:rsidRPr="00E87B21" w:rsidRDefault="007C13D9" w:rsidP="007805CE">
            <w:pPr>
              <w:pStyle w:val="NoSpacing"/>
              <w:rPr>
                <w:rFonts w:cstheme="minorHAnsi"/>
                <w:color w:val="000000" w:themeColor="text1"/>
              </w:rPr>
            </w:pPr>
            <w:r w:rsidRPr="00E87B21">
              <w:rPr>
                <w:rFonts w:cstheme="minorHAnsi"/>
                <w:color w:val="000000" w:themeColor="text1"/>
              </w:rPr>
              <w:t>September 13, 2022</w:t>
            </w:r>
          </w:p>
        </w:tc>
      </w:tr>
    </w:tbl>
    <w:p w14:paraId="4C5247BD" w14:textId="715F27CF" w:rsidR="00D32E6E" w:rsidRDefault="00D32E6E">
      <w:pPr>
        <w:rPr>
          <w:rFonts w:cstheme="minorHAnsi"/>
          <w:i/>
          <w:iCs/>
          <w:color w:val="000000" w:themeColor="text1"/>
        </w:rPr>
      </w:pPr>
      <w:r w:rsidRPr="00694E8E">
        <w:rPr>
          <w:b/>
          <w:bCs/>
          <w:color w:val="000000" w:themeColor="text1"/>
        </w:rPr>
        <w:t>Development Partners</w:t>
      </w:r>
      <w:r>
        <w:rPr>
          <w:b/>
          <w:bCs/>
          <w:color w:val="000000" w:themeColor="text1"/>
        </w:rPr>
        <w:br/>
      </w:r>
      <w:r w:rsidRPr="000164CC">
        <w:rPr>
          <w:rFonts w:cstheme="minorHAnsi"/>
          <w:i/>
          <w:iCs/>
          <w:color w:val="000000" w:themeColor="text1"/>
        </w:rPr>
        <w:t>[Note that as only one</w:t>
      </w:r>
      <w:r>
        <w:rPr>
          <w:rFonts w:cstheme="minorHAnsi"/>
          <w:i/>
          <w:iCs/>
          <w:color w:val="000000" w:themeColor="text1"/>
        </w:rPr>
        <w:t xml:space="preserve"> DP</w:t>
      </w:r>
      <w:r w:rsidRPr="000164CC">
        <w:rPr>
          <w:rFonts w:cstheme="minorHAnsi"/>
          <w:i/>
          <w:iCs/>
          <w:color w:val="000000" w:themeColor="text1"/>
        </w:rPr>
        <w:t xml:space="preserve"> was available for interview, the name has been redacted. This is explained in the ‘limitations’ section of this report]</w:t>
      </w:r>
    </w:p>
    <w:tbl>
      <w:tblPr>
        <w:tblStyle w:val="TableGrid"/>
        <w:tblW w:w="13188" w:type="dxa"/>
        <w:tblLook w:val="04A0" w:firstRow="1" w:lastRow="0" w:firstColumn="1" w:lastColumn="0" w:noHBand="0" w:noVBand="1"/>
      </w:tblPr>
      <w:tblGrid>
        <w:gridCol w:w="2122"/>
        <w:gridCol w:w="8930"/>
        <w:gridCol w:w="2136"/>
      </w:tblGrid>
      <w:tr w:rsidR="00D32E6E" w14:paraId="1FB5F7AB" w14:textId="77777777" w:rsidTr="00D32E6E">
        <w:trPr>
          <w:trHeight w:val="352"/>
        </w:trPr>
        <w:tc>
          <w:tcPr>
            <w:tcW w:w="2122" w:type="dxa"/>
            <w:vAlign w:val="center"/>
          </w:tcPr>
          <w:p w14:paraId="2C71207D" w14:textId="4056122A" w:rsidR="00D32E6E" w:rsidRDefault="00D32E6E" w:rsidP="00D32E6E">
            <w:r w:rsidRPr="00694E8E">
              <w:rPr>
                <w:color w:val="000000" w:themeColor="text1"/>
              </w:rPr>
              <w:t>Perso</w:t>
            </w:r>
            <w:r>
              <w:rPr>
                <w:color w:val="000000" w:themeColor="text1"/>
              </w:rPr>
              <w:t>n Consulted</w:t>
            </w:r>
          </w:p>
        </w:tc>
        <w:tc>
          <w:tcPr>
            <w:tcW w:w="8930" w:type="dxa"/>
            <w:vAlign w:val="center"/>
          </w:tcPr>
          <w:p w14:paraId="0AF83028" w14:textId="4103AC1A" w:rsidR="00D32E6E" w:rsidRDefault="00D32E6E" w:rsidP="00D32E6E">
            <w:r w:rsidRPr="00694E8E">
              <w:rPr>
                <w:rFonts w:cstheme="minorHAnsi"/>
                <w:color w:val="000000" w:themeColor="text1"/>
              </w:rPr>
              <w:t>Role</w:t>
            </w:r>
          </w:p>
        </w:tc>
        <w:tc>
          <w:tcPr>
            <w:tcW w:w="2136" w:type="dxa"/>
            <w:vAlign w:val="center"/>
          </w:tcPr>
          <w:p w14:paraId="6E5C32B7" w14:textId="3373D703" w:rsidR="00D32E6E" w:rsidRDefault="00D32E6E" w:rsidP="00D32E6E">
            <w:r w:rsidRPr="00694E8E">
              <w:rPr>
                <w:rFonts w:cstheme="minorHAnsi"/>
                <w:color w:val="000000" w:themeColor="text1"/>
              </w:rPr>
              <w:t>Date</w:t>
            </w:r>
          </w:p>
        </w:tc>
      </w:tr>
      <w:tr w:rsidR="00D32E6E" w14:paraId="04F0062E" w14:textId="77777777" w:rsidTr="00D32E6E">
        <w:trPr>
          <w:trHeight w:val="256"/>
        </w:trPr>
        <w:tc>
          <w:tcPr>
            <w:tcW w:w="2122" w:type="dxa"/>
            <w:vAlign w:val="center"/>
          </w:tcPr>
          <w:p w14:paraId="7A1AF822" w14:textId="7FA4F0DF" w:rsidR="00D32E6E" w:rsidRDefault="00D32E6E" w:rsidP="00D32E6E">
            <w:r>
              <w:rPr>
                <w:color w:val="000000" w:themeColor="text1"/>
              </w:rPr>
              <w:t>Anonymous</w:t>
            </w:r>
          </w:p>
        </w:tc>
        <w:tc>
          <w:tcPr>
            <w:tcW w:w="8930" w:type="dxa"/>
            <w:vAlign w:val="center"/>
          </w:tcPr>
          <w:p w14:paraId="77AE32B9" w14:textId="75B9A6FA" w:rsidR="00D32E6E" w:rsidRDefault="00D32E6E" w:rsidP="00D32E6E">
            <w:r>
              <w:rPr>
                <w:rFonts w:cstheme="minorHAnsi"/>
                <w:color w:val="000000" w:themeColor="text1"/>
              </w:rPr>
              <w:t>UNICEF</w:t>
            </w:r>
          </w:p>
        </w:tc>
        <w:tc>
          <w:tcPr>
            <w:tcW w:w="2136" w:type="dxa"/>
            <w:vAlign w:val="center"/>
          </w:tcPr>
          <w:p w14:paraId="70DCE581" w14:textId="3259AD26" w:rsidR="00D32E6E" w:rsidRDefault="00D32E6E" w:rsidP="00D32E6E">
            <w:r>
              <w:rPr>
                <w:rFonts w:cstheme="minorHAnsi"/>
                <w:color w:val="000000" w:themeColor="text1"/>
              </w:rPr>
              <w:t>August 29, 2022</w:t>
            </w:r>
          </w:p>
        </w:tc>
      </w:tr>
    </w:tbl>
    <w:p w14:paraId="6A871786" w14:textId="77777777" w:rsidR="00D32E6E" w:rsidRDefault="00D32E6E"/>
    <w:p w14:paraId="211CC03B" w14:textId="77777777" w:rsidR="005655A6" w:rsidRDefault="005655A6" w:rsidP="009A34AB"/>
    <w:p w14:paraId="223E2B5D" w14:textId="77777777" w:rsidR="005655A6" w:rsidRDefault="005655A6">
      <w:pPr>
        <w:spacing w:before="0"/>
        <w:rPr>
          <w:rFonts w:asciiTheme="majorHAnsi" w:eastAsiaTheme="majorEastAsia" w:hAnsiTheme="majorHAnsi" w:cstheme="majorBidi"/>
          <w:color w:val="2F5496" w:themeColor="accent1" w:themeShade="BF"/>
          <w:sz w:val="32"/>
          <w:szCs w:val="32"/>
          <w:lang w:eastAsia="en-US"/>
        </w:rPr>
      </w:pPr>
      <w:r>
        <w:br w:type="page"/>
      </w:r>
    </w:p>
    <w:p w14:paraId="1CEF225A" w14:textId="6707686E" w:rsidR="00960435" w:rsidRPr="004A7B94" w:rsidRDefault="00960435" w:rsidP="00E03DD0">
      <w:pPr>
        <w:pStyle w:val="Heading1"/>
        <w:rPr>
          <w:rFonts w:ascii="Arial" w:hAnsi="Arial" w:cs="Arial"/>
          <w:sz w:val="20"/>
          <w:szCs w:val="20"/>
        </w:rPr>
      </w:pPr>
      <w:bookmarkStart w:id="47" w:name="_Toc125560025"/>
      <w:r w:rsidRPr="00531CBE">
        <w:lastRenderedPageBreak/>
        <w:t>Annex 7</w:t>
      </w:r>
      <w:r w:rsidR="00531CBE">
        <w:tab/>
      </w:r>
      <w:r w:rsidRPr="00531CBE">
        <w:t xml:space="preserve">Australia’s Gender </w:t>
      </w:r>
      <w:r w:rsidRPr="00B933AA">
        <w:t>Guidance</w:t>
      </w:r>
      <w:r w:rsidR="00B20116" w:rsidRPr="00B20116">
        <w:t xml:space="preserve"> Note</w:t>
      </w:r>
      <w:r w:rsidR="00B20116">
        <w:t xml:space="preserve"> (ABP2)</w:t>
      </w:r>
      <w:bookmarkEnd w:id="47"/>
      <w:r>
        <w:br/>
      </w:r>
    </w:p>
    <w:p w14:paraId="1D059A0F" w14:textId="77777777" w:rsidR="00960435" w:rsidRDefault="00960435" w:rsidP="00C64AD4">
      <w:pPr>
        <w:pStyle w:val="NormalWeb"/>
        <w:numPr>
          <w:ilvl w:val="0"/>
          <w:numId w:val="41"/>
        </w:numPr>
        <w:spacing w:before="0" w:beforeAutospacing="0" w:afterAutospacing="0"/>
        <w:ind w:left="360"/>
        <w:jc w:val="both"/>
        <w:textAlignment w:val="baseline"/>
        <w:rPr>
          <w:rFonts w:ascii="Calibri" w:hAnsi="Calibri" w:cs="Calibri"/>
          <w:b/>
          <w:bCs/>
          <w:color w:val="000000"/>
          <w:sz w:val="22"/>
          <w:szCs w:val="22"/>
        </w:rPr>
      </w:pPr>
      <w:r>
        <w:rPr>
          <w:rFonts w:ascii="Calibri" w:hAnsi="Calibri" w:cs="Calibri"/>
          <w:b/>
          <w:bCs/>
          <w:color w:val="000000"/>
          <w:sz w:val="22"/>
          <w:szCs w:val="22"/>
        </w:rPr>
        <w:t>Background</w:t>
      </w:r>
    </w:p>
    <w:p w14:paraId="7AF3F03C" w14:textId="77777777" w:rsidR="00960435" w:rsidRDefault="00960435" w:rsidP="00960435">
      <w:pPr>
        <w:pStyle w:val="NormalWeb"/>
        <w:spacing w:before="0" w:beforeAutospacing="0" w:after="200" w:afterAutospacing="0"/>
        <w:jc w:val="both"/>
      </w:pPr>
      <w:r>
        <w:rPr>
          <w:rFonts w:ascii="Calibri" w:hAnsi="Calibri" w:cs="Calibri"/>
          <w:color w:val="000000"/>
          <w:sz w:val="22"/>
          <w:szCs w:val="22"/>
        </w:rPr>
        <w:t>Hanoi Post has set a target that 100% of new designs – which includes ABP II – will be rated as satisfactory in addressing gender equality at the peer review and at the first of its Aid Quality Check (AQC).</w:t>
      </w:r>
    </w:p>
    <w:p w14:paraId="7B54363D" w14:textId="001CC0F1" w:rsidR="00960435" w:rsidRDefault="00960435" w:rsidP="00960435">
      <w:pPr>
        <w:pStyle w:val="NormalWeb"/>
        <w:spacing w:before="0" w:beforeAutospacing="0" w:after="200" w:afterAutospacing="0"/>
        <w:jc w:val="both"/>
        <w:rPr>
          <w:rFonts w:ascii="Calibri" w:hAnsi="Calibri" w:cs="Calibri"/>
          <w:color w:val="000000"/>
          <w:sz w:val="22"/>
          <w:szCs w:val="22"/>
        </w:rPr>
      </w:pPr>
      <w:r>
        <w:rPr>
          <w:rFonts w:ascii="Calibri" w:hAnsi="Calibri" w:cs="Calibri"/>
          <w:color w:val="000000"/>
          <w:sz w:val="22"/>
          <w:szCs w:val="22"/>
        </w:rPr>
        <w:t>The criteria that DFAT uses to assess gender equality performance in the AQC process is shown in Table 1 below. This is also the basis for this Guidance Note. The text in bold draws attention to the main requirements that ABP II needs to demonstrate. Also note that Hanoi Post’s target means that it will no longer approve programs whereby gender equality is not an objective of the investment.</w:t>
      </w:r>
    </w:p>
    <w:p w14:paraId="6A227DFE" w14:textId="174212D7" w:rsidR="00804A46" w:rsidRDefault="00804A46" w:rsidP="00960435">
      <w:pPr>
        <w:pStyle w:val="NormalWeb"/>
        <w:spacing w:before="0" w:beforeAutospacing="0" w:after="200" w:afterAutospacing="0"/>
        <w:jc w:val="both"/>
        <w:rPr>
          <w:rFonts w:ascii="Calibri" w:hAnsi="Calibri" w:cs="Calibri"/>
          <w:color w:val="000000"/>
          <w:sz w:val="22"/>
          <w:szCs w:val="22"/>
        </w:rPr>
      </w:pPr>
      <w:r>
        <w:rPr>
          <w:rFonts w:ascii="Calibri" w:hAnsi="Calibri" w:cs="Calibri"/>
          <w:color w:val="000000"/>
          <w:sz w:val="22"/>
          <w:szCs w:val="22"/>
        </w:rPr>
        <w:t>Promoting equality between men and women was [pick the best option below]</w:t>
      </w:r>
    </w:p>
    <w:p w14:paraId="213DDBBD" w14:textId="77777777" w:rsidR="00804A46" w:rsidRDefault="00804A46" w:rsidP="00804A46">
      <w:pPr>
        <w:pStyle w:val="NormalWeb"/>
        <w:spacing w:before="40" w:beforeAutospacing="0" w:after="40" w:afterAutospacing="0"/>
        <w:jc w:val="both"/>
      </w:pPr>
      <w:r>
        <w:rPr>
          <w:color w:val="000000"/>
          <w:sz w:val="22"/>
          <w:szCs w:val="22"/>
        </w:rPr>
        <w:t>○</w:t>
      </w:r>
      <w:r>
        <w:rPr>
          <w:rFonts w:ascii="Calibri" w:hAnsi="Calibri" w:cs="Calibri"/>
          <w:color w:val="000000"/>
          <w:sz w:val="22"/>
          <w:szCs w:val="22"/>
        </w:rPr>
        <w:t xml:space="preserve"> a principal objective of this investment</w:t>
      </w:r>
    </w:p>
    <w:p w14:paraId="5D239D74" w14:textId="77777777" w:rsidR="00804A46" w:rsidRDefault="00804A46" w:rsidP="00804A46">
      <w:pPr>
        <w:pStyle w:val="NormalWeb"/>
        <w:spacing w:before="40" w:beforeAutospacing="0" w:after="40" w:afterAutospacing="0"/>
        <w:jc w:val="both"/>
        <w:rPr>
          <w:rFonts w:ascii="Calibri" w:hAnsi="Calibri" w:cs="Calibri"/>
          <w:color w:val="000000"/>
          <w:sz w:val="22"/>
          <w:szCs w:val="22"/>
        </w:rPr>
      </w:pPr>
      <w:r>
        <w:rPr>
          <w:color w:val="000000"/>
          <w:sz w:val="22"/>
          <w:szCs w:val="22"/>
        </w:rPr>
        <w:t>○</w:t>
      </w:r>
      <w:r>
        <w:rPr>
          <w:rFonts w:ascii="Calibri" w:hAnsi="Calibri" w:cs="Calibri"/>
          <w:color w:val="000000"/>
          <w:sz w:val="22"/>
          <w:szCs w:val="22"/>
        </w:rPr>
        <w:t xml:space="preserve"> a significant objective of this investment</w:t>
      </w:r>
    </w:p>
    <w:p w14:paraId="5CD98E88" w14:textId="0313F95D" w:rsidR="00804A46" w:rsidRDefault="00804A46" w:rsidP="00804A46">
      <w:pPr>
        <w:pStyle w:val="NormalWeb"/>
        <w:spacing w:before="0" w:beforeAutospacing="0" w:after="200" w:afterAutospacing="0"/>
        <w:jc w:val="both"/>
        <w:rPr>
          <w:rFonts w:ascii="Calibri" w:hAnsi="Calibri" w:cs="Calibri"/>
          <w:color w:val="000000"/>
          <w:sz w:val="22"/>
          <w:szCs w:val="22"/>
        </w:rPr>
      </w:pPr>
      <w:r>
        <w:rPr>
          <w:color w:val="000000"/>
          <w:sz w:val="22"/>
          <w:szCs w:val="22"/>
        </w:rPr>
        <w:t>○</w:t>
      </w:r>
      <w:r>
        <w:rPr>
          <w:rFonts w:ascii="Calibri" w:hAnsi="Calibri" w:cs="Calibri"/>
          <w:color w:val="000000"/>
          <w:sz w:val="22"/>
          <w:szCs w:val="22"/>
        </w:rPr>
        <w:t xml:space="preserve"> not an objective of this investment</w:t>
      </w:r>
    </w:p>
    <w:tbl>
      <w:tblPr>
        <w:tblStyle w:val="TableGrid"/>
        <w:tblW w:w="13930" w:type="dxa"/>
        <w:tblLook w:val="04A0" w:firstRow="1" w:lastRow="0" w:firstColumn="1" w:lastColumn="0" w:noHBand="0" w:noVBand="1"/>
      </w:tblPr>
      <w:tblGrid>
        <w:gridCol w:w="11335"/>
        <w:gridCol w:w="2595"/>
      </w:tblGrid>
      <w:tr w:rsidR="00C13FE7" w14:paraId="0C223C83" w14:textId="77777777" w:rsidTr="00C13FE7">
        <w:tc>
          <w:tcPr>
            <w:tcW w:w="11335" w:type="dxa"/>
          </w:tcPr>
          <w:p w14:paraId="75582ADA" w14:textId="1F26D71D" w:rsidR="00C13FE7" w:rsidRDefault="00C13FE7" w:rsidP="00C13FE7">
            <w:pPr>
              <w:pStyle w:val="NormalWeb"/>
              <w:spacing w:before="0" w:beforeAutospacing="0" w:after="200" w:afterAutospacing="0"/>
              <w:jc w:val="both"/>
            </w:pPr>
            <w:r>
              <w:rPr>
                <w:color w:val="000000"/>
                <w:sz w:val="22"/>
                <w:szCs w:val="22"/>
              </w:rPr>
              <w:t>Question</w:t>
            </w:r>
          </w:p>
        </w:tc>
        <w:tc>
          <w:tcPr>
            <w:tcW w:w="2595" w:type="dxa"/>
          </w:tcPr>
          <w:p w14:paraId="5270E3F5" w14:textId="30174309" w:rsidR="00C13FE7" w:rsidRDefault="00C13FE7" w:rsidP="00C13FE7">
            <w:pPr>
              <w:pStyle w:val="NormalWeb"/>
              <w:spacing w:before="0" w:beforeAutospacing="0" w:after="200" w:afterAutospacing="0"/>
              <w:jc w:val="both"/>
            </w:pPr>
            <w:r>
              <w:t>Answer</w:t>
            </w:r>
          </w:p>
        </w:tc>
      </w:tr>
      <w:tr w:rsidR="00C13FE7" w14:paraId="03E72E73" w14:textId="77777777" w:rsidTr="00C13FE7">
        <w:tc>
          <w:tcPr>
            <w:tcW w:w="11335" w:type="dxa"/>
          </w:tcPr>
          <w:p w14:paraId="4638019B" w14:textId="07737F66" w:rsidR="00C13FE7" w:rsidRDefault="00C13FE7" w:rsidP="00C13FE7">
            <w:pPr>
              <w:pStyle w:val="NormalWeb"/>
              <w:spacing w:before="0" w:beforeAutospacing="0" w:after="200" w:afterAutospacing="0"/>
              <w:jc w:val="both"/>
            </w:pPr>
            <w:r>
              <w:rPr>
                <w:rFonts w:ascii="Calibri" w:hAnsi="Calibri" w:cs="Calibri"/>
                <w:b/>
                <w:bCs/>
                <w:color w:val="000000"/>
                <w:sz w:val="22"/>
                <w:szCs w:val="22"/>
              </w:rPr>
              <w:t>Analysis</w:t>
            </w:r>
            <w:r>
              <w:rPr>
                <w:rFonts w:ascii="Calibri" w:hAnsi="Calibri" w:cs="Calibri"/>
                <w:color w:val="000000"/>
                <w:sz w:val="22"/>
                <w:szCs w:val="22"/>
              </w:rPr>
              <w:t xml:space="preserve"> of gender equality gaps and opportunities </w:t>
            </w:r>
            <w:r>
              <w:rPr>
                <w:rFonts w:ascii="Calibri" w:hAnsi="Calibri" w:cs="Calibri"/>
                <w:b/>
                <w:bCs/>
                <w:color w:val="000000"/>
                <w:sz w:val="22"/>
                <w:szCs w:val="22"/>
              </w:rPr>
              <w:t xml:space="preserve">substantially informed </w:t>
            </w:r>
            <w:r>
              <w:rPr>
                <w:rFonts w:ascii="Calibri" w:hAnsi="Calibri" w:cs="Calibri"/>
                <w:color w:val="000000"/>
                <w:sz w:val="22"/>
                <w:szCs w:val="22"/>
              </w:rPr>
              <w:t>the investment.</w:t>
            </w:r>
          </w:p>
        </w:tc>
        <w:tc>
          <w:tcPr>
            <w:tcW w:w="2595" w:type="dxa"/>
          </w:tcPr>
          <w:p w14:paraId="6DA27EEF" w14:textId="74EB1856" w:rsidR="00C13FE7" w:rsidRDefault="00C13FE7" w:rsidP="00C13FE7">
            <w:pPr>
              <w:pStyle w:val="NormalWeb"/>
              <w:spacing w:before="0" w:beforeAutospacing="0" w:after="200" w:afterAutospacing="0"/>
              <w:jc w:val="both"/>
            </w:pPr>
            <w:r>
              <w:rPr>
                <w:rFonts w:ascii="Calibri" w:hAnsi="Calibri" w:cs="Calibri"/>
                <w:color w:val="000000"/>
                <w:sz w:val="22"/>
                <w:szCs w:val="22"/>
              </w:rPr>
              <w:t>1      2      3      4      5      6</w:t>
            </w:r>
          </w:p>
        </w:tc>
      </w:tr>
      <w:tr w:rsidR="00C13FE7" w14:paraId="29BDFBF5" w14:textId="77777777" w:rsidTr="00C13FE7">
        <w:tc>
          <w:tcPr>
            <w:tcW w:w="11335" w:type="dxa"/>
          </w:tcPr>
          <w:p w14:paraId="43DE8DBE" w14:textId="7A11827D" w:rsidR="00C13FE7" w:rsidRDefault="00C13FE7" w:rsidP="00C13FE7">
            <w:pPr>
              <w:pStyle w:val="NormalWeb"/>
              <w:spacing w:before="0" w:beforeAutospacing="0" w:after="200" w:afterAutospacing="0"/>
              <w:jc w:val="both"/>
            </w:pPr>
            <w:r>
              <w:rPr>
                <w:rFonts w:ascii="Calibri" w:hAnsi="Calibri" w:cs="Calibri"/>
                <w:b/>
                <w:bCs/>
                <w:color w:val="000000"/>
                <w:sz w:val="22"/>
                <w:szCs w:val="22"/>
              </w:rPr>
              <w:t>Risks</w:t>
            </w:r>
            <w:r>
              <w:rPr>
                <w:rFonts w:ascii="Calibri" w:hAnsi="Calibri" w:cs="Calibri"/>
                <w:color w:val="000000"/>
                <w:sz w:val="22"/>
                <w:szCs w:val="22"/>
              </w:rPr>
              <w:t xml:space="preserve"> to gender equality were identified and appropriately </w:t>
            </w:r>
            <w:r>
              <w:rPr>
                <w:rFonts w:ascii="Calibri" w:hAnsi="Calibri" w:cs="Calibri"/>
                <w:b/>
                <w:bCs/>
                <w:color w:val="000000"/>
                <w:sz w:val="22"/>
                <w:szCs w:val="22"/>
              </w:rPr>
              <w:t>managed</w:t>
            </w:r>
            <w:r>
              <w:rPr>
                <w:rFonts w:ascii="Calibri" w:hAnsi="Calibri" w:cs="Calibri"/>
                <w:color w:val="000000"/>
                <w:sz w:val="22"/>
                <w:szCs w:val="22"/>
              </w:rPr>
              <w:t>.</w:t>
            </w:r>
          </w:p>
        </w:tc>
        <w:tc>
          <w:tcPr>
            <w:tcW w:w="2595" w:type="dxa"/>
          </w:tcPr>
          <w:p w14:paraId="4BF08664" w14:textId="0CC8014E" w:rsidR="00C13FE7" w:rsidRDefault="00C13FE7" w:rsidP="00C13FE7">
            <w:pPr>
              <w:pStyle w:val="NormalWeb"/>
              <w:spacing w:before="0" w:beforeAutospacing="0" w:after="200" w:afterAutospacing="0"/>
              <w:jc w:val="both"/>
            </w:pPr>
            <w:r>
              <w:rPr>
                <w:rFonts w:ascii="Calibri" w:hAnsi="Calibri" w:cs="Calibri"/>
                <w:color w:val="000000"/>
                <w:sz w:val="22"/>
                <w:szCs w:val="22"/>
              </w:rPr>
              <w:t>1      2      3      4      5      6</w:t>
            </w:r>
          </w:p>
        </w:tc>
      </w:tr>
      <w:tr w:rsidR="00C13FE7" w14:paraId="392002CB" w14:textId="77777777" w:rsidTr="00C13FE7">
        <w:tc>
          <w:tcPr>
            <w:tcW w:w="11335" w:type="dxa"/>
          </w:tcPr>
          <w:p w14:paraId="45C35460" w14:textId="6FE6C59B" w:rsidR="00C13FE7" w:rsidRDefault="00C13FE7" w:rsidP="00C13FE7">
            <w:pPr>
              <w:pStyle w:val="NormalWeb"/>
              <w:spacing w:before="0" w:beforeAutospacing="0" w:after="200" w:afterAutospacing="0"/>
              <w:jc w:val="both"/>
            </w:pPr>
            <w:r>
              <w:rPr>
                <w:rFonts w:ascii="Calibri" w:hAnsi="Calibri" w:cs="Calibri"/>
                <w:color w:val="000000"/>
                <w:sz w:val="22"/>
                <w:szCs w:val="22"/>
              </w:rPr>
              <w:t xml:space="preserve">The investment effectively </w:t>
            </w:r>
            <w:r>
              <w:rPr>
                <w:rFonts w:ascii="Calibri" w:hAnsi="Calibri" w:cs="Calibri"/>
                <w:b/>
                <w:bCs/>
                <w:color w:val="000000"/>
                <w:sz w:val="22"/>
                <w:szCs w:val="22"/>
              </w:rPr>
              <w:t>implemented strategies</w:t>
            </w:r>
            <w:r>
              <w:rPr>
                <w:rFonts w:ascii="Calibri" w:hAnsi="Calibri" w:cs="Calibri"/>
                <w:color w:val="000000"/>
                <w:sz w:val="22"/>
                <w:szCs w:val="22"/>
              </w:rPr>
              <w:t xml:space="preserve"> to promote gender equality and women’s empowerment.</w:t>
            </w:r>
          </w:p>
        </w:tc>
        <w:tc>
          <w:tcPr>
            <w:tcW w:w="2595" w:type="dxa"/>
          </w:tcPr>
          <w:p w14:paraId="7188C01D" w14:textId="0337B4F6" w:rsidR="00C13FE7" w:rsidRDefault="00C13FE7" w:rsidP="00C13FE7">
            <w:pPr>
              <w:pStyle w:val="NormalWeb"/>
              <w:spacing w:before="0" w:beforeAutospacing="0" w:after="200" w:afterAutospacing="0"/>
              <w:jc w:val="both"/>
            </w:pPr>
            <w:r>
              <w:rPr>
                <w:rFonts w:ascii="Calibri" w:hAnsi="Calibri" w:cs="Calibri"/>
                <w:color w:val="000000"/>
                <w:sz w:val="22"/>
                <w:szCs w:val="22"/>
              </w:rPr>
              <w:t>1      2      3      4      5      6</w:t>
            </w:r>
          </w:p>
        </w:tc>
      </w:tr>
      <w:tr w:rsidR="00C13FE7" w14:paraId="70B2F430" w14:textId="77777777" w:rsidTr="00C13FE7">
        <w:tc>
          <w:tcPr>
            <w:tcW w:w="11335" w:type="dxa"/>
          </w:tcPr>
          <w:p w14:paraId="59D0A895" w14:textId="0B25F958" w:rsidR="00C13FE7" w:rsidRDefault="00C13FE7" w:rsidP="00C13FE7">
            <w:pPr>
              <w:pStyle w:val="NormalWeb"/>
              <w:spacing w:before="0" w:beforeAutospacing="0" w:after="200" w:afterAutospacing="0"/>
              <w:jc w:val="both"/>
            </w:pPr>
            <w:r>
              <w:rPr>
                <w:rFonts w:ascii="Calibri" w:hAnsi="Calibri" w:cs="Calibri"/>
                <w:color w:val="000000"/>
                <w:sz w:val="22"/>
                <w:szCs w:val="22"/>
              </w:rPr>
              <w:t xml:space="preserve">The M&amp;E system </w:t>
            </w:r>
            <w:r>
              <w:rPr>
                <w:rFonts w:ascii="Calibri" w:hAnsi="Calibri" w:cs="Calibri"/>
                <w:b/>
                <w:bCs/>
                <w:color w:val="000000"/>
                <w:sz w:val="22"/>
                <w:szCs w:val="22"/>
              </w:rPr>
              <w:t xml:space="preserve">collected sex-disaggregated data </w:t>
            </w:r>
            <w:r>
              <w:rPr>
                <w:rFonts w:ascii="Calibri" w:hAnsi="Calibri" w:cs="Calibri"/>
                <w:color w:val="000000"/>
                <w:sz w:val="22"/>
                <w:szCs w:val="22"/>
              </w:rPr>
              <w:t xml:space="preserve">and included indicators to measure </w:t>
            </w:r>
            <w:r>
              <w:rPr>
                <w:rFonts w:ascii="Calibri" w:hAnsi="Calibri" w:cs="Calibri"/>
                <w:b/>
                <w:bCs/>
                <w:color w:val="000000"/>
                <w:sz w:val="22"/>
                <w:szCs w:val="22"/>
              </w:rPr>
              <w:t>gender equality outcomes.</w:t>
            </w:r>
          </w:p>
        </w:tc>
        <w:tc>
          <w:tcPr>
            <w:tcW w:w="2595" w:type="dxa"/>
          </w:tcPr>
          <w:p w14:paraId="34E0354B" w14:textId="4ADB4C62" w:rsidR="00C13FE7" w:rsidRDefault="00C13FE7" w:rsidP="00C13FE7">
            <w:pPr>
              <w:pStyle w:val="NormalWeb"/>
              <w:spacing w:before="0" w:beforeAutospacing="0" w:after="200" w:afterAutospacing="0"/>
              <w:jc w:val="both"/>
            </w:pPr>
            <w:r>
              <w:rPr>
                <w:rFonts w:ascii="Calibri" w:hAnsi="Calibri" w:cs="Calibri"/>
                <w:color w:val="000000"/>
                <w:sz w:val="22"/>
                <w:szCs w:val="22"/>
              </w:rPr>
              <w:t>1      2      3      4      5      6</w:t>
            </w:r>
          </w:p>
        </w:tc>
      </w:tr>
      <w:tr w:rsidR="00C13FE7" w14:paraId="301BD830" w14:textId="77777777" w:rsidTr="00C13FE7">
        <w:tc>
          <w:tcPr>
            <w:tcW w:w="11335" w:type="dxa"/>
          </w:tcPr>
          <w:p w14:paraId="1D454B94" w14:textId="5A0E2AE6" w:rsidR="00C13FE7" w:rsidRDefault="00C13FE7" w:rsidP="00C13FE7">
            <w:pPr>
              <w:pStyle w:val="NormalWeb"/>
              <w:spacing w:before="0" w:beforeAutospacing="0" w:after="200" w:afterAutospacing="0"/>
              <w:jc w:val="both"/>
            </w:pPr>
            <w:r>
              <w:rPr>
                <w:rFonts w:ascii="Calibri" w:hAnsi="Calibri" w:cs="Calibri"/>
                <w:color w:val="000000"/>
                <w:sz w:val="22"/>
                <w:szCs w:val="22"/>
              </w:rPr>
              <w:t xml:space="preserve">There was sufficient </w:t>
            </w:r>
            <w:r>
              <w:rPr>
                <w:rFonts w:ascii="Calibri" w:hAnsi="Calibri" w:cs="Calibri"/>
                <w:b/>
                <w:bCs/>
                <w:color w:val="000000"/>
                <w:sz w:val="22"/>
                <w:szCs w:val="22"/>
              </w:rPr>
              <w:t>expertise and budget allocation</w:t>
            </w:r>
            <w:r>
              <w:rPr>
                <w:rFonts w:ascii="Calibri" w:hAnsi="Calibri" w:cs="Calibri"/>
                <w:color w:val="000000"/>
                <w:sz w:val="22"/>
                <w:szCs w:val="22"/>
              </w:rPr>
              <w:t xml:space="preserve"> to achieve positive gender equality outputs and outcomes</w:t>
            </w:r>
          </w:p>
        </w:tc>
        <w:tc>
          <w:tcPr>
            <w:tcW w:w="2595" w:type="dxa"/>
          </w:tcPr>
          <w:p w14:paraId="0671379F" w14:textId="6C90AC44" w:rsidR="00C13FE7" w:rsidRDefault="00C13FE7" w:rsidP="00C13FE7">
            <w:pPr>
              <w:pStyle w:val="NormalWeb"/>
              <w:spacing w:before="0" w:beforeAutospacing="0" w:after="200" w:afterAutospacing="0"/>
              <w:jc w:val="both"/>
            </w:pPr>
            <w:r>
              <w:rPr>
                <w:rFonts w:ascii="Calibri" w:hAnsi="Calibri" w:cs="Calibri"/>
                <w:color w:val="000000"/>
                <w:sz w:val="22"/>
                <w:szCs w:val="22"/>
              </w:rPr>
              <w:t>1      2      3      4      5      6</w:t>
            </w:r>
          </w:p>
        </w:tc>
      </w:tr>
      <w:tr w:rsidR="00C13FE7" w14:paraId="3C4C8605" w14:textId="77777777" w:rsidTr="00C13FE7">
        <w:tc>
          <w:tcPr>
            <w:tcW w:w="11335" w:type="dxa"/>
          </w:tcPr>
          <w:p w14:paraId="1387B172" w14:textId="052DB06E" w:rsidR="00C13FE7" w:rsidRDefault="00C13FE7" w:rsidP="00C13FE7">
            <w:pPr>
              <w:pStyle w:val="NormalWeb"/>
              <w:spacing w:before="0" w:beforeAutospacing="0" w:after="200" w:afterAutospacing="0"/>
              <w:jc w:val="both"/>
            </w:pPr>
            <w:r>
              <w:rPr>
                <w:rFonts w:ascii="Calibri" w:hAnsi="Calibri" w:cs="Calibri"/>
                <w:color w:val="000000"/>
                <w:sz w:val="22"/>
                <w:szCs w:val="22"/>
              </w:rPr>
              <w:t xml:space="preserve">As a result of the investment, </w:t>
            </w:r>
            <w:r>
              <w:rPr>
                <w:rFonts w:ascii="Calibri" w:hAnsi="Calibri" w:cs="Calibri"/>
                <w:b/>
                <w:bCs/>
                <w:color w:val="000000"/>
                <w:sz w:val="22"/>
                <w:szCs w:val="22"/>
              </w:rPr>
              <w:t>partners</w:t>
            </w:r>
            <w:r>
              <w:rPr>
                <w:rFonts w:ascii="Calibri" w:hAnsi="Calibri" w:cs="Calibri"/>
                <w:color w:val="000000"/>
                <w:sz w:val="22"/>
                <w:szCs w:val="22"/>
              </w:rPr>
              <w:t xml:space="preserve"> increasingly treat gender equality as a priority through their </w:t>
            </w:r>
            <w:r>
              <w:rPr>
                <w:rFonts w:ascii="Calibri" w:hAnsi="Calibri" w:cs="Calibri"/>
                <w:b/>
                <w:bCs/>
                <w:color w:val="000000"/>
                <w:sz w:val="22"/>
                <w:szCs w:val="22"/>
              </w:rPr>
              <w:t>own policies and processes</w:t>
            </w:r>
            <w:r>
              <w:rPr>
                <w:rFonts w:ascii="Calibri" w:hAnsi="Calibri" w:cs="Calibri"/>
                <w:color w:val="000000"/>
                <w:sz w:val="22"/>
                <w:szCs w:val="22"/>
              </w:rPr>
              <w:t>.</w:t>
            </w:r>
          </w:p>
        </w:tc>
        <w:tc>
          <w:tcPr>
            <w:tcW w:w="2595" w:type="dxa"/>
          </w:tcPr>
          <w:p w14:paraId="57AF0C13" w14:textId="44D62C06" w:rsidR="00C13FE7" w:rsidRDefault="00C13FE7" w:rsidP="00C13FE7">
            <w:pPr>
              <w:pStyle w:val="NormalWeb"/>
              <w:spacing w:before="0" w:beforeAutospacing="0" w:after="200" w:afterAutospacing="0"/>
              <w:jc w:val="both"/>
            </w:pPr>
            <w:r>
              <w:rPr>
                <w:rFonts w:ascii="Calibri" w:hAnsi="Calibri" w:cs="Calibri"/>
                <w:color w:val="000000"/>
                <w:sz w:val="22"/>
                <w:szCs w:val="22"/>
              </w:rPr>
              <w:t>1      2      3      4      5      6</w:t>
            </w:r>
          </w:p>
        </w:tc>
      </w:tr>
      <w:tr w:rsidR="00C13FE7" w14:paraId="5D30B3C1" w14:textId="77777777" w:rsidTr="00C13FE7">
        <w:tc>
          <w:tcPr>
            <w:tcW w:w="11335" w:type="dxa"/>
          </w:tcPr>
          <w:p w14:paraId="4C89E136" w14:textId="0BF42D35" w:rsidR="00C13FE7" w:rsidRDefault="00C13FE7" w:rsidP="00C13FE7">
            <w:pPr>
              <w:pStyle w:val="NormalWeb"/>
              <w:spacing w:before="0" w:beforeAutospacing="0" w:after="200" w:afterAutospacing="0"/>
              <w:jc w:val="both"/>
            </w:pPr>
            <w:r>
              <w:rPr>
                <w:rFonts w:ascii="Calibri" w:hAnsi="Calibri" w:cs="Calibri"/>
                <w:color w:val="000000"/>
                <w:sz w:val="22"/>
                <w:szCs w:val="22"/>
              </w:rPr>
              <w:t>Overall rating </w:t>
            </w:r>
          </w:p>
        </w:tc>
        <w:tc>
          <w:tcPr>
            <w:tcW w:w="2595" w:type="dxa"/>
          </w:tcPr>
          <w:p w14:paraId="6091BEA4" w14:textId="183387F9" w:rsidR="00C13FE7" w:rsidRDefault="00C13FE7" w:rsidP="00C13FE7">
            <w:pPr>
              <w:pStyle w:val="NormalWeb"/>
              <w:spacing w:before="0" w:beforeAutospacing="0" w:after="200" w:afterAutospacing="0"/>
              <w:jc w:val="both"/>
            </w:pPr>
          </w:p>
        </w:tc>
      </w:tr>
    </w:tbl>
    <w:p w14:paraId="0BD0B260" w14:textId="77777777" w:rsidR="00804A46" w:rsidRDefault="00804A46">
      <w:pPr>
        <w:spacing w:before="0"/>
        <w:rPr>
          <w:rFonts w:ascii="Calibri" w:hAnsi="Calibri" w:cs="Calibri"/>
          <w:b/>
          <w:bCs/>
          <w:color w:val="000000"/>
          <w:szCs w:val="22"/>
        </w:rPr>
      </w:pPr>
      <w:r>
        <w:rPr>
          <w:rFonts w:ascii="Calibri" w:hAnsi="Calibri" w:cs="Calibri"/>
          <w:b/>
          <w:bCs/>
          <w:color w:val="000000"/>
          <w:szCs w:val="22"/>
        </w:rPr>
        <w:br w:type="page"/>
      </w:r>
    </w:p>
    <w:p w14:paraId="736B3F1F" w14:textId="34CBDC57" w:rsidR="00960435" w:rsidRDefault="00960435" w:rsidP="00960435">
      <w:pPr>
        <w:pStyle w:val="NormalWeb"/>
        <w:spacing w:before="0" w:beforeAutospacing="0" w:after="200" w:afterAutospacing="0"/>
        <w:jc w:val="both"/>
      </w:pPr>
      <w:r>
        <w:rPr>
          <w:rFonts w:ascii="Calibri" w:hAnsi="Calibri" w:cs="Calibri"/>
          <w:b/>
          <w:bCs/>
          <w:color w:val="000000"/>
          <w:sz w:val="22"/>
          <w:szCs w:val="22"/>
        </w:rPr>
        <w:lastRenderedPageBreak/>
        <w:t>Table 1</w:t>
      </w:r>
      <w:r>
        <w:rPr>
          <w:rFonts w:ascii="Calibri" w:hAnsi="Calibri" w:cs="Calibri"/>
          <w:color w:val="000000"/>
          <w:sz w:val="22"/>
          <w:szCs w:val="22"/>
        </w:rPr>
        <w:t>: DFAT’s Aid Quality Check Criteria</w:t>
      </w:r>
    </w:p>
    <w:p w14:paraId="74618BE8" w14:textId="77777777" w:rsidR="00960435" w:rsidRDefault="00960435" w:rsidP="00C64AD4">
      <w:pPr>
        <w:pStyle w:val="NormalWeb"/>
        <w:numPr>
          <w:ilvl w:val="0"/>
          <w:numId w:val="42"/>
        </w:numPr>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Advice</w:t>
      </w:r>
    </w:p>
    <w:p w14:paraId="5D414907" w14:textId="53B5CAB0" w:rsidR="00960435" w:rsidRDefault="00960435" w:rsidP="00960435">
      <w:pPr>
        <w:pStyle w:val="NormalWeb"/>
        <w:spacing w:before="0" w:beforeAutospacing="0" w:after="200" w:afterAutospacing="0"/>
        <w:jc w:val="both"/>
        <w:rPr>
          <w:rFonts w:ascii="Calibri" w:hAnsi="Calibri" w:cs="Calibri"/>
          <w:color w:val="000000"/>
          <w:sz w:val="22"/>
          <w:szCs w:val="22"/>
        </w:rPr>
      </w:pPr>
      <w:r>
        <w:rPr>
          <w:rFonts w:ascii="Calibri" w:hAnsi="Calibri" w:cs="Calibri"/>
          <w:color w:val="000000"/>
          <w:sz w:val="22"/>
          <w:szCs w:val="22"/>
        </w:rPr>
        <w:t xml:space="preserve">The AQC criteria are interpreted below. ABP II will meet satisfactory performance and </w:t>
      </w:r>
      <w:proofErr w:type="gramStart"/>
      <w:r>
        <w:rPr>
          <w:rFonts w:ascii="Calibri" w:hAnsi="Calibri" w:cs="Calibri"/>
          <w:color w:val="000000"/>
          <w:sz w:val="22"/>
          <w:szCs w:val="22"/>
        </w:rPr>
        <w:t>approval, if</w:t>
      </w:r>
      <w:proofErr w:type="gramEnd"/>
      <w:r>
        <w:rPr>
          <w:rFonts w:ascii="Calibri" w:hAnsi="Calibri" w:cs="Calibri"/>
          <w:color w:val="000000"/>
          <w:sz w:val="22"/>
          <w:szCs w:val="22"/>
        </w:rPr>
        <w:t xml:space="preserve"> the following minimum requirements are met and noted in the design document. The recruitment of a Gender Advisor will undoubtedly expand what is feasible for the ABP to pursue.</w:t>
      </w:r>
    </w:p>
    <w:tbl>
      <w:tblPr>
        <w:tblStyle w:val="TableGrid"/>
        <w:tblW w:w="13930" w:type="dxa"/>
        <w:tblLook w:val="04A0" w:firstRow="1" w:lastRow="0" w:firstColumn="1" w:lastColumn="0" w:noHBand="0" w:noVBand="1"/>
      </w:tblPr>
      <w:tblGrid>
        <w:gridCol w:w="3823"/>
        <w:gridCol w:w="10107"/>
      </w:tblGrid>
      <w:tr w:rsidR="00C13FE7" w14:paraId="3A3A98CC" w14:textId="77777777" w:rsidTr="009C2EF4">
        <w:trPr>
          <w:tblHeader/>
        </w:trPr>
        <w:tc>
          <w:tcPr>
            <w:tcW w:w="3823" w:type="dxa"/>
          </w:tcPr>
          <w:p w14:paraId="779BB4EE" w14:textId="33A51A80" w:rsidR="00C13FE7" w:rsidRDefault="00C13FE7" w:rsidP="00C13FE7">
            <w:pPr>
              <w:pStyle w:val="NormalWeb"/>
              <w:spacing w:before="0" w:beforeAutospacing="0" w:after="200" w:afterAutospacing="0"/>
              <w:jc w:val="both"/>
            </w:pPr>
            <w:r>
              <w:rPr>
                <w:rFonts w:ascii="Calibri" w:hAnsi="Calibri" w:cs="Calibri"/>
                <w:b/>
                <w:bCs/>
                <w:color w:val="000000"/>
                <w:sz w:val="22"/>
                <w:szCs w:val="22"/>
              </w:rPr>
              <w:t>Criteria</w:t>
            </w:r>
          </w:p>
        </w:tc>
        <w:tc>
          <w:tcPr>
            <w:tcW w:w="10107" w:type="dxa"/>
          </w:tcPr>
          <w:p w14:paraId="2B78FC02" w14:textId="5FF676D1" w:rsidR="00C13FE7" w:rsidRDefault="00C13FE7" w:rsidP="00C13FE7">
            <w:pPr>
              <w:pStyle w:val="NormalWeb"/>
              <w:spacing w:before="0" w:beforeAutospacing="0" w:after="200" w:afterAutospacing="0"/>
              <w:jc w:val="both"/>
            </w:pPr>
            <w:r>
              <w:rPr>
                <w:rFonts w:ascii="Calibri" w:hAnsi="Calibri" w:cs="Calibri"/>
                <w:b/>
                <w:bCs/>
                <w:color w:val="000000"/>
                <w:sz w:val="22"/>
                <w:szCs w:val="22"/>
              </w:rPr>
              <w:t>Threshold for approval</w:t>
            </w:r>
          </w:p>
        </w:tc>
      </w:tr>
      <w:tr w:rsidR="00C13FE7" w14:paraId="48AF6221" w14:textId="77777777" w:rsidTr="00BA22BB">
        <w:tc>
          <w:tcPr>
            <w:tcW w:w="3823" w:type="dxa"/>
          </w:tcPr>
          <w:p w14:paraId="58135351" w14:textId="0D39135C" w:rsidR="00C13FE7" w:rsidRDefault="00C13FE7" w:rsidP="00C13FE7">
            <w:pPr>
              <w:pStyle w:val="NormalWeb"/>
              <w:spacing w:before="0" w:beforeAutospacing="0" w:after="200" w:afterAutospacing="0"/>
              <w:jc w:val="both"/>
            </w:pPr>
            <w:r>
              <w:rPr>
                <w:rFonts w:ascii="Calibri" w:hAnsi="Calibri" w:cs="Calibri"/>
                <w:color w:val="000000"/>
                <w:sz w:val="22"/>
                <w:szCs w:val="22"/>
              </w:rPr>
              <w:t xml:space="preserve">Gender equality is a </w:t>
            </w:r>
            <w:r>
              <w:rPr>
                <w:rFonts w:ascii="Calibri" w:hAnsi="Calibri" w:cs="Calibri"/>
                <w:b/>
                <w:bCs/>
                <w:color w:val="000000"/>
                <w:sz w:val="22"/>
                <w:szCs w:val="22"/>
              </w:rPr>
              <w:t>significant objective</w:t>
            </w:r>
            <w:r>
              <w:rPr>
                <w:rFonts w:ascii="Calibri" w:hAnsi="Calibri" w:cs="Calibri"/>
                <w:color w:val="000000"/>
                <w:sz w:val="22"/>
                <w:szCs w:val="22"/>
              </w:rPr>
              <w:t xml:space="preserve"> of this assessment</w:t>
            </w:r>
          </w:p>
        </w:tc>
        <w:tc>
          <w:tcPr>
            <w:tcW w:w="10107" w:type="dxa"/>
          </w:tcPr>
          <w:p w14:paraId="61A86552" w14:textId="77777777" w:rsidR="00C13FE7" w:rsidRDefault="00C13FE7" w:rsidP="00C13FE7">
            <w:pPr>
              <w:pStyle w:val="NormalWeb"/>
              <w:numPr>
                <w:ilvl w:val="0"/>
                <w:numId w:val="43"/>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Reference to gender equality (or men and women) included as one of the overall objectives of the investment.</w:t>
            </w:r>
          </w:p>
          <w:p w14:paraId="1443DDC6" w14:textId="77777777" w:rsidR="00C13FE7" w:rsidRDefault="00C13FE7" w:rsidP="00C13FE7">
            <w:pPr>
              <w:pStyle w:val="NormalWeb"/>
              <w:numPr>
                <w:ilvl w:val="0"/>
                <w:numId w:val="43"/>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Reference to gender equality (or men and women) included within the set of objectives for each pillar.</w:t>
            </w:r>
          </w:p>
          <w:p w14:paraId="78702636" w14:textId="0A9FA663" w:rsidR="00C13FE7" w:rsidRDefault="00C13FE7" w:rsidP="00C13FE7">
            <w:pPr>
              <w:pStyle w:val="NormalWeb"/>
              <w:spacing w:before="0" w:beforeAutospacing="0" w:after="200" w:afterAutospacing="0"/>
              <w:jc w:val="both"/>
            </w:pPr>
            <w:r>
              <w:rPr>
                <w:rFonts w:ascii="Calibri" w:hAnsi="Calibri" w:cs="Calibri"/>
                <w:color w:val="000000"/>
                <w:sz w:val="22"/>
                <w:szCs w:val="22"/>
              </w:rPr>
              <w:t>It is not expected that every activity will have a gender equality objective, but it is expected that a Gender Advisor will review each activity proposal to determine that gender is not relevant.  </w:t>
            </w:r>
          </w:p>
        </w:tc>
      </w:tr>
      <w:tr w:rsidR="00C13FE7" w14:paraId="6291AD0F" w14:textId="77777777" w:rsidTr="00BA22BB">
        <w:tc>
          <w:tcPr>
            <w:tcW w:w="3823" w:type="dxa"/>
          </w:tcPr>
          <w:p w14:paraId="4689FB6C" w14:textId="29BED2F2" w:rsidR="00C13FE7" w:rsidRDefault="00C13FE7" w:rsidP="00C13FE7">
            <w:pPr>
              <w:pStyle w:val="NormalWeb"/>
              <w:spacing w:before="0" w:beforeAutospacing="0" w:after="200" w:afterAutospacing="0"/>
              <w:jc w:val="both"/>
            </w:pPr>
            <w:r>
              <w:rPr>
                <w:rFonts w:ascii="Calibri" w:hAnsi="Calibri" w:cs="Calibri"/>
                <w:b/>
                <w:bCs/>
                <w:color w:val="000000"/>
                <w:sz w:val="22"/>
                <w:szCs w:val="22"/>
              </w:rPr>
              <w:t>Analysis</w:t>
            </w:r>
            <w:r>
              <w:rPr>
                <w:rFonts w:ascii="Calibri" w:hAnsi="Calibri" w:cs="Calibri"/>
                <w:color w:val="000000"/>
                <w:sz w:val="22"/>
                <w:szCs w:val="22"/>
              </w:rPr>
              <w:t xml:space="preserve"> </w:t>
            </w:r>
            <w:r>
              <w:rPr>
                <w:rFonts w:ascii="Calibri" w:hAnsi="Calibri" w:cs="Calibri"/>
                <w:b/>
                <w:bCs/>
                <w:color w:val="000000"/>
                <w:sz w:val="22"/>
                <w:szCs w:val="22"/>
              </w:rPr>
              <w:t xml:space="preserve">substantially informed </w:t>
            </w:r>
            <w:r>
              <w:rPr>
                <w:rFonts w:ascii="Calibri" w:hAnsi="Calibri" w:cs="Calibri"/>
                <w:color w:val="000000"/>
                <w:sz w:val="22"/>
                <w:szCs w:val="22"/>
              </w:rPr>
              <w:t>the investment</w:t>
            </w:r>
          </w:p>
        </w:tc>
        <w:tc>
          <w:tcPr>
            <w:tcW w:w="10107" w:type="dxa"/>
          </w:tcPr>
          <w:p w14:paraId="18AF637C" w14:textId="77777777" w:rsidR="00C13FE7" w:rsidRDefault="00C13FE7" w:rsidP="00C13FE7">
            <w:pPr>
              <w:pStyle w:val="NormalWeb"/>
              <w:numPr>
                <w:ilvl w:val="0"/>
                <w:numId w:val="44"/>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The design document includes gender analysis relevant to the overall program objective, and implications for ABP.</w:t>
            </w:r>
          </w:p>
          <w:p w14:paraId="367F3634" w14:textId="1B885029" w:rsidR="00C13FE7" w:rsidRDefault="00C13FE7" w:rsidP="00C13FE7">
            <w:pPr>
              <w:pStyle w:val="NormalWeb"/>
              <w:spacing w:before="0" w:beforeAutospacing="0" w:after="200" w:afterAutospacing="0"/>
              <w:jc w:val="both"/>
            </w:pPr>
            <w:r>
              <w:rPr>
                <w:rFonts w:ascii="Calibri" w:hAnsi="Calibri" w:cs="Calibri"/>
                <w:color w:val="000000"/>
                <w:sz w:val="22"/>
                <w:szCs w:val="22"/>
              </w:rPr>
              <w:t>The design document includes analysis within each pillar analysis, and implications for each pillar.</w:t>
            </w:r>
          </w:p>
        </w:tc>
      </w:tr>
      <w:tr w:rsidR="00C13FE7" w14:paraId="4D61619C" w14:textId="77777777" w:rsidTr="00BA22BB">
        <w:tc>
          <w:tcPr>
            <w:tcW w:w="3823" w:type="dxa"/>
          </w:tcPr>
          <w:p w14:paraId="7E220FBC" w14:textId="5777ECA4" w:rsidR="00C13FE7" w:rsidRDefault="00C13FE7" w:rsidP="00C13FE7">
            <w:pPr>
              <w:pStyle w:val="NormalWeb"/>
              <w:spacing w:before="0" w:beforeAutospacing="0" w:after="200" w:afterAutospacing="0"/>
              <w:jc w:val="both"/>
            </w:pPr>
            <w:r>
              <w:rPr>
                <w:rFonts w:ascii="Calibri" w:hAnsi="Calibri" w:cs="Calibri"/>
                <w:b/>
                <w:bCs/>
                <w:color w:val="000000"/>
                <w:sz w:val="22"/>
                <w:szCs w:val="22"/>
              </w:rPr>
              <w:t>Risks</w:t>
            </w:r>
            <w:r>
              <w:rPr>
                <w:rFonts w:ascii="Calibri" w:hAnsi="Calibri" w:cs="Calibri"/>
                <w:color w:val="000000"/>
                <w:sz w:val="22"/>
                <w:szCs w:val="22"/>
              </w:rPr>
              <w:t xml:space="preserve"> identified and </w:t>
            </w:r>
            <w:r>
              <w:rPr>
                <w:rFonts w:ascii="Calibri" w:hAnsi="Calibri" w:cs="Calibri"/>
                <w:b/>
                <w:bCs/>
                <w:color w:val="000000"/>
                <w:sz w:val="22"/>
                <w:szCs w:val="22"/>
              </w:rPr>
              <w:t>managed</w:t>
            </w:r>
          </w:p>
        </w:tc>
        <w:tc>
          <w:tcPr>
            <w:tcW w:w="10107" w:type="dxa"/>
          </w:tcPr>
          <w:p w14:paraId="7BC2A02C" w14:textId="2EBE2ED0" w:rsidR="00C13FE7" w:rsidRDefault="00C13FE7" w:rsidP="00C13FE7">
            <w:pPr>
              <w:pStyle w:val="NormalWeb"/>
              <w:spacing w:before="0" w:beforeAutospacing="0" w:after="200" w:afterAutospacing="0"/>
              <w:jc w:val="both"/>
            </w:pPr>
            <w:r>
              <w:rPr>
                <w:rFonts w:ascii="Calibri" w:hAnsi="Calibri" w:cs="Calibri"/>
                <w:color w:val="000000"/>
                <w:sz w:val="22"/>
                <w:szCs w:val="22"/>
              </w:rPr>
              <w:t>A relevant gender related risk and risk treatment is included in the program risk matrix, and in each pillar level risk matrix (if there is one).</w:t>
            </w:r>
          </w:p>
        </w:tc>
      </w:tr>
      <w:tr w:rsidR="00C13FE7" w14:paraId="75AB3DCE" w14:textId="77777777" w:rsidTr="00BA22BB">
        <w:tc>
          <w:tcPr>
            <w:tcW w:w="3823" w:type="dxa"/>
          </w:tcPr>
          <w:p w14:paraId="125F0178" w14:textId="5116B63B" w:rsidR="00C13FE7" w:rsidRDefault="00C13FE7" w:rsidP="00C13FE7">
            <w:pPr>
              <w:pStyle w:val="NormalWeb"/>
              <w:spacing w:before="0" w:beforeAutospacing="0" w:after="200" w:afterAutospacing="0"/>
              <w:jc w:val="both"/>
            </w:pPr>
            <w:r>
              <w:rPr>
                <w:rFonts w:ascii="Calibri" w:hAnsi="Calibri" w:cs="Calibri"/>
                <w:b/>
                <w:bCs/>
                <w:color w:val="000000"/>
                <w:sz w:val="22"/>
                <w:szCs w:val="22"/>
              </w:rPr>
              <w:t>Implementing strategies</w:t>
            </w:r>
            <w:r>
              <w:rPr>
                <w:rFonts w:ascii="Calibri" w:hAnsi="Calibri" w:cs="Calibri"/>
                <w:color w:val="000000"/>
                <w:sz w:val="22"/>
                <w:szCs w:val="22"/>
              </w:rPr>
              <w:t> </w:t>
            </w:r>
          </w:p>
        </w:tc>
        <w:tc>
          <w:tcPr>
            <w:tcW w:w="10107" w:type="dxa"/>
          </w:tcPr>
          <w:p w14:paraId="6F59D903" w14:textId="77777777" w:rsidR="00C13FE7" w:rsidRDefault="00C13FE7" w:rsidP="00C13FE7">
            <w:pPr>
              <w:pStyle w:val="NormalWeb"/>
              <w:numPr>
                <w:ilvl w:val="0"/>
                <w:numId w:val="46"/>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The design includes as a deliverable a gender strategy or plan is developed by the ABP II Gender Adviser in the Inception Phase to ensure gender is comprehensively mainstreamed throughout the pillars. </w:t>
            </w:r>
          </w:p>
          <w:p w14:paraId="61C80ADE" w14:textId="64E7314A" w:rsidR="00C13FE7" w:rsidRDefault="00C13FE7" w:rsidP="00C13FE7">
            <w:pPr>
              <w:pStyle w:val="NormalWeb"/>
              <w:spacing w:before="0" w:beforeAutospacing="0" w:after="200" w:afterAutospacing="0"/>
              <w:jc w:val="both"/>
            </w:pPr>
            <w:r>
              <w:rPr>
                <w:rFonts w:ascii="Calibri" w:hAnsi="Calibri" w:cs="Calibri"/>
                <w:color w:val="000000"/>
                <w:sz w:val="22"/>
                <w:szCs w:val="22"/>
              </w:rPr>
              <w:t>In the TORs or expectations of each Pillar Team Lead, it must be noted that the ABP Gender Advisor is included in the routine development and review processes of pillar.</w:t>
            </w:r>
          </w:p>
        </w:tc>
      </w:tr>
      <w:tr w:rsidR="00C13FE7" w14:paraId="53A6B5EE" w14:textId="77777777" w:rsidTr="00BA22BB">
        <w:tc>
          <w:tcPr>
            <w:tcW w:w="3823" w:type="dxa"/>
          </w:tcPr>
          <w:p w14:paraId="43D6B2C2" w14:textId="145ABEA0" w:rsidR="00C13FE7" w:rsidRDefault="00C13FE7" w:rsidP="00C13FE7">
            <w:pPr>
              <w:pStyle w:val="NormalWeb"/>
              <w:spacing w:before="0" w:beforeAutospacing="0" w:after="200" w:afterAutospacing="0"/>
              <w:jc w:val="both"/>
            </w:pPr>
            <w:r>
              <w:rPr>
                <w:rFonts w:ascii="Calibri" w:hAnsi="Calibri" w:cs="Calibri"/>
                <w:color w:val="000000"/>
                <w:sz w:val="22"/>
                <w:szCs w:val="22"/>
              </w:rPr>
              <w:t xml:space="preserve">M&amp;E </w:t>
            </w:r>
            <w:r>
              <w:rPr>
                <w:rFonts w:ascii="Calibri" w:hAnsi="Calibri" w:cs="Calibri"/>
                <w:b/>
                <w:bCs/>
                <w:color w:val="000000"/>
                <w:sz w:val="22"/>
                <w:szCs w:val="22"/>
              </w:rPr>
              <w:t xml:space="preserve">collects sex-disaggregated data </w:t>
            </w:r>
            <w:r>
              <w:rPr>
                <w:rFonts w:ascii="Calibri" w:hAnsi="Calibri" w:cs="Calibri"/>
                <w:color w:val="000000"/>
                <w:sz w:val="22"/>
                <w:szCs w:val="22"/>
              </w:rPr>
              <w:t xml:space="preserve">and indicators on </w:t>
            </w:r>
            <w:r>
              <w:rPr>
                <w:rFonts w:ascii="Calibri" w:hAnsi="Calibri" w:cs="Calibri"/>
                <w:b/>
                <w:bCs/>
                <w:color w:val="000000"/>
                <w:sz w:val="22"/>
                <w:szCs w:val="22"/>
              </w:rPr>
              <w:t>gender equality outcomes</w:t>
            </w:r>
          </w:p>
        </w:tc>
        <w:tc>
          <w:tcPr>
            <w:tcW w:w="10107" w:type="dxa"/>
          </w:tcPr>
          <w:p w14:paraId="784FB253" w14:textId="77777777" w:rsidR="00C13FE7" w:rsidRDefault="00C13FE7" w:rsidP="00C13FE7">
            <w:pPr>
              <w:pStyle w:val="NormalWeb"/>
              <w:numPr>
                <w:ilvl w:val="0"/>
                <w:numId w:val="47"/>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The M&amp;E framework should incorporate the program and pillar level gender objectives. </w:t>
            </w:r>
          </w:p>
          <w:p w14:paraId="24790ED1" w14:textId="77777777" w:rsidR="00C13FE7" w:rsidRDefault="00C13FE7" w:rsidP="00C13FE7">
            <w:pPr>
              <w:pStyle w:val="NormalWeb"/>
              <w:numPr>
                <w:ilvl w:val="0"/>
                <w:numId w:val="47"/>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Selected (meaningful) indicators should be disaggregated by sex. It is not expected that all data is sex disaggregated.</w:t>
            </w:r>
          </w:p>
          <w:p w14:paraId="533A3AB8" w14:textId="77777777" w:rsidR="00C13FE7" w:rsidRDefault="00C13FE7" w:rsidP="00C13FE7">
            <w:pPr>
              <w:pStyle w:val="NormalWeb"/>
              <w:numPr>
                <w:ilvl w:val="0"/>
                <w:numId w:val="47"/>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The M&amp;E Framework needs to be reviewed and approved by the ABP Gender Advisor.</w:t>
            </w:r>
          </w:p>
          <w:p w14:paraId="7BEB9A07" w14:textId="77777777" w:rsidR="00C13FE7" w:rsidRDefault="00C13FE7" w:rsidP="00C13FE7">
            <w:pPr>
              <w:pStyle w:val="NormalWeb"/>
              <w:numPr>
                <w:ilvl w:val="0"/>
                <w:numId w:val="47"/>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Reporting templates need to include a dedicated gender section. It is also expected that all population data which is selected for disaggregation in the M&amp;E framework is reported by sex in the (e.g., people trained, people reached).</w:t>
            </w:r>
          </w:p>
          <w:p w14:paraId="1E9484B6" w14:textId="77777777" w:rsidR="00C13FE7" w:rsidRDefault="00C13FE7" w:rsidP="00C13FE7">
            <w:pPr>
              <w:pStyle w:val="NormalWeb"/>
              <w:spacing w:before="0" w:beforeAutospacing="0" w:after="200" w:afterAutospacing="0"/>
              <w:jc w:val="both"/>
            </w:pPr>
          </w:p>
        </w:tc>
      </w:tr>
      <w:tr w:rsidR="00C13FE7" w14:paraId="029D3F06" w14:textId="77777777" w:rsidTr="00BA22BB">
        <w:tc>
          <w:tcPr>
            <w:tcW w:w="3823" w:type="dxa"/>
          </w:tcPr>
          <w:p w14:paraId="0C442B2B" w14:textId="1881020B" w:rsidR="00C13FE7" w:rsidRDefault="00C13FE7" w:rsidP="00C13FE7">
            <w:pPr>
              <w:pStyle w:val="NormalWeb"/>
              <w:spacing w:before="0" w:beforeAutospacing="0" w:after="200" w:afterAutospacing="0"/>
              <w:jc w:val="both"/>
            </w:pPr>
            <w:r>
              <w:rPr>
                <w:rFonts w:ascii="Calibri" w:hAnsi="Calibri" w:cs="Calibri"/>
                <w:b/>
                <w:bCs/>
                <w:color w:val="000000"/>
                <w:sz w:val="22"/>
                <w:szCs w:val="22"/>
              </w:rPr>
              <w:lastRenderedPageBreak/>
              <w:t>Expertise and budget allocation</w:t>
            </w:r>
            <w:r>
              <w:rPr>
                <w:rFonts w:ascii="Calibri" w:hAnsi="Calibri" w:cs="Calibri"/>
                <w:color w:val="000000"/>
                <w:sz w:val="22"/>
                <w:szCs w:val="22"/>
              </w:rPr>
              <w:t> </w:t>
            </w:r>
          </w:p>
        </w:tc>
        <w:tc>
          <w:tcPr>
            <w:tcW w:w="10107" w:type="dxa"/>
          </w:tcPr>
          <w:p w14:paraId="28383172" w14:textId="77777777" w:rsidR="00C13FE7" w:rsidRDefault="00C13FE7" w:rsidP="00C13FE7">
            <w:pPr>
              <w:pStyle w:val="NormalWeb"/>
              <w:numPr>
                <w:ilvl w:val="0"/>
                <w:numId w:val="48"/>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The endorsement a stand-alone gender pillar, with a budget that is comparable to the level of the other pillars.</w:t>
            </w:r>
          </w:p>
          <w:p w14:paraId="0ECDA6E7" w14:textId="77777777" w:rsidR="00C13FE7" w:rsidRDefault="00C13FE7" w:rsidP="00C13FE7">
            <w:pPr>
              <w:pStyle w:val="NormalWeb"/>
              <w:numPr>
                <w:ilvl w:val="0"/>
                <w:numId w:val="48"/>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Budget needs to be adequate for a full time Gender Advisor who leads the gender mainstreaming work, and the gender pillar work.</w:t>
            </w:r>
          </w:p>
          <w:p w14:paraId="0288A026" w14:textId="77777777" w:rsidR="00C13FE7" w:rsidRDefault="00C13FE7" w:rsidP="00C13FE7">
            <w:pPr>
              <w:pStyle w:val="NormalWeb"/>
              <w:numPr>
                <w:ilvl w:val="0"/>
                <w:numId w:val="48"/>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Budget also needs to be allocated to ensure the participation of a Gender Specialist in any independent mid-term and/or end of program review.</w:t>
            </w:r>
          </w:p>
          <w:p w14:paraId="2E38D389" w14:textId="77777777" w:rsidR="00C13FE7" w:rsidRDefault="00C13FE7" w:rsidP="00C13FE7">
            <w:pPr>
              <w:pStyle w:val="NormalWeb"/>
              <w:spacing w:before="0" w:beforeAutospacing="0" w:after="200" w:afterAutospacing="0"/>
              <w:jc w:val="both"/>
            </w:pPr>
          </w:p>
        </w:tc>
      </w:tr>
      <w:tr w:rsidR="00C13FE7" w14:paraId="37BF0713" w14:textId="77777777" w:rsidTr="00BA22BB">
        <w:tc>
          <w:tcPr>
            <w:tcW w:w="3823" w:type="dxa"/>
          </w:tcPr>
          <w:p w14:paraId="117D2EFC" w14:textId="4E747612" w:rsidR="00C13FE7" w:rsidRDefault="00C13FE7" w:rsidP="00C13FE7">
            <w:pPr>
              <w:pStyle w:val="NormalWeb"/>
              <w:spacing w:before="0" w:beforeAutospacing="0" w:after="200" w:afterAutospacing="0"/>
              <w:jc w:val="both"/>
            </w:pPr>
            <w:r>
              <w:rPr>
                <w:rFonts w:ascii="Calibri" w:hAnsi="Calibri" w:cs="Calibri"/>
                <w:b/>
                <w:bCs/>
                <w:color w:val="000000"/>
                <w:sz w:val="22"/>
                <w:szCs w:val="22"/>
              </w:rPr>
              <w:t>Partners</w:t>
            </w:r>
            <w:r>
              <w:rPr>
                <w:rFonts w:ascii="Calibri" w:hAnsi="Calibri" w:cs="Calibri"/>
                <w:color w:val="000000"/>
                <w:sz w:val="22"/>
                <w:szCs w:val="22"/>
              </w:rPr>
              <w:t xml:space="preserve"> increasingly treat gender equality as a priority in </w:t>
            </w:r>
            <w:r>
              <w:rPr>
                <w:rFonts w:ascii="Calibri" w:hAnsi="Calibri" w:cs="Calibri"/>
                <w:b/>
                <w:bCs/>
                <w:color w:val="000000"/>
                <w:sz w:val="22"/>
                <w:szCs w:val="22"/>
              </w:rPr>
              <w:t>own policies and processes</w:t>
            </w:r>
            <w:r>
              <w:rPr>
                <w:rFonts w:ascii="Calibri" w:hAnsi="Calibri" w:cs="Calibri"/>
                <w:color w:val="000000"/>
                <w:sz w:val="22"/>
                <w:szCs w:val="22"/>
              </w:rPr>
              <w:t>.</w:t>
            </w:r>
          </w:p>
        </w:tc>
        <w:tc>
          <w:tcPr>
            <w:tcW w:w="10107" w:type="dxa"/>
          </w:tcPr>
          <w:p w14:paraId="64E26715" w14:textId="77777777" w:rsidR="00C13FE7" w:rsidRDefault="00C13FE7" w:rsidP="00C13FE7">
            <w:pPr>
              <w:pStyle w:val="NormalWeb"/>
              <w:numPr>
                <w:ilvl w:val="0"/>
                <w:numId w:val="49"/>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 xml:space="preserve">World Bank </w:t>
            </w:r>
            <w:proofErr w:type="gramStart"/>
            <w:r>
              <w:rPr>
                <w:rFonts w:ascii="Calibri" w:hAnsi="Calibri" w:cs="Calibri"/>
                <w:color w:val="000000"/>
                <w:sz w:val="22"/>
                <w:szCs w:val="22"/>
              </w:rPr>
              <w:t>is able to</w:t>
            </w:r>
            <w:proofErr w:type="gramEnd"/>
            <w:r>
              <w:rPr>
                <w:rFonts w:ascii="Calibri" w:hAnsi="Calibri" w:cs="Calibri"/>
                <w:color w:val="000000"/>
                <w:sz w:val="22"/>
                <w:szCs w:val="22"/>
              </w:rPr>
              <w:t xml:space="preserve"> report on whether (ideally, how) the ABP’s approach to and resourcing of gender has had an influence internally, and with any ABP counterparts. It may be simplest to include this as a reporting requirement in the progress or annual template.</w:t>
            </w:r>
          </w:p>
          <w:p w14:paraId="0A8021DD" w14:textId="77777777" w:rsidR="00C13FE7" w:rsidRDefault="00C13FE7" w:rsidP="00C13FE7">
            <w:pPr>
              <w:pStyle w:val="NormalWeb"/>
              <w:spacing w:before="0" w:beforeAutospacing="0" w:after="200" w:afterAutospacing="0"/>
              <w:jc w:val="both"/>
            </w:pPr>
          </w:p>
        </w:tc>
      </w:tr>
    </w:tbl>
    <w:p w14:paraId="002D9B42" w14:textId="77777777" w:rsidR="00C13FE7" w:rsidRDefault="00C13FE7" w:rsidP="00960435">
      <w:pPr>
        <w:pStyle w:val="NormalWeb"/>
        <w:spacing w:before="0" w:beforeAutospacing="0" w:after="200" w:afterAutospacing="0"/>
        <w:jc w:val="both"/>
      </w:pPr>
    </w:p>
    <w:p w14:paraId="6745E093" w14:textId="47C98786" w:rsidR="00B017A7" w:rsidRPr="005655A6" w:rsidRDefault="00B017A7" w:rsidP="00E03DD0">
      <w:pPr>
        <w:pStyle w:val="Heading1"/>
      </w:pPr>
      <w:bookmarkStart w:id="48" w:name="_Toc125560026"/>
      <w:r>
        <w:t xml:space="preserve">Annex 8 </w:t>
      </w:r>
      <w:r w:rsidR="00063619">
        <w:tab/>
      </w:r>
      <w:r>
        <w:t>Women’s Economic Empowerment grant: Gender-tagged projects</w:t>
      </w:r>
      <w:bookmarkEnd w:id="48"/>
    </w:p>
    <w:p w14:paraId="0C28652E" w14:textId="4E2D9FED" w:rsidR="000A4DC3" w:rsidRDefault="00BA22BB" w:rsidP="00BA22BB">
      <w:pPr>
        <w:pStyle w:val="ListParagraph"/>
        <w:numPr>
          <w:ilvl w:val="0"/>
          <w:numId w:val="65"/>
        </w:numPr>
      </w:pPr>
      <w:r w:rsidRPr="004C1357">
        <w:rPr>
          <w:b/>
          <w:bCs/>
        </w:rPr>
        <w:t>Approved Lending</w:t>
      </w:r>
    </w:p>
    <w:tbl>
      <w:tblPr>
        <w:tblStyle w:val="TableGrid"/>
        <w:tblW w:w="13887" w:type="dxa"/>
        <w:tblLook w:val="04A0" w:firstRow="1" w:lastRow="0" w:firstColumn="1" w:lastColumn="0" w:noHBand="0" w:noVBand="1"/>
      </w:tblPr>
      <w:tblGrid>
        <w:gridCol w:w="538"/>
        <w:gridCol w:w="4322"/>
        <w:gridCol w:w="9027"/>
      </w:tblGrid>
      <w:tr w:rsidR="000A4DC3" w:rsidRPr="004C1357" w14:paraId="6D791550" w14:textId="77777777" w:rsidTr="00473500">
        <w:trPr>
          <w:tblHeader/>
        </w:trPr>
        <w:tc>
          <w:tcPr>
            <w:tcW w:w="538" w:type="dxa"/>
          </w:tcPr>
          <w:p w14:paraId="04BE5375" w14:textId="77777777" w:rsidR="000A4DC3" w:rsidRPr="004C1357" w:rsidRDefault="000A4DC3" w:rsidP="0058473B">
            <w:pPr>
              <w:rPr>
                <w:b/>
                <w:bCs/>
              </w:rPr>
            </w:pPr>
            <w:r w:rsidRPr="004C1357">
              <w:rPr>
                <w:b/>
                <w:bCs/>
              </w:rPr>
              <w:t>No.</w:t>
            </w:r>
          </w:p>
        </w:tc>
        <w:tc>
          <w:tcPr>
            <w:tcW w:w="4322" w:type="dxa"/>
          </w:tcPr>
          <w:p w14:paraId="14945665" w14:textId="77777777" w:rsidR="000A4DC3" w:rsidRPr="004C1357" w:rsidRDefault="000A4DC3" w:rsidP="0058473B">
            <w:pPr>
              <w:jc w:val="center"/>
              <w:rPr>
                <w:b/>
                <w:bCs/>
              </w:rPr>
            </w:pPr>
            <w:r w:rsidRPr="004C1357">
              <w:rPr>
                <w:b/>
                <w:bCs/>
              </w:rPr>
              <w:t>Project Title</w:t>
            </w:r>
          </w:p>
        </w:tc>
        <w:tc>
          <w:tcPr>
            <w:tcW w:w="9027" w:type="dxa"/>
          </w:tcPr>
          <w:p w14:paraId="19C31E96" w14:textId="77777777" w:rsidR="000A4DC3" w:rsidRPr="004C1357" w:rsidRDefault="000A4DC3" w:rsidP="0058473B">
            <w:pPr>
              <w:jc w:val="center"/>
              <w:rPr>
                <w:b/>
                <w:bCs/>
              </w:rPr>
            </w:pPr>
            <w:r w:rsidRPr="004C1357">
              <w:rPr>
                <w:b/>
                <w:bCs/>
              </w:rPr>
              <w:t>Gender Entry Point</w:t>
            </w:r>
          </w:p>
        </w:tc>
      </w:tr>
      <w:tr w:rsidR="000A4DC3" w14:paraId="1FC9BBC2" w14:textId="77777777" w:rsidTr="00473500">
        <w:tc>
          <w:tcPr>
            <w:tcW w:w="538" w:type="dxa"/>
          </w:tcPr>
          <w:p w14:paraId="42DE45EA" w14:textId="77777777" w:rsidR="000A4DC3" w:rsidRDefault="000A4DC3" w:rsidP="0058473B">
            <w:r>
              <w:t>1</w:t>
            </w:r>
          </w:p>
        </w:tc>
        <w:tc>
          <w:tcPr>
            <w:tcW w:w="4322" w:type="dxa"/>
          </w:tcPr>
          <w:p w14:paraId="642CFE3E" w14:textId="77777777" w:rsidR="000A4DC3" w:rsidRDefault="000A4DC3" w:rsidP="0058473B">
            <w:r w:rsidRPr="00E6311B">
              <w:t>Second Additional Financing for Philippine Rural Development Project</w:t>
            </w:r>
            <w:r>
              <w:t xml:space="preserve"> (</w:t>
            </w:r>
            <w:r w:rsidRPr="00AA6B43">
              <w:t>P169025</w:t>
            </w:r>
            <w:r>
              <w:t>)</w:t>
            </w:r>
          </w:p>
        </w:tc>
        <w:tc>
          <w:tcPr>
            <w:tcW w:w="9027" w:type="dxa"/>
          </w:tcPr>
          <w:p w14:paraId="2D22815E" w14:textId="77777777" w:rsidR="000A4DC3" w:rsidRDefault="000A4DC3" w:rsidP="0058473B">
            <w:r>
              <w:t xml:space="preserve">Increasing women farmers’ access to production services such as credit and financial services as well as technology and other productive resources. </w:t>
            </w:r>
          </w:p>
        </w:tc>
      </w:tr>
      <w:tr w:rsidR="000A4DC3" w14:paraId="02CE6AD3" w14:textId="77777777" w:rsidTr="00473500">
        <w:tc>
          <w:tcPr>
            <w:tcW w:w="538" w:type="dxa"/>
          </w:tcPr>
          <w:p w14:paraId="1934B554" w14:textId="77777777" w:rsidR="000A4DC3" w:rsidRDefault="000A4DC3" w:rsidP="0058473B">
            <w:r>
              <w:t>2</w:t>
            </w:r>
          </w:p>
        </w:tc>
        <w:tc>
          <w:tcPr>
            <w:tcW w:w="4322" w:type="dxa"/>
          </w:tcPr>
          <w:p w14:paraId="161D25AB" w14:textId="77777777" w:rsidR="000A4DC3" w:rsidRPr="00E6311B" w:rsidRDefault="000A4DC3" w:rsidP="0058473B">
            <w:r w:rsidRPr="00E6311B">
              <w:t>Philippines COVID-19 Emergency Response Project Additional Financing</w:t>
            </w:r>
            <w:r>
              <w:t xml:space="preserve"> (</w:t>
            </w:r>
            <w:r w:rsidRPr="00555709">
              <w:t>P175953</w:t>
            </w:r>
            <w:r>
              <w:t>)</w:t>
            </w:r>
          </w:p>
        </w:tc>
        <w:tc>
          <w:tcPr>
            <w:tcW w:w="9027" w:type="dxa"/>
          </w:tcPr>
          <w:p w14:paraId="773AD5E7" w14:textId="77777777" w:rsidR="000A4DC3" w:rsidRDefault="000A4DC3" w:rsidP="0058473B">
            <w:r>
              <w:t>Prioritizing selected gender interventions to address</w:t>
            </w:r>
          </w:p>
          <w:p w14:paraId="272CF562" w14:textId="103060BB" w:rsidR="000A4DC3" w:rsidRDefault="000A4DC3" w:rsidP="0058473B">
            <w:r>
              <w:t xml:space="preserve">gender inequality in access to vaccine. Gender will be </w:t>
            </w:r>
            <w:r w:rsidR="00F26CAF">
              <w:t>prioritise</w:t>
            </w:r>
            <w:r>
              <w:t xml:space="preserve">d in project monitoring, evaluation, data collection and analysis. It is also supporting gender-sensitive stakeholder engagement and consultations, including involving gender-focused civil society </w:t>
            </w:r>
            <w:r w:rsidR="00D62E3D">
              <w:t>organisation</w:t>
            </w:r>
            <w:r>
              <w:t>s and partners, with specific outreach and communication to women and men groups.</w:t>
            </w:r>
          </w:p>
        </w:tc>
      </w:tr>
      <w:tr w:rsidR="000A4DC3" w14:paraId="39963E89" w14:textId="77777777" w:rsidTr="00473500">
        <w:tc>
          <w:tcPr>
            <w:tcW w:w="538" w:type="dxa"/>
          </w:tcPr>
          <w:p w14:paraId="43E4D94C" w14:textId="77777777" w:rsidR="000A4DC3" w:rsidRDefault="000A4DC3" w:rsidP="0058473B">
            <w:r>
              <w:t>3</w:t>
            </w:r>
          </w:p>
        </w:tc>
        <w:tc>
          <w:tcPr>
            <w:tcW w:w="4322" w:type="dxa"/>
          </w:tcPr>
          <w:p w14:paraId="3D711EBD" w14:textId="77777777" w:rsidR="000A4DC3" w:rsidRPr="00E6311B" w:rsidRDefault="000A4DC3" w:rsidP="0058473B">
            <w:r w:rsidRPr="00E6311B">
              <w:t>Philippines COVID-19 Emergency Response Project - Additional Financing 2</w:t>
            </w:r>
            <w:r>
              <w:t xml:space="preserve"> (</w:t>
            </w:r>
            <w:r w:rsidRPr="000A5754">
              <w:t>P177884</w:t>
            </w:r>
            <w:r>
              <w:t>)</w:t>
            </w:r>
          </w:p>
        </w:tc>
        <w:tc>
          <w:tcPr>
            <w:tcW w:w="9027" w:type="dxa"/>
          </w:tcPr>
          <w:p w14:paraId="37B5193E" w14:textId="14248132" w:rsidR="000A4DC3" w:rsidRDefault="000A4DC3" w:rsidP="0058473B">
            <w:r>
              <w:t xml:space="preserve">The second additional financing is supporting gender-sensitive stakeholder engagement and consultations, including involving gender-focused civil society </w:t>
            </w:r>
            <w:r w:rsidR="00D62E3D">
              <w:t>organisation</w:t>
            </w:r>
            <w:r>
              <w:t>s and partners, with specific outreach and communication to women and men groups.</w:t>
            </w:r>
          </w:p>
        </w:tc>
      </w:tr>
      <w:tr w:rsidR="000A4DC3" w14:paraId="70879B15" w14:textId="77777777" w:rsidTr="00473500">
        <w:tc>
          <w:tcPr>
            <w:tcW w:w="538" w:type="dxa"/>
          </w:tcPr>
          <w:p w14:paraId="53E9CD88" w14:textId="77777777" w:rsidR="000A4DC3" w:rsidRDefault="000A4DC3" w:rsidP="0058473B">
            <w:r>
              <w:lastRenderedPageBreak/>
              <w:t>4</w:t>
            </w:r>
          </w:p>
        </w:tc>
        <w:tc>
          <w:tcPr>
            <w:tcW w:w="4322" w:type="dxa"/>
          </w:tcPr>
          <w:p w14:paraId="4B7ECA59" w14:textId="77777777" w:rsidR="000A4DC3" w:rsidRPr="00E6311B" w:rsidRDefault="000A4DC3" w:rsidP="0058473B">
            <w:r w:rsidRPr="00E6311B">
              <w:t>Additional Financing for the KALAHI-CIDSS National Community Driven Development Project</w:t>
            </w:r>
            <w:r>
              <w:t xml:space="preserve"> (</w:t>
            </w:r>
            <w:r w:rsidRPr="00DE2706">
              <w:t>P161833</w:t>
            </w:r>
            <w:r>
              <w:t>)</w:t>
            </w:r>
          </w:p>
        </w:tc>
        <w:tc>
          <w:tcPr>
            <w:tcW w:w="9027" w:type="dxa"/>
          </w:tcPr>
          <w:p w14:paraId="5A25A068" w14:textId="30104980" w:rsidR="000A4DC3" w:rsidRDefault="000A4DC3" w:rsidP="0058473B">
            <w:r>
              <w:t xml:space="preserve">This additional financing is seeking to close the gender gap in paid community </w:t>
            </w:r>
            <w:r w:rsidR="0054640E">
              <w:t>labour</w:t>
            </w:r>
            <w:r>
              <w:t xml:space="preserve">. The DSWD explicitly included a Key Performance Indicator on the percentage increase of female participation in KC-NCDDP paid </w:t>
            </w:r>
            <w:r w:rsidR="0054640E">
              <w:t>labour</w:t>
            </w:r>
            <w:r>
              <w:t xml:space="preserve"> during sub-project implementation from percent at baseline (2014) to 25 percent by the end of 2020. </w:t>
            </w:r>
          </w:p>
        </w:tc>
      </w:tr>
      <w:tr w:rsidR="000A4DC3" w14:paraId="1990AA02" w14:textId="77777777" w:rsidTr="00473500">
        <w:tc>
          <w:tcPr>
            <w:tcW w:w="538" w:type="dxa"/>
          </w:tcPr>
          <w:p w14:paraId="1D5564A6" w14:textId="77777777" w:rsidR="000A4DC3" w:rsidRDefault="000A4DC3" w:rsidP="0058473B">
            <w:r>
              <w:t>5</w:t>
            </w:r>
          </w:p>
        </w:tc>
        <w:tc>
          <w:tcPr>
            <w:tcW w:w="4322" w:type="dxa"/>
          </w:tcPr>
          <w:p w14:paraId="7002FD0F" w14:textId="77777777" w:rsidR="000A4DC3" w:rsidRPr="00E6311B" w:rsidRDefault="000A4DC3" w:rsidP="0058473B">
            <w:r w:rsidRPr="00E6311B">
              <w:t>Philippines Seismic Risk Reduction and Resilience Project</w:t>
            </w:r>
            <w:r>
              <w:t xml:space="preserve"> (</w:t>
            </w:r>
            <w:r w:rsidRPr="006F0548">
              <w:t>P171419</w:t>
            </w:r>
            <w:r>
              <w:t>)</w:t>
            </w:r>
          </w:p>
        </w:tc>
        <w:tc>
          <w:tcPr>
            <w:tcW w:w="9027" w:type="dxa"/>
          </w:tcPr>
          <w:p w14:paraId="3DB3109A" w14:textId="77777777" w:rsidR="000A4DC3" w:rsidRDefault="000A4DC3" w:rsidP="0058473B">
            <w:r>
              <w:t>The project is aimed at reducing existing gaps between women and men by supporting an increase in the percentage of women that execute DPWH’s emergency planning and response functions. The project is supporting courses that will provide DPWH staff with the qualifications and certification needed to perform these expanded emergency planning and response roles. The courses will be tailored to improve gender-informed response to meet the differentiated needs of women, men and children in emergency preparedness and response</w:t>
            </w:r>
          </w:p>
        </w:tc>
      </w:tr>
      <w:tr w:rsidR="000A4DC3" w14:paraId="5B9D0561" w14:textId="77777777" w:rsidTr="00473500">
        <w:tc>
          <w:tcPr>
            <w:tcW w:w="538" w:type="dxa"/>
          </w:tcPr>
          <w:p w14:paraId="5DD6BBD5" w14:textId="77777777" w:rsidR="000A4DC3" w:rsidRDefault="000A4DC3" w:rsidP="0058473B">
            <w:r>
              <w:t>6</w:t>
            </w:r>
          </w:p>
        </w:tc>
        <w:tc>
          <w:tcPr>
            <w:tcW w:w="4322" w:type="dxa"/>
          </w:tcPr>
          <w:p w14:paraId="11F0C18F" w14:textId="77777777" w:rsidR="000A4DC3" w:rsidRPr="00E6311B" w:rsidRDefault="000A4DC3" w:rsidP="0058473B">
            <w:r w:rsidRPr="00887D40">
              <w:t>The Philippines Multisectoral Nutrition Project</w:t>
            </w:r>
            <w:r>
              <w:t xml:space="preserve"> (</w:t>
            </w:r>
            <w:r w:rsidRPr="00DE2706">
              <w:t>P175493</w:t>
            </w:r>
            <w:r>
              <w:t>)</w:t>
            </w:r>
          </w:p>
        </w:tc>
        <w:tc>
          <w:tcPr>
            <w:tcW w:w="9027" w:type="dxa"/>
          </w:tcPr>
          <w:p w14:paraId="5C3E42FF" w14:textId="77777777" w:rsidR="000A4DC3" w:rsidRDefault="000A4DC3" w:rsidP="0058473B">
            <w:r>
              <w:t xml:space="preserve">This project is looking at the delivery of quality Maternal and Child Health, and nutrition services including adolescent reproductive health, deliveries assisted by skilled birth attendants, and antenatal as well postnatal services in project areas with lower levels of access to these services. It is geared towards addressing other gender-specific determinants of undernutrition and decision making within households. An example of this could be incentivizing women, as well as men and community leaders, to gain knowledge about nutrition and adolescent reproductive health for their </w:t>
            </w:r>
            <w:proofErr w:type="spellStart"/>
            <w:r>
              <w:t>behaviors</w:t>
            </w:r>
            <w:proofErr w:type="spellEnd"/>
            <w:r>
              <w:t xml:space="preserve"> on nutrition would improve over time. </w:t>
            </w:r>
          </w:p>
        </w:tc>
      </w:tr>
      <w:tr w:rsidR="000A4DC3" w14:paraId="2E8B23A8" w14:textId="77777777" w:rsidTr="00473500">
        <w:tc>
          <w:tcPr>
            <w:tcW w:w="538" w:type="dxa"/>
          </w:tcPr>
          <w:p w14:paraId="31E444CA" w14:textId="77777777" w:rsidR="000A4DC3" w:rsidRDefault="000A4DC3" w:rsidP="0058473B">
            <w:r>
              <w:t>7</w:t>
            </w:r>
          </w:p>
        </w:tc>
        <w:tc>
          <w:tcPr>
            <w:tcW w:w="4322" w:type="dxa"/>
          </w:tcPr>
          <w:p w14:paraId="1D2FB81A" w14:textId="77777777" w:rsidR="000A4DC3" w:rsidRPr="00887D40" w:rsidRDefault="000A4DC3" w:rsidP="0058473B">
            <w:r w:rsidRPr="00887D40">
              <w:t>Fourth Disaster Risk Management Development Policy Loan with a Catastrophe-Deferred Drawdown Option</w:t>
            </w:r>
            <w:r>
              <w:t xml:space="preserve"> (</w:t>
            </w:r>
            <w:r w:rsidRPr="005F7424">
              <w:t>P177125</w:t>
            </w:r>
            <w:r>
              <w:t>)</w:t>
            </w:r>
          </w:p>
        </w:tc>
        <w:tc>
          <w:tcPr>
            <w:tcW w:w="9027" w:type="dxa"/>
          </w:tcPr>
          <w:p w14:paraId="4AB67232" w14:textId="77777777" w:rsidR="000A4DC3" w:rsidRDefault="000A4DC3" w:rsidP="0058473B">
            <w:r>
              <w:t>The Development Policy Operation is seeking to increase women’s participation in DRM related skills development courses that are male dominated by (</w:t>
            </w:r>
            <w:proofErr w:type="spellStart"/>
            <w:r>
              <w:t>i</w:t>
            </w:r>
            <w:proofErr w:type="spellEnd"/>
            <w:r>
              <w:t>) enhancing the design of TVET courses to meet the specific skills and learning needs of women; (ii) setting a target to ensure that 40 percent of</w:t>
            </w:r>
          </w:p>
          <w:p w14:paraId="5447BD35" w14:textId="77777777" w:rsidR="000A4DC3" w:rsidRDefault="000A4DC3" w:rsidP="0058473B">
            <w:r>
              <w:t xml:space="preserve">graduates from automotive, construction, electrical, and metals are women and (iii) incorporating social and </w:t>
            </w:r>
            <w:proofErr w:type="spellStart"/>
            <w:r>
              <w:t>behavior</w:t>
            </w:r>
            <w:proofErr w:type="spellEnd"/>
            <w:r>
              <w:t xml:space="preserve"> change communication and community campaigns to increase men and women’s </w:t>
            </w:r>
            <w:proofErr w:type="spellStart"/>
            <w:r>
              <w:t>awarenessof</w:t>
            </w:r>
            <w:proofErr w:type="spellEnd"/>
            <w:r>
              <w:t xml:space="preserve"> gender norms and stereotypes affecting women’s </w:t>
            </w:r>
            <w:proofErr w:type="spellStart"/>
            <w:r>
              <w:t>enrollment</w:t>
            </w:r>
            <w:proofErr w:type="spellEnd"/>
            <w:r>
              <w:t xml:space="preserve"> in technical TVET courses and subsequent</w:t>
            </w:r>
          </w:p>
          <w:p w14:paraId="5F327A4F" w14:textId="77777777" w:rsidR="000A4DC3" w:rsidRDefault="000A4DC3" w:rsidP="0058473B">
            <w:r>
              <w:t>access to job opportunities.</w:t>
            </w:r>
          </w:p>
        </w:tc>
      </w:tr>
      <w:tr w:rsidR="000A4DC3" w14:paraId="05CAC09D" w14:textId="77777777" w:rsidTr="00473500">
        <w:tc>
          <w:tcPr>
            <w:tcW w:w="538" w:type="dxa"/>
          </w:tcPr>
          <w:p w14:paraId="2AE3C0A5" w14:textId="77777777" w:rsidR="000A4DC3" w:rsidRDefault="000A4DC3" w:rsidP="0058473B">
            <w:r>
              <w:t>8</w:t>
            </w:r>
          </w:p>
        </w:tc>
        <w:tc>
          <w:tcPr>
            <w:tcW w:w="4322" w:type="dxa"/>
          </w:tcPr>
          <w:p w14:paraId="7E6240E5" w14:textId="77777777" w:rsidR="000A4DC3" w:rsidRDefault="000A4DC3" w:rsidP="0058473B">
            <w:r w:rsidRPr="00E6311B">
              <w:t>Beneficiary FIRST Social Protection Project</w:t>
            </w:r>
            <w:r>
              <w:t xml:space="preserve"> (P174066)</w:t>
            </w:r>
          </w:p>
        </w:tc>
        <w:tc>
          <w:tcPr>
            <w:tcW w:w="9027" w:type="dxa"/>
          </w:tcPr>
          <w:p w14:paraId="1A6091EC" w14:textId="77777777" w:rsidR="000A4DC3" w:rsidRDefault="000A4DC3" w:rsidP="0058473B">
            <w:r>
              <w:t xml:space="preserve">The project is helping to reduce the gender gaps in access to ID and financial services, ensuring equal access to social assistance programs. The project is supporting targeted social mobilization and awareness, increasing efforts to increase female representation in DSWD’s cash transfer </w:t>
            </w:r>
            <w:r>
              <w:lastRenderedPageBreak/>
              <w:t xml:space="preserve">programs. </w:t>
            </w:r>
            <w:proofErr w:type="gramStart"/>
            <w:r>
              <w:t>In particular, targeted</w:t>
            </w:r>
            <w:proofErr w:type="gramEnd"/>
            <w:r>
              <w:t xml:space="preserve"> interventions for pregnant women and mothers with young children and close monitoring of beneficiary needs by gender through the electronic case management system are being supported. In collaboration with the Philippine Statistics Authority, the project is supporting targeted information campaign among social assistance beneficiary households so female heads can be included.</w:t>
            </w:r>
          </w:p>
        </w:tc>
      </w:tr>
      <w:tr w:rsidR="000A4DC3" w14:paraId="333C3E98" w14:textId="77777777" w:rsidTr="00473500">
        <w:tc>
          <w:tcPr>
            <w:tcW w:w="538" w:type="dxa"/>
          </w:tcPr>
          <w:p w14:paraId="4E4BEB26" w14:textId="77777777" w:rsidR="000A4DC3" w:rsidRDefault="000A4DC3" w:rsidP="0058473B">
            <w:r>
              <w:t>9</w:t>
            </w:r>
          </w:p>
        </w:tc>
        <w:tc>
          <w:tcPr>
            <w:tcW w:w="4322" w:type="dxa"/>
          </w:tcPr>
          <w:p w14:paraId="5188FFC6" w14:textId="77777777" w:rsidR="000A4DC3" w:rsidRDefault="000A4DC3" w:rsidP="0058473B">
            <w:r w:rsidRPr="00E6311B">
              <w:t xml:space="preserve">Support to </w:t>
            </w:r>
            <w:proofErr w:type="spellStart"/>
            <w:r w:rsidRPr="00E6311B">
              <w:t>Parcelization</w:t>
            </w:r>
            <w:proofErr w:type="spellEnd"/>
            <w:r w:rsidRPr="00E6311B">
              <w:t xml:space="preserve"> of Lands for Individual Titling (SPLIT) Project</w:t>
            </w:r>
            <w:r>
              <w:t xml:space="preserve"> (P172399)</w:t>
            </w:r>
          </w:p>
        </w:tc>
        <w:tc>
          <w:tcPr>
            <w:tcW w:w="9027" w:type="dxa"/>
          </w:tcPr>
          <w:p w14:paraId="0FC92926" w14:textId="77777777" w:rsidR="000A4DC3" w:rsidRDefault="000A4DC3" w:rsidP="0058473B">
            <w:r>
              <w:t xml:space="preserve">The project is seeking to address the gender gap in the number of women land title holders. It is testing and scaling up new procedures to increase the number of female names on titles as either individual owners or co-owners through marital property.11 Specifically, the updated procedures for field consultations, in the Project Operations Manual (POM) will require Department of Agrarian Reform staff to inform both males and females of their ownership rights and facilitate the registration of all female Agrarian Reform Beneficiaries as primary owners or the inclusion of spouses on the title. </w:t>
            </w:r>
          </w:p>
        </w:tc>
      </w:tr>
      <w:tr w:rsidR="000A4DC3" w14:paraId="596CADEA" w14:textId="77777777" w:rsidTr="00473500">
        <w:trPr>
          <w:trHeight w:val="50"/>
        </w:trPr>
        <w:tc>
          <w:tcPr>
            <w:tcW w:w="538" w:type="dxa"/>
          </w:tcPr>
          <w:p w14:paraId="293A1201" w14:textId="77777777" w:rsidR="000A4DC3" w:rsidRDefault="000A4DC3" w:rsidP="0058473B">
            <w:r>
              <w:t>11</w:t>
            </w:r>
          </w:p>
        </w:tc>
        <w:tc>
          <w:tcPr>
            <w:tcW w:w="4322" w:type="dxa"/>
          </w:tcPr>
          <w:p w14:paraId="33D18076" w14:textId="77777777" w:rsidR="000A4DC3" w:rsidRPr="00E6311B" w:rsidRDefault="000A4DC3" w:rsidP="0058473B">
            <w:r>
              <w:t>Philippines Customs Modernization Project (</w:t>
            </w:r>
            <w:r w:rsidRPr="00351CEC">
              <w:t>P163428</w:t>
            </w:r>
            <w:r>
              <w:t>)</w:t>
            </w:r>
          </w:p>
        </w:tc>
        <w:tc>
          <w:tcPr>
            <w:tcW w:w="9027" w:type="dxa"/>
          </w:tcPr>
          <w:p w14:paraId="073A0F61" w14:textId="77777777" w:rsidR="000A4DC3" w:rsidRDefault="000A4DC3" w:rsidP="0058473B">
            <w:r>
              <w:t>The project is c</w:t>
            </w:r>
            <w:r w:rsidRPr="00312E5D">
              <w:t>ollect</w:t>
            </w:r>
            <w:r>
              <w:t>ing</w:t>
            </w:r>
            <w:r w:rsidRPr="00312E5D">
              <w:t xml:space="preserve"> sex-disaggregated HR and employment data to establish a human resource management strategy that incorporates targets for gender balance of all Bureau of Customs (BoC) employees and to strengthen human resource management systems to enhance female civil servants’ eligibility and successful competition for Third-Level positions, respectively.</w:t>
            </w:r>
          </w:p>
        </w:tc>
      </w:tr>
    </w:tbl>
    <w:p w14:paraId="0F27D0AD" w14:textId="53778D8A" w:rsidR="00BA22BB" w:rsidRDefault="00BA22BB">
      <w:r>
        <w:t xml:space="preserve">B. Approved Recipient Executed </w:t>
      </w:r>
      <w:proofErr w:type="spellStart"/>
      <w:r>
        <w:t>Grante</w:t>
      </w:r>
      <w:proofErr w:type="spellEnd"/>
    </w:p>
    <w:tbl>
      <w:tblPr>
        <w:tblStyle w:val="TableGrid"/>
        <w:tblW w:w="13887" w:type="dxa"/>
        <w:tblLook w:val="04A0" w:firstRow="1" w:lastRow="0" w:firstColumn="1" w:lastColumn="0" w:noHBand="0" w:noVBand="1"/>
      </w:tblPr>
      <w:tblGrid>
        <w:gridCol w:w="538"/>
        <w:gridCol w:w="4322"/>
        <w:gridCol w:w="9027"/>
      </w:tblGrid>
      <w:tr w:rsidR="00BA22BB" w:rsidRPr="004C1357" w14:paraId="380E333F" w14:textId="77777777" w:rsidTr="00473500">
        <w:tc>
          <w:tcPr>
            <w:tcW w:w="538" w:type="dxa"/>
          </w:tcPr>
          <w:p w14:paraId="3958D442" w14:textId="397AA696" w:rsidR="00BA22BB" w:rsidRPr="00BA22BB" w:rsidRDefault="00BA22BB" w:rsidP="00BA22BB">
            <w:r w:rsidRPr="004C1357">
              <w:rPr>
                <w:b/>
                <w:bCs/>
              </w:rPr>
              <w:t>No.</w:t>
            </w:r>
          </w:p>
        </w:tc>
        <w:tc>
          <w:tcPr>
            <w:tcW w:w="4322" w:type="dxa"/>
          </w:tcPr>
          <w:p w14:paraId="1FD3B12F" w14:textId="3DDF8170" w:rsidR="00BA22BB" w:rsidRPr="00BA22BB" w:rsidRDefault="00BA22BB" w:rsidP="00BA22BB">
            <w:r w:rsidRPr="004C1357">
              <w:rPr>
                <w:b/>
                <w:bCs/>
              </w:rPr>
              <w:t>Project Title</w:t>
            </w:r>
          </w:p>
        </w:tc>
        <w:tc>
          <w:tcPr>
            <w:tcW w:w="9027" w:type="dxa"/>
          </w:tcPr>
          <w:p w14:paraId="17411D50" w14:textId="42758299" w:rsidR="00BA22BB" w:rsidRPr="00BA22BB" w:rsidRDefault="00BA22BB" w:rsidP="00BA22BB">
            <w:r w:rsidRPr="004C1357">
              <w:rPr>
                <w:b/>
                <w:bCs/>
              </w:rPr>
              <w:t>Gender Entry Point</w:t>
            </w:r>
          </w:p>
        </w:tc>
      </w:tr>
      <w:tr w:rsidR="000A4DC3" w14:paraId="5691235D" w14:textId="77777777" w:rsidTr="00473500">
        <w:tc>
          <w:tcPr>
            <w:tcW w:w="538" w:type="dxa"/>
          </w:tcPr>
          <w:p w14:paraId="13D0BFAC" w14:textId="77777777" w:rsidR="000A4DC3" w:rsidRDefault="000A4DC3" w:rsidP="0058473B">
            <w:r>
              <w:t>12</w:t>
            </w:r>
          </w:p>
        </w:tc>
        <w:tc>
          <w:tcPr>
            <w:tcW w:w="4322" w:type="dxa"/>
          </w:tcPr>
          <w:p w14:paraId="4A55DD69" w14:textId="77777777" w:rsidR="000A4DC3" w:rsidRDefault="000A4DC3" w:rsidP="0058473B">
            <w:r w:rsidRPr="00506F19">
              <w:t>Conflict Monitoring and Land Resource Management for Marawi and BARMM</w:t>
            </w:r>
            <w:r>
              <w:t xml:space="preserve"> (P173706)</w:t>
            </w:r>
          </w:p>
        </w:tc>
        <w:tc>
          <w:tcPr>
            <w:tcW w:w="9027" w:type="dxa"/>
          </w:tcPr>
          <w:p w14:paraId="5B1BDA43" w14:textId="77777777" w:rsidR="000A4DC3" w:rsidRDefault="000A4DC3" w:rsidP="0058473B">
            <w:r>
              <w:t>The project i</w:t>
            </w:r>
            <w:r w:rsidRPr="000A7CD5">
              <w:t>nclude</w:t>
            </w:r>
            <w:r>
              <w:t>d</w:t>
            </w:r>
            <w:r w:rsidRPr="000A7CD5">
              <w:t xml:space="preserve"> more information on the impact of COVID-19 on women and on the representation of women in resource use and management planning</w:t>
            </w:r>
            <w:r>
              <w:t xml:space="preserve"> in its covered areas</w:t>
            </w:r>
            <w:r w:rsidRPr="000A7CD5">
              <w:t>.</w:t>
            </w:r>
          </w:p>
        </w:tc>
      </w:tr>
    </w:tbl>
    <w:p w14:paraId="31200A6A" w14:textId="77F0FE53" w:rsidR="00BA22BB" w:rsidRDefault="00BA22BB">
      <w:r>
        <w:t xml:space="preserve">C. </w:t>
      </w:r>
      <w:r w:rsidRPr="00312E5D">
        <w:rPr>
          <w:b/>
          <w:bCs/>
        </w:rPr>
        <w:t>Pipeline Projects</w:t>
      </w:r>
    </w:p>
    <w:tbl>
      <w:tblPr>
        <w:tblStyle w:val="TableGrid"/>
        <w:tblW w:w="13887" w:type="dxa"/>
        <w:tblLook w:val="04A0" w:firstRow="1" w:lastRow="0" w:firstColumn="1" w:lastColumn="0" w:noHBand="0" w:noVBand="1"/>
      </w:tblPr>
      <w:tblGrid>
        <w:gridCol w:w="538"/>
        <w:gridCol w:w="4322"/>
        <w:gridCol w:w="9027"/>
      </w:tblGrid>
      <w:tr w:rsidR="00BA22BB" w14:paraId="6807FD32" w14:textId="77777777" w:rsidTr="00BA22BB">
        <w:trPr>
          <w:tblHeader/>
        </w:trPr>
        <w:tc>
          <w:tcPr>
            <w:tcW w:w="538" w:type="dxa"/>
          </w:tcPr>
          <w:p w14:paraId="19069DA0" w14:textId="4C787358" w:rsidR="00BA22BB" w:rsidRPr="00312E5D" w:rsidRDefault="00BA22BB" w:rsidP="00BA22BB">
            <w:pPr>
              <w:rPr>
                <w:b/>
                <w:bCs/>
              </w:rPr>
            </w:pPr>
            <w:r w:rsidRPr="004C1357">
              <w:rPr>
                <w:b/>
                <w:bCs/>
              </w:rPr>
              <w:t>No.</w:t>
            </w:r>
          </w:p>
        </w:tc>
        <w:tc>
          <w:tcPr>
            <w:tcW w:w="4322" w:type="dxa"/>
          </w:tcPr>
          <w:p w14:paraId="2DD9B9C0" w14:textId="43EDE1D1" w:rsidR="00BA22BB" w:rsidRPr="00312E5D" w:rsidRDefault="00BA22BB" w:rsidP="00BA22BB">
            <w:pPr>
              <w:rPr>
                <w:b/>
                <w:bCs/>
              </w:rPr>
            </w:pPr>
            <w:r w:rsidRPr="004C1357">
              <w:rPr>
                <w:b/>
                <w:bCs/>
              </w:rPr>
              <w:t>Project Title</w:t>
            </w:r>
          </w:p>
        </w:tc>
        <w:tc>
          <w:tcPr>
            <w:tcW w:w="9027" w:type="dxa"/>
          </w:tcPr>
          <w:p w14:paraId="14B7BE30" w14:textId="17FCE984" w:rsidR="00BA22BB" w:rsidRDefault="00BA22BB" w:rsidP="00BA22BB">
            <w:r w:rsidRPr="004C1357">
              <w:rPr>
                <w:b/>
                <w:bCs/>
              </w:rPr>
              <w:t>Gender Entry Point</w:t>
            </w:r>
          </w:p>
        </w:tc>
      </w:tr>
      <w:tr w:rsidR="00BA22BB" w14:paraId="51DC83C5" w14:textId="77777777" w:rsidTr="00473500">
        <w:tc>
          <w:tcPr>
            <w:tcW w:w="538" w:type="dxa"/>
          </w:tcPr>
          <w:p w14:paraId="15894521" w14:textId="77777777" w:rsidR="00BA22BB" w:rsidRDefault="00BA22BB" w:rsidP="00BA22BB">
            <w:r>
              <w:t>13</w:t>
            </w:r>
          </w:p>
        </w:tc>
        <w:tc>
          <w:tcPr>
            <w:tcW w:w="4322" w:type="dxa"/>
          </w:tcPr>
          <w:p w14:paraId="4E2DADEC" w14:textId="77777777" w:rsidR="00BA22BB" w:rsidRPr="00E6311B" w:rsidRDefault="00BA22BB" w:rsidP="00BA22BB">
            <w:r w:rsidRPr="00857FF3">
              <w:t>Teacher Effectiveness and Competencies Enhancement Project</w:t>
            </w:r>
            <w:r>
              <w:t xml:space="preserve"> (P164765)</w:t>
            </w:r>
          </w:p>
        </w:tc>
        <w:tc>
          <w:tcPr>
            <w:tcW w:w="9027" w:type="dxa"/>
          </w:tcPr>
          <w:p w14:paraId="497613A5" w14:textId="77777777" w:rsidR="00BA22BB" w:rsidRDefault="00BA22BB" w:rsidP="00BA22BB">
            <w:r w:rsidRPr="00E7592F">
              <w:t xml:space="preserve">TEACEP will help close the gender gap in dropout rates at grades 4-6 by 2 percentage points through the Department of Education implementing several activities to create a conducive learning environment that caters to the different learning needs of girls and boys in K-6 and keeps them in school. Activities include training school heads to engage with parents about boys’ risk of </w:t>
            </w:r>
            <w:r w:rsidRPr="00E7592F">
              <w:lastRenderedPageBreak/>
              <w:t xml:space="preserve">drop out and ensuring that the instructional and learning materials provided are not biased in </w:t>
            </w:r>
            <w:proofErr w:type="spellStart"/>
            <w:r w:rsidRPr="00E7592F">
              <w:t>favor</w:t>
            </w:r>
            <w:proofErr w:type="spellEnd"/>
            <w:r w:rsidRPr="00E7592F">
              <w:t xml:space="preserve"> of, or against, girls or boys and that they cover topics of interest to both girls and boys.</w:t>
            </w:r>
          </w:p>
        </w:tc>
      </w:tr>
      <w:tr w:rsidR="00BA22BB" w14:paraId="431FF842" w14:textId="77777777" w:rsidTr="00473500">
        <w:tc>
          <w:tcPr>
            <w:tcW w:w="538" w:type="dxa"/>
          </w:tcPr>
          <w:p w14:paraId="13B80CD0" w14:textId="77777777" w:rsidR="00BA22BB" w:rsidRDefault="00BA22BB" w:rsidP="00BA22BB">
            <w:r>
              <w:t>14</w:t>
            </w:r>
          </w:p>
        </w:tc>
        <w:tc>
          <w:tcPr>
            <w:tcW w:w="4322" w:type="dxa"/>
          </w:tcPr>
          <w:p w14:paraId="16D03ECA" w14:textId="77777777" w:rsidR="00BA22BB" w:rsidRPr="00E6311B" w:rsidRDefault="00BA22BB" w:rsidP="00BA22BB">
            <w:r w:rsidRPr="00227455">
              <w:t>Mindanao Inclusive Agriculture Development Project</w:t>
            </w:r>
            <w:r>
              <w:t xml:space="preserve"> (</w:t>
            </w:r>
            <w:r w:rsidRPr="007F2FCE">
              <w:t>P173866</w:t>
            </w:r>
            <w:r>
              <w:t>)</w:t>
            </w:r>
          </w:p>
        </w:tc>
        <w:tc>
          <w:tcPr>
            <w:tcW w:w="9027" w:type="dxa"/>
          </w:tcPr>
          <w:p w14:paraId="4E0579D6" w14:textId="28A91C44" w:rsidR="00BA22BB" w:rsidRDefault="00BA22BB" w:rsidP="00BA22BB">
            <w:r>
              <w:t xml:space="preserve">To address the </w:t>
            </w:r>
            <w:r w:rsidRPr="004C36BD">
              <w:t xml:space="preserve">gap in sex-disaggregated data related to </w:t>
            </w:r>
            <w:r>
              <w:t>Indigenous Peoples</w:t>
            </w:r>
            <w:r w:rsidRPr="004C36BD">
              <w:t xml:space="preserve"> in </w:t>
            </w:r>
            <w:proofErr w:type="gramStart"/>
            <w:r w:rsidRPr="004C36BD">
              <w:t>agriculture</w:t>
            </w:r>
            <w:r>
              <w:t xml:space="preserve">,  </w:t>
            </w:r>
            <w:r w:rsidRPr="004C36BD">
              <w:t>MIADP</w:t>
            </w:r>
            <w:proofErr w:type="gramEnd"/>
            <w:r w:rsidRPr="004C36BD">
              <w:t xml:space="preserve"> will conduct community situational analysis, involving the participatory gathering of sex-disaggregated demographic, social, and agriculture-related data.  The process will serve as a platform for building a database and a system for collecting, </w:t>
            </w:r>
            <w:proofErr w:type="spellStart"/>
            <w:r w:rsidRPr="004C36BD">
              <w:t>analyzing</w:t>
            </w:r>
            <w:proofErr w:type="spellEnd"/>
            <w:r w:rsidRPr="004C36BD">
              <w:t>, and monitoring sex-disaggregated data and gender gaps in agriculture, as well as inputs to the preparation of Ancestral Domain Agriculture Implementation Framework</w:t>
            </w:r>
            <w:r>
              <w:t xml:space="preserve"> </w:t>
            </w:r>
            <w:r w:rsidRPr="004C36BD">
              <w:t>(ADAIF). At the end of the project, it is expected that the Department of Agriculture will adopt the system for gender analysis and mainstream this into their broader information system.</w:t>
            </w:r>
          </w:p>
        </w:tc>
      </w:tr>
      <w:tr w:rsidR="00BA22BB" w14:paraId="446073F2" w14:textId="77777777" w:rsidTr="00473500">
        <w:tc>
          <w:tcPr>
            <w:tcW w:w="538" w:type="dxa"/>
          </w:tcPr>
          <w:p w14:paraId="3C83DCEF" w14:textId="77777777" w:rsidR="00BA22BB" w:rsidRDefault="00BA22BB" w:rsidP="00BA22BB">
            <w:r>
              <w:t>15</w:t>
            </w:r>
          </w:p>
        </w:tc>
        <w:tc>
          <w:tcPr>
            <w:tcW w:w="4322" w:type="dxa"/>
          </w:tcPr>
          <w:p w14:paraId="29BF9850" w14:textId="77777777" w:rsidR="00BA22BB" w:rsidRPr="00E6311B" w:rsidRDefault="00BA22BB" w:rsidP="00BA22BB">
            <w:r w:rsidRPr="000414A5">
              <w:t>Fisheries and Coastal Resiliency Project</w:t>
            </w:r>
            <w:r>
              <w:t xml:space="preserve"> (</w:t>
            </w:r>
            <w:r w:rsidRPr="009D73AC">
              <w:t>P174137</w:t>
            </w:r>
            <w:r>
              <w:t>)</w:t>
            </w:r>
          </w:p>
        </w:tc>
        <w:tc>
          <w:tcPr>
            <w:tcW w:w="9027" w:type="dxa"/>
          </w:tcPr>
          <w:p w14:paraId="36430696" w14:textId="632C0AF6" w:rsidR="00BA22BB" w:rsidRDefault="00BA22BB" w:rsidP="00BA22BB">
            <w:proofErr w:type="spellStart"/>
            <w:r>
              <w:t>FishCORE</w:t>
            </w:r>
            <w:proofErr w:type="spellEnd"/>
            <w:r>
              <w:t xml:space="preserve"> </w:t>
            </w:r>
            <w:proofErr w:type="spellStart"/>
            <w:r>
              <w:t>identied</w:t>
            </w:r>
            <w:proofErr w:type="spellEnd"/>
            <w:r>
              <w:t xml:space="preserve"> a gap in the representation of female-led organisations in registered fisher organisations. The Department of Agriculture – Bureau of Fisheries and Aquatic Resources will provide   access to finance through grants to increase women’s capacity to grow their enterprises, offer technical trainings and knowledge-building activities on relevant topics of coastal management, ecosystem rehabilitation, aqua-/mariculture, entrepreneurial ventures, and alternative livelihoods along with business and leadership trainings and support the formalization of female fishers’ groups. The project also helped the team identify a relevant indicator targeting that 25% of enterprises established through the livelihood and enterprise grants are women-led/owned.</w:t>
            </w:r>
          </w:p>
        </w:tc>
      </w:tr>
      <w:tr w:rsidR="00BA22BB" w14:paraId="3C0D623F" w14:textId="77777777" w:rsidTr="00473500">
        <w:tc>
          <w:tcPr>
            <w:tcW w:w="538" w:type="dxa"/>
          </w:tcPr>
          <w:p w14:paraId="434CE162" w14:textId="77777777" w:rsidR="00BA22BB" w:rsidRDefault="00BA22BB" w:rsidP="00BA22BB">
            <w:r>
              <w:t>16</w:t>
            </w:r>
          </w:p>
        </w:tc>
        <w:tc>
          <w:tcPr>
            <w:tcW w:w="4322" w:type="dxa"/>
          </w:tcPr>
          <w:p w14:paraId="776F379A" w14:textId="77777777" w:rsidR="00BA22BB" w:rsidRPr="00E6311B" w:rsidRDefault="00BA22BB" w:rsidP="00BA22BB">
            <w:r w:rsidRPr="00C93405">
              <w:t>Philippines Alternative Learning System Project</w:t>
            </w:r>
            <w:r>
              <w:t xml:space="preserve"> (</w:t>
            </w:r>
            <w:r w:rsidRPr="004F2A6F">
              <w:t>P175318</w:t>
            </w:r>
            <w:r>
              <w:t>)</w:t>
            </w:r>
          </w:p>
        </w:tc>
        <w:tc>
          <w:tcPr>
            <w:tcW w:w="9027" w:type="dxa"/>
          </w:tcPr>
          <w:p w14:paraId="00B50855" w14:textId="77777777" w:rsidR="00BA22BB" w:rsidRDefault="00BA22BB" w:rsidP="00BA22BB">
            <w:r>
              <w:t>The project will I</w:t>
            </w:r>
            <w:r w:rsidRPr="002812F6">
              <w:t xml:space="preserve">dentify the causes of the gender gap in </w:t>
            </w:r>
            <w:proofErr w:type="spellStart"/>
            <w:r w:rsidRPr="002812F6">
              <w:t>enrollment</w:t>
            </w:r>
            <w:proofErr w:type="spellEnd"/>
            <w:r w:rsidRPr="002812F6">
              <w:t xml:space="preserve"> in ALS. The project has proposed activities to address these causes, such as childcare.</w:t>
            </w:r>
          </w:p>
        </w:tc>
      </w:tr>
      <w:tr w:rsidR="00BA22BB" w14:paraId="19AA63F9" w14:textId="77777777" w:rsidTr="00473500">
        <w:tc>
          <w:tcPr>
            <w:tcW w:w="538" w:type="dxa"/>
          </w:tcPr>
          <w:p w14:paraId="687EDBA9" w14:textId="77777777" w:rsidR="00BA22BB" w:rsidRDefault="00BA22BB" w:rsidP="00BA22BB">
            <w:r>
              <w:t>17</w:t>
            </w:r>
          </w:p>
        </w:tc>
        <w:tc>
          <w:tcPr>
            <w:tcW w:w="4322" w:type="dxa"/>
          </w:tcPr>
          <w:p w14:paraId="65BDC05A" w14:textId="77777777" w:rsidR="00BA22BB" w:rsidRPr="00E6311B" w:rsidRDefault="00BA22BB" w:rsidP="00BA22BB">
            <w:proofErr w:type="spellStart"/>
            <w:r w:rsidRPr="000E209D">
              <w:t>Agus-Pulangi</w:t>
            </w:r>
            <w:proofErr w:type="spellEnd"/>
            <w:r w:rsidRPr="000E209D">
              <w:t xml:space="preserve"> Hydropower Complex Rehabilitation </w:t>
            </w:r>
            <w:r>
              <w:t>Project (</w:t>
            </w:r>
            <w:r w:rsidRPr="00207A10">
              <w:t>P173728</w:t>
            </w:r>
            <w:r>
              <w:t>)</w:t>
            </w:r>
          </w:p>
        </w:tc>
        <w:tc>
          <w:tcPr>
            <w:tcW w:w="9027" w:type="dxa"/>
          </w:tcPr>
          <w:p w14:paraId="3B89345B" w14:textId="77777777" w:rsidR="00BA22BB" w:rsidRDefault="00BA22BB" w:rsidP="00BA22BB">
            <w:r>
              <w:t xml:space="preserve">The project conducted </w:t>
            </w:r>
            <w:r w:rsidRPr="00D462DF">
              <w:t xml:space="preserve">a gender assessment that identified a gender gap in technical roles, specifically in Mindanao Generation Unit’s cadetship program. </w:t>
            </w:r>
            <w:r>
              <w:t>APHCP</w:t>
            </w:r>
            <w:r w:rsidRPr="00D462DF">
              <w:t xml:space="preserve"> will pilot a mentoring program for female cadets to equip them with the skills and confidence they need to increase their success in being recruited into staff positions and encourage the creation of a safe working environment for women by establishing breastfeeding stations and toilets for female technical staff as well as providing advanced technical and vocational training to female staff. A target has been set of increasing the percentage of female</w:t>
            </w:r>
            <w:r>
              <w:t xml:space="preserve"> </w:t>
            </w:r>
            <w:r w:rsidRPr="00D462DF">
              <w:t>cadets from 21% to 30%.</w:t>
            </w:r>
          </w:p>
        </w:tc>
      </w:tr>
    </w:tbl>
    <w:p w14:paraId="5C973795" w14:textId="349DE731" w:rsidR="00BA22BB" w:rsidRDefault="00BA22BB"/>
    <w:p w14:paraId="28BAFFB8" w14:textId="77777777" w:rsidR="00BA22BB" w:rsidRDefault="00BA22BB">
      <w:pPr>
        <w:spacing w:before="0"/>
      </w:pPr>
      <w:r>
        <w:br w:type="page"/>
      </w:r>
    </w:p>
    <w:p w14:paraId="0E10C68E" w14:textId="7197F027" w:rsidR="00BA22BB" w:rsidRDefault="00BA22BB">
      <w:r>
        <w:lastRenderedPageBreak/>
        <w:t xml:space="preserve">D. </w:t>
      </w:r>
      <w:r w:rsidRPr="004C1357">
        <w:rPr>
          <w:b/>
          <w:bCs/>
        </w:rPr>
        <w:t>Dropped Project</w:t>
      </w:r>
    </w:p>
    <w:tbl>
      <w:tblPr>
        <w:tblStyle w:val="TableGrid"/>
        <w:tblW w:w="13887" w:type="dxa"/>
        <w:tblLook w:val="04A0" w:firstRow="1" w:lastRow="0" w:firstColumn="1" w:lastColumn="0" w:noHBand="0" w:noVBand="1"/>
      </w:tblPr>
      <w:tblGrid>
        <w:gridCol w:w="538"/>
        <w:gridCol w:w="4322"/>
        <w:gridCol w:w="9027"/>
      </w:tblGrid>
      <w:tr w:rsidR="00BA22BB" w14:paraId="044381D2" w14:textId="77777777" w:rsidTr="00473500">
        <w:tc>
          <w:tcPr>
            <w:tcW w:w="538" w:type="dxa"/>
          </w:tcPr>
          <w:p w14:paraId="1AA5FF86" w14:textId="13CF330D" w:rsidR="00BA22BB" w:rsidRDefault="00BA22BB" w:rsidP="00BA22BB">
            <w:r w:rsidRPr="004C1357">
              <w:rPr>
                <w:b/>
                <w:bCs/>
              </w:rPr>
              <w:t>No.</w:t>
            </w:r>
          </w:p>
        </w:tc>
        <w:tc>
          <w:tcPr>
            <w:tcW w:w="4322" w:type="dxa"/>
          </w:tcPr>
          <w:p w14:paraId="6D4884EE" w14:textId="0EE63359" w:rsidR="00BA22BB" w:rsidRPr="00351CEC" w:rsidRDefault="00BA22BB" w:rsidP="00BA22BB">
            <w:r w:rsidRPr="004C1357">
              <w:rPr>
                <w:b/>
                <w:bCs/>
              </w:rPr>
              <w:t>Project Title</w:t>
            </w:r>
          </w:p>
        </w:tc>
        <w:tc>
          <w:tcPr>
            <w:tcW w:w="9027" w:type="dxa"/>
          </w:tcPr>
          <w:p w14:paraId="122082B8" w14:textId="304C8499" w:rsidR="00BA22BB" w:rsidRDefault="00BA22BB" w:rsidP="00BA22BB">
            <w:r w:rsidRPr="004C1357">
              <w:rPr>
                <w:b/>
                <w:bCs/>
              </w:rPr>
              <w:t>Gender Entry Point</w:t>
            </w:r>
          </w:p>
        </w:tc>
      </w:tr>
      <w:tr w:rsidR="00BA22BB" w14:paraId="44CA92DC" w14:textId="77777777" w:rsidTr="00473500">
        <w:tc>
          <w:tcPr>
            <w:tcW w:w="538" w:type="dxa"/>
          </w:tcPr>
          <w:p w14:paraId="19F5491A" w14:textId="77777777" w:rsidR="00BA22BB" w:rsidRDefault="00BA22BB" w:rsidP="00BA22BB">
            <w:r>
              <w:t>17</w:t>
            </w:r>
          </w:p>
        </w:tc>
        <w:tc>
          <w:tcPr>
            <w:tcW w:w="4322" w:type="dxa"/>
          </w:tcPr>
          <w:p w14:paraId="72022509" w14:textId="77777777" w:rsidR="00BA22BB" w:rsidRDefault="00BA22BB" w:rsidP="00BA22BB">
            <w:r w:rsidRPr="00351CEC">
              <w:t xml:space="preserve">Civil Service Modernization and Human Resources Management in the Philippines </w:t>
            </w:r>
            <w:r>
              <w:t>(</w:t>
            </w:r>
            <w:r w:rsidRPr="00207A10">
              <w:t>P168235</w:t>
            </w:r>
            <w:r>
              <w:t>)</w:t>
            </w:r>
          </w:p>
        </w:tc>
        <w:tc>
          <w:tcPr>
            <w:tcW w:w="9027" w:type="dxa"/>
          </w:tcPr>
          <w:p w14:paraId="5753CC1F" w14:textId="03654DF7" w:rsidR="00BA22BB" w:rsidRDefault="00BA22BB" w:rsidP="00BA22BB">
            <w:r>
              <w:t>The project will s</w:t>
            </w:r>
            <w:r w:rsidRPr="00791C63">
              <w:t xml:space="preserve">upport the HR Departments to institutionalize a gender and development database to </w:t>
            </w:r>
            <w:r>
              <w:t>analyse</w:t>
            </w:r>
            <w:r w:rsidRPr="00791C63">
              <w:t xml:space="preserve"> sex-disaggregated HR data and use it for strategic gender diversity decision making. These actions support the Government to implement the existing Joint Circular for implementing and monitoring gender parity goals for the Third-Level positions.</w:t>
            </w:r>
          </w:p>
        </w:tc>
      </w:tr>
    </w:tbl>
    <w:p w14:paraId="2A70D458" w14:textId="77777777" w:rsidR="000A4DC3" w:rsidRDefault="000A4DC3" w:rsidP="000A4DC3"/>
    <w:p w14:paraId="458F0651" w14:textId="77777777" w:rsidR="000A4DC3" w:rsidRDefault="000A4DC3" w:rsidP="000A4DC3"/>
    <w:p w14:paraId="78C23738" w14:textId="07A6DB5D" w:rsidR="00960435" w:rsidRDefault="006D6807" w:rsidP="00E03DD0">
      <w:pPr>
        <w:pStyle w:val="Heading1"/>
      </w:pPr>
      <w:bookmarkStart w:id="49" w:name="_Toc125560027"/>
      <w:r>
        <w:t xml:space="preserve">Annex </w:t>
      </w:r>
      <w:r w:rsidR="00B86C1E">
        <w:t>9</w:t>
      </w:r>
      <w:r w:rsidR="00417AEA">
        <w:tab/>
        <w:t xml:space="preserve">DPL </w:t>
      </w:r>
      <w:r w:rsidR="00ED40BB">
        <w:t>Implied Results Framework</w:t>
      </w:r>
      <w:r w:rsidR="00B86C1E">
        <w:t xml:space="preserve"> and Prior Actions</w:t>
      </w:r>
      <w:bookmarkEnd w:id="49"/>
    </w:p>
    <w:p w14:paraId="4B6D7A64" w14:textId="56B39280" w:rsidR="00ED40BB" w:rsidRDefault="00B86C1E" w:rsidP="00B86C1E">
      <w:pPr>
        <w:widowControl w:val="0"/>
        <w:pBdr>
          <w:top w:val="nil"/>
          <w:left w:val="nil"/>
          <w:bottom w:val="nil"/>
          <w:right w:val="nil"/>
          <w:between w:val="nil"/>
        </w:pBdr>
        <w:spacing w:line="276" w:lineRule="auto"/>
        <w:rPr>
          <w:rFonts w:ascii="Arial" w:eastAsia="Arial" w:hAnsi="Arial" w:cs="Arial"/>
          <w:color w:val="000000"/>
          <w:sz w:val="20"/>
          <w:szCs w:val="20"/>
        </w:rPr>
      </w:pPr>
      <w:r w:rsidRPr="00B86C1E">
        <w:rPr>
          <w:rFonts w:ascii="Arial" w:eastAsia="Arial" w:hAnsi="Arial" w:cs="Arial"/>
          <w:color w:val="000000"/>
          <w:sz w:val="20"/>
          <w:szCs w:val="20"/>
        </w:rPr>
        <w:t xml:space="preserve">This table was prepared by the evaluation team to reconcile the status of each objective (or pillar) of the DPL grant with the progress reports. Items in red indicate notable omissions or deviations from the original grant proposal. The second column ‘DPL Reform Area/Trigger’ was added by the </w:t>
      </w:r>
      <w:proofErr w:type="spellStart"/>
      <w:r w:rsidR="007628AF">
        <w:rPr>
          <w:rFonts w:ascii="Arial" w:eastAsia="Arial" w:hAnsi="Arial" w:cs="Arial"/>
          <w:color w:val="000000"/>
          <w:sz w:val="20"/>
          <w:szCs w:val="20"/>
        </w:rPr>
        <w:t>AGaP</w:t>
      </w:r>
      <w:proofErr w:type="spellEnd"/>
      <w:r w:rsidRPr="00B86C1E">
        <w:rPr>
          <w:rFonts w:ascii="Arial" w:eastAsia="Arial" w:hAnsi="Arial" w:cs="Arial"/>
          <w:color w:val="000000"/>
          <w:sz w:val="20"/>
          <w:szCs w:val="20"/>
        </w:rPr>
        <w:t xml:space="preserve"> team, at the request of DFAT, to assign the DPL Prior Actions to the grant objectives.</w:t>
      </w:r>
    </w:p>
    <w:tbl>
      <w:tblPr>
        <w:tblStyle w:val="TableGrid"/>
        <w:tblW w:w="13926" w:type="dxa"/>
        <w:tblLook w:val="04A0" w:firstRow="1" w:lastRow="0" w:firstColumn="1" w:lastColumn="0" w:noHBand="0" w:noVBand="1"/>
      </w:tblPr>
      <w:tblGrid>
        <w:gridCol w:w="2321"/>
        <w:gridCol w:w="2321"/>
        <w:gridCol w:w="2321"/>
        <w:gridCol w:w="2321"/>
        <w:gridCol w:w="2321"/>
        <w:gridCol w:w="2321"/>
      </w:tblGrid>
      <w:tr w:rsidR="00C13FE7" w14:paraId="0E6833C5" w14:textId="77777777" w:rsidTr="00C13FE7">
        <w:trPr>
          <w:tblHeader/>
        </w:trPr>
        <w:tc>
          <w:tcPr>
            <w:tcW w:w="2321" w:type="dxa"/>
          </w:tcPr>
          <w:p w14:paraId="2AF89582" w14:textId="02462791"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b/>
                <w:bCs/>
                <w:sz w:val="20"/>
                <w:szCs w:val="20"/>
              </w:rPr>
              <w:t>Objectives</w:t>
            </w:r>
          </w:p>
        </w:tc>
        <w:tc>
          <w:tcPr>
            <w:tcW w:w="2321" w:type="dxa"/>
          </w:tcPr>
          <w:p w14:paraId="1D8C6EE0" w14:textId="5868A643"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b/>
                <w:bCs/>
                <w:sz w:val="20"/>
                <w:szCs w:val="20"/>
              </w:rPr>
              <w:t>DPL Reform Area/Trigger</w:t>
            </w:r>
            <w:r>
              <w:rPr>
                <w:rFonts w:ascii="Arial Narrow" w:eastAsia="Arial Narrow" w:hAnsi="Arial Narrow" w:cs="Arial Narrow"/>
                <w:b/>
                <w:bCs/>
                <w:sz w:val="20"/>
                <w:szCs w:val="20"/>
              </w:rPr>
              <w:t xml:space="preserve"> of Grant proposal</w:t>
            </w:r>
          </w:p>
        </w:tc>
        <w:tc>
          <w:tcPr>
            <w:tcW w:w="2321" w:type="dxa"/>
          </w:tcPr>
          <w:p w14:paraId="2F864844" w14:textId="41BF4836"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b/>
                <w:bCs/>
                <w:sz w:val="20"/>
                <w:szCs w:val="20"/>
              </w:rPr>
              <w:t>Inputs</w:t>
            </w:r>
            <w:r>
              <w:rPr>
                <w:rFonts w:ascii="Arial Narrow" w:eastAsia="Arial Narrow" w:hAnsi="Arial Narrow" w:cs="Arial Narrow"/>
                <w:b/>
                <w:bCs/>
                <w:sz w:val="20"/>
                <w:szCs w:val="20"/>
              </w:rPr>
              <w:t xml:space="preserve"> of Grant proposal</w:t>
            </w:r>
          </w:p>
        </w:tc>
        <w:tc>
          <w:tcPr>
            <w:tcW w:w="2321" w:type="dxa"/>
          </w:tcPr>
          <w:p w14:paraId="4D8F17B8" w14:textId="6242115D"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b/>
                <w:bCs/>
                <w:sz w:val="20"/>
                <w:szCs w:val="20"/>
              </w:rPr>
              <w:t>Outputs</w:t>
            </w:r>
            <w:r>
              <w:rPr>
                <w:rFonts w:ascii="Arial Narrow" w:eastAsia="Arial Narrow" w:hAnsi="Arial Narrow" w:cs="Arial Narrow"/>
                <w:b/>
                <w:bCs/>
                <w:sz w:val="20"/>
                <w:szCs w:val="20"/>
              </w:rPr>
              <w:t xml:space="preserve"> of Grant proposal</w:t>
            </w:r>
          </w:p>
        </w:tc>
        <w:tc>
          <w:tcPr>
            <w:tcW w:w="2321" w:type="dxa"/>
          </w:tcPr>
          <w:p w14:paraId="058DBE78" w14:textId="1BA0FD25"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b/>
                <w:bCs/>
                <w:sz w:val="20"/>
                <w:szCs w:val="20"/>
              </w:rPr>
              <w:t xml:space="preserve">Progress Report </w:t>
            </w:r>
            <w:r>
              <w:rPr>
                <w:rFonts w:ascii="Arial Narrow" w:eastAsia="Arial Narrow" w:hAnsi="Arial Narrow" w:cs="Arial Narrow"/>
                <w:b/>
                <w:bCs/>
                <w:sz w:val="20"/>
                <w:szCs w:val="20"/>
              </w:rPr>
              <w:t xml:space="preserve">Status </w:t>
            </w:r>
            <w:r w:rsidRPr="002B38B0">
              <w:rPr>
                <w:rFonts w:ascii="Arial Narrow" w:eastAsia="Arial Narrow" w:hAnsi="Arial Narrow" w:cs="Arial Narrow"/>
                <w:b/>
                <w:bCs/>
                <w:sz w:val="20"/>
                <w:szCs w:val="20"/>
              </w:rPr>
              <w:t>(Dec 2020)</w:t>
            </w:r>
          </w:p>
        </w:tc>
        <w:tc>
          <w:tcPr>
            <w:tcW w:w="2321" w:type="dxa"/>
          </w:tcPr>
          <w:p w14:paraId="29D0C628" w14:textId="0A1C3E8D"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b/>
                <w:bCs/>
                <w:sz w:val="20"/>
                <w:szCs w:val="20"/>
              </w:rPr>
              <w:t xml:space="preserve">Progress Report </w:t>
            </w:r>
            <w:r>
              <w:rPr>
                <w:rFonts w:ascii="Arial Narrow" w:eastAsia="Arial Narrow" w:hAnsi="Arial Narrow" w:cs="Arial Narrow"/>
                <w:b/>
                <w:bCs/>
                <w:sz w:val="20"/>
                <w:szCs w:val="20"/>
              </w:rPr>
              <w:t xml:space="preserve">Status </w:t>
            </w:r>
            <w:r w:rsidRPr="002B38B0">
              <w:rPr>
                <w:rFonts w:ascii="Arial Narrow" w:eastAsia="Arial Narrow" w:hAnsi="Arial Narrow" w:cs="Arial Narrow"/>
                <w:b/>
                <w:bCs/>
                <w:sz w:val="20"/>
                <w:szCs w:val="20"/>
              </w:rPr>
              <w:t>(Dec 2021)</w:t>
            </w:r>
          </w:p>
        </w:tc>
      </w:tr>
      <w:tr w:rsidR="00C13FE7" w14:paraId="4B7ADA37" w14:textId="77777777" w:rsidTr="00C13FE7">
        <w:tc>
          <w:tcPr>
            <w:tcW w:w="2321" w:type="dxa"/>
          </w:tcPr>
          <w:p w14:paraId="69855113" w14:textId="78984CFC"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b/>
                <w:bCs/>
                <w:sz w:val="20"/>
                <w:szCs w:val="20"/>
              </w:rPr>
              <w:t>Objective 1: Promote competition through regulatory reforms to increase agriculture productivity.</w:t>
            </w:r>
          </w:p>
        </w:tc>
        <w:tc>
          <w:tcPr>
            <w:tcW w:w="2321" w:type="dxa"/>
          </w:tcPr>
          <w:p w14:paraId="3A84432F" w14:textId="05CE4E5F"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n/a</w:t>
            </w:r>
          </w:p>
        </w:tc>
        <w:tc>
          <w:tcPr>
            <w:tcW w:w="2321" w:type="dxa"/>
          </w:tcPr>
          <w:p w14:paraId="56A13880"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Verification of farmer registry.</w:t>
            </w:r>
          </w:p>
          <w:p w14:paraId="020163DD"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Selection of clear and transparent eligibility criteria for accessing the Rice Competitiveness Enhancement Fund (RCEF).</w:t>
            </w:r>
          </w:p>
          <w:p w14:paraId="7F123085" w14:textId="0A60D534"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Identification and prioritization of key milestones of the Rice Liberalization Act and its Implementing Rules and Regulations (IRR) and prioritization of triggers for DPL III.</w:t>
            </w:r>
          </w:p>
        </w:tc>
        <w:tc>
          <w:tcPr>
            <w:tcW w:w="2321" w:type="dxa"/>
          </w:tcPr>
          <w:p w14:paraId="3FDFDD0C" w14:textId="77777777" w:rsidR="00C13FE7" w:rsidRPr="002B38B0" w:rsidRDefault="00C13FE7" w:rsidP="00C13FE7">
            <w:pPr>
              <w:ind w:left="60"/>
              <w:rPr>
                <w:rFonts w:ascii="Arial Narrow" w:eastAsia="Arial Narrow" w:hAnsi="Arial Narrow" w:cs="Arial Narrow"/>
                <w:sz w:val="20"/>
                <w:szCs w:val="20"/>
              </w:rPr>
            </w:pPr>
            <w:r w:rsidRPr="002B38B0">
              <w:rPr>
                <w:rFonts w:ascii="Arial Narrow" w:eastAsia="Arial Narrow" w:hAnsi="Arial Narrow" w:cs="Arial Narrow"/>
                <w:sz w:val="20"/>
                <w:szCs w:val="20"/>
              </w:rPr>
              <w:t>Advisory note and report on the verification of the farmer registry.</w:t>
            </w:r>
          </w:p>
          <w:p w14:paraId="0A2FE5D4" w14:textId="77777777" w:rsidR="00C13FE7" w:rsidRPr="002B38B0" w:rsidRDefault="00C13FE7" w:rsidP="00C13FE7">
            <w:pPr>
              <w:ind w:left="60"/>
              <w:rPr>
                <w:rFonts w:ascii="Arial Narrow" w:eastAsia="Arial Narrow" w:hAnsi="Arial Narrow" w:cs="Arial Narrow"/>
                <w:sz w:val="20"/>
                <w:szCs w:val="20"/>
              </w:rPr>
            </w:pPr>
            <w:r w:rsidRPr="002B38B0">
              <w:rPr>
                <w:rFonts w:ascii="Arial Narrow" w:eastAsia="Arial Narrow" w:hAnsi="Arial Narrow" w:cs="Arial Narrow"/>
                <w:sz w:val="20"/>
                <w:szCs w:val="20"/>
              </w:rPr>
              <w:t>Report on Rice Competitiveness Enhancement Fund eligibility criteria.</w:t>
            </w:r>
          </w:p>
          <w:p w14:paraId="6A909D5A" w14:textId="77777777" w:rsidR="00C13FE7" w:rsidRPr="002B38B0" w:rsidRDefault="00C13FE7" w:rsidP="00C13FE7">
            <w:pPr>
              <w:ind w:left="60"/>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Report on milestones of rice liberalization act and suggested triggers for DPL III. </w:t>
            </w:r>
          </w:p>
          <w:p w14:paraId="77DC6556" w14:textId="77777777" w:rsidR="00C13FE7" w:rsidRDefault="00C13FE7" w:rsidP="00C13FE7">
            <w:pPr>
              <w:widowControl w:val="0"/>
              <w:spacing w:line="276" w:lineRule="auto"/>
              <w:rPr>
                <w:rFonts w:ascii="Arial" w:eastAsia="Arial" w:hAnsi="Arial" w:cs="Arial"/>
                <w:color w:val="000000"/>
                <w:sz w:val="20"/>
                <w:szCs w:val="20"/>
              </w:rPr>
            </w:pPr>
          </w:p>
        </w:tc>
        <w:tc>
          <w:tcPr>
            <w:tcW w:w="2321" w:type="dxa"/>
          </w:tcPr>
          <w:p w14:paraId="48F16D65"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Ongoing</w:t>
            </w:r>
          </w:p>
          <w:p w14:paraId="70FEA483"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Cancelled</w:t>
            </w:r>
          </w:p>
          <w:p w14:paraId="5D287A5E" w14:textId="73FA3A36"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Cancelled</w:t>
            </w:r>
          </w:p>
        </w:tc>
        <w:tc>
          <w:tcPr>
            <w:tcW w:w="2321" w:type="dxa"/>
          </w:tcPr>
          <w:p w14:paraId="619816F0"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Ongoing</w:t>
            </w:r>
          </w:p>
          <w:p w14:paraId="22B4CFA1"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n/a</w:t>
            </w:r>
          </w:p>
          <w:p w14:paraId="74EB582A" w14:textId="0D8E102F"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n/a</w:t>
            </w:r>
          </w:p>
        </w:tc>
      </w:tr>
      <w:tr w:rsidR="00C13FE7" w14:paraId="105E176D" w14:textId="77777777" w:rsidTr="00C13FE7">
        <w:tc>
          <w:tcPr>
            <w:tcW w:w="2321" w:type="dxa"/>
          </w:tcPr>
          <w:p w14:paraId="0070954F" w14:textId="1E0F937F"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b/>
                <w:bCs/>
                <w:sz w:val="20"/>
                <w:szCs w:val="20"/>
              </w:rPr>
              <w:lastRenderedPageBreak/>
              <w:t>[Added in June 2020 report]</w:t>
            </w:r>
          </w:p>
        </w:tc>
        <w:tc>
          <w:tcPr>
            <w:tcW w:w="2321" w:type="dxa"/>
          </w:tcPr>
          <w:p w14:paraId="7A1CA94C" w14:textId="569A405C" w:rsidR="00C13FE7" w:rsidRDefault="00C13FE7" w:rsidP="00C13FE7">
            <w:pPr>
              <w:widowControl w:val="0"/>
              <w:spacing w:line="276" w:lineRule="auto"/>
              <w:rPr>
                <w:rFonts w:ascii="Arial" w:eastAsia="Arial" w:hAnsi="Arial" w:cs="Arial"/>
                <w:color w:val="000000"/>
                <w:sz w:val="20"/>
                <w:szCs w:val="20"/>
              </w:rPr>
            </w:pPr>
            <w:r w:rsidRPr="002B38B0">
              <w:rPr>
                <w:rFonts w:ascii="Arial Narrow" w:hAnsi="Arial Narrow" w:cstheme="minorHAnsi"/>
                <w:sz w:val="20"/>
                <w:szCs w:val="20"/>
              </w:rPr>
              <w:t>Prior Action 4 (DPL2): Through Department of Agriculture (DA) resolutions No. 1 to 6, the DA has established clear and transparent eligibility criteria for accessing the Rice Competitiveness Enhancement Fund (RCEF) to implement the Rice Liberalization Act and the Joint Memorandum Circular Number 01-2019.</w:t>
            </w:r>
          </w:p>
        </w:tc>
        <w:tc>
          <w:tcPr>
            <w:tcW w:w="2321" w:type="dxa"/>
          </w:tcPr>
          <w:p w14:paraId="3897D241" w14:textId="76A3DF5D"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 xml:space="preserve">A framework and operational strategy for encouraging non-profitable rice farmers to diversify to sustainable and economically viable value-chain </w:t>
            </w:r>
          </w:p>
        </w:tc>
        <w:tc>
          <w:tcPr>
            <w:tcW w:w="2321" w:type="dxa"/>
          </w:tcPr>
          <w:p w14:paraId="3369E08E" w14:textId="07BCD9BE"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‘…support the strengthening of the institutional framework to identify policy and investment options to reshape and improve the diversification of the Philippine agri-food system’</w:t>
            </w:r>
          </w:p>
        </w:tc>
        <w:tc>
          <w:tcPr>
            <w:tcW w:w="2321" w:type="dxa"/>
          </w:tcPr>
          <w:p w14:paraId="7FD8725C" w14:textId="72F9F150"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New</w:t>
            </w:r>
          </w:p>
        </w:tc>
        <w:tc>
          <w:tcPr>
            <w:tcW w:w="2321" w:type="dxa"/>
          </w:tcPr>
          <w:p w14:paraId="2DA83E44" w14:textId="79AB791A"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Ongoing</w:t>
            </w:r>
          </w:p>
        </w:tc>
      </w:tr>
      <w:tr w:rsidR="00C13FE7" w14:paraId="5AD3FC7A" w14:textId="77777777" w:rsidTr="00C13FE7">
        <w:tc>
          <w:tcPr>
            <w:tcW w:w="2321" w:type="dxa"/>
          </w:tcPr>
          <w:p w14:paraId="4251E224" w14:textId="77777777"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 xml:space="preserve">Objective 2: Increase competitiveness through better access to economic opportunities. </w:t>
            </w:r>
          </w:p>
          <w:p w14:paraId="2C73D1D8" w14:textId="77777777" w:rsidR="00C13FE7" w:rsidRDefault="00C13FE7" w:rsidP="00C13FE7">
            <w:pPr>
              <w:widowControl w:val="0"/>
              <w:spacing w:line="276" w:lineRule="auto"/>
              <w:rPr>
                <w:rFonts w:ascii="Arial" w:eastAsia="Arial" w:hAnsi="Arial" w:cs="Arial"/>
                <w:color w:val="000000"/>
                <w:sz w:val="20"/>
                <w:szCs w:val="20"/>
              </w:rPr>
            </w:pPr>
          </w:p>
        </w:tc>
        <w:tc>
          <w:tcPr>
            <w:tcW w:w="2321" w:type="dxa"/>
          </w:tcPr>
          <w:p w14:paraId="72462468" w14:textId="5A5D571E" w:rsidR="00C13FE7" w:rsidRDefault="00C13FE7" w:rsidP="00C13FE7">
            <w:pPr>
              <w:widowControl w:val="0"/>
              <w:spacing w:line="276" w:lineRule="auto"/>
              <w:rPr>
                <w:rFonts w:ascii="Arial" w:eastAsia="Arial" w:hAnsi="Arial" w:cs="Arial"/>
                <w:color w:val="000000"/>
                <w:sz w:val="20"/>
                <w:szCs w:val="20"/>
              </w:rPr>
            </w:pPr>
            <w:r w:rsidRPr="002B38B0">
              <w:rPr>
                <w:rFonts w:ascii="Arial Narrow" w:hAnsi="Arial Narrow" w:cstheme="minorBidi"/>
                <w:sz w:val="20"/>
                <w:szCs w:val="20"/>
              </w:rPr>
              <w:t xml:space="preserve">Prior Action 6 (DPL3): </w:t>
            </w:r>
            <w:r w:rsidRPr="002B38B0">
              <w:rPr>
                <w:rFonts w:ascii="Arial Narrow" w:hAnsi="Arial Narrow" w:cstheme="minorBidi"/>
                <w:sz w:val="20"/>
                <w:szCs w:val="20"/>
                <w:lang w:val="en"/>
              </w:rPr>
              <w:t xml:space="preserve"> </w:t>
            </w:r>
            <w:r w:rsidRPr="002B38B0">
              <w:rPr>
                <w:rFonts w:ascii="Arial Narrow" w:hAnsi="Arial Narrow"/>
                <w:sz w:val="20"/>
                <w:szCs w:val="20"/>
                <w:lang w:val="en"/>
              </w:rPr>
              <w:t xml:space="preserve">Through </w:t>
            </w:r>
            <w:r w:rsidRPr="002B38B0">
              <w:rPr>
                <w:rFonts w:ascii="Arial Narrow" w:hAnsi="Arial Narrow" w:cstheme="minorBidi"/>
                <w:sz w:val="20"/>
                <w:szCs w:val="20"/>
                <w:lang w:val="en"/>
              </w:rPr>
              <w:t xml:space="preserve">a </w:t>
            </w:r>
            <w:r w:rsidRPr="002B38B0">
              <w:rPr>
                <w:rFonts w:ascii="Arial Narrow" w:hAnsi="Arial Narrow"/>
                <w:sz w:val="20"/>
                <w:szCs w:val="20"/>
                <w:lang w:val="en"/>
              </w:rPr>
              <w:t>memorandum of</w:t>
            </w:r>
            <w:r w:rsidRPr="002B38B0">
              <w:rPr>
                <w:rFonts w:ascii="Arial Narrow" w:hAnsi="Arial Narrow" w:cstheme="minorBidi"/>
                <w:sz w:val="20"/>
                <w:szCs w:val="20"/>
                <w:lang w:val="en"/>
              </w:rPr>
              <w:t xml:space="preserve"> agreement </w:t>
            </w:r>
            <w:r w:rsidRPr="002B38B0">
              <w:rPr>
                <w:rFonts w:ascii="Arial Narrow" w:hAnsi="Arial Narrow"/>
                <w:sz w:val="20"/>
                <w:szCs w:val="20"/>
                <w:lang w:val="en"/>
              </w:rPr>
              <w:t>between</w:t>
            </w:r>
            <w:r w:rsidRPr="002B38B0">
              <w:rPr>
                <w:rFonts w:ascii="Arial Narrow" w:hAnsi="Arial Narrow" w:cstheme="minorBidi"/>
                <w:sz w:val="20"/>
                <w:szCs w:val="20"/>
                <w:lang w:val="en"/>
              </w:rPr>
              <w:t xml:space="preserve"> the DSWD and PSA, the government has (</w:t>
            </w:r>
            <w:proofErr w:type="spellStart"/>
            <w:r w:rsidRPr="002B38B0">
              <w:rPr>
                <w:rFonts w:ascii="Arial Narrow" w:hAnsi="Arial Narrow" w:cstheme="minorBidi"/>
                <w:sz w:val="20"/>
                <w:szCs w:val="20"/>
                <w:lang w:val="en"/>
              </w:rPr>
              <w:t>i</w:t>
            </w:r>
            <w:proofErr w:type="spellEnd"/>
            <w:r w:rsidRPr="002B38B0">
              <w:rPr>
                <w:rFonts w:ascii="Arial Narrow" w:hAnsi="Arial Narrow" w:cstheme="minorBidi"/>
                <w:sz w:val="20"/>
                <w:szCs w:val="20"/>
                <w:lang w:val="en"/>
              </w:rPr>
              <w:t xml:space="preserve">) adopted </w:t>
            </w:r>
            <w:proofErr w:type="spellStart"/>
            <w:r w:rsidRPr="002B38B0">
              <w:rPr>
                <w:rFonts w:ascii="Arial Narrow" w:hAnsi="Arial Narrow" w:cstheme="minorBidi"/>
                <w:sz w:val="20"/>
                <w:szCs w:val="20"/>
                <w:lang w:val="en"/>
              </w:rPr>
              <w:t>PhilSys</w:t>
            </w:r>
            <w:proofErr w:type="spellEnd"/>
            <w:r w:rsidRPr="002B38B0">
              <w:rPr>
                <w:rFonts w:ascii="Arial Narrow" w:hAnsi="Arial Narrow" w:cstheme="minorBidi"/>
                <w:sz w:val="20"/>
                <w:szCs w:val="20"/>
                <w:lang w:val="en"/>
              </w:rPr>
              <w:t xml:space="preserve"> </w:t>
            </w:r>
            <w:r w:rsidRPr="002B38B0">
              <w:rPr>
                <w:rFonts w:ascii="Arial Narrow" w:hAnsi="Arial Narrow"/>
                <w:sz w:val="20"/>
                <w:szCs w:val="20"/>
                <w:lang w:val="en"/>
              </w:rPr>
              <w:t>as</w:t>
            </w:r>
            <w:r w:rsidRPr="002B38B0">
              <w:rPr>
                <w:rFonts w:ascii="Arial Narrow" w:hAnsi="Arial Narrow" w:cstheme="minorBidi"/>
                <w:sz w:val="20"/>
                <w:szCs w:val="20"/>
                <w:lang w:val="en"/>
              </w:rPr>
              <w:t xml:space="preserve"> primary means of social assistance beneficiary identification and verification and (ii) established guidelines for implementation thereof.</w:t>
            </w:r>
          </w:p>
        </w:tc>
        <w:tc>
          <w:tcPr>
            <w:tcW w:w="2321" w:type="dxa"/>
          </w:tcPr>
          <w:p w14:paraId="07EF9AED" w14:textId="49E40425"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 xml:space="preserve">support effective design and implementation of the </w:t>
            </w:r>
            <w:proofErr w:type="spellStart"/>
            <w:r w:rsidRPr="002B38B0">
              <w:rPr>
                <w:rFonts w:ascii="Arial Narrow" w:eastAsia="Arial Narrow" w:hAnsi="Arial Narrow" w:cs="Arial Narrow"/>
                <w:sz w:val="20"/>
                <w:szCs w:val="20"/>
              </w:rPr>
              <w:t>PhilSys</w:t>
            </w:r>
            <w:proofErr w:type="spellEnd"/>
          </w:p>
        </w:tc>
        <w:tc>
          <w:tcPr>
            <w:tcW w:w="2321" w:type="dxa"/>
          </w:tcPr>
          <w:p w14:paraId="4B7FEF02" w14:textId="77777777" w:rsidR="00C13FE7" w:rsidRPr="002B38B0" w:rsidRDefault="00C13FE7" w:rsidP="00C13FE7">
            <w:pPr>
              <w:ind w:left="60"/>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Advisory note on institutional structure, human capital and skills, and budget for the </w:t>
            </w:r>
            <w:proofErr w:type="spellStart"/>
            <w:r w:rsidRPr="002B38B0">
              <w:rPr>
                <w:rFonts w:ascii="Arial Narrow" w:eastAsia="Arial Narrow" w:hAnsi="Arial Narrow" w:cs="Arial Narrow"/>
                <w:sz w:val="20"/>
                <w:szCs w:val="20"/>
              </w:rPr>
              <w:t>PhilSys</w:t>
            </w:r>
            <w:proofErr w:type="spellEnd"/>
            <w:r w:rsidRPr="002B38B0">
              <w:rPr>
                <w:rFonts w:ascii="Arial Narrow" w:eastAsia="Arial Narrow" w:hAnsi="Arial Narrow" w:cs="Arial Narrow"/>
                <w:sz w:val="20"/>
                <w:szCs w:val="20"/>
              </w:rPr>
              <w:t>.</w:t>
            </w:r>
          </w:p>
          <w:p w14:paraId="0E17345E" w14:textId="77777777" w:rsidR="00C13FE7" w:rsidRDefault="00C13FE7" w:rsidP="00C13FE7">
            <w:pPr>
              <w:widowControl w:val="0"/>
              <w:spacing w:line="276" w:lineRule="auto"/>
              <w:rPr>
                <w:rFonts w:ascii="Arial" w:eastAsia="Arial" w:hAnsi="Arial" w:cs="Arial"/>
                <w:color w:val="000000"/>
                <w:sz w:val="20"/>
                <w:szCs w:val="20"/>
              </w:rPr>
            </w:pPr>
          </w:p>
        </w:tc>
        <w:tc>
          <w:tcPr>
            <w:tcW w:w="2321" w:type="dxa"/>
          </w:tcPr>
          <w:p w14:paraId="2B40AB74" w14:textId="06010B54"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Ongoing</w:t>
            </w:r>
          </w:p>
        </w:tc>
        <w:tc>
          <w:tcPr>
            <w:tcW w:w="2321" w:type="dxa"/>
          </w:tcPr>
          <w:p w14:paraId="6AFE488C" w14:textId="711C42B2"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Ongoing</w:t>
            </w:r>
          </w:p>
        </w:tc>
      </w:tr>
      <w:tr w:rsidR="00C13FE7" w14:paraId="7FE2A181" w14:textId="77777777" w:rsidTr="00C13FE7">
        <w:tc>
          <w:tcPr>
            <w:tcW w:w="2321" w:type="dxa"/>
          </w:tcPr>
          <w:p w14:paraId="643794CF" w14:textId="77777777"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Objective 3: Increase access to financial services through improving payment system infrastructures</w:t>
            </w:r>
            <w:r>
              <w:rPr>
                <w:rFonts w:ascii="Arial Narrow" w:eastAsia="Arial Narrow" w:hAnsi="Arial Narrow" w:cs="Arial Narrow"/>
                <w:b/>
                <w:bCs/>
                <w:sz w:val="20"/>
                <w:szCs w:val="20"/>
              </w:rPr>
              <w:t xml:space="preserve">. </w:t>
            </w:r>
          </w:p>
          <w:p w14:paraId="715089D8" w14:textId="77777777" w:rsidR="00C13FE7" w:rsidRDefault="00C13FE7" w:rsidP="00C13FE7">
            <w:pPr>
              <w:widowControl w:val="0"/>
              <w:spacing w:line="276" w:lineRule="auto"/>
              <w:rPr>
                <w:rFonts w:ascii="Arial" w:eastAsia="Arial" w:hAnsi="Arial" w:cs="Arial"/>
                <w:color w:val="000000"/>
                <w:sz w:val="20"/>
                <w:szCs w:val="20"/>
              </w:rPr>
            </w:pPr>
          </w:p>
        </w:tc>
        <w:tc>
          <w:tcPr>
            <w:tcW w:w="2321" w:type="dxa"/>
          </w:tcPr>
          <w:p w14:paraId="4354A3A3" w14:textId="77777777" w:rsidR="00C13FE7" w:rsidRPr="002B38B0" w:rsidRDefault="00C13FE7" w:rsidP="00C13FE7">
            <w:pPr>
              <w:rPr>
                <w:rFonts w:ascii="Arial Narrow" w:hAnsi="Arial Narrow" w:cstheme="minorBidi"/>
                <w:sz w:val="20"/>
                <w:szCs w:val="20"/>
              </w:rPr>
            </w:pPr>
            <w:r w:rsidRPr="002B38B0">
              <w:rPr>
                <w:rFonts w:ascii="Arial Narrow" w:hAnsi="Arial Narrow" w:cstheme="minorBidi"/>
                <w:sz w:val="20"/>
                <w:szCs w:val="20"/>
              </w:rPr>
              <w:t xml:space="preserve">Prior Action 7 (DPL3): Through issuance of Circulars 1126 and 1127, </w:t>
            </w:r>
            <w:r w:rsidRPr="002B38B0">
              <w:rPr>
                <w:rFonts w:ascii="Arial Narrow" w:hAnsi="Arial Narrow"/>
                <w:sz w:val="20"/>
                <w:szCs w:val="20"/>
              </w:rPr>
              <w:t>BSP</w:t>
            </w:r>
            <w:r w:rsidRPr="002B38B0">
              <w:rPr>
                <w:rFonts w:ascii="Arial Narrow" w:hAnsi="Arial Narrow" w:cstheme="minorBidi"/>
                <w:sz w:val="20"/>
                <w:szCs w:val="20"/>
              </w:rPr>
              <w:t xml:space="preserve"> has strengthened payment system governance framework and risk management.</w:t>
            </w:r>
          </w:p>
          <w:p w14:paraId="39C5089F" w14:textId="77777777" w:rsidR="00C13FE7" w:rsidRDefault="00C13FE7" w:rsidP="00C13FE7">
            <w:pPr>
              <w:widowControl w:val="0"/>
              <w:spacing w:line="276" w:lineRule="auto"/>
              <w:rPr>
                <w:rFonts w:ascii="Arial" w:eastAsia="Arial" w:hAnsi="Arial" w:cs="Arial"/>
                <w:color w:val="000000"/>
                <w:sz w:val="20"/>
                <w:szCs w:val="20"/>
              </w:rPr>
            </w:pPr>
          </w:p>
        </w:tc>
        <w:tc>
          <w:tcPr>
            <w:tcW w:w="2321" w:type="dxa"/>
          </w:tcPr>
          <w:p w14:paraId="56E89DFE" w14:textId="21168746"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lastRenderedPageBreak/>
              <w:t>provide technical assistance and capacity building support to the BSP on the implementation of the National Payment System Act.</w:t>
            </w:r>
          </w:p>
        </w:tc>
        <w:tc>
          <w:tcPr>
            <w:tcW w:w="2321" w:type="dxa"/>
          </w:tcPr>
          <w:p w14:paraId="785040D9" w14:textId="77777777" w:rsidR="00C13FE7" w:rsidRPr="002B38B0" w:rsidRDefault="00C13FE7" w:rsidP="00C13FE7">
            <w:pPr>
              <w:ind w:left="60"/>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Technical assistance will deliver activity documentation (training materials, workshop proceedings, and observed changes) and a policy </w:t>
            </w:r>
            <w:r w:rsidRPr="002B38B0">
              <w:rPr>
                <w:rFonts w:ascii="Arial Narrow" w:eastAsia="Arial Narrow" w:hAnsi="Arial Narrow" w:cs="Arial Narrow"/>
                <w:sz w:val="20"/>
                <w:szCs w:val="20"/>
              </w:rPr>
              <w:lastRenderedPageBreak/>
              <w:t xml:space="preserve">paper on payment systems oversight. </w:t>
            </w:r>
          </w:p>
          <w:p w14:paraId="3501F822" w14:textId="77777777" w:rsidR="00C13FE7" w:rsidRDefault="00C13FE7" w:rsidP="00C13FE7">
            <w:pPr>
              <w:widowControl w:val="0"/>
              <w:spacing w:line="276" w:lineRule="auto"/>
              <w:rPr>
                <w:rFonts w:ascii="Arial" w:eastAsia="Arial" w:hAnsi="Arial" w:cs="Arial"/>
                <w:color w:val="000000"/>
                <w:sz w:val="20"/>
                <w:szCs w:val="20"/>
              </w:rPr>
            </w:pPr>
          </w:p>
        </w:tc>
        <w:tc>
          <w:tcPr>
            <w:tcW w:w="2321" w:type="dxa"/>
          </w:tcPr>
          <w:p w14:paraId="2799088B" w14:textId="39D4BC6B"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lastRenderedPageBreak/>
              <w:t>Ongoing</w:t>
            </w:r>
          </w:p>
        </w:tc>
        <w:tc>
          <w:tcPr>
            <w:tcW w:w="2321" w:type="dxa"/>
          </w:tcPr>
          <w:p w14:paraId="34E98E52" w14:textId="314D2AD1" w:rsidR="00C13FE7" w:rsidRDefault="00C13FE7" w:rsidP="00C13FE7">
            <w:pPr>
              <w:widowControl w:val="0"/>
              <w:spacing w:line="276" w:lineRule="auto"/>
              <w:rPr>
                <w:rFonts w:ascii="Arial" w:eastAsia="Arial" w:hAnsi="Arial" w:cs="Arial"/>
                <w:color w:val="000000"/>
                <w:sz w:val="20"/>
                <w:szCs w:val="20"/>
              </w:rPr>
            </w:pPr>
            <w:r w:rsidRPr="002B38B0">
              <w:rPr>
                <w:rFonts w:ascii="Arial Narrow" w:eastAsia="Arial Narrow" w:hAnsi="Arial Narrow" w:cs="Arial Narrow"/>
                <w:sz w:val="20"/>
                <w:szCs w:val="20"/>
              </w:rPr>
              <w:t>Ongoing</w:t>
            </w:r>
          </w:p>
        </w:tc>
      </w:tr>
      <w:tr w:rsidR="00C13FE7" w14:paraId="18100B3F" w14:textId="77777777" w:rsidTr="00C13FE7">
        <w:tc>
          <w:tcPr>
            <w:tcW w:w="2321" w:type="dxa"/>
          </w:tcPr>
          <w:p w14:paraId="3A8C216A" w14:textId="77777777"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Objective 4: Improve national budget planning and management by adopting an annual cash-based budget and an integrated financial management system.</w:t>
            </w:r>
          </w:p>
          <w:p w14:paraId="2103622F" w14:textId="77777777" w:rsidR="00C13FE7" w:rsidRPr="002B38B0" w:rsidRDefault="00C13FE7" w:rsidP="00C13FE7">
            <w:pPr>
              <w:rPr>
                <w:rFonts w:ascii="Arial Narrow" w:eastAsia="Arial Narrow" w:hAnsi="Arial Narrow" w:cs="Arial Narrow"/>
                <w:b/>
                <w:bCs/>
                <w:sz w:val="20"/>
                <w:szCs w:val="20"/>
              </w:rPr>
            </w:pPr>
          </w:p>
        </w:tc>
        <w:tc>
          <w:tcPr>
            <w:tcW w:w="2321" w:type="dxa"/>
          </w:tcPr>
          <w:p w14:paraId="19DA776C" w14:textId="61C3C3FD" w:rsidR="00C13FE7" w:rsidRPr="002B38B0" w:rsidRDefault="00614008" w:rsidP="00C13FE7">
            <w:pPr>
              <w:rPr>
                <w:rFonts w:ascii="Arial Narrow" w:hAnsi="Arial Narrow" w:cstheme="minorBidi"/>
                <w:sz w:val="20"/>
                <w:szCs w:val="20"/>
              </w:rPr>
            </w:pPr>
            <w:r>
              <w:rPr>
                <w:rFonts w:ascii="Arial Narrow" w:hAnsi="Arial Narrow" w:cstheme="minorBidi"/>
                <w:sz w:val="20"/>
                <w:szCs w:val="20"/>
              </w:rPr>
              <w:t>n/a</w:t>
            </w:r>
          </w:p>
        </w:tc>
        <w:tc>
          <w:tcPr>
            <w:tcW w:w="2321" w:type="dxa"/>
          </w:tcPr>
          <w:p w14:paraId="2CEABBD2" w14:textId="77777777" w:rsidR="00C13FE7" w:rsidRPr="002B38B0" w:rsidRDefault="00C13FE7" w:rsidP="00C13FE7">
            <w:pPr>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Pr="002B38B0">
              <w:rPr>
                <w:rFonts w:ascii="Arial Narrow" w:eastAsia="Arial Narrow" w:hAnsi="Arial Narrow" w:cs="Arial Narrow"/>
                <w:sz w:val="20"/>
                <w:szCs w:val="20"/>
              </w:rPr>
              <w:t>Development of a statement of requirement for a single, integrated fiscal planning and budget preparation systems, linked to BTMS.</w:t>
            </w:r>
          </w:p>
          <w:p w14:paraId="443438BC" w14:textId="77777777" w:rsidR="00C13FE7" w:rsidRPr="002B38B0" w:rsidRDefault="00C13FE7" w:rsidP="00C13FE7">
            <w:pPr>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Pr="002B38B0">
              <w:rPr>
                <w:rFonts w:ascii="Arial Narrow" w:eastAsia="Arial Narrow" w:hAnsi="Arial Narrow" w:cs="Arial Narrow"/>
                <w:sz w:val="20"/>
                <w:szCs w:val="20"/>
              </w:rPr>
              <w:t xml:space="preserve">TA support for government to develop data analytics procedures and systems for </w:t>
            </w:r>
            <w:proofErr w:type="spellStart"/>
            <w:r w:rsidRPr="002B38B0">
              <w:rPr>
                <w:rFonts w:ascii="Arial Narrow" w:eastAsia="Arial Narrow" w:hAnsi="Arial Narrow" w:cs="Arial Narrow"/>
                <w:sz w:val="20"/>
                <w:szCs w:val="20"/>
              </w:rPr>
              <w:t>analyzing</w:t>
            </w:r>
            <w:proofErr w:type="spellEnd"/>
            <w:r w:rsidRPr="002B38B0">
              <w:rPr>
                <w:rFonts w:ascii="Arial Narrow" w:eastAsia="Arial Narrow" w:hAnsi="Arial Narrow" w:cs="Arial Narrow"/>
                <w:sz w:val="20"/>
                <w:szCs w:val="20"/>
              </w:rPr>
              <w:t xml:space="preserve"> budget expenditure and procurement practices.</w:t>
            </w:r>
          </w:p>
          <w:p w14:paraId="6D24359C" w14:textId="77777777" w:rsidR="00C13FE7" w:rsidRPr="002B38B0" w:rsidRDefault="00C13FE7" w:rsidP="00C13FE7">
            <w:pPr>
              <w:widowControl w:val="0"/>
              <w:spacing w:line="276" w:lineRule="auto"/>
              <w:rPr>
                <w:rFonts w:ascii="Arial Narrow" w:eastAsia="Arial Narrow" w:hAnsi="Arial Narrow" w:cs="Arial Narrow"/>
                <w:sz w:val="20"/>
                <w:szCs w:val="20"/>
              </w:rPr>
            </w:pPr>
          </w:p>
        </w:tc>
        <w:tc>
          <w:tcPr>
            <w:tcW w:w="2321" w:type="dxa"/>
          </w:tcPr>
          <w:p w14:paraId="22716F26" w14:textId="77777777" w:rsidR="00C13FE7" w:rsidRPr="002B38B0" w:rsidRDefault="00C13FE7" w:rsidP="00C13FE7">
            <w:pPr>
              <w:ind w:left="60"/>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Pr="002B38B0">
              <w:rPr>
                <w:rFonts w:ascii="Arial Narrow" w:eastAsia="Arial Narrow" w:hAnsi="Arial Narrow" w:cs="Arial Narrow"/>
                <w:sz w:val="20"/>
                <w:szCs w:val="20"/>
              </w:rPr>
              <w:t>Statement of requirement for a single integrated fiscal planning and budget preparation system, to provide a basis for a procurement RFP.</w:t>
            </w:r>
          </w:p>
          <w:p w14:paraId="74C1B907" w14:textId="77777777" w:rsidR="00C13FE7" w:rsidRPr="002B38B0" w:rsidRDefault="00C13FE7" w:rsidP="00C13FE7">
            <w:pPr>
              <w:ind w:left="60"/>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Pr="002B38B0">
              <w:rPr>
                <w:rFonts w:ascii="Arial Narrow" w:eastAsia="Arial Narrow" w:hAnsi="Arial Narrow" w:cs="Arial Narrow"/>
                <w:sz w:val="20"/>
                <w:szCs w:val="20"/>
              </w:rPr>
              <w:t>TA support to develop data analytics software, procedures manual and training on BOOST and procurement diagnostics, building on work performed under the RAS agreement.</w:t>
            </w:r>
          </w:p>
          <w:p w14:paraId="21299789" w14:textId="77777777" w:rsidR="00C13FE7" w:rsidRPr="002B38B0" w:rsidRDefault="00C13FE7" w:rsidP="00C13FE7">
            <w:pPr>
              <w:ind w:left="60"/>
              <w:rPr>
                <w:rFonts w:ascii="Arial Narrow" w:eastAsia="Arial Narrow" w:hAnsi="Arial Narrow" w:cs="Arial Narrow"/>
                <w:sz w:val="20"/>
                <w:szCs w:val="20"/>
              </w:rPr>
            </w:pPr>
          </w:p>
        </w:tc>
        <w:tc>
          <w:tcPr>
            <w:tcW w:w="2321" w:type="dxa"/>
          </w:tcPr>
          <w:p w14:paraId="53A731F8" w14:textId="46E43289" w:rsidR="00C13FE7" w:rsidRPr="002B38B0" w:rsidRDefault="00C13FE7" w:rsidP="00C13FE7">
            <w:pPr>
              <w:widowControl w:val="0"/>
              <w:spacing w:line="276" w:lineRule="auto"/>
              <w:rPr>
                <w:rFonts w:ascii="Arial Narrow" w:eastAsia="Arial Narrow" w:hAnsi="Arial Narrow" w:cs="Arial Narrow"/>
                <w:sz w:val="20"/>
                <w:szCs w:val="20"/>
              </w:rPr>
            </w:pPr>
            <w:r w:rsidRPr="00C13FE7">
              <w:rPr>
                <w:rFonts w:ascii="Arial Narrow" w:eastAsia="Arial Narrow" w:hAnsi="Arial Narrow" w:cs="Arial Narrow"/>
                <w:color w:val="C00000"/>
                <w:sz w:val="20"/>
                <w:szCs w:val="20"/>
              </w:rPr>
              <w:t>Now described as ‘Analytical Support and Capacity-Building Support to the DOF on the tax reform program’. Not clear if this pillar is same as the one in the proposal.</w:t>
            </w:r>
          </w:p>
        </w:tc>
        <w:tc>
          <w:tcPr>
            <w:tcW w:w="2321" w:type="dxa"/>
          </w:tcPr>
          <w:p w14:paraId="5034D0B5" w14:textId="3B738850" w:rsidR="00C13FE7" w:rsidRPr="002B38B0" w:rsidRDefault="00C13FE7" w:rsidP="00C13FE7">
            <w:pPr>
              <w:widowControl w:val="0"/>
              <w:spacing w:line="276" w:lineRule="auto"/>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Ongoing </w:t>
            </w:r>
            <w:r w:rsidRPr="002B38B0">
              <w:rPr>
                <w:rFonts w:ascii="Arial Narrow" w:eastAsia="Arial Narrow" w:hAnsi="Arial Narrow" w:cs="Arial Narrow"/>
                <w:sz w:val="20"/>
                <w:szCs w:val="20"/>
                <w:highlight w:val="yellow"/>
              </w:rPr>
              <w:t>dropped</w:t>
            </w:r>
          </w:p>
        </w:tc>
      </w:tr>
      <w:tr w:rsidR="00C13FE7" w14:paraId="59E53A12" w14:textId="77777777" w:rsidTr="00C13FE7">
        <w:tc>
          <w:tcPr>
            <w:tcW w:w="2321" w:type="dxa"/>
          </w:tcPr>
          <w:p w14:paraId="49F19E27" w14:textId="77777777"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 xml:space="preserve">Objective 5: Increase tax effort and reduce contingent liabilities from GOCCs. </w:t>
            </w:r>
          </w:p>
          <w:p w14:paraId="37D3F114" w14:textId="77777777" w:rsidR="00C13FE7" w:rsidRPr="002B38B0" w:rsidRDefault="00C13FE7" w:rsidP="00C13FE7">
            <w:pPr>
              <w:rPr>
                <w:rFonts w:ascii="Arial Narrow" w:eastAsia="Arial Narrow" w:hAnsi="Arial Narrow" w:cs="Arial Narrow"/>
                <w:b/>
                <w:bCs/>
                <w:sz w:val="20"/>
                <w:szCs w:val="20"/>
              </w:rPr>
            </w:pPr>
          </w:p>
        </w:tc>
        <w:tc>
          <w:tcPr>
            <w:tcW w:w="2321" w:type="dxa"/>
          </w:tcPr>
          <w:p w14:paraId="58D45505" w14:textId="554D214C" w:rsidR="00C13FE7" w:rsidRPr="002B38B0" w:rsidRDefault="00C13FE7" w:rsidP="00C13FE7">
            <w:pPr>
              <w:rPr>
                <w:rFonts w:ascii="Arial Narrow" w:hAnsi="Arial Narrow" w:cstheme="minorBidi"/>
                <w:sz w:val="20"/>
                <w:szCs w:val="20"/>
              </w:rPr>
            </w:pPr>
            <w:r w:rsidRPr="002B38B0">
              <w:rPr>
                <w:rFonts w:ascii="Arial Narrow" w:hAnsi="Arial Narrow" w:cstheme="minorBidi"/>
                <w:sz w:val="20"/>
                <w:szCs w:val="20"/>
              </w:rPr>
              <w:t xml:space="preserve">Prior Action 5 (DPL3): Through </w:t>
            </w:r>
            <w:r w:rsidRPr="002B38B0">
              <w:rPr>
                <w:rFonts w:ascii="Arial Narrow" w:hAnsi="Arial Narrow"/>
                <w:sz w:val="20"/>
                <w:szCs w:val="20"/>
              </w:rPr>
              <w:t xml:space="preserve">enactment </w:t>
            </w:r>
            <w:r w:rsidRPr="002B38B0">
              <w:rPr>
                <w:rFonts w:ascii="Arial Narrow" w:hAnsi="Arial Narrow" w:cstheme="minorBidi"/>
                <w:sz w:val="20"/>
                <w:szCs w:val="20"/>
              </w:rPr>
              <w:t>of the CREATE Act, the government has rationalized tax incentives and improved process for monitoring and evaluation.</w:t>
            </w:r>
          </w:p>
        </w:tc>
        <w:tc>
          <w:tcPr>
            <w:tcW w:w="2321" w:type="dxa"/>
          </w:tcPr>
          <w:p w14:paraId="0B03465E"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‘Just-in-time technical assistance to the Department of Finance Tax Reform team’</w:t>
            </w:r>
          </w:p>
          <w:p w14:paraId="17AF2AE4"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‘Rationalizing the basis for subsidies paid to GOCCs [SOEs].’</w:t>
            </w:r>
          </w:p>
          <w:p w14:paraId="64CE88F7" w14:textId="360D1CC8" w:rsidR="00C13FE7"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‘Improving coordination of GOCC oversight through an interactive monitoring platform.’</w:t>
            </w:r>
          </w:p>
        </w:tc>
        <w:tc>
          <w:tcPr>
            <w:tcW w:w="2321" w:type="dxa"/>
          </w:tcPr>
          <w:p w14:paraId="30160816" w14:textId="77777777" w:rsidR="00C13FE7" w:rsidRPr="002B38B0" w:rsidRDefault="00C13FE7" w:rsidP="00C13FE7">
            <w:pPr>
              <w:ind w:left="60"/>
              <w:rPr>
                <w:rFonts w:ascii="Arial Narrow" w:eastAsia="Arial Narrow" w:hAnsi="Arial Narrow" w:cs="Arial Narrow"/>
                <w:sz w:val="20"/>
                <w:szCs w:val="20"/>
              </w:rPr>
            </w:pPr>
            <w:r w:rsidRPr="002B38B0">
              <w:rPr>
                <w:rFonts w:ascii="Arial Narrow" w:eastAsia="Arial Narrow" w:hAnsi="Arial Narrow" w:cs="Arial Narrow"/>
                <w:sz w:val="20"/>
                <w:szCs w:val="20"/>
              </w:rPr>
              <w:t>Advisory and analytical notes supplied to the DOF tax team in aid of the crafting of the legislation for the tax policy reforms.</w:t>
            </w:r>
          </w:p>
          <w:p w14:paraId="58410F41" w14:textId="77777777" w:rsidR="00C13FE7" w:rsidRPr="002B38B0" w:rsidRDefault="00C13FE7" w:rsidP="00C13FE7">
            <w:pPr>
              <w:ind w:left="60"/>
              <w:rPr>
                <w:rFonts w:ascii="Arial Narrow" w:eastAsia="Arial Narrow" w:hAnsi="Arial Narrow" w:cs="Arial Narrow"/>
                <w:sz w:val="20"/>
                <w:szCs w:val="20"/>
              </w:rPr>
            </w:pPr>
            <w:r w:rsidRPr="002B38B0">
              <w:rPr>
                <w:rFonts w:ascii="Arial Narrow" w:eastAsia="Arial Narrow" w:hAnsi="Arial Narrow" w:cs="Arial Narrow"/>
                <w:sz w:val="20"/>
                <w:szCs w:val="20"/>
              </w:rPr>
              <w:t>Rationalizing the basis for subsidies paid to GOCCs How-to-Note</w:t>
            </w:r>
          </w:p>
          <w:p w14:paraId="62695800" w14:textId="52F31398" w:rsidR="00C13FE7" w:rsidRDefault="00C13FE7" w:rsidP="00C13FE7">
            <w:pPr>
              <w:ind w:left="60"/>
              <w:rPr>
                <w:rFonts w:ascii="Arial Narrow" w:eastAsia="Arial Narrow" w:hAnsi="Arial Narrow" w:cs="Arial Narrow"/>
                <w:sz w:val="20"/>
                <w:szCs w:val="20"/>
              </w:rPr>
            </w:pPr>
            <w:r w:rsidRPr="002B38B0">
              <w:rPr>
                <w:rFonts w:ascii="Arial Narrow" w:eastAsia="Arial Narrow" w:hAnsi="Arial Narrow" w:cs="Arial Narrow"/>
                <w:sz w:val="20"/>
                <w:szCs w:val="20"/>
              </w:rPr>
              <w:t>Improving coordination of GOCC oversight through an interactive monitoring platform</w:t>
            </w:r>
          </w:p>
        </w:tc>
        <w:tc>
          <w:tcPr>
            <w:tcW w:w="2321" w:type="dxa"/>
          </w:tcPr>
          <w:p w14:paraId="52438609" w14:textId="77777777" w:rsidR="00C13FE7" w:rsidRPr="00C13FE7" w:rsidRDefault="00C13FE7" w:rsidP="00C13FE7">
            <w:pPr>
              <w:rPr>
                <w:rFonts w:ascii="Arial Narrow" w:eastAsia="Arial Narrow" w:hAnsi="Arial Narrow" w:cs="Arial Narrow"/>
                <w:color w:val="C00000"/>
                <w:sz w:val="20"/>
                <w:szCs w:val="20"/>
              </w:rPr>
            </w:pPr>
            <w:r w:rsidRPr="00C13FE7">
              <w:rPr>
                <w:rFonts w:ascii="Arial Narrow" w:eastAsia="Arial Narrow" w:hAnsi="Arial Narrow" w:cs="Arial Narrow"/>
                <w:color w:val="C00000"/>
                <w:sz w:val="20"/>
                <w:szCs w:val="20"/>
              </w:rPr>
              <w:t>Dropped? Not mentioned in this report.</w:t>
            </w:r>
          </w:p>
          <w:p w14:paraId="7E61E3E5" w14:textId="77777777" w:rsidR="00C13FE7" w:rsidRPr="00C13FE7" w:rsidRDefault="00C13FE7" w:rsidP="00C13FE7">
            <w:pPr>
              <w:widowControl w:val="0"/>
              <w:spacing w:line="276" w:lineRule="auto"/>
              <w:rPr>
                <w:rFonts w:ascii="Arial Narrow" w:eastAsia="Arial Narrow" w:hAnsi="Arial Narrow" w:cs="Arial Narrow"/>
                <w:color w:val="C00000"/>
                <w:sz w:val="20"/>
                <w:szCs w:val="20"/>
              </w:rPr>
            </w:pPr>
          </w:p>
        </w:tc>
        <w:tc>
          <w:tcPr>
            <w:tcW w:w="2321" w:type="dxa"/>
          </w:tcPr>
          <w:p w14:paraId="0C70B79D" w14:textId="0379DC9E" w:rsidR="00C13FE7" w:rsidRPr="002B38B0" w:rsidRDefault="00C13FE7" w:rsidP="00C13FE7">
            <w:pPr>
              <w:widowControl w:val="0"/>
              <w:spacing w:line="276" w:lineRule="auto"/>
              <w:rPr>
                <w:rFonts w:ascii="Arial Narrow" w:eastAsia="Arial Narrow" w:hAnsi="Arial Narrow" w:cs="Arial Narrow"/>
                <w:sz w:val="20"/>
                <w:szCs w:val="20"/>
              </w:rPr>
            </w:pPr>
            <w:r w:rsidRPr="002B38B0">
              <w:rPr>
                <w:rFonts w:ascii="Arial Narrow" w:eastAsia="Arial Narrow" w:hAnsi="Arial Narrow" w:cs="Arial Narrow"/>
                <w:sz w:val="20"/>
                <w:szCs w:val="20"/>
              </w:rPr>
              <w:t>n/a</w:t>
            </w:r>
          </w:p>
        </w:tc>
      </w:tr>
      <w:tr w:rsidR="00C13FE7" w14:paraId="708B1B3A" w14:textId="77777777" w:rsidTr="00C13FE7">
        <w:tc>
          <w:tcPr>
            <w:tcW w:w="2321" w:type="dxa"/>
          </w:tcPr>
          <w:p w14:paraId="23A078B5" w14:textId="77777777"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Pillar:</w:t>
            </w:r>
            <w:r>
              <w:rPr>
                <w:rFonts w:ascii="Arial Narrow" w:eastAsia="Arial Narrow" w:hAnsi="Arial Narrow" w:cs="Arial Narrow"/>
                <w:b/>
                <w:bCs/>
                <w:sz w:val="20"/>
                <w:szCs w:val="20"/>
              </w:rPr>
              <w:t xml:space="preserve"> </w:t>
            </w:r>
            <w:r w:rsidRPr="002B38B0">
              <w:rPr>
                <w:rFonts w:ascii="Arial Narrow" w:eastAsia="Arial Narrow" w:hAnsi="Arial Narrow" w:cs="Arial Narrow"/>
                <w:b/>
                <w:bCs/>
                <w:sz w:val="20"/>
                <w:szCs w:val="20"/>
              </w:rPr>
              <w:t>COVID-19 response</w:t>
            </w:r>
          </w:p>
          <w:p w14:paraId="6725F4D2" w14:textId="5E437C50"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w:t>
            </w:r>
            <w:proofErr w:type="gramStart"/>
            <w:r w:rsidRPr="002B38B0">
              <w:rPr>
                <w:rFonts w:ascii="Arial Narrow" w:eastAsia="Arial Narrow" w:hAnsi="Arial Narrow" w:cs="Arial Narrow"/>
                <w:b/>
                <w:bCs/>
                <w:sz w:val="20"/>
                <w:szCs w:val="20"/>
              </w:rPr>
              <w:t>added</w:t>
            </w:r>
            <w:proofErr w:type="gramEnd"/>
            <w:r>
              <w:rPr>
                <w:rFonts w:ascii="Arial Narrow" w:eastAsia="Arial Narrow" w:hAnsi="Arial Narrow" w:cs="Arial Narrow"/>
                <w:b/>
                <w:bCs/>
                <w:sz w:val="20"/>
                <w:szCs w:val="20"/>
              </w:rPr>
              <w:t xml:space="preserve"> </w:t>
            </w:r>
            <w:r w:rsidRPr="002B38B0">
              <w:rPr>
                <w:rFonts w:ascii="Arial Narrow" w:eastAsia="Arial Narrow" w:hAnsi="Arial Narrow" w:cs="Arial Narrow"/>
                <w:b/>
                <w:bCs/>
                <w:sz w:val="20"/>
                <w:szCs w:val="20"/>
              </w:rPr>
              <w:t>in</w:t>
            </w:r>
            <w:r>
              <w:rPr>
                <w:rFonts w:ascii="Arial Narrow" w:eastAsia="Arial Narrow" w:hAnsi="Arial Narrow" w:cs="Arial Narrow"/>
                <w:b/>
                <w:bCs/>
                <w:sz w:val="20"/>
                <w:szCs w:val="20"/>
              </w:rPr>
              <w:t xml:space="preserve"> </w:t>
            </w:r>
            <w:r w:rsidRPr="002B38B0">
              <w:rPr>
                <w:rFonts w:ascii="Arial Narrow" w:eastAsia="Arial Narrow" w:hAnsi="Arial Narrow" w:cs="Arial Narrow"/>
                <w:b/>
                <w:bCs/>
                <w:sz w:val="20"/>
                <w:szCs w:val="20"/>
              </w:rPr>
              <w:t xml:space="preserve">Dec 2020 report) </w:t>
            </w:r>
          </w:p>
        </w:tc>
        <w:tc>
          <w:tcPr>
            <w:tcW w:w="2321" w:type="dxa"/>
          </w:tcPr>
          <w:p w14:paraId="362E0C15" w14:textId="219C8D8E" w:rsidR="00C13FE7" w:rsidRPr="002B38B0" w:rsidRDefault="00614008" w:rsidP="00C13FE7">
            <w:pPr>
              <w:rPr>
                <w:rFonts w:ascii="Arial Narrow" w:hAnsi="Arial Narrow" w:cstheme="minorBidi"/>
                <w:sz w:val="20"/>
                <w:szCs w:val="20"/>
              </w:rPr>
            </w:pPr>
            <w:r>
              <w:rPr>
                <w:rFonts w:ascii="Arial Narrow" w:hAnsi="Arial Narrow" w:cstheme="minorBidi"/>
                <w:sz w:val="20"/>
                <w:szCs w:val="20"/>
              </w:rPr>
              <w:t>n/a</w:t>
            </w:r>
          </w:p>
        </w:tc>
        <w:tc>
          <w:tcPr>
            <w:tcW w:w="2321" w:type="dxa"/>
          </w:tcPr>
          <w:p w14:paraId="5E04EA9E"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‘Advice to DOF and other line agencies on the process </w:t>
            </w:r>
            <w:r w:rsidRPr="002B38B0">
              <w:rPr>
                <w:rFonts w:ascii="Arial Narrow" w:eastAsia="Arial Narrow" w:hAnsi="Arial Narrow" w:cs="Arial Narrow"/>
                <w:sz w:val="20"/>
                <w:szCs w:val="20"/>
              </w:rPr>
              <w:lastRenderedPageBreak/>
              <w:t>and ICT infrastructure design…’</w:t>
            </w:r>
          </w:p>
          <w:p w14:paraId="7DA99C44" w14:textId="77777777" w:rsidR="00C13FE7" w:rsidRPr="002B38B0" w:rsidRDefault="00C13FE7" w:rsidP="00C13FE7">
            <w:pPr>
              <w:rPr>
                <w:rFonts w:ascii="Arial Narrow" w:eastAsia="Arial Narrow" w:hAnsi="Arial Narrow" w:cs="Arial Narrow"/>
                <w:sz w:val="20"/>
                <w:szCs w:val="20"/>
              </w:rPr>
            </w:pPr>
          </w:p>
          <w:p w14:paraId="1F925BC5" w14:textId="6EDCD9FB"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‘Technical note on data governance and data verification as part of the design of future subsidy programs.’</w:t>
            </w:r>
          </w:p>
        </w:tc>
        <w:tc>
          <w:tcPr>
            <w:tcW w:w="2321" w:type="dxa"/>
          </w:tcPr>
          <w:p w14:paraId="29A36700"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lastRenderedPageBreak/>
              <w:t xml:space="preserve">Support implementation of the social protection </w:t>
            </w:r>
            <w:r w:rsidRPr="002B38B0">
              <w:rPr>
                <w:rFonts w:ascii="Arial Narrow" w:eastAsia="Arial Narrow" w:hAnsi="Arial Narrow" w:cs="Arial Narrow"/>
                <w:sz w:val="20"/>
                <w:szCs w:val="20"/>
              </w:rPr>
              <w:lastRenderedPageBreak/>
              <w:t xml:space="preserve">program supported by COVID emergency DPL. </w:t>
            </w:r>
          </w:p>
          <w:p w14:paraId="7CB3255E" w14:textId="77777777" w:rsidR="00C13FE7" w:rsidRPr="002B38B0" w:rsidRDefault="00C13FE7" w:rsidP="00C13FE7">
            <w:pPr>
              <w:rPr>
                <w:rFonts w:ascii="Arial Narrow" w:eastAsia="Arial Narrow" w:hAnsi="Arial Narrow" w:cs="Arial Narrow"/>
                <w:sz w:val="20"/>
                <w:szCs w:val="20"/>
              </w:rPr>
            </w:pPr>
          </w:p>
          <w:p w14:paraId="4CD75BBF" w14:textId="7FAD7417" w:rsidR="00C13FE7" w:rsidRPr="002B38B0" w:rsidRDefault="00C13FE7" w:rsidP="00C13FE7">
            <w:pPr>
              <w:ind w:left="60"/>
              <w:rPr>
                <w:rFonts w:ascii="Arial Narrow" w:eastAsia="Arial Narrow" w:hAnsi="Arial Narrow" w:cs="Arial Narrow"/>
                <w:sz w:val="20"/>
                <w:szCs w:val="20"/>
              </w:rPr>
            </w:pPr>
            <w:r w:rsidRPr="002B38B0">
              <w:rPr>
                <w:rFonts w:ascii="Arial Narrow" w:eastAsia="Arial Narrow" w:hAnsi="Arial Narrow" w:cs="Arial Narrow"/>
                <w:sz w:val="20"/>
                <w:szCs w:val="20"/>
              </w:rPr>
              <w:t>‘Inform design of future social protection programs to improve efficiency and timeliness. ‘</w:t>
            </w:r>
          </w:p>
        </w:tc>
        <w:tc>
          <w:tcPr>
            <w:tcW w:w="2321" w:type="dxa"/>
          </w:tcPr>
          <w:p w14:paraId="7CE79DA7" w14:textId="3C4B9AC1" w:rsidR="00C13FE7" w:rsidRPr="00C13FE7" w:rsidRDefault="00C13FE7" w:rsidP="00C13FE7">
            <w:pPr>
              <w:rPr>
                <w:rFonts w:ascii="Arial Narrow" w:eastAsia="Arial Narrow" w:hAnsi="Arial Narrow" w:cs="Arial Narrow"/>
                <w:color w:val="C00000"/>
                <w:sz w:val="20"/>
                <w:szCs w:val="20"/>
              </w:rPr>
            </w:pPr>
            <w:r w:rsidRPr="00C13FE7">
              <w:rPr>
                <w:rFonts w:ascii="Arial Narrow" w:eastAsia="Arial Narrow" w:hAnsi="Arial Narrow" w:cs="Arial Narrow"/>
                <w:color w:val="C00000"/>
                <w:sz w:val="20"/>
                <w:szCs w:val="20"/>
              </w:rPr>
              <w:lastRenderedPageBreak/>
              <w:t xml:space="preserve">NEW: Partly completed, partly ongoing </w:t>
            </w:r>
          </w:p>
        </w:tc>
        <w:tc>
          <w:tcPr>
            <w:tcW w:w="2321" w:type="dxa"/>
          </w:tcPr>
          <w:p w14:paraId="5C9805C1" w14:textId="3B7CB674" w:rsidR="00C13FE7" w:rsidRPr="002B38B0" w:rsidRDefault="00C13FE7" w:rsidP="00C13FE7">
            <w:pPr>
              <w:widowControl w:val="0"/>
              <w:spacing w:line="276" w:lineRule="auto"/>
              <w:rPr>
                <w:rFonts w:ascii="Arial Narrow" w:eastAsia="Arial Narrow" w:hAnsi="Arial Narrow" w:cs="Arial Narrow"/>
                <w:sz w:val="20"/>
                <w:szCs w:val="20"/>
              </w:rPr>
            </w:pPr>
            <w:r w:rsidRPr="002B38B0">
              <w:rPr>
                <w:rFonts w:ascii="Arial Narrow" w:eastAsia="Arial Narrow" w:hAnsi="Arial Narrow" w:cs="Arial Narrow"/>
                <w:sz w:val="20"/>
                <w:szCs w:val="20"/>
              </w:rPr>
              <w:t>Partly completed, partly ongoing</w:t>
            </w:r>
          </w:p>
        </w:tc>
      </w:tr>
      <w:tr w:rsidR="00C13FE7" w14:paraId="36ED8639" w14:textId="77777777" w:rsidTr="00C13FE7">
        <w:tc>
          <w:tcPr>
            <w:tcW w:w="2321" w:type="dxa"/>
          </w:tcPr>
          <w:p w14:paraId="5143140B" w14:textId="77777777"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 xml:space="preserve">Pillar: Investment in Telecom </w:t>
            </w:r>
          </w:p>
          <w:p w14:paraId="3BCD713C" w14:textId="1564D3F3"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w:t>
            </w:r>
            <w:proofErr w:type="gramStart"/>
            <w:r w:rsidRPr="002B38B0">
              <w:rPr>
                <w:rFonts w:ascii="Arial Narrow" w:eastAsia="Arial Narrow" w:hAnsi="Arial Narrow" w:cs="Arial Narrow"/>
                <w:b/>
                <w:bCs/>
                <w:sz w:val="20"/>
                <w:szCs w:val="20"/>
              </w:rPr>
              <w:t>added</w:t>
            </w:r>
            <w:proofErr w:type="gramEnd"/>
            <w:r w:rsidRPr="002B38B0">
              <w:rPr>
                <w:rFonts w:ascii="Arial Narrow" w:eastAsia="Arial Narrow" w:hAnsi="Arial Narrow" w:cs="Arial Narrow"/>
                <w:b/>
                <w:bCs/>
                <w:sz w:val="20"/>
                <w:szCs w:val="20"/>
              </w:rPr>
              <w:t xml:space="preserve"> in Dec 2020 report)</w:t>
            </w:r>
          </w:p>
        </w:tc>
        <w:tc>
          <w:tcPr>
            <w:tcW w:w="2321" w:type="dxa"/>
          </w:tcPr>
          <w:p w14:paraId="537DCDDB" w14:textId="5823BE9C" w:rsidR="00C13FE7" w:rsidRPr="002B38B0" w:rsidRDefault="00C13FE7" w:rsidP="00C13FE7">
            <w:pPr>
              <w:rPr>
                <w:rFonts w:ascii="Arial Narrow" w:hAnsi="Arial Narrow" w:cstheme="minorBidi"/>
                <w:sz w:val="20"/>
                <w:szCs w:val="20"/>
              </w:rPr>
            </w:pPr>
            <w:r w:rsidRPr="002B38B0">
              <w:rPr>
                <w:rFonts w:ascii="Arial Narrow" w:hAnsi="Arial Narrow" w:cstheme="minorHAnsi"/>
                <w:sz w:val="20"/>
                <w:szCs w:val="20"/>
              </w:rPr>
              <w:t>Prior Action 1 (DPL3): Through, JMC 1-2021, issued by DICT, DILG, DPWH and other government agencies</w:t>
            </w:r>
            <w:r w:rsidRPr="002B38B0">
              <w:rPr>
                <w:rFonts w:ascii="Arial Narrow" w:hAnsi="Arial Narrow"/>
                <w:sz w:val="20"/>
                <w:szCs w:val="20"/>
              </w:rPr>
              <w:t>,</w:t>
            </w:r>
            <w:r w:rsidRPr="002B38B0">
              <w:rPr>
                <w:rFonts w:ascii="Arial Narrow" w:hAnsi="Arial Narrow" w:cstheme="minorHAnsi"/>
                <w:sz w:val="20"/>
                <w:szCs w:val="20"/>
              </w:rPr>
              <w:t xml:space="preserve"> the government has introduced </w:t>
            </w:r>
            <w:r w:rsidRPr="002B38B0">
              <w:rPr>
                <w:rFonts w:ascii="Arial Narrow" w:hAnsi="Arial Narrow"/>
                <w:sz w:val="20"/>
                <w:szCs w:val="20"/>
              </w:rPr>
              <w:t xml:space="preserve">non-discriminatory </w:t>
            </w:r>
            <w:r w:rsidRPr="002B38B0">
              <w:rPr>
                <w:rFonts w:ascii="Arial Narrow" w:hAnsi="Arial Narrow" w:cstheme="minorHAnsi"/>
                <w:sz w:val="20"/>
                <w:szCs w:val="20"/>
              </w:rPr>
              <w:t xml:space="preserve">access to poles, broadband </w:t>
            </w:r>
            <w:proofErr w:type="gramStart"/>
            <w:r w:rsidRPr="002B38B0">
              <w:rPr>
                <w:rFonts w:ascii="Arial Narrow" w:hAnsi="Arial Narrow" w:cstheme="minorHAnsi"/>
                <w:sz w:val="20"/>
                <w:szCs w:val="20"/>
              </w:rPr>
              <w:t>infrastructure</w:t>
            </w:r>
            <w:proofErr w:type="gramEnd"/>
            <w:r w:rsidRPr="002B38B0">
              <w:rPr>
                <w:rFonts w:ascii="Arial Narrow" w:hAnsi="Arial Narrow" w:cstheme="minorHAnsi"/>
                <w:sz w:val="20"/>
                <w:szCs w:val="20"/>
              </w:rPr>
              <w:t xml:space="preserve"> and the simplified fixed broadband network rollout process.</w:t>
            </w:r>
          </w:p>
        </w:tc>
        <w:tc>
          <w:tcPr>
            <w:tcW w:w="2321" w:type="dxa"/>
          </w:tcPr>
          <w:p w14:paraId="1C4F3A34" w14:textId="6E543C63"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‘Inform the formulation of the fixed broadband policy framework ‘</w:t>
            </w:r>
          </w:p>
        </w:tc>
        <w:tc>
          <w:tcPr>
            <w:tcW w:w="2321" w:type="dxa"/>
          </w:tcPr>
          <w:p w14:paraId="2678A918" w14:textId="309D9A60"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Report on the Spectrum Management policies for DICT.</w:t>
            </w:r>
          </w:p>
        </w:tc>
        <w:tc>
          <w:tcPr>
            <w:tcW w:w="2321" w:type="dxa"/>
          </w:tcPr>
          <w:p w14:paraId="7DFBCD24" w14:textId="29382AD2" w:rsidR="00C13FE7" w:rsidRPr="00C13FE7" w:rsidRDefault="00C13FE7" w:rsidP="00C13FE7">
            <w:pPr>
              <w:rPr>
                <w:rFonts w:ascii="Arial Narrow" w:eastAsia="Arial Narrow" w:hAnsi="Arial Narrow" w:cs="Arial Narrow"/>
                <w:color w:val="C00000"/>
                <w:sz w:val="20"/>
                <w:szCs w:val="20"/>
              </w:rPr>
            </w:pPr>
            <w:r w:rsidRPr="002B38B0">
              <w:rPr>
                <w:rFonts w:ascii="Arial Narrow" w:eastAsia="Arial Narrow" w:hAnsi="Arial Narrow" w:cs="Arial Narrow"/>
                <w:sz w:val="20"/>
                <w:szCs w:val="20"/>
              </w:rPr>
              <w:t>NEW</w:t>
            </w:r>
          </w:p>
        </w:tc>
        <w:tc>
          <w:tcPr>
            <w:tcW w:w="2321" w:type="dxa"/>
          </w:tcPr>
          <w:p w14:paraId="3FF9CC99" w14:textId="6ACF7AE0" w:rsidR="00C13FE7" w:rsidRPr="002B38B0" w:rsidRDefault="00C13FE7" w:rsidP="00C13FE7">
            <w:pPr>
              <w:widowControl w:val="0"/>
              <w:spacing w:line="276" w:lineRule="auto"/>
              <w:rPr>
                <w:rFonts w:ascii="Arial Narrow" w:eastAsia="Arial Narrow" w:hAnsi="Arial Narrow" w:cs="Arial Narrow"/>
                <w:sz w:val="20"/>
                <w:szCs w:val="20"/>
              </w:rPr>
            </w:pPr>
            <w:r w:rsidRPr="002B38B0">
              <w:rPr>
                <w:rFonts w:ascii="Arial Narrow" w:eastAsia="Arial Narrow" w:hAnsi="Arial Narrow" w:cs="Arial Narrow"/>
                <w:sz w:val="20"/>
                <w:szCs w:val="20"/>
              </w:rPr>
              <w:t>Completed (report on Spectrum Re-</w:t>
            </w:r>
            <w:proofErr w:type="gramStart"/>
            <w:r w:rsidRPr="002B38B0">
              <w:rPr>
                <w:rFonts w:ascii="Arial Narrow" w:eastAsia="Arial Narrow" w:hAnsi="Arial Narrow" w:cs="Arial Narrow"/>
                <w:sz w:val="20"/>
                <w:szCs w:val="20"/>
              </w:rPr>
              <w:t>Stacking )</w:t>
            </w:r>
            <w:proofErr w:type="gramEnd"/>
          </w:p>
        </w:tc>
      </w:tr>
      <w:tr w:rsidR="00C13FE7" w14:paraId="608A4682" w14:textId="77777777" w:rsidTr="00C13FE7">
        <w:tc>
          <w:tcPr>
            <w:tcW w:w="2321" w:type="dxa"/>
          </w:tcPr>
          <w:p w14:paraId="33BFCD42" w14:textId="77777777"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 xml:space="preserve">Pillar: Doing Business </w:t>
            </w:r>
          </w:p>
          <w:p w14:paraId="4727B00A" w14:textId="60322342"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w:t>
            </w:r>
            <w:proofErr w:type="gramStart"/>
            <w:r w:rsidRPr="002B38B0">
              <w:rPr>
                <w:rFonts w:ascii="Arial Narrow" w:eastAsia="Arial Narrow" w:hAnsi="Arial Narrow" w:cs="Arial Narrow"/>
                <w:b/>
                <w:bCs/>
                <w:sz w:val="20"/>
                <w:szCs w:val="20"/>
              </w:rPr>
              <w:t>added</w:t>
            </w:r>
            <w:proofErr w:type="gramEnd"/>
            <w:r w:rsidRPr="002B38B0">
              <w:rPr>
                <w:rFonts w:ascii="Arial Narrow" w:eastAsia="Arial Narrow" w:hAnsi="Arial Narrow" w:cs="Arial Narrow"/>
                <w:b/>
                <w:bCs/>
                <w:sz w:val="20"/>
                <w:szCs w:val="20"/>
              </w:rPr>
              <w:t xml:space="preserve"> in Dec 2020 report)</w:t>
            </w:r>
          </w:p>
        </w:tc>
        <w:tc>
          <w:tcPr>
            <w:tcW w:w="2321" w:type="dxa"/>
          </w:tcPr>
          <w:p w14:paraId="5899474C" w14:textId="7E7F8359" w:rsidR="00C13FE7" w:rsidRPr="002B38B0" w:rsidRDefault="00C13FE7" w:rsidP="00C13FE7">
            <w:pPr>
              <w:rPr>
                <w:rFonts w:ascii="Arial Narrow" w:hAnsi="Arial Narrow" w:cstheme="minorHAnsi"/>
                <w:sz w:val="20"/>
                <w:szCs w:val="20"/>
              </w:rPr>
            </w:pPr>
            <w:r w:rsidRPr="002B38B0">
              <w:rPr>
                <w:rFonts w:ascii="Arial Narrow" w:hAnsi="Arial Narrow" w:cstheme="minorHAnsi"/>
                <w:sz w:val="20"/>
                <w:szCs w:val="20"/>
              </w:rPr>
              <w:t>Prior Action 2 (DPL3):</w:t>
            </w:r>
            <w:r w:rsidRPr="002B38B0">
              <w:rPr>
                <w:rFonts w:ascii="Arial Narrow" w:hAnsi="Arial Narrow"/>
                <w:sz w:val="20"/>
                <w:szCs w:val="20"/>
              </w:rPr>
              <w:t xml:space="preserve"> Through JMC 1-2021</w:t>
            </w:r>
            <w:r w:rsidRPr="002B38B0">
              <w:rPr>
                <w:rFonts w:ascii="Arial Narrow" w:hAnsi="Arial Narrow" w:cstheme="minorHAnsi"/>
                <w:sz w:val="20"/>
                <w:szCs w:val="20"/>
              </w:rPr>
              <w:t>, issued by ARTA, DICT, SEC and other government agencies</w:t>
            </w:r>
            <w:r w:rsidRPr="002B38B0">
              <w:rPr>
                <w:rFonts w:ascii="Arial Narrow" w:hAnsi="Arial Narrow"/>
                <w:sz w:val="20"/>
                <w:szCs w:val="20"/>
              </w:rPr>
              <w:t>,</w:t>
            </w:r>
            <w:r w:rsidRPr="002B38B0">
              <w:rPr>
                <w:rFonts w:ascii="Arial Narrow" w:hAnsi="Arial Narrow" w:cstheme="minorBidi"/>
                <w:sz w:val="20"/>
                <w:szCs w:val="20"/>
              </w:rPr>
              <w:t xml:space="preserve"> the government has streamlined and automated national and local government processes for starting a business.</w:t>
            </w:r>
          </w:p>
        </w:tc>
        <w:tc>
          <w:tcPr>
            <w:tcW w:w="2321" w:type="dxa"/>
          </w:tcPr>
          <w:p w14:paraId="0B511C62" w14:textId="7CDEEE81"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Support implementation of Ease of Doing Business and Efficient Government Service Delivery Act </w:t>
            </w:r>
          </w:p>
        </w:tc>
        <w:tc>
          <w:tcPr>
            <w:tcW w:w="2321" w:type="dxa"/>
          </w:tcPr>
          <w:p w14:paraId="41BA930C" w14:textId="0F70D0C3"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DB Roadmap Report for selected indicators identifying…reforms or other recommended actions, with specific focus on Starting a Business, Dealing with Construction Permit, Protecting Minority Investors and Resolving Insolvency </w:t>
            </w:r>
          </w:p>
        </w:tc>
        <w:tc>
          <w:tcPr>
            <w:tcW w:w="2321" w:type="dxa"/>
          </w:tcPr>
          <w:p w14:paraId="2DA81D16" w14:textId="7605931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NEW</w:t>
            </w:r>
          </w:p>
        </w:tc>
        <w:tc>
          <w:tcPr>
            <w:tcW w:w="2321" w:type="dxa"/>
          </w:tcPr>
          <w:p w14:paraId="4EE8D9C8"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Completed report on ARTA Ease of Doing Business Reform Roadmap </w:t>
            </w:r>
          </w:p>
          <w:p w14:paraId="257093C9" w14:textId="77777777" w:rsidR="00C13FE7" w:rsidRPr="002B38B0" w:rsidRDefault="00C13FE7" w:rsidP="00C13FE7">
            <w:pPr>
              <w:widowControl w:val="0"/>
              <w:spacing w:line="276" w:lineRule="auto"/>
              <w:rPr>
                <w:rFonts w:ascii="Arial Narrow" w:eastAsia="Arial Narrow" w:hAnsi="Arial Narrow" w:cs="Arial Narrow"/>
                <w:sz w:val="20"/>
                <w:szCs w:val="20"/>
              </w:rPr>
            </w:pPr>
          </w:p>
        </w:tc>
      </w:tr>
      <w:tr w:rsidR="00C13FE7" w14:paraId="4276770D" w14:textId="77777777" w:rsidTr="00C13FE7">
        <w:tc>
          <w:tcPr>
            <w:tcW w:w="2321" w:type="dxa"/>
          </w:tcPr>
          <w:p w14:paraId="55C1F787" w14:textId="77777777"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Pillar: Trade Facilitation</w:t>
            </w:r>
          </w:p>
          <w:p w14:paraId="55077BC0" w14:textId="0D41CCAA"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w:t>
            </w:r>
            <w:proofErr w:type="gramStart"/>
            <w:r w:rsidRPr="002B38B0">
              <w:rPr>
                <w:rFonts w:ascii="Arial Narrow" w:eastAsia="Arial Narrow" w:hAnsi="Arial Narrow" w:cs="Arial Narrow"/>
                <w:b/>
                <w:bCs/>
                <w:sz w:val="20"/>
                <w:szCs w:val="20"/>
              </w:rPr>
              <w:t>added</w:t>
            </w:r>
            <w:proofErr w:type="gramEnd"/>
            <w:r w:rsidRPr="002B38B0">
              <w:rPr>
                <w:rFonts w:ascii="Arial Narrow" w:eastAsia="Arial Narrow" w:hAnsi="Arial Narrow" w:cs="Arial Narrow"/>
                <w:b/>
                <w:bCs/>
                <w:sz w:val="20"/>
                <w:szCs w:val="20"/>
              </w:rPr>
              <w:t xml:space="preserve"> in Dec 2021 report)</w:t>
            </w:r>
          </w:p>
        </w:tc>
        <w:tc>
          <w:tcPr>
            <w:tcW w:w="2321" w:type="dxa"/>
          </w:tcPr>
          <w:p w14:paraId="1B2354F6" w14:textId="30554856" w:rsidR="00C13FE7" w:rsidRPr="002B38B0" w:rsidRDefault="00C13FE7" w:rsidP="00C13FE7">
            <w:pPr>
              <w:rPr>
                <w:rFonts w:ascii="Arial Narrow" w:hAnsi="Arial Narrow" w:cstheme="minorHAnsi"/>
                <w:sz w:val="20"/>
                <w:szCs w:val="20"/>
              </w:rPr>
            </w:pPr>
            <w:r w:rsidRPr="002B38B0">
              <w:rPr>
                <w:rFonts w:ascii="Arial Narrow" w:hAnsi="Arial Narrow" w:cstheme="minorHAnsi"/>
                <w:sz w:val="20"/>
                <w:szCs w:val="20"/>
              </w:rPr>
              <w:t xml:space="preserve">Prior Action 3 (DPL3): Through Customs Memorandum Orders 21-2020, 02-2021, 09-2021, and 26-2021, the Bureau of Customs has </w:t>
            </w:r>
            <w:r w:rsidRPr="002B38B0">
              <w:rPr>
                <w:rFonts w:ascii="Arial Narrow" w:hAnsi="Arial Narrow"/>
                <w:sz w:val="20"/>
                <w:szCs w:val="20"/>
              </w:rPr>
              <w:t xml:space="preserve">strengthened </w:t>
            </w:r>
            <w:r w:rsidRPr="002B38B0">
              <w:rPr>
                <w:rFonts w:ascii="Arial Narrow" w:hAnsi="Arial Narrow"/>
                <w:sz w:val="20"/>
                <w:szCs w:val="20"/>
              </w:rPr>
              <w:lastRenderedPageBreak/>
              <w:t>regulatory</w:t>
            </w:r>
            <w:r w:rsidRPr="002B38B0">
              <w:rPr>
                <w:rFonts w:ascii="Arial Narrow" w:hAnsi="Arial Narrow" w:cstheme="minorHAnsi"/>
                <w:sz w:val="20"/>
                <w:szCs w:val="20"/>
              </w:rPr>
              <w:t xml:space="preserve"> framework for implementing risk-based controls and enhanced cargo selectivity.</w:t>
            </w:r>
          </w:p>
        </w:tc>
        <w:tc>
          <w:tcPr>
            <w:tcW w:w="2321" w:type="dxa"/>
          </w:tcPr>
          <w:p w14:paraId="357F1D89" w14:textId="52C4D605"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lastRenderedPageBreak/>
              <w:t>Support for the Establishment of the National Trade Facilitation Committee. Trade Facilitation Agreement Gap Analysis.</w:t>
            </w:r>
          </w:p>
        </w:tc>
        <w:tc>
          <w:tcPr>
            <w:tcW w:w="2321" w:type="dxa"/>
          </w:tcPr>
          <w:p w14:paraId="689CE523" w14:textId="6453624B"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w:t>
            </w:r>
          </w:p>
        </w:tc>
        <w:tc>
          <w:tcPr>
            <w:tcW w:w="2321" w:type="dxa"/>
          </w:tcPr>
          <w:p w14:paraId="660F5DC8" w14:textId="6DEEC756"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n/a</w:t>
            </w:r>
          </w:p>
        </w:tc>
        <w:tc>
          <w:tcPr>
            <w:tcW w:w="2321" w:type="dxa"/>
          </w:tcPr>
          <w:p w14:paraId="768DBB56" w14:textId="7C622440"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Completed studies in support of Trade Facilitation Committee </w:t>
            </w:r>
          </w:p>
        </w:tc>
      </w:tr>
      <w:tr w:rsidR="00C13FE7" w14:paraId="5B3BB8A8" w14:textId="77777777" w:rsidTr="00C13FE7">
        <w:tc>
          <w:tcPr>
            <w:tcW w:w="2321" w:type="dxa"/>
          </w:tcPr>
          <w:p w14:paraId="73E66973" w14:textId="1D27F7D3"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Gender</w:t>
            </w:r>
          </w:p>
        </w:tc>
        <w:tc>
          <w:tcPr>
            <w:tcW w:w="2321" w:type="dxa"/>
          </w:tcPr>
          <w:p w14:paraId="696866D2" w14:textId="0DEF4C0B" w:rsidR="00C13FE7" w:rsidRPr="002B38B0" w:rsidRDefault="00614008" w:rsidP="00C13FE7">
            <w:pPr>
              <w:rPr>
                <w:rFonts w:ascii="Arial Narrow" w:hAnsi="Arial Narrow" w:cstheme="minorHAnsi"/>
                <w:sz w:val="20"/>
                <w:szCs w:val="20"/>
              </w:rPr>
            </w:pPr>
            <w:r>
              <w:rPr>
                <w:rFonts w:ascii="Arial Narrow" w:hAnsi="Arial Narrow" w:cstheme="minorBidi"/>
                <w:sz w:val="20"/>
                <w:szCs w:val="20"/>
              </w:rPr>
              <w:t>n/a</w:t>
            </w:r>
          </w:p>
        </w:tc>
        <w:tc>
          <w:tcPr>
            <w:tcW w:w="2321" w:type="dxa"/>
          </w:tcPr>
          <w:p w14:paraId="215B179F"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‘…farmer registry and transparent eligibility criteria for the RCEF’</w:t>
            </w:r>
          </w:p>
          <w:p w14:paraId="3EA5EA8E"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 help PSA dedicate sufficient attention and resources to ensure that such potential barriers are identified and addressed (</w:t>
            </w:r>
            <w:proofErr w:type="gramStart"/>
            <w:r w:rsidRPr="002B38B0">
              <w:rPr>
                <w:rFonts w:ascii="Arial Narrow" w:eastAsia="Arial Narrow" w:hAnsi="Arial Narrow" w:cs="Arial Narrow"/>
                <w:sz w:val="20"/>
                <w:szCs w:val="20"/>
              </w:rPr>
              <w:t>e.g.</w:t>
            </w:r>
            <w:proofErr w:type="gramEnd"/>
            <w:r w:rsidRPr="002B38B0">
              <w:rPr>
                <w:rFonts w:ascii="Arial Narrow" w:eastAsia="Arial Narrow" w:hAnsi="Arial Narrow" w:cs="Arial Narrow"/>
                <w:sz w:val="20"/>
                <w:szCs w:val="20"/>
              </w:rPr>
              <w:t xml:space="preserve"> to handle grievances and complaints).’</w:t>
            </w:r>
          </w:p>
          <w:p w14:paraId="653D84D7" w14:textId="7E242179"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‘Data analytics software and methods would allow easier identification of gender impacts and assessment of their contribution to gender and other policy objectives.’</w:t>
            </w:r>
          </w:p>
        </w:tc>
        <w:tc>
          <w:tcPr>
            <w:tcW w:w="2321" w:type="dxa"/>
          </w:tcPr>
          <w:p w14:paraId="041E244B" w14:textId="3044F21A" w:rsidR="00C13FE7" w:rsidRPr="002B38B0" w:rsidRDefault="00614008" w:rsidP="00C13FE7">
            <w:pPr>
              <w:rPr>
                <w:rFonts w:ascii="Arial Narrow" w:eastAsia="Arial Narrow" w:hAnsi="Arial Narrow" w:cs="Arial Narrow"/>
                <w:sz w:val="20"/>
                <w:szCs w:val="20"/>
              </w:rPr>
            </w:pPr>
            <w:r>
              <w:rPr>
                <w:rFonts w:ascii="Arial Narrow" w:hAnsi="Arial Narrow" w:cstheme="minorBidi"/>
                <w:sz w:val="20"/>
                <w:szCs w:val="20"/>
              </w:rPr>
              <w:t>n/a</w:t>
            </w:r>
          </w:p>
        </w:tc>
        <w:tc>
          <w:tcPr>
            <w:tcW w:w="2321" w:type="dxa"/>
          </w:tcPr>
          <w:p w14:paraId="13631236" w14:textId="4B2521A2" w:rsidR="00C13FE7" w:rsidRPr="002B38B0" w:rsidRDefault="00C13FE7" w:rsidP="00C13FE7">
            <w:pPr>
              <w:rPr>
                <w:rFonts w:ascii="Arial Narrow" w:eastAsia="Arial Narrow" w:hAnsi="Arial Narrow" w:cs="Arial Narrow"/>
                <w:sz w:val="20"/>
                <w:szCs w:val="20"/>
              </w:rPr>
            </w:pPr>
            <w:r w:rsidRPr="00C13FE7">
              <w:rPr>
                <w:rFonts w:ascii="Arial Narrow" w:eastAsia="Arial Narrow" w:hAnsi="Arial Narrow" w:cs="Arial Narrow"/>
                <w:color w:val="C00000"/>
                <w:sz w:val="20"/>
                <w:szCs w:val="20"/>
              </w:rPr>
              <w:t>‘NA’</w:t>
            </w:r>
          </w:p>
        </w:tc>
        <w:tc>
          <w:tcPr>
            <w:tcW w:w="2321" w:type="dxa"/>
          </w:tcPr>
          <w:p w14:paraId="5ABE6799" w14:textId="6A88154C" w:rsidR="00C13FE7" w:rsidRPr="002B38B0" w:rsidRDefault="00C13FE7" w:rsidP="00C13FE7">
            <w:pPr>
              <w:rPr>
                <w:rFonts w:ascii="Arial Narrow" w:eastAsia="Arial Narrow" w:hAnsi="Arial Narrow" w:cs="Arial Narrow"/>
                <w:sz w:val="20"/>
                <w:szCs w:val="20"/>
              </w:rPr>
            </w:pPr>
            <w:r w:rsidRPr="00C13FE7">
              <w:rPr>
                <w:rFonts w:ascii="Arial Narrow" w:eastAsia="Arial Narrow" w:hAnsi="Arial Narrow" w:cs="Arial Narrow"/>
                <w:color w:val="C00000"/>
                <w:sz w:val="20"/>
                <w:szCs w:val="20"/>
              </w:rPr>
              <w:t>Report left blank</w:t>
            </w:r>
          </w:p>
        </w:tc>
      </w:tr>
      <w:tr w:rsidR="00C13FE7" w14:paraId="118E5A55" w14:textId="77777777" w:rsidTr="00C13FE7">
        <w:tc>
          <w:tcPr>
            <w:tcW w:w="2321" w:type="dxa"/>
          </w:tcPr>
          <w:p w14:paraId="3FB772FB" w14:textId="1D2C267A"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Disability</w:t>
            </w:r>
          </w:p>
        </w:tc>
        <w:tc>
          <w:tcPr>
            <w:tcW w:w="2321" w:type="dxa"/>
          </w:tcPr>
          <w:p w14:paraId="7BC2DB8D" w14:textId="60089A72" w:rsidR="00C13FE7" w:rsidRPr="002B38B0" w:rsidRDefault="00614008" w:rsidP="00C13FE7">
            <w:pPr>
              <w:rPr>
                <w:rFonts w:ascii="Arial Narrow" w:hAnsi="Arial Narrow" w:cstheme="minorHAnsi"/>
                <w:sz w:val="20"/>
                <w:szCs w:val="20"/>
              </w:rPr>
            </w:pPr>
            <w:r>
              <w:rPr>
                <w:rFonts w:ascii="Arial Narrow" w:hAnsi="Arial Narrow" w:cstheme="minorBidi"/>
                <w:sz w:val="20"/>
                <w:szCs w:val="20"/>
              </w:rPr>
              <w:t>n/a</w:t>
            </w:r>
          </w:p>
        </w:tc>
        <w:tc>
          <w:tcPr>
            <w:tcW w:w="2321" w:type="dxa"/>
          </w:tcPr>
          <w:p w14:paraId="7D6D9E4A" w14:textId="41CCE79E"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 help PSA dedicate sufficient attention and resources to ensure that such potential barriers are identified and addressed (</w:t>
            </w:r>
            <w:proofErr w:type="gramStart"/>
            <w:r w:rsidRPr="002B38B0">
              <w:rPr>
                <w:rFonts w:ascii="Arial Narrow" w:eastAsia="Arial Narrow" w:hAnsi="Arial Narrow" w:cs="Arial Narrow"/>
                <w:sz w:val="20"/>
                <w:szCs w:val="20"/>
              </w:rPr>
              <w:t>e.g.</w:t>
            </w:r>
            <w:proofErr w:type="gramEnd"/>
            <w:r w:rsidRPr="002B38B0">
              <w:rPr>
                <w:rFonts w:ascii="Arial Narrow" w:eastAsia="Arial Narrow" w:hAnsi="Arial Narrow" w:cs="Arial Narrow"/>
                <w:sz w:val="20"/>
                <w:szCs w:val="20"/>
              </w:rPr>
              <w:t xml:space="preserve"> to make available home-based registration for disabled persons; to handle grievances and complaints).’</w:t>
            </w:r>
          </w:p>
        </w:tc>
        <w:tc>
          <w:tcPr>
            <w:tcW w:w="2321" w:type="dxa"/>
          </w:tcPr>
          <w:p w14:paraId="715E76A3" w14:textId="451A00CC" w:rsidR="00C13FE7" w:rsidRPr="002B38B0" w:rsidRDefault="00614008" w:rsidP="00C13FE7">
            <w:pPr>
              <w:rPr>
                <w:rFonts w:ascii="Arial Narrow" w:eastAsia="Arial Narrow" w:hAnsi="Arial Narrow" w:cs="Arial Narrow"/>
                <w:sz w:val="20"/>
                <w:szCs w:val="20"/>
              </w:rPr>
            </w:pPr>
            <w:r>
              <w:rPr>
                <w:rFonts w:ascii="Arial Narrow" w:hAnsi="Arial Narrow" w:cstheme="minorBidi"/>
                <w:sz w:val="20"/>
                <w:szCs w:val="20"/>
              </w:rPr>
              <w:t>n/a</w:t>
            </w:r>
          </w:p>
        </w:tc>
        <w:tc>
          <w:tcPr>
            <w:tcW w:w="2321" w:type="dxa"/>
          </w:tcPr>
          <w:p w14:paraId="4FFA51DC" w14:textId="6CDE754F" w:rsidR="00C13FE7" w:rsidRPr="00C13FE7" w:rsidRDefault="00C13FE7" w:rsidP="00C13FE7">
            <w:pPr>
              <w:rPr>
                <w:rFonts w:ascii="Arial Narrow" w:eastAsia="Arial Narrow" w:hAnsi="Arial Narrow" w:cs="Arial Narrow"/>
                <w:color w:val="C00000"/>
                <w:sz w:val="20"/>
                <w:szCs w:val="20"/>
              </w:rPr>
            </w:pPr>
            <w:r w:rsidRPr="002B38B0">
              <w:rPr>
                <w:rFonts w:ascii="Arial Narrow" w:eastAsia="Arial Narrow" w:hAnsi="Arial Narrow" w:cs="Arial Narrow"/>
                <w:sz w:val="20"/>
                <w:szCs w:val="20"/>
              </w:rPr>
              <w:t>‘…establishing a national ID program will help improve inclusiveness to the poor and vulnerable, which is expected to broaden inclusion and improve the efficient delivery of key public services.’</w:t>
            </w:r>
          </w:p>
        </w:tc>
        <w:tc>
          <w:tcPr>
            <w:tcW w:w="2321" w:type="dxa"/>
          </w:tcPr>
          <w:p w14:paraId="51234E7F" w14:textId="2D473A88" w:rsidR="00C13FE7" w:rsidRPr="00C13FE7" w:rsidRDefault="00C13FE7" w:rsidP="00C13FE7">
            <w:pPr>
              <w:rPr>
                <w:rFonts w:ascii="Arial Narrow" w:eastAsia="Arial Narrow" w:hAnsi="Arial Narrow" w:cs="Arial Narrow"/>
                <w:color w:val="C00000"/>
                <w:sz w:val="20"/>
                <w:szCs w:val="20"/>
              </w:rPr>
            </w:pPr>
            <w:r w:rsidRPr="00C13FE7">
              <w:rPr>
                <w:rFonts w:ascii="Arial Narrow" w:eastAsia="Arial Narrow" w:hAnsi="Arial Narrow" w:cs="Arial Narrow"/>
                <w:color w:val="C00000"/>
                <w:sz w:val="20"/>
                <w:szCs w:val="20"/>
              </w:rPr>
              <w:t>Report left blank</w:t>
            </w:r>
          </w:p>
        </w:tc>
      </w:tr>
      <w:tr w:rsidR="00C13FE7" w14:paraId="1F8990A6" w14:textId="77777777" w:rsidTr="00C13FE7">
        <w:tc>
          <w:tcPr>
            <w:tcW w:w="2321" w:type="dxa"/>
          </w:tcPr>
          <w:p w14:paraId="2D272256" w14:textId="7B7EFAC8"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Climate Change</w:t>
            </w:r>
          </w:p>
        </w:tc>
        <w:tc>
          <w:tcPr>
            <w:tcW w:w="2321" w:type="dxa"/>
          </w:tcPr>
          <w:p w14:paraId="515D0C4A" w14:textId="119D75D8" w:rsidR="00C13FE7" w:rsidRPr="002B38B0" w:rsidRDefault="00614008" w:rsidP="00C13FE7">
            <w:pPr>
              <w:rPr>
                <w:rFonts w:ascii="Arial Narrow" w:hAnsi="Arial Narrow" w:cstheme="minorHAnsi"/>
                <w:sz w:val="20"/>
                <w:szCs w:val="20"/>
              </w:rPr>
            </w:pPr>
            <w:r>
              <w:rPr>
                <w:rFonts w:ascii="Arial Narrow" w:hAnsi="Arial Narrow" w:cstheme="minorBidi"/>
                <w:sz w:val="20"/>
                <w:szCs w:val="20"/>
              </w:rPr>
              <w:t>n/a</w:t>
            </w:r>
          </w:p>
        </w:tc>
        <w:tc>
          <w:tcPr>
            <w:tcW w:w="2321" w:type="dxa"/>
          </w:tcPr>
          <w:p w14:paraId="79AD64EC" w14:textId="5167B9A0"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‘Climate change-related policy initiatives will be more easily tagged and tracked through the budget preparation process and the </w:t>
            </w:r>
            <w:r w:rsidRPr="002B38B0">
              <w:rPr>
                <w:rFonts w:ascii="Arial Narrow" w:eastAsia="Arial Narrow" w:hAnsi="Arial Narrow" w:cs="Arial Narrow"/>
                <w:sz w:val="20"/>
                <w:szCs w:val="20"/>
              </w:rPr>
              <w:lastRenderedPageBreak/>
              <w:t>results of spending across the country through various policies and initiatives will be more easily assessed both individually and collectively using the data analytics methods.’</w:t>
            </w:r>
          </w:p>
        </w:tc>
        <w:tc>
          <w:tcPr>
            <w:tcW w:w="2321" w:type="dxa"/>
          </w:tcPr>
          <w:p w14:paraId="0C059D1C" w14:textId="60BE89E0" w:rsidR="00C13FE7" w:rsidRPr="002B38B0" w:rsidRDefault="00614008" w:rsidP="00C13FE7">
            <w:pPr>
              <w:rPr>
                <w:rFonts w:ascii="Arial Narrow" w:eastAsia="Arial Narrow" w:hAnsi="Arial Narrow" w:cs="Arial Narrow"/>
                <w:sz w:val="20"/>
                <w:szCs w:val="20"/>
              </w:rPr>
            </w:pPr>
            <w:r>
              <w:rPr>
                <w:rFonts w:ascii="Arial Narrow" w:hAnsi="Arial Narrow" w:cstheme="minorBidi"/>
                <w:sz w:val="20"/>
                <w:szCs w:val="20"/>
              </w:rPr>
              <w:lastRenderedPageBreak/>
              <w:t>n/a</w:t>
            </w:r>
          </w:p>
        </w:tc>
        <w:tc>
          <w:tcPr>
            <w:tcW w:w="2321" w:type="dxa"/>
          </w:tcPr>
          <w:p w14:paraId="4E68F9E3" w14:textId="1349096B" w:rsidR="00C13FE7" w:rsidRPr="002B38B0" w:rsidRDefault="00C13FE7" w:rsidP="00C13FE7">
            <w:pPr>
              <w:rPr>
                <w:rFonts w:ascii="Arial Narrow" w:eastAsia="Arial Narrow" w:hAnsi="Arial Narrow" w:cs="Arial Narrow"/>
                <w:sz w:val="20"/>
                <w:szCs w:val="20"/>
              </w:rPr>
            </w:pPr>
            <w:r w:rsidRPr="00C13FE7">
              <w:rPr>
                <w:rFonts w:ascii="Arial Narrow" w:eastAsia="Arial Narrow" w:hAnsi="Arial Narrow" w:cs="Arial Narrow"/>
                <w:color w:val="C00000"/>
                <w:sz w:val="20"/>
                <w:szCs w:val="20"/>
              </w:rPr>
              <w:t>‘NA’</w:t>
            </w:r>
          </w:p>
        </w:tc>
        <w:tc>
          <w:tcPr>
            <w:tcW w:w="2321" w:type="dxa"/>
          </w:tcPr>
          <w:p w14:paraId="2C475494" w14:textId="73FAFCA0" w:rsidR="00C13FE7" w:rsidRPr="00C13FE7" w:rsidRDefault="00C13FE7" w:rsidP="00C13FE7">
            <w:pPr>
              <w:rPr>
                <w:rFonts w:ascii="Arial Narrow" w:eastAsia="Arial Narrow" w:hAnsi="Arial Narrow" w:cs="Arial Narrow"/>
                <w:color w:val="C00000"/>
                <w:sz w:val="20"/>
                <w:szCs w:val="20"/>
              </w:rPr>
            </w:pPr>
            <w:r w:rsidRPr="00C13FE7">
              <w:rPr>
                <w:rFonts w:ascii="Arial Narrow" w:eastAsia="Arial Narrow" w:hAnsi="Arial Narrow" w:cs="Arial Narrow"/>
                <w:color w:val="C00000"/>
                <w:sz w:val="20"/>
                <w:szCs w:val="20"/>
              </w:rPr>
              <w:t>Report left blank</w:t>
            </w:r>
          </w:p>
        </w:tc>
      </w:tr>
      <w:tr w:rsidR="00C13FE7" w14:paraId="325C0C27" w14:textId="77777777" w:rsidTr="00C13FE7">
        <w:tc>
          <w:tcPr>
            <w:tcW w:w="2321" w:type="dxa"/>
          </w:tcPr>
          <w:p w14:paraId="41CDA674" w14:textId="104AF6DB" w:rsidR="00C13FE7" w:rsidRPr="002B38B0" w:rsidRDefault="00C13FE7"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t>Private Sector Development</w:t>
            </w:r>
          </w:p>
        </w:tc>
        <w:tc>
          <w:tcPr>
            <w:tcW w:w="2321" w:type="dxa"/>
          </w:tcPr>
          <w:p w14:paraId="09779719" w14:textId="08BC4F3D" w:rsidR="00C13FE7" w:rsidRPr="002B38B0" w:rsidRDefault="00614008" w:rsidP="00C13FE7">
            <w:pPr>
              <w:rPr>
                <w:rFonts w:ascii="Arial Narrow" w:hAnsi="Arial Narrow" w:cstheme="minorHAnsi"/>
                <w:sz w:val="20"/>
                <w:szCs w:val="20"/>
              </w:rPr>
            </w:pPr>
            <w:r>
              <w:rPr>
                <w:rFonts w:ascii="Arial Narrow" w:hAnsi="Arial Narrow" w:cstheme="minorBidi"/>
                <w:sz w:val="20"/>
                <w:szCs w:val="20"/>
              </w:rPr>
              <w:t>n/a</w:t>
            </w:r>
          </w:p>
        </w:tc>
        <w:tc>
          <w:tcPr>
            <w:tcW w:w="2321" w:type="dxa"/>
          </w:tcPr>
          <w:p w14:paraId="26ECFC5D"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‘Key milestones of the rice liberalization and its IRR will be assessed having in mind the development of the private sector. Any recommendation should be in line with crowding in the private sector, rather than crowding it out.’</w:t>
            </w:r>
          </w:p>
          <w:p w14:paraId="6C9A363A" w14:textId="77777777"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‘The introduction of a National ID system…and the implementation of a National Payment Systems Act, are expected to … further boost investments by the private sector’</w:t>
            </w:r>
          </w:p>
          <w:p w14:paraId="4BEC3D39" w14:textId="731F42FB" w:rsidR="00C13FE7" w:rsidRPr="002B38B0" w:rsidRDefault="00C13FE7"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 allow for identification of specific reference points and monitoring arrangements for private sector development related activities.’</w:t>
            </w:r>
          </w:p>
        </w:tc>
        <w:tc>
          <w:tcPr>
            <w:tcW w:w="2321" w:type="dxa"/>
          </w:tcPr>
          <w:p w14:paraId="40F594D0" w14:textId="3B388A1D" w:rsidR="00C13FE7" w:rsidRPr="002B38B0" w:rsidRDefault="00614008" w:rsidP="00C13FE7">
            <w:pPr>
              <w:rPr>
                <w:rFonts w:ascii="Arial Narrow" w:eastAsia="Arial Narrow" w:hAnsi="Arial Narrow" w:cs="Arial Narrow"/>
                <w:sz w:val="20"/>
                <w:szCs w:val="20"/>
              </w:rPr>
            </w:pPr>
            <w:r>
              <w:rPr>
                <w:rFonts w:ascii="Arial Narrow" w:hAnsi="Arial Narrow" w:cstheme="minorBidi"/>
                <w:sz w:val="20"/>
                <w:szCs w:val="20"/>
              </w:rPr>
              <w:t>n/a</w:t>
            </w:r>
          </w:p>
        </w:tc>
        <w:tc>
          <w:tcPr>
            <w:tcW w:w="2321" w:type="dxa"/>
          </w:tcPr>
          <w:p w14:paraId="285AD8FD" w14:textId="11599764" w:rsidR="00C13FE7" w:rsidRPr="00C13FE7" w:rsidRDefault="00C13FE7" w:rsidP="00C13FE7">
            <w:pPr>
              <w:rPr>
                <w:rFonts w:ascii="Arial Narrow" w:eastAsia="Arial Narrow" w:hAnsi="Arial Narrow" w:cs="Arial Narrow"/>
                <w:color w:val="C00000"/>
                <w:sz w:val="20"/>
                <w:szCs w:val="20"/>
              </w:rPr>
            </w:pPr>
            <w:r w:rsidRPr="002B38B0">
              <w:rPr>
                <w:rFonts w:ascii="Arial Narrow" w:eastAsia="Arial Narrow" w:hAnsi="Arial Narrow" w:cs="Arial Narrow"/>
                <w:sz w:val="20"/>
                <w:szCs w:val="20"/>
              </w:rPr>
              <w:t>‘…National ID System…expected to boost service delivery, financial inclusion, and facilitate the transition of the Philippine economy into the digital age which would broaden the country’s prospects and further boost private sector investment.’</w:t>
            </w:r>
          </w:p>
        </w:tc>
        <w:tc>
          <w:tcPr>
            <w:tcW w:w="2321" w:type="dxa"/>
          </w:tcPr>
          <w:p w14:paraId="40432B31" w14:textId="351182B6" w:rsidR="00C13FE7" w:rsidRPr="00C13FE7" w:rsidRDefault="00C13FE7" w:rsidP="00C13FE7">
            <w:pPr>
              <w:rPr>
                <w:rFonts w:ascii="Arial Narrow" w:eastAsia="Arial Narrow" w:hAnsi="Arial Narrow" w:cs="Arial Narrow"/>
                <w:color w:val="C00000"/>
                <w:sz w:val="20"/>
                <w:szCs w:val="20"/>
              </w:rPr>
            </w:pPr>
            <w:r w:rsidRPr="00C13FE7">
              <w:rPr>
                <w:rFonts w:ascii="Arial Narrow" w:eastAsia="Arial Narrow" w:hAnsi="Arial Narrow" w:cs="Arial Narrow"/>
                <w:color w:val="C00000"/>
                <w:sz w:val="20"/>
                <w:szCs w:val="20"/>
              </w:rPr>
              <w:t>Report left blank</w:t>
            </w:r>
          </w:p>
        </w:tc>
      </w:tr>
      <w:tr w:rsidR="00614008" w14:paraId="59EAC86B" w14:textId="77777777" w:rsidTr="0068618A">
        <w:trPr>
          <w:trHeight w:val="1806"/>
        </w:trPr>
        <w:tc>
          <w:tcPr>
            <w:tcW w:w="2321" w:type="dxa"/>
          </w:tcPr>
          <w:p w14:paraId="64760590" w14:textId="1F178C23" w:rsidR="00614008" w:rsidRPr="002B38B0" w:rsidRDefault="00614008" w:rsidP="00C13FE7">
            <w:pPr>
              <w:rPr>
                <w:rFonts w:ascii="Arial Narrow" w:eastAsia="Arial Narrow" w:hAnsi="Arial Narrow" w:cs="Arial Narrow"/>
                <w:b/>
                <w:bCs/>
                <w:sz w:val="20"/>
                <w:szCs w:val="20"/>
              </w:rPr>
            </w:pPr>
            <w:r w:rsidRPr="002B38B0">
              <w:rPr>
                <w:rFonts w:ascii="Arial Narrow" w:eastAsia="Arial Narrow" w:hAnsi="Arial Narrow" w:cs="Arial Narrow"/>
                <w:b/>
                <w:bCs/>
                <w:sz w:val="20"/>
                <w:szCs w:val="20"/>
              </w:rPr>
              <w:lastRenderedPageBreak/>
              <w:t>Innovation</w:t>
            </w:r>
          </w:p>
        </w:tc>
        <w:tc>
          <w:tcPr>
            <w:tcW w:w="2321" w:type="dxa"/>
          </w:tcPr>
          <w:p w14:paraId="1EC040F4" w14:textId="031741CC" w:rsidR="00614008" w:rsidRPr="002B38B0" w:rsidRDefault="00614008" w:rsidP="00C13FE7">
            <w:pPr>
              <w:rPr>
                <w:rFonts w:ascii="Arial Narrow" w:hAnsi="Arial Narrow" w:cstheme="minorHAnsi"/>
                <w:sz w:val="20"/>
                <w:szCs w:val="20"/>
              </w:rPr>
            </w:pPr>
            <w:r>
              <w:rPr>
                <w:rFonts w:ascii="Arial Narrow" w:hAnsi="Arial Narrow" w:cstheme="minorBidi"/>
                <w:sz w:val="20"/>
                <w:szCs w:val="20"/>
              </w:rPr>
              <w:t>n/a</w:t>
            </w:r>
          </w:p>
        </w:tc>
        <w:tc>
          <w:tcPr>
            <w:tcW w:w="2321" w:type="dxa"/>
          </w:tcPr>
          <w:p w14:paraId="4EF98BE7" w14:textId="77777777" w:rsidR="00614008" w:rsidRPr="002B38B0" w:rsidRDefault="00614008"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‘…innovative ICT features to make a registry that is in line with agriculture 4.0’</w:t>
            </w:r>
          </w:p>
          <w:p w14:paraId="508889BC" w14:textId="5678FEEC" w:rsidR="00614008" w:rsidRPr="002B38B0" w:rsidRDefault="00614008" w:rsidP="00C13FE7">
            <w:pPr>
              <w:rPr>
                <w:rFonts w:ascii="Arial Narrow" w:eastAsia="Arial Narrow" w:hAnsi="Arial Narrow" w:cs="Arial Narrow"/>
                <w:sz w:val="20"/>
                <w:szCs w:val="20"/>
              </w:rPr>
            </w:pPr>
            <w:r w:rsidRPr="002B38B0">
              <w:rPr>
                <w:rFonts w:ascii="Arial Narrow" w:eastAsia="Arial Narrow" w:hAnsi="Arial Narrow" w:cs="Arial Narrow"/>
                <w:sz w:val="20"/>
                <w:szCs w:val="20"/>
              </w:rPr>
              <w:t xml:space="preserve">‘…seek to further advance innovative approaches for the implementation of the </w:t>
            </w:r>
            <w:proofErr w:type="spellStart"/>
            <w:r w:rsidRPr="002B38B0">
              <w:rPr>
                <w:rFonts w:ascii="Arial Narrow" w:eastAsia="Arial Narrow" w:hAnsi="Arial Narrow" w:cs="Arial Narrow"/>
                <w:sz w:val="20"/>
                <w:szCs w:val="20"/>
              </w:rPr>
              <w:t>PhilSys</w:t>
            </w:r>
            <w:proofErr w:type="spellEnd"/>
            <w:r w:rsidRPr="002B38B0">
              <w:rPr>
                <w:rFonts w:ascii="Arial Narrow" w:eastAsia="Arial Narrow" w:hAnsi="Arial Narrow" w:cs="Arial Narrow"/>
                <w:sz w:val="20"/>
                <w:szCs w:val="20"/>
              </w:rPr>
              <w:t>’</w:t>
            </w:r>
          </w:p>
        </w:tc>
        <w:tc>
          <w:tcPr>
            <w:tcW w:w="2321" w:type="dxa"/>
          </w:tcPr>
          <w:p w14:paraId="2118DAE0" w14:textId="2E43D89F" w:rsidR="00614008" w:rsidRPr="002B38B0" w:rsidRDefault="00614008" w:rsidP="00C13FE7">
            <w:pPr>
              <w:rPr>
                <w:rFonts w:ascii="Arial Narrow" w:eastAsia="Arial Narrow" w:hAnsi="Arial Narrow" w:cs="Arial Narrow"/>
                <w:sz w:val="20"/>
                <w:szCs w:val="20"/>
              </w:rPr>
            </w:pPr>
            <w:r>
              <w:rPr>
                <w:rFonts w:ascii="Arial Narrow" w:hAnsi="Arial Narrow" w:cstheme="minorBidi"/>
                <w:sz w:val="20"/>
                <w:szCs w:val="20"/>
              </w:rPr>
              <w:t>n/a</w:t>
            </w:r>
          </w:p>
        </w:tc>
        <w:tc>
          <w:tcPr>
            <w:tcW w:w="2321" w:type="dxa"/>
          </w:tcPr>
          <w:p w14:paraId="5191743A" w14:textId="18DA60B4" w:rsidR="00614008" w:rsidRPr="002B38B0" w:rsidRDefault="00614008" w:rsidP="00C13FE7">
            <w:pPr>
              <w:rPr>
                <w:rFonts w:ascii="Arial Narrow" w:eastAsia="Arial Narrow" w:hAnsi="Arial Narrow" w:cs="Arial Narrow"/>
                <w:sz w:val="20"/>
                <w:szCs w:val="20"/>
              </w:rPr>
            </w:pPr>
            <w:r w:rsidRPr="00C13FE7">
              <w:rPr>
                <w:rFonts w:ascii="Arial Narrow" w:eastAsia="Arial Narrow" w:hAnsi="Arial Narrow" w:cs="Arial Narrow"/>
                <w:color w:val="C00000"/>
                <w:sz w:val="20"/>
                <w:szCs w:val="20"/>
              </w:rPr>
              <w:t>‘NA’</w:t>
            </w:r>
          </w:p>
        </w:tc>
        <w:tc>
          <w:tcPr>
            <w:tcW w:w="2321" w:type="dxa"/>
          </w:tcPr>
          <w:p w14:paraId="5424BF65" w14:textId="08BE385D" w:rsidR="00614008" w:rsidRPr="00C13FE7" w:rsidRDefault="00614008" w:rsidP="00C13FE7">
            <w:pPr>
              <w:rPr>
                <w:rFonts w:ascii="Arial Narrow" w:eastAsia="Arial Narrow" w:hAnsi="Arial Narrow" w:cs="Arial Narrow"/>
                <w:color w:val="C00000"/>
                <w:sz w:val="20"/>
                <w:szCs w:val="20"/>
              </w:rPr>
            </w:pPr>
            <w:r w:rsidRPr="00C13FE7">
              <w:rPr>
                <w:rFonts w:ascii="Arial Narrow" w:eastAsia="Arial Narrow" w:hAnsi="Arial Narrow" w:cs="Arial Narrow"/>
                <w:color w:val="C00000"/>
                <w:sz w:val="20"/>
                <w:szCs w:val="20"/>
              </w:rPr>
              <w:t>Report left blank</w:t>
            </w:r>
          </w:p>
        </w:tc>
      </w:tr>
    </w:tbl>
    <w:p w14:paraId="7ADEF61F" w14:textId="77777777" w:rsidR="00B86C1E" w:rsidRPr="00B86C1E" w:rsidRDefault="00B86C1E" w:rsidP="00B86C1E">
      <w:pPr>
        <w:widowControl w:val="0"/>
        <w:pBdr>
          <w:top w:val="nil"/>
          <w:left w:val="nil"/>
          <w:bottom w:val="nil"/>
          <w:right w:val="nil"/>
          <w:between w:val="nil"/>
        </w:pBdr>
        <w:spacing w:line="276" w:lineRule="auto"/>
        <w:rPr>
          <w:rFonts w:ascii="Arial" w:eastAsia="Arial" w:hAnsi="Arial" w:cs="Arial"/>
          <w:color w:val="000000"/>
          <w:sz w:val="20"/>
          <w:szCs w:val="20"/>
        </w:rPr>
      </w:pPr>
    </w:p>
    <w:sectPr w:rsidR="00B86C1E" w:rsidRPr="00B86C1E" w:rsidSect="00FC7246">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2C18" w14:textId="77777777" w:rsidR="00032838" w:rsidRDefault="00032838" w:rsidP="00225D7B">
      <w:r>
        <w:separator/>
      </w:r>
    </w:p>
  </w:endnote>
  <w:endnote w:type="continuationSeparator" w:id="0">
    <w:p w14:paraId="47AC4964" w14:textId="77777777" w:rsidR="00032838" w:rsidRDefault="00032838" w:rsidP="00225D7B">
      <w:r>
        <w:continuationSeparator/>
      </w:r>
    </w:p>
  </w:endnote>
  <w:endnote w:type="continuationNotice" w:id="1">
    <w:p w14:paraId="068E41BE" w14:textId="77777777" w:rsidR="00032838" w:rsidRDefault="00032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F5F3" w14:textId="6AA48B1F" w:rsidR="00563112" w:rsidRDefault="00563112" w:rsidP="00D460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C056A5C" w14:textId="77777777" w:rsidR="00E80CD0" w:rsidRDefault="00E80CD0" w:rsidP="005631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EA43" w14:textId="641261CA" w:rsidR="00EB7572" w:rsidRDefault="00EB7572">
    <w:pPr>
      <w:pStyle w:val="Footer"/>
    </w:pPr>
    <w:r>
      <w:t xml:space="preserve">Independent Evaluation, December 2022 </w:t>
    </w:r>
    <w:r w:rsidRPr="00392645">
      <w:t>ver</w:t>
    </w:r>
    <w:r w:rsidR="00392645" w:rsidRPr="006F738B">
      <w:t>sion 2.0</w:t>
    </w:r>
    <w:r>
      <w:t xml:space="preserve"> (FINAL)</w:t>
    </w:r>
  </w:p>
  <w:p w14:paraId="3DD2D8FA" w14:textId="77777777" w:rsidR="00E80CD0" w:rsidRDefault="00E80CD0" w:rsidP="005631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DBD8" w14:textId="77777777" w:rsidR="00032838" w:rsidRDefault="00032838" w:rsidP="00225D7B">
      <w:r>
        <w:separator/>
      </w:r>
    </w:p>
  </w:footnote>
  <w:footnote w:type="continuationSeparator" w:id="0">
    <w:p w14:paraId="47BEB31D" w14:textId="77777777" w:rsidR="00032838" w:rsidRDefault="00032838" w:rsidP="00225D7B">
      <w:r>
        <w:continuationSeparator/>
      </w:r>
    </w:p>
  </w:footnote>
  <w:footnote w:type="continuationNotice" w:id="1">
    <w:p w14:paraId="285A8404" w14:textId="77777777" w:rsidR="00032838" w:rsidRDefault="00032838"/>
  </w:footnote>
  <w:footnote w:id="2">
    <w:p w14:paraId="7C3434A2" w14:textId="6D495F5F" w:rsidR="00970160" w:rsidRPr="006F738B" w:rsidRDefault="00970160">
      <w:pPr>
        <w:pStyle w:val="FootnoteText"/>
        <w:rPr>
          <w:lang w:val="en-GB"/>
        </w:rPr>
      </w:pPr>
      <w:r>
        <w:rPr>
          <w:rStyle w:val="FootnoteReference"/>
        </w:rPr>
        <w:footnoteRef/>
      </w:r>
      <w:r w:rsidR="009E0B18" w:rsidRPr="006F738B">
        <w:rPr>
          <w:sz w:val="18"/>
          <w:szCs w:val="18"/>
        </w:rPr>
        <w:t xml:space="preserve"> The </w:t>
      </w:r>
      <w:r w:rsidR="00FE3B94" w:rsidRPr="006F738B">
        <w:rPr>
          <w:sz w:val="18"/>
          <w:szCs w:val="18"/>
        </w:rPr>
        <w:t xml:space="preserve">ToR for this review states that </w:t>
      </w:r>
      <w:r w:rsidR="001D5BE3" w:rsidRPr="006F738B">
        <w:rPr>
          <w:sz w:val="18"/>
          <w:szCs w:val="18"/>
        </w:rPr>
        <w:t>‘</w:t>
      </w:r>
      <w:r w:rsidR="007628AF">
        <w:rPr>
          <w:sz w:val="18"/>
          <w:szCs w:val="18"/>
          <w:lang w:val="en"/>
        </w:rPr>
        <w:t>AGaP</w:t>
      </w:r>
      <w:r w:rsidRPr="006F738B">
        <w:rPr>
          <w:sz w:val="18"/>
          <w:szCs w:val="18"/>
          <w:lang w:val="en"/>
        </w:rPr>
        <w:t xml:space="preserve"> is designed to be flexible to respond to emerging needs, and as policy priorities evolve over time, including during changeovers in administration, and during crises, such as during the COVID-19 pandemic.</w:t>
      </w:r>
      <w:r w:rsidR="001D5BE3">
        <w:rPr>
          <w:sz w:val="18"/>
          <w:szCs w:val="18"/>
          <w:lang w:val="en"/>
        </w:rPr>
        <w:t xml:space="preserve">’ </w:t>
      </w:r>
    </w:p>
  </w:footnote>
  <w:footnote w:id="3">
    <w:p w14:paraId="518F5728" w14:textId="5432E7B2" w:rsidR="00BE445D" w:rsidRPr="00547DC5" w:rsidRDefault="00BE445D" w:rsidP="00BE445D">
      <w:pPr>
        <w:pStyle w:val="FootnoteText"/>
        <w:rPr>
          <w:lang w:val="en-GB"/>
        </w:rPr>
      </w:pPr>
      <w:r>
        <w:rPr>
          <w:rStyle w:val="FootnoteReference"/>
        </w:rPr>
        <w:footnoteRef/>
      </w:r>
      <w:r>
        <w:t xml:space="preserve"> </w:t>
      </w:r>
      <w:r w:rsidRPr="005234AE">
        <w:rPr>
          <w:lang w:val="en"/>
        </w:rPr>
        <w:t xml:space="preserve">For example, include selection criteria for </w:t>
      </w:r>
      <w:r w:rsidR="007628AF">
        <w:rPr>
          <w:lang w:val="en"/>
        </w:rPr>
        <w:t>AGaP</w:t>
      </w:r>
      <w:r w:rsidRPr="005234AE">
        <w:rPr>
          <w:lang w:val="en"/>
        </w:rPr>
        <w:t xml:space="preserve"> activities such as, </w:t>
      </w:r>
      <w:r w:rsidRPr="005234AE">
        <w:rPr>
          <w:i/>
          <w:lang w:val="en"/>
        </w:rPr>
        <w:t xml:space="preserve">Gender analysis and review by Gender Specialists of both Australia and the World Bank prior to submission. </w:t>
      </w:r>
      <w:r w:rsidRPr="005234AE">
        <w:rPr>
          <w:lang w:val="en"/>
        </w:rPr>
        <w:t xml:space="preserve">DFAT could consider adding a Gender Guidance Note to the Ops </w:t>
      </w:r>
      <w:r w:rsidR="00446C02">
        <w:rPr>
          <w:lang w:val="en"/>
        </w:rPr>
        <w:t>M</w:t>
      </w:r>
      <w:r w:rsidRPr="005234AE">
        <w:rPr>
          <w:lang w:val="en"/>
        </w:rPr>
        <w:t>anual (see annex 7 for an example from the Ops Manual from the ABP2 Trust Fund in Vietnam)</w:t>
      </w:r>
    </w:p>
  </w:footnote>
  <w:footnote w:id="4">
    <w:p w14:paraId="2BC23F2C" w14:textId="6C65C75D" w:rsidR="00267013" w:rsidRPr="006F738B" w:rsidRDefault="00267013">
      <w:pPr>
        <w:pStyle w:val="FootnoteText"/>
        <w:rPr>
          <w:lang w:val="en-GB"/>
        </w:rPr>
      </w:pPr>
      <w:r>
        <w:rPr>
          <w:rStyle w:val="FootnoteReference"/>
        </w:rPr>
        <w:footnoteRef/>
      </w:r>
      <w:r>
        <w:t xml:space="preserve"> </w:t>
      </w:r>
      <w:r w:rsidR="001916FE">
        <w:t xml:space="preserve">For reference </w:t>
      </w:r>
      <w:r w:rsidR="00B25E0D" w:rsidRPr="00B25E0D">
        <w:rPr>
          <w:lang w:val="en-GB"/>
        </w:rPr>
        <w:t>DFAT’s Design and Monitoring &amp; Evaluation Standards provide a guideline that 4-7% of budget is allocated for M&amp;E</w:t>
      </w:r>
      <w:r w:rsidR="004351B9">
        <w:rPr>
          <w:lang w:val="en-GB"/>
        </w:rPr>
        <w:t>.</w:t>
      </w:r>
    </w:p>
  </w:footnote>
  <w:footnote w:id="5">
    <w:p w14:paraId="7974EE14" w14:textId="0CCE8053" w:rsidR="00787A67" w:rsidRPr="00787A67" w:rsidRDefault="00787A67">
      <w:pPr>
        <w:pStyle w:val="FootnoteText"/>
      </w:pPr>
      <w:r>
        <w:rPr>
          <w:rStyle w:val="FootnoteReference"/>
        </w:rPr>
        <w:footnoteRef/>
      </w:r>
      <w:r>
        <w:t xml:space="preserve"> Example methodology provided in the </w:t>
      </w:r>
      <w:r w:rsidRPr="00787A67">
        <w:t xml:space="preserve">Monitoring, evaluation and reporting </w:t>
      </w:r>
      <w:r>
        <w:t>section</w:t>
      </w:r>
    </w:p>
  </w:footnote>
  <w:footnote w:id="6">
    <w:p w14:paraId="5B9B05D8" w14:textId="460614A1" w:rsidR="00333774" w:rsidRPr="00333774" w:rsidRDefault="0047588C" w:rsidP="00333774">
      <w:pPr>
        <w:pStyle w:val="FootnoteText"/>
      </w:pPr>
      <w:r>
        <w:rPr>
          <w:rStyle w:val="FootnoteReference"/>
        </w:rPr>
        <w:footnoteRef/>
      </w:r>
      <w:r>
        <w:t xml:space="preserve"> </w:t>
      </w:r>
      <w:r w:rsidR="00826BC3">
        <w:rPr>
          <w:lang w:val="en-GB"/>
        </w:rPr>
        <w:t xml:space="preserve">See </w:t>
      </w:r>
      <w:r w:rsidR="00400454">
        <w:rPr>
          <w:lang w:val="en-GB"/>
        </w:rPr>
        <w:t>t</w:t>
      </w:r>
      <w:r w:rsidR="00333774" w:rsidRPr="00333774">
        <w:t xml:space="preserve">he </w:t>
      </w:r>
      <w:r w:rsidR="00400454">
        <w:t>‘</w:t>
      </w:r>
      <w:r w:rsidR="00333774" w:rsidRPr="00333774">
        <w:t>Partnership between DFAT and World Bank</w:t>
      </w:r>
      <w:r w:rsidR="00400454">
        <w:t>’ section of the report</w:t>
      </w:r>
      <w:r w:rsidR="00826BC3">
        <w:t xml:space="preserve"> for additional detail. </w:t>
      </w:r>
    </w:p>
    <w:p w14:paraId="4A7D7421" w14:textId="653C0D0D" w:rsidR="0047588C" w:rsidRPr="006F738B" w:rsidRDefault="0047588C">
      <w:pPr>
        <w:pStyle w:val="FootnoteText"/>
        <w:rPr>
          <w:lang w:val="en-GB"/>
        </w:rPr>
      </w:pPr>
    </w:p>
  </w:footnote>
  <w:footnote w:id="7">
    <w:p w14:paraId="762E19D9" w14:textId="3FEF70FB" w:rsidR="00E4412B" w:rsidRPr="00547DC5" w:rsidRDefault="00E4412B">
      <w:pPr>
        <w:pStyle w:val="FootnoteText"/>
        <w:rPr>
          <w:lang w:val="en-GB"/>
        </w:rPr>
      </w:pPr>
      <w:r>
        <w:rPr>
          <w:rStyle w:val="FootnoteReference"/>
        </w:rPr>
        <w:footnoteRef/>
      </w:r>
      <w:r>
        <w:t xml:space="preserve"> </w:t>
      </w:r>
      <w:r w:rsidR="007628AF">
        <w:rPr>
          <w:rFonts w:asciiTheme="majorHAnsi" w:hAnsiTheme="majorHAnsi" w:cstheme="majorHAnsi"/>
          <w:sz w:val="18"/>
          <w:szCs w:val="18"/>
        </w:rPr>
        <w:t>AGaP</w:t>
      </w:r>
      <w:r w:rsidRPr="00230FF0">
        <w:rPr>
          <w:rFonts w:asciiTheme="majorHAnsi" w:hAnsiTheme="majorHAnsi" w:cstheme="majorHAnsi"/>
          <w:sz w:val="18"/>
          <w:szCs w:val="18"/>
        </w:rPr>
        <w:t xml:space="preserve"> 1st Steering Committee Minutes, 6</w:t>
      </w:r>
      <w:r>
        <w:rPr>
          <w:rFonts w:asciiTheme="majorHAnsi" w:hAnsiTheme="majorHAnsi" w:cstheme="majorHAnsi"/>
          <w:sz w:val="18"/>
          <w:szCs w:val="18"/>
        </w:rPr>
        <w:t>th</w:t>
      </w:r>
      <w:r w:rsidRPr="00230FF0">
        <w:rPr>
          <w:rFonts w:asciiTheme="majorHAnsi" w:hAnsiTheme="majorHAnsi" w:cstheme="majorHAnsi"/>
          <w:sz w:val="18"/>
          <w:szCs w:val="18"/>
        </w:rPr>
        <w:t xml:space="preserve"> June 2019</w:t>
      </w:r>
    </w:p>
  </w:footnote>
  <w:footnote w:id="8">
    <w:p w14:paraId="124CEE8C" w14:textId="5FCE1470" w:rsidR="00121391" w:rsidRPr="00230FF0" w:rsidRDefault="00121391" w:rsidP="00230FF0">
      <w:pPr>
        <w:spacing w:before="0"/>
        <w:rPr>
          <w:rFonts w:asciiTheme="majorHAnsi" w:hAnsiTheme="majorHAnsi" w:cstheme="majorHAnsi"/>
          <w:sz w:val="18"/>
          <w:szCs w:val="18"/>
        </w:rPr>
      </w:pPr>
      <w:r w:rsidRPr="00230FF0">
        <w:rPr>
          <w:rFonts w:asciiTheme="majorHAnsi" w:hAnsiTheme="majorHAnsi" w:cstheme="majorHAnsi"/>
          <w:sz w:val="18"/>
          <w:szCs w:val="18"/>
          <w:vertAlign w:val="superscript"/>
        </w:rPr>
        <w:footnoteRef/>
      </w:r>
      <w:r w:rsidRPr="00230FF0">
        <w:rPr>
          <w:rFonts w:asciiTheme="majorHAnsi" w:hAnsiTheme="majorHAnsi" w:cstheme="majorHAnsi"/>
          <w:sz w:val="18"/>
          <w:szCs w:val="18"/>
        </w:rPr>
        <w:t xml:space="preserve"> </w:t>
      </w:r>
      <w:r w:rsidR="007628AF">
        <w:rPr>
          <w:rFonts w:asciiTheme="majorHAnsi" w:hAnsiTheme="majorHAnsi" w:cstheme="majorHAnsi"/>
          <w:sz w:val="18"/>
          <w:szCs w:val="18"/>
        </w:rPr>
        <w:t>AGaP</w:t>
      </w:r>
      <w:r w:rsidRPr="00230FF0">
        <w:rPr>
          <w:rFonts w:asciiTheme="majorHAnsi" w:hAnsiTheme="majorHAnsi" w:cstheme="majorHAnsi"/>
          <w:sz w:val="18"/>
          <w:szCs w:val="18"/>
        </w:rPr>
        <w:t xml:space="preserve"> 1st Steering Committee Minutes, 6</w:t>
      </w:r>
      <w:r w:rsidR="00F52A57">
        <w:rPr>
          <w:rFonts w:asciiTheme="majorHAnsi" w:hAnsiTheme="majorHAnsi" w:cstheme="majorHAnsi"/>
          <w:sz w:val="18"/>
          <w:szCs w:val="18"/>
        </w:rPr>
        <w:t>th</w:t>
      </w:r>
      <w:r w:rsidRPr="00230FF0">
        <w:rPr>
          <w:rFonts w:asciiTheme="majorHAnsi" w:hAnsiTheme="majorHAnsi" w:cstheme="majorHAnsi"/>
          <w:sz w:val="18"/>
          <w:szCs w:val="18"/>
        </w:rPr>
        <w:t xml:space="preserve"> June 2019 </w:t>
      </w:r>
    </w:p>
  </w:footnote>
  <w:footnote w:id="9">
    <w:p w14:paraId="2C681A12" w14:textId="7FF302EC" w:rsidR="00121391" w:rsidRDefault="00121391" w:rsidP="00230FF0">
      <w:pPr>
        <w:spacing w:before="0"/>
        <w:rPr>
          <w:sz w:val="20"/>
          <w:szCs w:val="20"/>
        </w:rPr>
      </w:pPr>
      <w:r w:rsidRPr="00230FF0">
        <w:rPr>
          <w:rFonts w:asciiTheme="majorHAnsi" w:hAnsiTheme="majorHAnsi" w:cstheme="majorHAnsi"/>
          <w:sz w:val="18"/>
          <w:szCs w:val="18"/>
          <w:vertAlign w:val="superscript"/>
        </w:rPr>
        <w:footnoteRef/>
      </w:r>
      <w:r w:rsidRPr="00230FF0">
        <w:rPr>
          <w:rFonts w:asciiTheme="majorHAnsi" w:hAnsiTheme="majorHAnsi" w:cstheme="majorHAnsi"/>
          <w:sz w:val="18"/>
          <w:szCs w:val="18"/>
        </w:rPr>
        <w:t xml:space="preserve"> </w:t>
      </w:r>
      <w:r w:rsidR="007628AF">
        <w:rPr>
          <w:rFonts w:asciiTheme="majorHAnsi" w:hAnsiTheme="majorHAnsi" w:cstheme="majorHAnsi"/>
          <w:sz w:val="18"/>
          <w:szCs w:val="18"/>
        </w:rPr>
        <w:t>AGaP</w:t>
      </w:r>
      <w:r w:rsidRPr="00230FF0">
        <w:rPr>
          <w:rFonts w:asciiTheme="majorHAnsi" w:hAnsiTheme="majorHAnsi" w:cstheme="majorHAnsi"/>
          <w:sz w:val="18"/>
          <w:szCs w:val="18"/>
        </w:rPr>
        <w:t xml:space="preserve"> 3rd Steering Commit</w:t>
      </w:r>
      <w:r w:rsidR="00F52A57">
        <w:rPr>
          <w:rFonts w:asciiTheme="majorHAnsi" w:hAnsiTheme="majorHAnsi" w:cstheme="majorHAnsi"/>
          <w:sz w:val="18"/>
          <w:szCs w:val="18"/>
        </w:rPr>
        <w:t>t</w:t>
      </w:r>
      <w:r w:rsidRPr="00230FF0">
        <w:rPr>
          <w:rFonts w:asciiTheme="majorHAnsi" w:hAnsiTheme="majorHAnsi" w:cstheme="majorHAnsi"/>
          <w:sz w:val="18"/>
          <w:szCs w:val="18"/>
        </w:rPr>
        <w:t>ee Minutes, 8th December 2020</w:t>
      </w:r>
    </w:p>
  </w:footnote>
  <w:footnote w:id="10">
    <w:p w14:paraId="25670784" w14:textId="28C409B4" w:rsidR="00C1244F" w:rsidRPr="00547DC5" w:rsidRDefault="00C1244F">
      <w:pPr>
        <w:pStyle w:val="FootnoteText"/>
        <w:rPr>
          <w:lang w:val="en-GB"/>
        </w:rPr>
      </w:pPr>
      <w:r>
        <w:rPr>
          <w:rStyle w:val="FootnoteReference"/>
        </w:rPr>
        <w:footnoteRef/>
      </w:r>
      <w:r>
        <w:t xml:space="preserve"> </w:t>
      </w:r>
      <w:r w:rsidR="007628AF">
        <w:rPr>
          <w:rFonts w:asciiTheme="majorHAnsi" w:hAnsiTheme="majorHAnsi" w:cstheme="majorHAnsi"/>
          <w:sz w:val="18"/>
          <w:szCs w:val="18"/>
          <w:lang w:val="en-GB"/>
        </w:rPr>
        <w:t>AGaP</w:t>
      </w:r>
      <w:r w:rsidR="006C1FEE" w:rsidRPr="006C1FEE">
        <w:rPr>
          <w:rFonts w:asciiTheme="majorHAnsi" w:hAnsiTheme="majorHAnsi" w:cstheme="majorHAnsi"/>
          <w:sz w:val="18"/>
          <w:szCs w:val="18"/>
          <w:lang w:val="en-GB"/>
        </w:rPr>
        <w:t xml:space="preserve"> 4</w:t>
      </w:r>
      <w:r w:rsidR="006C1FEE" w:rsidRPr="006C1FEE">
        <w:rPr>
          <w:rFonts w:asciiTheme="majorHAnsi" w:hAnsiTheme="majorHAnsi" w:cstheme="majorHAnsi"/>
          <w:sz w:val="18"/>
          <w:szCs w:val="18"/>
          <w:vertAlign w:val="superscript"/>
          <w:lang w:val="en-GB"/>
        </w:rPr>
        <w:t>th</w:t>
      </w:r>
      <w:r w:rsidR="006C1FEE" w:rsidRPr="006C1FEE">
        <w:rPr>
          <w:rFonts w:asciiTheme="majorHAnsi" w:hAnsiTheme="majorHAnsi" w:cstheme="majorHAnsi"/>
          <w:sz w:val="18"/>
          <w:szCs w:val="18"/>
          <w:lang w:val="en-GB"/>
        </w:rPr>
        <w:t xml:space="preserve"> Steering Committee Minutes, 25</w:t>
      </w:r>
      <w:r w:rsidR="006C1FEE" w:rsidRPr="006C1FEE">
        <w:rPr>
          <w:rFonts w:asciiTheme="majorHAnsi" w:hAnsiTheme="majorHAnsi" w:cstheme="majorHAnsi"/>
          <w:sz w:val="18"/>
          <w:szCs w:val="18"/>
          <w:vertAlign w:val="superscript"/>
          <w:lang w:val="en-GB"/>
        </w:rPr>
        <w:t>th</w:t>
      </w:r>
      <w:r w:rsidR="006C1FEE" w:rsidRPr="006C1FEE">
        <w:rPr>
          <w:rFonts w:asciiTheme="majorHAnsi" w:hAnsiTheme="majorHAnsi" w:cstheme="majorHAnsi"/>
          <w:sz w:val="18"/>
          <w:szCs w:val="18"/>
          <w:lang w:val="en-GB"/>
        </w:rPr>
        <w:t xml:space="preserve"> January 2022</w:t>
      </w:r>
      <w:r w:rsidR="003557BA">
        <w:rPr>
          <w:rFonts w:asciiTheme="majorHAnsi" w:hAnsiTheme="majorHAnsi" w:cstheme="majorHAnsi"/>
          <w:sz w:val="18"/>
          <w:szCs w:val="18"/>
          <w:lang w:val="en-GB"/>
        </w:rPr>
        <w:t xml:space="preserve">. </w:t>
      </w:r>
      <w:r w:rsidR="00271763">
        <w:rPr>
          <w:rFonts w:asciiTheme="majorHAnsi" w:hAnsiTheme="majorHAnsi" w:cstheme="majorHAnsi"/>
          <w:sz w:val="18"/>
          <w:szCs w:val="18"/>
          <w:lang w:val="en-GB"/>
        </w:rPr>
        <w:t xml:space="preserve">Note however that based on financial status data as </w:t>
      </w:r>
      <w:r w:rsidR="003557BA" w:rsidRPr="003557BA">
        <w:rPr>
          <w:rFonts w:asciiTheme="majorHAnsi" w:hAnsiTheme="majorHAnsi" w:cstheme="majorHAnsi"/>
          <w:sz w:val="18"/>
          <w:szCs w:val="18"/>
          <w:lang w:val="en-GB"/>
        </w:rPr>
        <w:t xml:space="preserve">of May 2022, this grant </w:t>
      </w:r>
      <w:r w:rsidR="00271763">
        <w:rPr>
          <w:rFonts w:asciiTheme="majorHAnsi" w:hAnsiTheme="majorHAnsi" w:cstheme="majorHAnsi"/>
          <w:sz w:val="18"/>
          <w:szCs w:val="18"/>
          <w:lang w:val="en-GB"/>
        </w:rPr>
        <w:t xml:space="preserve">was </w:t>
      </w:r>
      <w:r w:rsidR="003557BA" w:rsidRPr="003557BA">
        <w:rPr>
          <w:rFonts w:asciiTheme="majorHAnsi" w:hAnsiTheme="majorHAnsi" w:cstheme="majorHAnsi"/>
          <w:sz w:val="18"/>
          <w:szCs w:val="18"/>
          <w:lang w:val="en-GB"/>
        </w:rPr>
        <w:t xml:space="preserve">fully disbursed. </w:t>
      </w:r>
    </w:p>
  </w:footnote>
  <w:footnote w:id="11">
    <w:p w14:paraId="03117D14" w14:textId="03B4FC83" w:rsidR="00C20FB5" w:rsidRPr="00547DC5" w:rsidRDefault="00C20FB5">
      <w:pPr>
        <w:pStyle w:val="FootnoteText"/>
        <w:rPr>
          <w:lang w:val="en-GB"/>
        </w:rPr>
      </w:pPr>
      <w:r>
        <w:rPr>
          <w:rStyle w:val="FootnoteReference"/>
        </w:rPr>
        <w:footnoteRef/>
      </w:r>
      <w:r>
        <w:t xml:space="preserve"> </w:t>
      </w:r>
      <w:r w:rsidR="007628AF">
        <w:rPr>
          <w:rFonts w:asciiTheme="majorHAnsi" w:hAnsiTheme="majorHAnsi" w:cstheme="majorHAnsi"/>
          <w:sz w:val="18"/>
          <w:szCs w:val="18"/>
          <w:lang w:val="en-GB"/>
        </w:rPr>
        <w:t>AGaP</w:t>
      </w:r>
      <w:r w:rsidRPr="00FE08B0">
        <w:rPr>
          <w:rFonts w:asciiTheme="majorHAnsi" w:hAnsiTheme="majorHAnsi" w:cstheme="majorHAnsi"/>
          <w:sz w:val="18"/>
          <w:szCs w:val="18"/>
          <w:lang w:val="en-GB"/>
        </w:rPr>
        <w:t xml:space="preserve"> 3rd Steering Committee Minutes, 8th December 2020</w:t>
      </w:r>
    </w:p>
  </w:footnote>
  <w:footnote w:id="12">
    <w:p w14:paraId="664DCEBE" w14:textId="5147D0F5" w:rsidR="00270F4C" w:rsidRPr="003F2A67" w:rsidRDefault="00270F4C" w:rsidP="003F2A67">
      <w:pPr>
        <w:spacing w:before="0"/>
        <w:rPr>
          <w:rFonts w:asciiTheme="majorHAnsi" w:hAnsiTheme="majorHAnsi" w:cstheme="majorHAnsi"/>
          <w:sz w:val="18"/>
          <w:szCs w:val="18"/>
        </w:rPr>
      </w:pPr>
      <w:r w:rsidRPr="003F2A67">
        <w:rPr>
          <w:rFonts w:asciiTheme="majorHAnsi" w:hAnsiTheme="majorHAnsi" w:cstheme="majorHAnsi"/>
          <w:sz w:val="18"/>
          <w:szCs w:val="18"/>
          <w:vertAlign w:val="superscript"/>
        </w:rPr>
        <w:footnoteRef/>
      </w:r>
      <w:r w:rsidRPr="003F2A67">
        <w:rPr>
          <w:rFonts w:asciiTheme="majorHAnsi" w:hAnsiTheme="majorHAnsi" w:cstheme="majorHAnsi"/>
          <w:sz w:val="18"/>
          <w:szCs w:val="18"/>
        </w:rPr>
        <w:t xml:space="preserve"> 2020 </w:t>
      </w:r>
      <w:r w:rsidR="007628AF">
        <w:rPr>
          <w:rFonts w:asciiTheme="majorHAnsi" w:hAnsiTheme="majorHAnsi" w:cstheme="majorHAnsi"/>
          <w:sz w:val="18"/>
          <w:szCs w:val="18"/>
        </w:rPr>
        <w:t>AGaP</w:t>
      </w:r>
      <w:r w:rsidRPr="003F2A67">
        <w:rPr>
          <w:rFonts w:asciiTheme="majorHAnsi" w:hAnsiTheme="majorHAnsi" w:cstheme="majorHAnsi"/>
          <w:sz w:val="18"/>
          <w:szCs w:val="18"/>
        </w:rPr>
        <w:t xml:space="preserve"> Annual Report, paragraph 42</w:t>
      </w:r>
    </w:p>
  </w:footnote>
  <w:footnote w:id="13">
    <w:p w14:paraId="52013959" w14:textId="4B2816A7" w:rsidR="00270F4C" w:rsidRDefault="00270F4C" w:rsidP="003F2A67">
      <w:pPr>
        <w:spacing w:before="0"/>
        <w:rPr>
          <w:sz w:val="20"/>
          <w:szCs w:val="20"/>
        </w:rPr>
      </w:pPr>
      <w:r w:rsidRPr="003F2A67">
        <w:rPr>
          <w:rFonts w:asciiTheme="majorHAnsi" w:hAnsiTheme="majorHAnsi" w:cstheme="majorHAnsi"/>
          <w:sz w:val="18"/>
          <w:szCs w:val="18"/>
          <w:vertAlign w:val="superscript"/>
        </w:rPr>
        <w:footnoteRef/>
      </w:r>
      <w:r w:rsidRPr="003F2A67">
        <w:rPr>
          <w:rFonts w:asciiTheme="majorHAnsi" w:hAnsiTheme="majorHAnsi" w:cstheme="majorHAnsi"/>
          <w:sz w:val="18"/>
          <w:szCs w:val="18"/>
        </w:rPr>
        <w:t xml:space="preserve"> 2021 </w:t>
      </w:r>
      <w:r w:rsidR="007628AF">
        <w:rPr>
          <w:rFonts w:asciiTheme="majorHAnsi" w:hAnsiTheme="majorHAnsi" w:cstheme="majorHAnsi"/>
          <w:sz w:val="18"/>
          <w:szCs w:val="18"/>
        </w:rPr>
        <w:t>AGaP</w:t>
      </w:r>
      <w:r w:rsidRPr="003F2A67">
        <w:rPr>
          <w:rFonts w:asciiTheme="majorHAnsi" w:hAnsiTheme="majorHAnsi" w:cstheme="majorHAnsi"/>
          <w:sz w:val="18"/>
          <w:szCs w:val="18"/>
        </w:rPr>
        <w:t xml:space="preserve"> Annual Report, paragraph 38</w:t>
      </w:r>
    </w:p>
  </w:footnote>
  <w:footnote w:id="14">
    <w:p w14:paraId="5EF3975C" w14:textId="023390E5" w:rsidR="0054281F" w:rsidRPr="00547DC5" w:rsidRDefault="0054281F">
      <w:pPr>
        <w:pStyle w:val="FootnoteText"/>
        <w:rPr>
          <w:rFonts w:asciiTheme="majorHAnsi" w:hAnsiTheme="majorHAnsi" w:cstheme="majorHAnsi"/>
          <w:sz w:val="18"/>
          <w:szCs w:val="18"/>
          <w:lang w:val="en-GB"/>
        </w:rPr>
      </w:pPr>
      <w:r w:rsidRPr="00547DC5">
        <w:rPr>
          <w:rStyle w:val="FootnoteReference"/>
          <w:rFonts w:asciiTheme="majorHAnsi" w:hAnsiTheme="majorHAnsi" w:cstheme="majorHAnsi"/>
          <w:sz w:val="18"/>
          <w:szCs w:val="18"/>
        </w:rPr>
        <w:footnoteRef/>
      </w:r>
      <w:r w:rsidRPr="00547DC5">
        <w:rPr>
          <w:rFonts w:asciiTheme="majorHAnsi" w:hAnsiTheme="majorHAnsi" w:cstheme="majorHAnsi"/>
          <w:sz w:val="18"/>
          <w:szCs w:val="18"/>
        </w:rPr>
        <w:t xml:space="preserve"> </w:t>
      </w:r>
      <w:r w:rsidRPr="00547DC5">
        <w:rPr>
          <w:rFonts w:asciiTheme="majorHAnsi" w:hAnsiTheme="majorHAnsi" w:cstheme="majorHAnsi"/>
          <w:sz w:val="18"/>
          <w:szCs w:val="18"/>
          <w:lang w:val="en-GB"/>
        </w:rPr>
        <w:t xml:space="preserve">This is discussed in more detail in the M&amp;E section </w:t>
      </w:r>
    </w:p>
  </w:footnote>
  <w:footnote w:id="15">
    <w:p w14:paraId="1401DB82" w14:textId="1BDAB17B" w:rsidR="00270F4C" w:rsidRDefault="00270F4C" w:rsidP="00341B54">
      <w:pPr>
        <w:pStyle w:val="Footnote"/>
      </w:pPr>
      <w:r>
        <w:footnoteRef/>
      </w:r>
      <w:r>
        <w:t xml:space="preserve"> </w:t>
      </w:r>
      <w:r w:rsidRPr="002A13B7">
        <w:rPr>
          <w:vertAlign w:val="baseline"/>
        </w:rPr>
        <w:t xml:space="preserve">Realizing Scale in Smallholder-Based Agriculture: </w:t>
      </w:r>
      <w:r w:rsidR="00FD5942">
        <w:rPr>
          <w:vertAlign w:val="baseline"/>
        </w:rPr>
        <w:t>P</w:t>
      </w:r>
      <w:r w:rsidRPr="002A13B7">
        <w:rPr>
          <w:vertAlign w:val="baseline"/>
        </w:rPr>
        <w:t xml:space="preserve">olicy </w:t>
      </w:r>
      <w:r w:rsidR="00FD5942">
        <w:rPr>
          <w:vertAlign w:val="baseline"/>
        </w:rPr>
        <w:t>O</w:t>
      </w:r>
      <w:r w:rsidRPr="002A13B7">
        <w:rPr>
          <w:vertAlign w:val="baseline"/>
        </w:rPr>
        <w:t>ptions for the Philippines</w:t>
      </w:r>
    </w:p>
  </w:footnote>
  <w:footnote w:id="16">
    <w:p w14:paraId="059A2B92" w14:textId="77777777" w:rsidR="00C3481F" w:rsidRDefault="00C3481F" w:rsidP="002A13B7">
      <w:pPr>
        <w:pStyle w:val="Footnote"/>
      </w:pPr>
      <w:r>
        <w:footnoteRef/>
      </w:r>
      <w:r>
        <w:t xml:space="preserve"> </w:t>
      </w:r>
      <w:r w:rsidRPr="002A13B7">
        <w:rPr>
          <w:vertAlign w:val="baseline"/>
        </w:rPr>
        <w:t>Activity Completion Summary (May 2022) Philippines Women’s Economic Empowerment Program</w:t>
      </w:r>
      <w:r>
        <w:t xml:space="preserve"> </w:t>
      </w:r>
    </w:p>
  </w:footnote>
  <w:footnote w:id="17">
    <w:p w14:paraId="068630D2" w14:textId="57BF24F4" w:rsidR="00C3481F" w:rsidRDefault="00C3481F" w:rsidP="002A13B7">
      <w:pPr>
        <w:pStyle w:val="Footnote"/>
        <w:rPr>
          <w:sz w:val="20"/>
          <w:szCs w:val="20"/>
        </w:rPr>
      </w:pPr>
      <w:r>
        <w:footnoteRef/>
      </w:r>
      <w:r>
        <w:rPr>
          <w:sz w:val="20"/>
          <w:szCs w:val="20"/>
        </w:rPr>
        <w:t xml:space="preserve"> </w:t>
      </w:r>
      <w:r w:rsidR="00FE08B0">
        <w:rPr>
          <w:vertAlign w:val="baseline"/>
        </w:rPr>
        <w:t>Ibid.</w:t>
      </w:r>
    </w:p>
  </w:footnote>
  <w:footnote w:id="18">
    <w:p w14:paraId="650BA547" w14:textId="1850FA52" w:rsidR="00C3481F" w:rsidRDefault="00C3481F" w:rsidP="002A13B7">
      <w:pPr>
        <w:pStyle w:val="Footnote"/>
      </w:pPr>
      <w:r>
        <w:footnoteRef/>
      </w:r>
      <w:r>
        <w:t xml:space="preserve"> </w:t>
      </w:r>
      <w:r w:rsidR="00FE08B0">
        <w:rPr>
          <w:vertAlign w:val="baseline"/>
        </w:rPr>
        <w:t>Ibid.</w:t>
      </w:r>
    </w:p>
  </w:footnote>
  <w:footnote w:id="19">
    <w:p w14:paraId="0AD08F74" w14:textId="052A69D4" w:rsidR="00C3481F" w:rsidRDefault="00C3481F" w:rsidP="002A13B7">
      <w:pPr>
        <w:pStyle w:val="Footnote"/>
        <w:rPr>
          <w:sz w:val="20"/>
          <w:szCs w:val="20"/>
        </w:rPr>
      </w:pPr>
      <w:r>
        <w:footnoteRef/>
      </w:r>
      <w:r>
        <w:rPr>
          <w:sz w:val="20"/>
          <w:szCs w:val="20"/>
        </w:rPr>
        <w:t xml:space="preserve"> </w:t>
      </w:r>
      <w:r w:rsidR="00FE08B0">
        <w:rPr>
          <w:vertAlign w:val="baseline"/>
        </w:rPr>
        <w:t>Ibid.</w:t>
      </w:r>
    </w:p>
  </w:footnote>
  <w:footnote w:id="20">
    <w:p w14:paraId="1680302F" w14:textId="766DF758" w:rsidR="00C3481F" w:rsidRPr="0000516C" w:rsidRDefault="00C3481F" w:rsidP="0000516C">
      <w:pPr>
        <w:pStyle w:val="Footnote"/>
      </w:pPr>
      <w:r>
        <w:footnoteRef/>
      </w:r>
      <w:r>
        <w:rPr>
          <w:sz w:val="20"/>
          <w:szCs w:val="20"/>
        </w:rPr>
        <w:t xml:space="preserve"> </w:t>
      </w:r>
      <w:r w:rsidR="00FE08B0">
        <w:rPr>
          <w:vertAlign w:val="baseline"/>
        </w:rPr>
        <w:t>A full list of gender-tagged projects can be found in Annex 8</w:t>
      </w:r>
    </w:p>
  </w:footnote>
  <w:footnote w:id="21">
    <w:p w14:paraId="2A16CABA" w14:textId="0C269FEF" w:rsidR="00A84187" w:rsidRPr="00547DC5" w:rsidRDefault="00A84187">
      <w:pPr>
        <w:pStyle w:val="FootnoteText"/>
        <w:rPr>
          <w:lang w:val="en-GB"/>
        </w:rPr>
      </w:pPr>
      <w:r>
        <w:rPr>
          <w:rStyle w:val="FootnoteReference"/>
        </w:rPr>
        <w:footnoteRef/>
      </w:r>
      <w:r>
        <w:t xml:space="preserve"> </w:t>
      </w:r>
      <w:r w:rsidRPr="0000516C">
        <w:rPr>
          <w:rFonts w:asciiTheme="majorHAnsi" w:hAnsiTheme="majorHAnsi" w:cstheme="majorHAnsi"/>
          <w:sz w:val="18"/>
          <w:szCs w:val="18"/>
        </w:rPr>
        <w:t xml:space="preserve">This </w:t>
      </w:r>
      <w:r w:rsidRPr="0000516C">
        <w:rPr>
          <w:rFonts w:asciiTheme="majorHAnsi" w:hAnsiTheme="majorHAnsi" w:cstheme="majorHAnsi"/>
          <w:sz w:val="18"/>
          <w:szCs w:val="18"/>
          <w:lang w:val="en-GB"/>
        </w:rPr>
        <w:t xml:space="preserve">refers to the actual surveys as published </w:t>
      </w:r>
      <w:r w:rsidR="00FE08B0">
        <w:rPr>
          <w:rFonts w:asciiTheme="majorHAnsi" w:hAnsiTheme="majorHAnsi" w:cstheme="majorHAnsi"/>
          <w:sz w:val="18"/>
          <w:szCs w:val="18"/>
          <w:lang w:val="en-GB"/>
        </w:rPr>
        <w:t>by WBG  (</w:t>
      </w:r>
      <w:hyperlink r:id="rId1" w:history="1">
        <w:r w:rsidR="00FE08B0" w:rsidRPr="00FE08B0">
          <w:rPr>
            <w:rStyle w:val="Hyperlink"/>
            <w:rFonts w:asciiTheme="majorHAnsi" w:hAnsiTheme="majorHAnsi" w:cstheme="majorHAnsi"/>
            <w:sz w:val="18"/>
            <w:szCs w:val="18"/>
            <w:lang w:val="en-GB"/>
          </w:rPr>
          <w:t>link</w:t>
        </w:r>
      </w:hyperlink>
      <w:r w:rsidR="00FE08B0">
        <w:rPr>
          <w:rFonts w:asciiTheme="majorHAnsi" w:hAnsiTheme="majorHAnsi" w:cstheme="majorHAnsi"/>
          <w:sz w:val="18"/>
          <w:szCs w:val="18"/>
          <w:lang w:val="en-GB"/>
        </w:rPr>
        <w:t>)</w:t>
      </w:r>
      <w:r w:rsidRPr="0000516C">
        <w:rPr>
          <w:rFonts w:asciiTheme="majorHAnsi" w:hAnsiTheme="majorHAnsi" w:cstheme="majorHAnsi"/>
          <w:sz w:val="18"/>
          <w:szCs w:val="18"/>
          <w:lang w:val="en-GB"/>
        </w:rPr>
        <w:t>, round 1 for firms in July 2022.</w:t>
      </w:r>
      <w:r>
        <w:rPr>
          <w:lang w:val="en-GB"/>
        </w:rPr>
        <w:t xml:space="preserve"> </w:t>
      </w:r>
      <w:r w:rsidRPr="00A84187">
        <w:rPr>
          <w:lang w:val="en-GB"/>
        </w:rPr>
        <w:t xml:space="preserve">   </w:t>
      </w:r>
    </w:p>
  </w:footnote>
  <w:footnote w:id="22">
    <w:p w14:paraId="29A7A81B" w14:textId="5BF9E1BA" w:rsidR="00FE3E83" w:rsidRDefault="00FE3E83" w:rsidP="002A13B7">
      <w:pPr>
        <w:pStyle w:val="Footnote"/>
      </w:pPr>
      <w:r>
        <w:footnoteRef/>
      </w:r>
      <w:r>
        <w:t xml:space="preserve"> </w:t>
      </w:r>
      <w:r w:rsidRPr="002A13B7">
        <w:rPr>
          <w:vertAlign w:val="baseline"/>
        </w:rPr>
        <w:t xml:space="preserve">2021 </w:t>
      </w:r>
      <w:r w:rsidR="007628AF">
        <w:rPr>
          <w:vertAlign w:val="baseline"/>
        </w:rPr>
        <w:t>AGaP</w:t>
      </w:r>
      <w:r w:rsidRPr="002A13B7">
        <w:rPr>
          <w:vertAlign w:val="baseline"/>
        </w:rPr>
        <w:t xml:space="preserve"> Annual Report, Annex D Progress Towards Results</w:t>
      </w:r>
    </w:p>
  </w:footnote>
  <w:footnote w:id="23">
    <w:p w14:paraId="1FE8DF1D" w14:textId="1C558D57" w:rsidR="00FE3E83" w:rsidRDefault="00FE3E83" w:rsidP="002A13B7">
      <w:pPr>
        <w:pStyle w:val="Footnote"/>
      </w:pPr>
      <w:r>
        <w:footnoteRef/>
      </w:r>
      <w:r>
        <w:t xml:space="preserve"> </w:t>
      </w:r>
      <w:r w:rsidRPr="002A13B7">
        <w:rPr>
          <w:vertAlign w:val="baseline"/>
        </w:rPr>
        <w:t xml:space="preserve">2021 </w:t>
      </w:r>
      <w:r w:rsidR="007628AF">
        <w:rPr>
          <w:vertAlign w:val="baseline"/>
        </w:rPr>
        <w:t>AGaP</w:t>
      </w:r>
      <w:r w:rsidRPr="002A13B7">
        <w:rPr>
          <w:vertAlign w:val="baseline"/>
        </w:rPr>
        <w:t xml:space="preserve"> Grant Annual Progress / Accomplishment Report</w:t>
      </w:r>
    </w:p>
  </w:footnote>
  <w:footnote w:id="24">
    <w:p w14:paraId="43C42411" w14:textId="77777777" w:rsidR="00FE3E83" w:rsidRDefault="00FE3E83" w:rsidP="002A13B7">
      <w:pPr>
        <w:pStyle w:val="Footnote"/>
      </w:pPr>
      <w:r>
        <w:footnoteRef/>
      </w:r>
      <w:r>
        <w:t xml:space="preserve"> </w:t>
      </w:r>
      <w:r w:rsidRPr="002A13B7">
        <w:rPr>
          <w:vertAlign w:val="baseline"/>
        </w:rPr>
        <w:t>A study in London found that around 15% of people with disabilities actively cycled for transport in 2014, compared to 18% of non-disabled people. (</w:t>
      </w:r>
      <w:hyperlink r:id="rId2">
        <w:r w:rsidRPr="002A13B7">
          <w:rPr>
            <w:color w:val="1155CC"/>
            <w:u w:val="single"/>
            <w:vertAlign w:val="baseline"/>
          </w:rPr>
          <w:t>link</w:t>
        </w:r>
      </w:hyperlink>
      <w:r w:rsidRPr="002A13B7">
        <w:rPr>
          <w:vertAlign w:val="baseline"/>
        </w:rPr>
        <w:t>)</w:t>
      </w:r>
    </w:p>
  </w:footnote>
  <w:footnote w:id="25">
    <w:p w14:paraId="56A8736C" w14:textId="191C043F" w:rsidR="00FE3E83" w:rsidRDefault="00FE3E83" w:rsidP="002A13B7">
      <w:pPr>
        <w:pStyle w:val="Footnote"/>
      </w:pPr>
      <w:r>
        <w:footnoteRef/>
      </w:r>
      <w:r>
        <w:t xml:space="preserve"> </w:t>
      </w:r>
      <w:r w:rsidR="007628AF">
        <w:rPr>
          <w:vertAlign w:val="baseline"/>
        </w:rPr>
        <w:t>AGaP</w:t>
      </w:r>
      <w:r w:rsidRPr="002A13B7">
        <w:rPr>
          <w:vertAlign w:val="baseline"/>
        </w:rPr>
        <w:t xml:space="preserve"> Grant Annual Progress / Accomplishment Report Jan - Dec 2021</w:t>
      </w:r>
    </w:p>
  </w:footnote>
  <w:footnote w:id="26">
    <w:p w14:paraId="5B198C14" w14:textId="77777777" w:rsidR="000D737F" w:rsidRDefault="000D737F" w:rsidP="00885390">
      <w:pPr>
        <w:pStyle w:val="Footnote"/>
      </w:pPr>
      <w:r>
        <w:footnoteRef/>
      </w:r>
      <w:r>
        <w:t xml:space="preserve"> </w:t>
      </w:r>
      <w:r w:rsidRPr="00885390">
        <w:rPr>
          <w:vertAlign w:val="baseline"/>
        </w:rPr>
        <w:t>AMPED AQC 2020</w:t>
      </w:r>
    </w:p>
  </w:footnote>
  <w:footnote w:id="27">
    <w:p w14:paraId="7E1FCD4E" w14:textId="77777777" w:rsidR="000D737F" w:rsidRDefault="000D737F" w:rsidP="00885390">
      <w:pPr>
        <w:pStyle w:val="Footnote"/>
      </w:pPr>
      <w:r>
        <w:footnoteRef/>
      </w:r>
      <w:r>
        <w:t xml:space="preserve"> </w:t>
      </w:r>
      <w:r w:rsidRPr="00885390">
        <w:rPr>
          <w:vertAlign w:val="baseline"/>
        </w:rPr>
        <w:t>Concept Note: Australia WB Trust Fund for Growth and Prosperity in the Philippines (n.d.)</w:t>
      </w:r>
    </w:p>
  </w:footnote>
  <w:footnote w:id="28">
    <w:p w14:paraId="251414B6" w14:textId="62DB9CDB" w:rsidR="000D737F" w:rsidRDefault="000D737F" w:rsidP="00885390">
      <w:pPr>
        <w:pStyle w:val="Footnote"/>
      </w:pPr>
      <w:r>
        <w:footnoteRef/>
      </w:r>
      <w:r>
        <w:t xml:space="preserve"> </w:t>
      </w:r>
      <w:r w:rsidR="007628AF">
        <w:rPr>
          <w:vertAlign w:val="baseline"/>
        </w:rPr>
        <w:t>AGaP</w:t>
      </w:r>
      <w:r w:rsidRPr="00885390">
        <w:rPr>
          <w:vertAlign w:val="baseline"/>
        </w:rPr>
        <w:t xml:space="preserve"> Operations Manual (December 2019)</w:t>
      </w:r>
    </w:p>
  </w:footnote>
  <w:footnote w:id="29">
    <w:p w14:paraId="0E6B48D6" w14:textId="1E1D71B3" w:rsidR="000D737F" w:rsidRDefault="000D737F" w:rsidP="00885390">
      <w:pPr>
        <w:pStyle w:val="Footnote"/>
      </w:pPr>
      <w:r>
        <w:footnoteRef/>
      </w:r>
      <w:r>
        <w:t xml:space="preserve"> </w:t>
      </w:r>
      <w:r w:rsidR="007628AF">
        <w:rPr>
          <w:vertAlign w:val="baseline"/>
        </w:rPr>
        <w:t>AGaP</w:t>
      </w:r>
      <w:r w:rsidRPr="00885390">
        <w:rPr>
          <w:vertAlign w:val="baseline"/>
        </w:rPr>
        <w:t xml:space="preserve"> Steering Committee minutes (8 December 2020)</w:t>
      </w:r>
    </w:p>
  </w:footnote>
  <w:footnote w:id="30">
    <w:p w14:paraId="44D5EE7E" w14:textId="6A9FA855" w:rsidR="000D737F" w:rsidRDefault="000D737F" w:rsidP="00885390">
      <w:pPr>
        <w:pStyle w:val="Footnote"/>
      </w:pPr>
      <w:r>
        <w:footnoteRef/>
      </w:r>
      <w:r>
        <w:t xml:space="preserve"> </w:t>
      </w:r>
      <w:r w:rsidR="007628AF">
        <w:rPr>
          <w:vertAlign w:val="baseline"/>
        </w:rPr>
        <w:t>AGaP</w:t>
      </w:r>
      <w:r w:rsidRPr="00885390">
        <w:rPr>
          <w:vertAlign w:val="baseline"/>
        </w:rPr>
        <w:t xml:space="preserve"> Operations Committee minutes (16 Sept 2021)</w:t>
      </w:r>
    </w:p>
  </w:footnote>
  <w:footnote w:id="31">
    <w:p w14:paraId="4DBFB9A7" w14:textId="0A09A996" w:rsidR="005234AE" w:rsidRPr="00547DC5" w:rsidRDefault="005234AE">
      <w:pPr>
        <w:pStyle w:val="FootnoteText"/>
        <w:rPr>
          <w:lang w:val="en-GB"/>
        </w:rPr>
      </w:pPr>
      <w:r>
        <w:rPr>
          <w:rStyle w:val="FootnoteReference"/>
        </w:rPr>
        <w:footnoteRef/>
      </w:r>
      <w:r>
        <w:t xml:space="preserve"> </w:t>
      </w:r>
      <w:r w:rsidRPr="00FC7246">
        <w:rPr>
          <w:rFonts w:asciiTheme="majorHAnsi" w:hAnsiTheme="majorHAnsi" w:cstheme="majorHAnsi"/>
          <w:sz w:val="18"/>
          <w:szCs w:val="18"/>
          <w:lang w:val="en"/>
        </w:rPr>
        <w:t xml:space="preserve">For example, include selection criteria for </w:t>
      </w:r>
      <w:r w:rsidR="007628AF">
        <w:rPr>
          <w:rFonts w:asciiTheme="majorHAnsi" w:hAnsiTheme="majorHAnsi" w:cstheme="majorHAnsi"/>
          <w:sz w:val="18"/>
          <w:szCs w:val="18"/>
          <w:lang w:val="en"/>
        </w:rPr>
        <w:t>AGaP</w:t>
      </w:r>
      <w:r w:rsidRPr="00FC7246">
        <w:rPr>
          <w:rFonts w:asciiTheme="majorHAnsi" w:hAnsiTheme="majorHAnsi" w:cstheme="majorHAnsi"/>
          <w:sz w:val="18"/>
          <w:szCs w:val="18"/>
          <w:lang w:val="en"/>
        </w:rPr>
        <w:t xml:space="preserve"> activities such as, </w:t>
      </w:r>
      <w:r w:rsidRPr="00FC7246">
        <w:rPr>
          <w:rFonts w:asciiTheme="majorHAnsi" w:hAnsiTheme="majorHAnsi" w:cstheme="majorHAnsi"/>
          <w:i/>
          <w:sz w:val="18"/>
          <w:szCs w:val="18"/>
          <w:lang w:val="en"/>
        </w:rPr>
        <w:t xml:space="preserve">Gender analysis and review by Gender Specialists of both Australia and the World Bank prior to submission. </w:t>
      </w:r>
      <w:r w:rsidRPr="00FC7246">
        <w:rPr>
          <w:rFonts w:asciiTheme="majorHAnsi" w:hAnsiTheme="majorHAnsi" w:cstheme="majorHAnsi"/>
          <w:sz w:val="18"/>
          <w:szCs w:val="18"/>
          <w:lang w:val="en"/>
        </w:rPr>
        <w:t>DFAT could consider adding a Gender Guidance Note to the Ops manual (see annex 7 for an example from the Ops Manual from the ABP2 Trust Fund in Vietnam)</w:t>
      </w:r>
      <w:r w:rsidR="00FC7246" w:rsidRPr="00FC7246">
        <w:rPr>
          <w:rFonts w:asciiTheme="majorHAnsi" w:hAnsiTheme="majorHAnsi" w:cstheme="majorHAnsi"/>
          <w:sz w:val="18"/>
          <w:szCs w:val="18"/>
          <w:lang w:val="en"/>
        </w:rPr>
        <w:t>.</w:t>
      </w:r>
    </w:p>
  </w:footnote>
  <w:footnote w:id="32">
    <w:p w14:paraId="7CEAE8A7" w14:textId="27DA1F04" w:rsidR="009C4F38" w:rsidRPr="00547DC5" w:rsidRDefault="009C4F38">
      <w:pPr>
        <w:pStyle w:val="FootnoteText"/>
        <w:rPr>
          <w:lang w:val="en-GB"/>
        </w:rPr>
      </w:pPr>
      <w:r>
        <w:rPr>
          <w:rStyle w:val="FootnoteReference"/>
        </w:rPr>
        <w:footnoteRef/>
      </w:r>
      <w:r>
        <w:t xml:space="preserve"> </w:t>
      </w:r>
      <w:r w:rsidRPr="00446904">
        <w:rPr>
          <w:rFonts w:asciiTheme="majorHAnsi" w:hAnsiTheme="majorHAnsi" w:cstheme="majorHAnsi"/>
          <w:sz w:val="18"/>
          <w:szCs w:val="18"/>
          <w:lang w:val="en-GB"/>
        </w:rPr>
        <w:t>DFAT Office of Development Effectiveness observed that “it is important not to overstate the level of influence that can be achieved as an external actor. Policy making is unpredictable and subject to many factors beyond Australia’s control…. [Australia] needs to be willing to take a low profile in helping national reformers to achieve their objectives.” (ODE, 2018, ‘Investing in Regional Prosperity’)</w:t>
      </w:r>
    </w:p>
  </w:footnote>
  <w:footnote w:id="33">
    <w:p w14:paraId="642D6F9D" w14:textId="197B5C07" w:rsidR="009C4F38" w:rsidRPr="00547DC5" w:rsidRDefault="009C4F38" w:rsidP="00547DC5">
      <w:pPr>
        <w:autoSpaceDE w:val="0"/>
        <w:autoSpaceDN w:val="0"/>
        <w:adjustRightInd w:val="0"/>
        <w:spacing w:before="0"/>
        <w:rPr>
          <w:rFonts w:asciiTheme="majorHAnsi" w:hAnsiTheme="majorHAnsi" w:cstheme="majorHAnsi"/>
          <w:color w:val="000000"/>
          <w:sz w:val="18"/>
          <w:szCs w:val="18"/>
        </w:rPr>
      </w:pPr>
      <w:r>
        <w:rPr>
          <w:rStyle w:val="FootnoteReference"/>
        </w:rPr>
        <w:footnoteRef/>
      </w:r>
      <w:r>
        <w:t xml:space="preserve"> </w:t>
      </w:r>
      <w:r w:rsidRPr="00547DC5">
        <w:rPr>
          <w:rFonts w:asciiTheme="majorHAnsi" w:eastAsiaTheme="minorHAnsi" w:hAnsiTheme="majorHAnsi" w:cstheme="majorHAnsi"/>
          <w:color w:val="000000"/>
          <w:sz w:val="18"/>
          <w:szCs w:val="18"/>
          <w:lang w:eastAsia="en-US"/>
        </w:rPr>
        <w:t>Qualitative Impact Protocol (QuIP) is a systematic approach to gathering, coding and presenting qualitative data that helps organisations understand their contribution to change in the context of other factors which also contribute to change.</w:t>
      </w:r>
      <w:r>
        <w:rPr>
          <w:rFonts w:asciiTheme="majorHAnsi" w:eastAsiaTheme="minorHAnsi" w:hAnsiTheme="majorHAnsi" w:cstheme="majorHAnsi"/>
          <w:color w:val="000000"/>
          <w:sz w:val="18"/>
          <w:szCs w:val="18"/>
          <w:lang w:eastAsia="en-US"/>
        </w:rPr>
        <w:t xml:space="preserve"> </w:t>
      </w:r>
      <w:r w:rsidRPr="00547DC5">
        <w:rPr>
          <w:rFonts w:asciiTheme="majorHAnsi" w:eastAsiaTheme="minorHAnsi" w:hAnsiTheme="majorHAnsi" w:cstheme="majorHAnsi"/>
          <w:color w:val="000000"/>
          <w:sz w:val="18"/>
          <w:szCs w:val="18"/>
          <w:lang w:eastAsia="en-US"/>
        </w:rPr>
        <w:t xml:space="preserve">Also see ODE ‘Policy Influence: Lessons from a Synthesis of 2017 Evaluations’ </w:t>
      </w:r>
      <w:r>
        <w:rPr>
          <w:rFonts w:asciiTheme="majorHAnsi" w:eastAsiaTheme="minorHAnsi" w:hAnsiTheme="majorHAnsi" w:cstheme="majorHAnsi"/>
          <w:color w:val="000000"/>
          <w:sz w:val="18"/>
          <w:szCs w:val="18"/>
          <w:lang w:eastAsia="en-US"/>
        </w:rPr>
        <w:t>(</w:t>
      </w:r>
      <w:hyperlink r:id="rId3" w:history="1">
        <w:r w:rsidRPr="009C4F38">
          <w:rPr>
            <w:rStyle w:val="Hyperlink"/>
            <w:rFonts w:asciiTheme="majorHAnsi" w:eastAsiaTheme="minorHAnsi" w:hAnsiTheme="majorHAnsi" w:cstheme="majorHAnsi"/>
            <w:sz w:val="18"/>
            <w:szCs w:val="18"/>
            <w:lang w:eastAsia="en-US"/>
          </w:rPr>
          <w:t>link</w:t>
        </w:r>
      </w:hyperlink>
      <w:r>
        <w:rPr>
          <w:rFonts w:asciiTheme="majorHAnsi" w:eastAsiaTheme="minorHAnsi" w:hAnsiTheme="majorHAnsi" w:cstheme="majorHAnsi"/>
          <w:color w:val="000000"/>
          <w:sz w:val="18"/>
          <w:szCs w:val="18"/>
          <w:lang w:eastAsia="en-US"/>
        </w:rPr>
        <w:t xml:space="preserve">); and </w:t>
      </w:r>
      <w:r w:rsidRPr="00547DC5">
        <w:rPr>
          <w:rFonts w:asciiTheme="majorHAnsi" w:eastAsiaTheme="minorHAnsi" w:hAnsiTheme="majorHAnsi" w:cstheme="majorHAnsi"/>
          <w:color w:val="000000"/>
          <w:sz w:val="18"/>
          <w:szCs w:val="18"/>
          <w:lang w:eastAsia="en-US"/>
        </w:rPr>
        <w:t xml:space="preserve">ODI (2011) ‘A guide to monitoring and evaluating policy influence’ </w:t>
      </w:r>
      <w:r>
        <w:rPr>
          <w:rFonts w:asciiTheme="majorHAnsi" w:hAnsiTheme="majorHAnsi" w:cstheme="majorHAnsi"/>
          <w:color w:val="000000"/>
          <w:sz w:val="18"/>
          <w:szCs w:val="18"/>
        </w:rPr>
        <w:t>(</w:t>
      </w:r>
      <w:hyperlink r:id="rId4" w:history="1">
        <w:r w:rsidRPr="009C4F38">
          <w:rPr>
            <w:rStyle w:val="Hyperlink"/>
            <w:rFonts w:asciiTheme="majorHAnsi" w:hAnsiTheme="majorHAnsi" w:cstheme="majorHAnsi"/>
            <w:sz w:val="18"/>
            <w:szCs w:val="18"/>
          </w:rPr>
          <w:t>link</w:t>
        </w:r>
      </w:hyperlink>
      <w:r>
        <w:rPr>
          <w:rFonts w:asciiTheme="majorHAnsi" w:hAnsiTheme="majorHAnsi" w:cstheme="majorHAnsi"/>
          <w:color w:val="000000"/>
          <w:sz w:val="18"/>
          <w:szCs w:val="18"/>
        </w:rPr>
        <w:t>)</w:t>
      </w:r>
    </w:p>
  </w:footnote>
  <w:footnote w:id="34">
    <w:p w14:paraId="3A3612D6" w14:textId="05870C63" w:rsidR="004351B9" w:rsidRPr="003D5BA2" w:rsidRDefault="004351B9" w:rsidP="004351B9">
      <w:pPr>
        <w:pStyle w:val="FootnoteText"/>
        <w:rPr>
          <w:rFonts w:asciiTheme="majorHAnsi" w:hAnsiTheme="majorHAnsi" w:cstheme="majorHAnsi"/>
          <w:sz w:val="18"/>
          <w:szCs w:val="18"/>
          <w:lang w:val="en-GB"/>
        </w:rPr>
      </w:pPr>
      <w:r w:rsidRPr="003D5BA2">
        <w:rPr>
          <w:rStyle w:val="FootnoteReference"/>
          <w:rFonts w:asciiTheme="majorHAnsi" w:hAnsiTheme="majorHAnsi" w:cstheme="majorHAnsi"/>
          <w:sz w:val="18"/>
          <w:szCs w:val="18"/>
        </w:rPr>
        <w:footnoteRef/>
      </w:r>
      <w:r w:rsidRPr="003D5BA2">
        <w:rPr>
          <w:rFonts w:asciiTheme="majorHAnsi" w:hAnsiTheme="majorHAnsi" w:cstheme="majorHAnsi"/>
          <w:sz w:val="18"/>
          <w:szCs w:val="18"/>
        </w:rPr>
        <w:t xml:space="preserve"> </w:t>
      </w:r>
      <w:r w:rsidR="001916FE" w:rsidRPr="003D5BA2">
        <w:rPr>
          <w:rFonts w:asciiTheme="majorHAnsi" w:hAnsiTheme="majorHAnsi" w:cstheme="majorHAnsi"/>
          <w:sz w:val="18"/>
          <w:szCs w:val="18"/>
        </w:rPr>
        <w:t xml:space="preserve">For reference </w:t>
      </w:r>
      <w:r w:rsidRPr="003D5BA2">
        <w:rPr>
          <w:rFonts w:asciiTheme="majorHAnsi" w:hAnsiTheme="majorHAnsi" w:cstheme="majorHAnsi"/>
          <w:sz w:val="18"/>
          <w:szCs w:val="18"/>
          <w:lang w:val="en-GB"/>
        </w:rPr>
        <w:t>DFAT’s Design and Monitoring &amp; Evaluation Standards provide a guideline that 4-7% of budget is allocated for M&amp;E.</w:t>
      </w:r>
    </w:p>
  </w:footnote>
  <w:footnote w:id="35">
    <w:p w14:paraId="26B67E19" w14:textId="56E2069D" w:rsidR="00446904" w:rsidRPr="003D5BA2" w:rsidRDefault="00446904">
      <w:pPr>
        <w:pStyle w:val="FootnoteText"/>
        <w:rPr>
          <w:rFonts w:asciiTheme="majorHAnsi" w:hAnsiTheme="majorHAnsi" w:cstheme="majorHAnsi"/>
          <w:sz w:val="18"/>
          <w:szCs w:val="18"/>
          <w:lang w:val="en-GB"/>
        </w:rPr>
      </w:pPr>
      <w:r w:rsidRPr="003D5BA2">
        <w:rPr>
          <w:rStyle w:val="FootnoteReference"/>
          <w:rFonts w:asciiTheme="majorHAnsi" w:hAnsiTheme="majorHAnsi" w:cstheme="majorHAnsi"/>
          <w:sz w:val="18"/>
          <w:szCs w:val="18"/>
        </w:rPr>
        <w:footnoteRef/>
      </w:r>
      <w:r w:rsidRPr="003D5BA2">
        <w:rPr>
          <w:rFonts w:asciiTheme="majorHAnsi" w:hAnsiTheme="majorHAnsi" w:cstheme="majorHAnsi"/>
          <w:sz w:val="18"/>
          <w:szCs w:val="18"/>
        </w:rPr>
        <w:t xml:space="preserve"> </w:t>
      </w:r>
      <w:r w:rsidRPr="003D5BA2">
        <w:rPr>
          <w:rFonts w:asciiTheme="majorHAnsi" w:hAnsiTheme="majorHAnsi" w:cstheme="majorHAnsi"/>
          <w:sz w:val="18"/>
          <w:szCs w:val="18"/>
          <w:lang w:val="en-GB"/>
        </w:rPr>
        <w:t>The context for this recommendation is also discussed in the Program Management section</w:t>
      </w:r>
    </w:p>
  </w:footnote>
  <w:footnote w:id="36">
    <w:p w14:paraId="4268A6DA" w14:textId="0CB0D183" w:rsidR="00E066D8" w:rsidRPr="00547DC5" w:rsidRDefault="00E066D8">
      <w:pPr>
        <w:pStyle w:val="FootnoteText"/>
        <w:rPr>
          <w:lang w:val="en-GB"/>
        </w:rPr>
      </w:pPr>
      <w:r>
        <w:rPr>
          <w:rStyle w:val="FootnoteReference"/>
        </w:rPr>
        <w:footnoteRef/>
      </w:r>
      <w:r>
        <w:t xml:space="preserve"> </w:t>
      </w:r>
      <w:r w:rsidRPr="00547DC5">
        <w:rPr>
          <w:sz w:val="18"/>
          <w:szCs w:val="18"/>
          <w:lang w:val="en-GB"/>
        </w:rPr>
        <w:t>ODE, 2018, ‘Investing in Regional Prosperity’</w:t>
      </w:r>
    </w:p>
  </w:footnote>
  <w:footnote w:id="37">
    <w:p w14:paraId="0E649DD2" w14:textId="6C28889B" w:rsidR="006D6CEC" w:rsidRPr="00287262" w:rsidRDefault="006D6CEC" w:rsidP="006D6CEC">
      <w:pPr>
        <w:pStyle w:val="FootnoteText"/>
        <w:rPr>
          <w:rFonts w:ascii="Arial" w:hAnsi="Arial" w:cs="Arial"/>
          <w:sz w:val="18"/>
          <w:szCs w:val="18"/>
        </w:rPr>
      </w:pPr>
      <w:r w:rsidRPr="00287262">
        <w:rPr>
          <w:rStyle w:val="FootnoteReference"/>
          <w:rFonts w:ascii="Arial" w:hAnsi="Arial" w:cs="Arial"/>
          <w:sz w:val="18"/>
          <w:szCs w:val="18"/>
        </w:rPr>
        <w:footnoteRef/>
      </w:r>
      <w:r w:rsidRPr="00287262">
        <w:rPr>
          <w:rFonts w:ascii="Arial" w:hAnsi="Arial" w:cs="Arial"/>
          <w:sz w:val="18"/>
          <w:szCs w:val="18"/>
        </w:rPr>
        <w:t xml:space="preserve"> OECD evaluation criteria as defined on the website </w:t>
      </w:r>
      <w:hyperlink r:id="rId5" w:history="1">
        <w:r w:rsidRPr="00287262">
          <w:rPr>
            <w:rStyle w:val="Hyperlink"/>
            <w:rFonts w:ascii="Arial" w:hAnsi="Arial" w:cs="Arial"/>
            <w:sz w:val="18"/>
            <w:szCs w:val="18"/>
          </w:rPr>
          <w:t>http://www.oecd.org/dac/evaluation/daccriteriaforevaluatingdevelopmentassistance.htm</w:t>
        </w:r>
      </w:hyperlink>
      <w:r w:rsidRPr="00287262">
        <w:rPr>
          <w:rFonts w:ascii="Arial" w:hAnsi="Arial" w:cs="Arial"/>
          <w:sz w:val="18"/>
          <w:szCs w:val="18"/>
        </w:rPr>
        <w:t xml:space="preserve">. This review will be limited to assessing effectiveness, </w:t>
      </w:r>
      <w:r w:rsidR="00034065" w:rsidRPr="00287262">
        <w:rPr>
          <w:rFonts w:ascii="Arial" w:hAnsi="Arial" w:cs="Arial"/>
          <w:sz w:val="18"/>
          <w:szCs w:val="18"/>
        </w:rPr>
        <w:t>efficiency,</w:t>
      </w:r>
      <w:r w:rsidRPr="00287262">
        <w:rPr>
          <w:rFonts w:ascii="Arial" w:hAnsi="Arial" w:cs="Arial"/>
          <w:sz w:val="18"/>
          <w:szCs w:val="18"/>
        </w:rPr>
        <w:t xml:space="preserve"> and sustainability, and exclude relevance and impact.  It will also include special attention to gender equality and disability inclusion, as key crosscutting issues for DFAT.</w:t>
      </w:r>
    </w:p>
  </w:footnote>
  <w:footnote w:id="38">
    <w:p w14:paraId="511B3BB3" w14:textId="77777777" w:rsidR="00225D7B" w:rsidRPr="00287262" w:rsidRDefault="00225D7B" w:rsidP="00225D7B">
      <w:pPr>
        <w:rPr>
          <w:sz w:val="18"/>
          <w:szCs w:val="18"/>
        </w:rPr>
      </w:pPr>
      <w:r w:rsidRPr="00287262">
        <w:rPr>
          <w:sz w:val="18"/>
          <w:szCs w:val="18"/>
          <w:vertAlign w:val="superscript"/>
        </w:rPr>
        <w:footnoteRef/>
      </w:r>
      <w:r w:rsidRPr="00287262">
        <w:rPr>
          <w:sz w:val="18"/>
          <w:szCs w:val="18"/>
        </w:rPr>
        <w:t xml:space="preserve"> The primary and secondary evaluation questions have been refined. However</w:t>
      </w:r>
      <w:r>
        <w:rPr>
          <w:sz w:val="18"/>
          <w:szCs w:val="18"/>
        </w:rPr>
        <w:t>,</w:t>
      </w:r>
      <w:r w:rsidRPr="00287262">
        <w:rPr>
          <w:sz w:val="18"/>
          <w:szCs w:val="18"/>
        </w:rPr>
        <w:t xml:space="preserve"> they retain the substance of those presented in the TOR.</w:t>
      </w:r>
    </w:p>
  </w:footnote>
  <w:footnote w:id="39">
    <w:p w14:paraId="1CCE2E87" w14:textId="77777777" w:rsidR="00225D7B" w:rsidRPr="00287262" w:rsidRDefault="00225D7B" w:rsidP="00225D7B">
      <w:pPr>
        <w:rPr>
          <w:sz w:val="18"/>
          <w:szCs w:val="18"/>
        </w:rPr>
      </w:pPr>
      <w:r w:rsidRPr="00287262">
        <w:rPr>
          <w:sz w:val="18"/>
          <w:szCs w:val="18"/>
          <w:vertAlign w:val="superscript"/>
        </w:rPr>
        <w:footnoteRef/>
      </w:r>
      <w:r w:rsidRPr="00287262">
        <w:rPr>
          <w:sz w:val="18"/>
          <w:szCs w:val="18"/>
        </w:rPr>
        <w:t xml:space="preserve"> https://www.aes.asn.au/ethical-guidelines</w:t>
      </w:r>
    </w:p>
  </w:footnote>
  <w:footnote w:id="40">
    <w:p w14:paraId="2CDBA51F" w14:textId="77777777" w:rsidR="00225D7B" w:rsidRDefault="00225D7B" w:rsidP="00225D7B">
      <w:pPr>
        <w:rPr>
          <w:sz w:val="20"/>
          <w:szCs w:val="20"/>
        </w:rPr>
      </w:pPr>
      <w:r w:rsidRPr="00287262">
        <w:rPr>
          <w:sz w:val="18"/>
          <w:szCs w:val="18"/>
          <w:vertAlign w:val="superscript"/>
        </w:rPr>
        <w:footnoteRef/>
      </w:r>
      <w:r w:rsidRPr="00287262">
        <w:rPr>
          <w:sz w:val="18"/>
          <w:szCs w:val="18"/>
        </w:rPr>
        <w:t xml:space="preserve"> See https://www.dfat.gov.au/sites/default/files/ethical-research-evaluation-guidance-note.pdf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3DF4" w14:textId="72D52BAD" w:rsidR="0044561C" w:rsidRPr="00E211F9" w:rsidRDefault="00EB7572" w:rsidP="006F738B">
    <w:pPr>
      <w:pStyle w:val="Header"/>
      <w:tabs>
        <w:tab w:val="left" w:pos="238"/>
        <w:tab w:val="right" w:pos="8660"/>
      </w:tabs>
      <w:rPr>
        <w:rFonts w:asciiTheme="majorHAnsi" w:hAnsiTheme="majorHAnsi" w:cstheme="majorHAnsi"/>
        <w:sz w:val="20"/>
        <w:szCs w:val="20"/>
      </w:rPr>
    </w:pPr>
    <w:r>
      <w:rPr>
        <w:rFonts w:asciiTheme="majorHAnsi" w:hAnsiTheme="majorHAnsi" w:cstheme="majorHAnsi"/>
        <w:sz w:val="20"/>
        <w:szCs w:val="20"/>
      </w:rPr>
      <w:t xml:space="preserve">Independent Evaluation </w:t>
    </w:r>
    <w:r>
      <w:rPr>
        <w:rFonts w:asciiTheme="majorHAnsi" w:hAnsiTheme="majorHAnsi" w:cstheme="majorHAnsi"/>
        <w:sz w:val="20"/>
        <w:szCs w:val="20"/>
      </w:rPr>
      <w:tab/>
    </w:r>
    <w:r>
      <w:rPr>
        <w:rFonts w:asciiTheme="majorHAnsi" w:hAnsiTheme="majorHAnsi" w:cstheme="majorHAns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DEE"/>
    <w:multiLevelType w:val="hybridMultilevel"/>
    <w:tmpl w:val="0DC6EABE"/>
    <w:lvl w:ilvl="0" w:tplc="36E8AD5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C1D64"/>
    <w:multiLevelType w:val="hybridMultilevel"/>
    <w:tmpl w:val="7AEC128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15:restartNumberingAfterBreak="0">
    <w:nsid w:val="05E02183"/>
    <w:multiLevelType w:val="multilevel"/>
    <w:tmpl w:val="97D4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A496C"/>
    <w:multiLevelType w:val="hybridMultilevel"/>
    <w:tmpl w:val="33280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64"/>
    <w:multiLevelType w:val="multilevel"/>
    <w:tmpl w:val="74FECF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0A616C"/>
    <w:multiLevelType w:val="multilevel"/>
    <w:tmpl w:val="7C3455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2850AF"/>
    <w:multiLevelType w:val="multilevel"/>
    <w:tmpl w:val="F9F01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B5569D"/>
    <w:multiLevelType w:val="multilevel"/>
    <w:tmpl w:val="33F8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A1DFF"/>
    <w:multiLevelType w:val="hybridMultilevel"/>
    <w:tmpl w:val="CD0CE45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9" w15:restartNumberingAfterBreak="0">
    <w:nsid w:val="1B862C32"/>
    <w:multiLevelType w:val="hybridMultilevel"/>
    <w:tmpl w:val="6374F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5427A"/>
    <w:multiLevelType w:val="multilevel"/>
    <w:tmpl w:val="E5929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1D0031"/>
    <w:multiLevelType w:val="multilevel"/>
    <w:tmpl w:val="EF1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776F1"/>
    <w:multiLevelType w:val="hybridMultilevel"/>
    <w:tmpl w:val="6CDA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40AC2"/>
    <w:multiLevelType w:val="hybridMultilevel"/>
    <w:tmpl w:val="60A2B45C"/>
    <w:lvl w:ilvl="0" w:tplc="7C60ECF8">
      <w:start w:val="1"/>
      <w:numFmt w:val="lowerLetter"/>
      <w:lvlText w:val="%1."/>
      <w:lvlJc w:val="left"/>
      <w:pPr>
        <w:ind w:left="720" w:hanging="360"/>
      </w:pPr>
      <w:rPr>
        <w:rFonts w:hint="default"/>
        <w:b/>
        <w:bCs/>
      </w:rPr>
    </w:lvl>
    <w:lvl w:ilvl="1" w:tplc="EA42AEA6">
      <w:start w:val="1"/>
      <w:numFmt w:val="lowerRoman"/>
      <w:lvlText w:val="%2."/>
      <w:lvlJc w:val="right"/>
      <w:pPr>
        <w:ind w:left="1440" w:hanging="360"/>
      </w:pPr>
      <w:rPr>
        <w:b w:val="0"/>
        <w:bCs w:val="0"/>
      </w:rPr>
    </w:lvl>
    <w:lvl w:ilvl="2" w:tplc="9FD8B80E">
      <w:start w:val="6"/>
      <w:numFmt w:val="decimal"/>
      <w:lvlText w:val="%3"/>
      <w:lvlJc w:val="left"/>
      <w:pPr>
        <w:ind w:left="2340" w:hanging="360"/>
      </w:pPr>
      <w:rPr>
        <w:rFonts w:eastAsia="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666D2"/>
    <w:multiLevelType w:val="hybridMultilevel"/>
    <w:tmpl w:val="5E8C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9495A"/>
    <w:multiLevelType w:val="multilevel"/>
    <w:tmpl w:val="90EA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30A91"/>
    <w:multiLevelType w:val="hybridMultilevel"/>
    <w:tmpl w:val="130E5B1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7" w15:restartNumberingAfterBreak="0">
    <w:nsid w:val="2C282DF2"/>
    <w:multiLevelType w:val="hybridMultilevel"/>
    <w:tmpl w:val="F1A4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C2104"/>
    <w:multiLevelType w:val="multilevel"/>
    <w:tmpl w:val="8882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097787"/>
    <w:multiLevelType w:val="hybridMultilevel"/>
    <w:tmpl w:val="974A6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42F6C"/>
    <w:multiLevelType w:val="multilevel"/>
    <w:tmpl w:val="F9F01514"/>
    <w:styleLink w:val="CurrentLi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7040EE"/>
    <w:multiLevelType w:val="hybridMultilevel"/>
    <w:tmpl w:val="6C64B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3111DE"/>
    <w:multiLevelType w:val="hybridMultilevel"/>
    <w:tmpl w:val="F7DC67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5B3B33"/>
    <w:multiLevelType w:val="hybridMultilevel"/>
    <w:tmpl w:val="BE4E5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682CE1"/>
    <w:multiLevelType w:val="hybridMultilevel"/>
    <w:tmpl w:val="9F8C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E5BE6"/>
    <w:multiLevelType w:val="hybridMultilevel"/>
    <w:tmpl w:val="ADD2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D219DC"/>
    <w:multiLevelType w:val="multilevel"/>
    <w:tmpl w:val="6BB8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423A57"/>
    <w:multiLevelType w:val="hybridMultilevel"/>
    <w:tmpl w:val="08BEA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16D93"/>
    <w:multiLevelType w:val="hybridMultilevel"/>
    <w:tmpl w:val="33280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140CB"/>
    <w:multiLevelType w:val="hybridMultilevel"/>
    <w:tmpl w:val="FD507176"/>
    <w:lvl w:ilvl="0" w:tplc="5876FAEE">
      <w:start w:val="1"/>
      <w:numFmt w:val="bullet"/>
      <w:lvlText w:val="•"/>
      <w:lvlJc w:val="left"/>
      <w:pPr>
        <w:tabs>
          <w:tab w:val="num" w:pos="720"/>
        </w:tabs>
        <w:ind w:left="720" w:hanging="360"/>
      </w:pPr>
      <w:rPr>
        <w:rFonts w:ascii="Times" w:hAnsi="Times" w:hint="default"/>
      </w:rPr>
    </w:lvl>
    <w:lvl w:ilvl="1" w:tplc="2DCAE97A">
      <w:numFmt w:val="bullet"/>
      <w:lvlText w:val="•"/>
      <w:lvlJc w:val="left"/>
      <w:pPr>
        <w:tabs>
          <w:tab w:val="num" w:pos="1440"/>
        </w:tabs>
        <w:ind w:left="1440" w:hanging="360"/>
      </w:pPr>
      <w:rPr>
        <w:rFonts w:ascii="Times" w:hAnsi="Times" w:hint="default"/>
      </w:rPr>
    </w:lvl>
    <w:lvl w:ilvl="2" w:tplc="AAF4DA68" w:tentative="1">
      <w:start w:val="1"/>
      <w:numFmt w:val="bullet"/>
      <w:lvlText w:val="•"/>
      <w:lvlJc w:val="left"/>
      <w:pPr>
        <w:tabs>
          <w:tab w:val="num" w:pos="2160"/>
        </w:tabs>
        <w:ind w:left="2160" w:hanging="360"/>
      </w:pPr>
      <w:rPr>
        <w:rFonts w:ascii="Times" w:hAnsi="Times" w:hint="default"/>
      </w:rPr>
    </w:lvl>
    <w:lvl w:ilvl="3" w:tplc="510A68C8" w:tentative="1">
      <w:start w:val="1"/>
      <w:numFmt w:val="bullet"/>
      <w:lvlText w:val="•"/>
      <w:lvlJc w:val="left"/>
      <w:pPr>
        <w:tabs>
          <w:tab w:val="num" w:pos="2880"/>
        </w:tabs>
        <w:ind w:left="2880" w:hanging="360"/>
      </w:pPr>
      <w:rPr>
        <w:rFonts w:ascii="Times" w:hAnsi="Times" w:hint="default"/>
      </w:rPr>
    </w:lvl>
    <w:lvl w:ilvl="4" w:tplc="5066CE3C" w:tentative="1">
      <w:start w:val="1"/>
      <w:numFmt w:val="bullet"/>
      <w:lvlText w:val="•"/>
      <w:lvlJc w:val="left"/>
      <w:pPr>
        <w:tabs>
          <w:tab w:val="num" w:pos="3600"/>
        </w:tabs>
        <w:ind w:left="3600" w:hanging="360"/>
      </w:pPr>
      <w:rPr>
        <w:rFonts w:ascii="Times" w:hAnsi="Times" w:hint="default"/>
      </w:rPr>
    </w:lvl>
    <w:lvl w:ilvl="5" w:tplc="69AEBCB6" w:tentative="1">
      <w:start w:val="1"/>
      <w:numFmt w:val="bullet"/>
      <w:lvlText w:val="•"/>
      <w:lvlJc w:val="left"/>
      <w:pPr>
        <w:tabs>
          <w:tab w:val="num" w:pos="4320"/>
        </w:tabs>
        <w:ind w:left="4320" w:hanging="360"/>
      </w:pPr>
      <w:rPr>
        <w:rFonts w:ascii="Times" w:hAnsi="Times" w:hint="default"/>
      </w:rPr>
    </w:lvl>
    <w:lvl w:ilvl="6" w:tplc="169820AA" w:tentative="1">
      <w:start w:val="1"/>
      <w:numFmt w:val="bullet"/>
      <w:lvlText w:val="•"/>
      <w:lvlJc w:val="left"/>
      <w:pPr>
        <w:tabs>
          <w:tab w:val="num" w:pos="5040"/>
        </w:tabs>
        <w:ind w:left="5040" w:hanging="360"/>
      </w:pPr>
      <w:rPr>
        <w:rFonts w:ascii="Times" w:hAnsi="Times" w:hint="default"/>
      </w:rPr>
    </w:lvl>
    <w:lvl w:ilvl="7" w:tplc="602E336E" w:tentative="1">
      <w:start w:val="1"/>
      <w:numFmt w:val="bullet"/>
      <w:lvlText w:val="•"/>
      <w:lvlJc w:val="left"/>
      <w:pPr>
        <w:tabs>
          <w:tab w:val="num" w:pos="5760"/>
        </w:tabs>
        <w:ind w:left="5760" w:hanging="360"/>
      </w:pPr>
      <w:rPr>
        <w:rFonts w:ascii="Times" w:hAnsi="Times" w:hint="default"/>
      </w:rPr>
    </w:lvl>
    <w:lvl w:ilvl="8" w:tplc="8E36297A" w:tentative="1">
      <w:start w:val="1"/>
      <w:numFmt w:val="bullet"/>
      <w:lvlText w:val="•"/>
      <w:lvlJc w:val="left"/>
      <w:pPr>
        <w:tabs>
          <w:tab w:val="num" w:pos="6480"/>
        </w:tabs>
        <w:ind w:left="6480" w:hanging="360"/>
      </w:pPr>
      <w:rPr>
        <w:rFonts w:ascii="Times" w:hAnsi="Times" w:hint="default"/>
      </w:rPr>
    </w:lvl>
  </w:abstractNum>
  <w:abstractNum w:abstractNumId="30" w15:restartNumberingAfterBreak="0">
    <w:nsid w:val="3E5E5F90"/>
    <w:multiLevelType w:val="hybridMultilevel"/>
    <w:tmpl w:val="BD46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3B6F12"/>
    <w:multiLevelType w:val="hybridMultilevel"/>
    <w:tmpl w:val="8BBC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E2946"/>
    <w:multiLevelType w:val="hybridMultilevel"/>
    <w:tmpl w:val="D1D69A68"/>
    <w:lvl w:ilvl="0" w:tplc="2586CC7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D2724C"/>
    <w:multiLevelType w:val="multilevel"/>
    <w:tmpl w:val="ABB851D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7321C0E"/>
    <w:multiLevelType w:val="hybridMultilevel"/>
    <w:tmpl w:val="7BCEF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4835F5"/>
    <w:multiLevelType w:val="multilevel"/>
    <w:tmpl w:val="5FB8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5236C5"/>
    <w:multiLevelType w:val="hybridMultilevel"/>
    <w:tmpl w:val="CAEE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236D56"/>
    <w:multiLevelType w:val="hybridMultilevel"/>
    <w:tmpl w:val="23446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D2D6F36"/>
    <w:multiLevelType w:val="hybridMultilevel"/>
    <w:tmpl w:val="8D6AAC9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FC1697D"/>
    <w:multiLevelType w:val="hybridMultilevel"/>
    <w:tmpl w:val="D296644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8BC72D9"/>
    <w:multiLevelType w:val="hybridMultilevel"/>
    <w:tmpl w:val="CBF6471C"/>
    <w:lvl w:ilvl="0" w:tplc="8DDE075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C032AD"/>
    <w:multiLevelType w:val="hybridMultilevel"/>
    <w:tmpl w:val="A0D82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F866DB4"/>
    <w:multiLevelType w:val="hybridMultilevel"/>
    <w:tmpl w:val="BD5C2D84"/>
    <w:lvl w:ilvl="0" w:tplc="95B6160C">
      <w:start w:val="1"/>
      <w:numFmt w:val="decimal"/>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5F882246"/>
    <w:multiLevelType w:val="hybridMultilevel"/>
    <w:tmpl w:val="07E42766"/>
    <w:lvl w:ilvl="0" w:tplc="FA228CCC">
      <w:start w:val="1"/>
      <w:numFmt w:val="lowerLetter"/>
      <w:lvlText w:val="%1."/>
      <w:lvlJc w:val="left"/>
      <w:pPr>
        <w:ind w:left="360" w:hanging="360"/>
      </w:pPr>
      <w:rPr>
        <w:rFonts w:cstheme="minorBid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1972938"/>
    <w:multiLevelType w:val="hybridMultilevel"/>
    <w:tmpl w:val="14C04CD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5" w15:restartNumberingAfterBreak="0">
    <w:nsid w:val="645141BB"/>
    <w:multiLevelType w:val="multilevel"/>
    <w:tmpl w:val="E0584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4E561F6"/>
    <w:multiLevelType w:val="hybridMultilevel"/>
    <w:tmpl w:val="D12C260A"/>
    <w:lvl w:ilvl="0" w:tplc="A1FA5E36">
      <w:start w:val="1"/>
      <w:numFmt w:val="bullet"/>
      <w:lvlText w:val="•"/>
      <w:lvlJc w:val="left"/>
      <w:pPr>
        <w:tabs>
          <w:tab w:val="num" w:pos="720"/>
        </w:tabs>
        <w:ind w:left="720" w:hanging="360"/>
      </w:pPr>
      <w:rPr>
        <w:rFonts w:ascii="Times" w:hAnsi="Times" w:hint="default"/>
      </w:rPr>
    </w:lvl>
    <w:lvl w:ilvl="1" w:tplc="B596DE7A">
      <w:numFmt w:val="bullet"/>
      <w:lvlText w:val="•"/>
      <w:lvlJc w:val="left"/>
      <w:pPr>
        <w:tabs>
          <w:tab w:val="num" w:pos="1440"/>
        </w:tabs>
        <w:ind w:left="1440" w:hanging="360"/>
      </w:pPr>
      <w:rPr>
        <w:rFonts w:ascii="Times" w:hAnsi="Times" w:hint="default"/>
      </w:rPr>
    </w:lvl>
    <w:lvl w:ilvl="2" w:tplc="AE440B4A" w:tentative="1">
      <w:start w:val="1"/>
      <w:numFmt w:val="bullet"/>
      <w:lvlText w:val="•"/>
      <w:lvlJc w:val="left"/>
      <w:pPr>
        <w:tabs>
          <w:tab w:val="num" w:pos="2160"/>
        </w:tabs>
        <w:ind w:left="2160" w:hanging="360"/>
      </w:pPr>
      <w:rPr>
        <w:rFonts w:ascii="Times" w:hAnsi="Times" w:hint="default"/>
      </w:rPr>
    </w:lvl>
    <w:lvl w:ilvl="3" w:tplc="9248443A" w:tentative="1">
      <w:start w:val="1"/>
      <w:numFmt w:val="bullet"/>
      <w:lvlText w:val="•"/>
      <w:lvlJc w:val="left"/>
      <w:pPr>
        <w:tabs>
          <w:tab w:val="num" w:pos="2880"/>
        </w:tabs>
        <w:ind w:left="2880" w:hanging="360"/>
      </w:pPr>
      <w:rPr>
        <w:rFonts w:ascii="Times" w:hAnsi="Times" w:hint="default"/>
      </w:rPr>
    </w:lvl>
    <w:lvl w:ilvl="4" w:tplc="F588F42A" w:tentative="1">
      <w:start w:val="1"/>
      <w:numFmt w:val="bullet"/>
      <w:lvlText w:val="•"/>
      <w:lvlJc w:val="left"/>
      <w:pPr>
        <w:tabs>
          <w:tab w:val="num" w:pos="3600"/>
        </w:tabs>
        <w:ind w:left="3600" w:hanging="360"/>
      </w:pPr>
      <w:rPr>
        <w:rFonts w:ascii="Times" w:hAnsi="Times" w:hint="default"/>
      </w:rPr>
    </w:lvl>
    <w:lvl w:ilvl="5" w:tplc="B086A2C4" w:tentative="1">
      <w:start w:val="1"/>
      <w:numFmt w:val="bullet"/>
      <w:lvlText w:val="•"/>
      <w:lvlJc w:val="left"/>
      <w:pPr>
        <w:tabs>
          <w:tab w:val="num" w:pos="4320"/>
        </w:tabs>
        <w:ind w:left="4320" w:hanging="360"/>
      </w:pPr>
      <w:rPr>
        <w:rFonts w:ascii="Times" w:hAnsi="Times" w:hint="default"/>
      </w:rPr>
    </w:lvl>
    <w:lvl w:ilvl="6" w:tplc="B1FEFC16" w:tentative="1">
      <w:start w:val="1"/>
      <w:numFmt w:val="bullet"/>
      <w:lvlText w:val="•"/>
      <w:lvlJc w:val="left"/>
      <w:pPr>
        <w:tabs>
          <w:tab w:val="num" w:pos="5040"/>
        </w:tabs>
        <w:ind w:left="5040" w:hanging="360"/>
      </w:pPr>
      <w:rPr>
        <w:rFonts w:ascii="Times" w:hAnsi="Times" w:hint="default"/>
      </w:rPr>
    </w:lvl>
    <w:lvl w:ilvl="7" w:tplc="5D96DE0A" w:tentative="1">
      <w:start w:val="1"/>
      <w:numFmt w:val="bullet"/>
      <w:lvlText w:val="•"/>
      <w:lvlJc w:val="left"/>
      <w:pPr>
        <w:tabs>
          <w:tab w:val="num" w:pos="5760"/>
        </w:tabs>
        <w:ind w:left="5760" w:hanging="360"/>
      </w:pPr>
      <w:rPr>
        <w:rFonts w:ascii="Times" w:hAnsi="Times" w:hint="default"/>
      </w:rPr>
    </w:lvl>
    <w:lvl w:ilvl="8" w:tplc="A6A47BDE" w:tentative="1">
      <w:start w:val="1"/>
      <w:numFmt w:val="bullet"/>
      <w:lvlText w:val="•"/>
      <w:lvlJc w:val="left"/>
      <w:pPr>
        <w:tabs>
          <w:tab w:val="num" w:pos="6480"/>
        </w:tabs>
        <w:ind w:left="6480" w:hanging="360"/>
      </w:pPr>
      <w:rPr>
        <w:rFonts w:ascii="Times" w:hAnsi="Times" w:hint="default"/>
      </w:rPr>
    </w:lvl>
  </w:abstractNum>
  <w:abstractNum w:abstractNumId="47" w15:restartNumberingAfterBreak="0">
    <w:nsid w:val="66DD0658"/>
    <w:multiLevelType w:val="hybridMultilevel"/>
    <w:tmpl w:val="ED44E402"/>
    <w:lvl w:ilvl="0" w:tplc="B84CC29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61389A"/>
    <w:multiLevelType w:val="multilevel"/>
    <w:tmpl w:val="465C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71414C"/>
    <w:multiLevelType w:val="hybridMultilevel"/>
    <w:tmpl w:val="8588485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0" w15:restartNumberingAfterBreak="0">
    <w:nsid w:val="6ABC79EB"/>
    <w:multiLevelType w:val="hybridMultilevel"/>
    <w:tmpl w:val="EE3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BE19B2"/>
    <w:multiLevelType w:val="multilevel"/>
    <w:tmpl w:val="F9F01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E172719"/>
    <w:multiLevelType w:val="hybridMultilevel"/>
    <w:tmpl w:val="B4FCCD34"/>
    <w:lvl w:ilvl="0" w:tplc="7C60ECF8">
      <w:start w:val="1"/>
      <w:numFmt w:val="lowerLetter"/>
      <w:lvlText w:val="%1."/>
      <w:lvlJc w:val="left"/>
      <w:pPr>
        <w:ind w:left="720" w:hanging="360"/>
      </w:pPr>
      <w:rPr>
        <w:rFonts w:hint="default"/>
        <w:b/>
        <w:bCs/>
      </w:rPr>
    </w:lvl>
    <w:lvl w:ilvl="1" w:tplc="034020CE">
      <w:start w:val="1"/>
      <w:numFmt w:val="lowerRoman"/>
      <w:lvlText w:val="%2."/>
      <w:lvlJc w:val="righ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310CFF"/>
    <w:multiLevelType w:val="hybridMultilevel"/>
    <w:tmpl w:val="93E89446"/>
    <w:lvl w:ilvl="0" w:tplc="D0F84400">
      <w:start w:val="1"/>
      <w:numFmt w:val="bullet"/>
      <w:lvlText w:val="•"/>
      <w:lvlJc w:val="left"/>
      <w:pPr>
        <w:tabs>
          <w:tab w:val="num" w:pos="720"/>
        </w:tabs>
        <w:ind w:left="720" w:hanging="360"/>
      </w:pPr>
      <w:rPr>
        <w:rFonts w:ascii="Times" w:hAnsi="Times" w:hint="default"/>
      </w:rPr>
    </w:lvl>
    <w:lvl w:ilvl="1" w:tplc="FFD2D770">
      <w:numFmt w:val="bullet"/>
      <w:lvlText w:val="•"/>
      <w:lvlJc w:val="left"/>
      <w:pPr>
        <w:tabs>
          <w:tab w:val="num" w:pos="1440"/>
        </w:tabs>
        <w:ind w:left="1440" w:hanging="360"/>
      </w:pPr>
      <w:rPr>
        <w:rFonts w:ascii="Times" w:hAnsi="Times" w:hint="default"/>
      </w:rPr>
    </w:lvl>
    <w:lvl w:ilvl="2" w:tplc="A6349808" w:tentative="1">
      <w:start w:val="1"/>
      <w:numFmt w:val="bullet"/>
      <w:lvlText w:val="•"/>
      <w:lvlJc w:val="left"/>
      <w:pPr>
        <w:tabs>
          <w:tab w:val="num" w:pos="2160"/>
        </w:tabs>
        <w:ind w:left="2160" w:hanging="360"/>
      </w:pPr>
      <w:rPr>
        <w:rFonts w:ascii="Times" w:hAnsi="Times" w:hint="default"/>
      </w:rPr>
    </w:lvl>
    <w:lvl w:ilvl="3" w:tplc="D3588BAA" w:tentative="1">
      <w:start w:val="1"/>
      <w:numFmt w:val="bullet"/>
      <w:lvlText w:val="•"/>
      <w:lvlJc w:val="left"/>
      <w:pPr>
        <w:tabs>
          <w:tab w:val="num" w:pos="2880"/>
        </w:tabs>
        <w:ind w:left="2880" w:hanging="360"/>
      </w:pPr>
      <w:rPr>
        <w:rFonts w:ascii="Times" w:hAnsi="Times" w:hint="default"/>
      </w:rPr>
    </w:lvl>
    <w:lvl w:ilvl="4" w:tplc="92C27FA4" w:tentative="1">
      <w:start w:val="1"/>
      <w:numFmt w:val="bullet"/>
      <w:lvlText w:val="•"/>
      <w:lvlJc w:val="left"/>
      <w:pPr>
        <w:tabs>
          <w:tab w:val="num" w:pos="3600"/>
        </w:tabs>
        <w:ind w:left="3600" w:hanging="360"/>
      </w:pPr>
      <w:rPr>
        <w:rFonts w:ascii="Times" w:hAnsi="Times" w:hint="default"/>
      </w:rPr>
    </w:lvl>
    <w:lvl w:ilvl="5" w:tplc="46966F18" w:tentative="1">
      <w:start w:val="1"/>
      <w:numFmt w:val="bullet"/>
      <w:lvlText w:val="•"/>
      <w:lvlJc w:val="left"/>
      <w:pPr>
        <w:tabs>
          <w:tab w:val="num" w:pos="4320"/>
        </w:tabs>
        <w:ind w:left="4320" w:hanging="360"/>
      </w:pPr>
      <w:rPr>
        <w:rFonts w:ascii="Times" w:hAnsi="Times" w:hint="default"/>
      </w:rPr>
    </w:lvl>
    <w:lvl w:ilvl="6" w:tplc="557009AC" w:tentative="1">
      <w:start w:val="1"/>
      <w:numFmt w:val="bullet"/>
      <w:lvlText w:val="•"/>
      <w:lvlJc w:val="left"/>
      <w:pPr>
        <w:tabs>
          <w:tab w:val="num" w:pos="5040"/>
        </w:tabs>
        <w:ind w:left="5040" w:hanging="360"/>
      </w:pPr>
      <w:rPr>
        <w:rFonts w:ascii="Times" w:hAnsi="Times" w:hint="default"/>
      </w:rPr>
    </w:lvl>
    <w:lvl w:ilvl="7" w:tplc="5FDACD7A" w:tentative="1">
      <w:start w:val="1"/>
      <w:numFmt w:val="bullet"/>
      <w:lvlText w:val="•"/>
      <w:lvlJc w:val="left"/>
      <w:pPr>
        <w:tabs>
          <w:tab w:val="num" w:pos="5760"/>
        </w:tabs>
        <w:ind w:left="5760" w:hanging="360"/>
      </w:pPr>
      <w:rPr>
        <w:rFonts w:ascii="Times" w:hAnsi="Times" w:hint="default"/>
      </w:rPr>
    </w:lvl>
    <w:lvl w:ilvl="8" w:tplc="39DAACD0" w:tentative="1">
      <w:start w:val="1"/>
      <w:numFmt w:val="bullet"/>
      <w:lvlText w:val="•"/>
      <w:lvlJc w:val="left"/>
      <w:pPr>
        <w:tabs>
          <w:tab w:val="num" w:pos="6480"/>
        </w:tabs>
        <w:ind w:left="6480" w:hanging="360"/>
      </w:pPr>
      <w:rPr>
        <w:rFonts w:ascii="Times" w:hAnsi="Times" w:hint="default"/>
      </w:rPr>
    </w:lvl>
  </w:abstractNum>
  <w:abstractNum w:abstractNumId="54" w15:restartNumberingAfterBreak="0">
    <w:nsid w:val="70E1337A"/>
    <w:multiLevelType w:val="multilevel"/>
    <w:tmpl w:val="34DC2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3E32C4"/>
    <w:multiLevelType w:val="multilevel"/>
    <w:tmpl w:val="9DA8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DB2511"/>
    <w:multiLevelType w:val="multilevel"/>
    <w:tmpl w:val="2FBA461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E85BB8"/>
    <w:multiLevelType w:val="multilevel"/>
    <w:tmpl w:val="C826E9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8" w15:restartNumberingAfterBreak="0">
    <w:nsid w:val="744843DE"/>
    <w:multiLevelType w:val="multilevel"/>
    <w:tmpl w:val="9DC4081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9" w15:restartNumberingAfterBreak="0">
    <w:nsid w:val="75AF161E"/>
    <w:multiLevelType w:val="hybridMultilevel"/>
    <w:tmpl w:val="6B84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B6113C"/>
    <w:multiLevelType w:val="multilevel"/>
    <w:tmpl w:val="AE884E10"/>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rPr>
        <w:rFonts w:asciiTheme="minorHAnsi" w:eastAsiaTheme="minorHAnsi" w:hAnsiTheme="minorHAnsi" w:cstheme="minorHAnsi"/>
      </w:rPr>
    </w:lvl>
    <w:lvl w:ilvl="8">
      <w:start w:val="1"/>
      <w:numFmt w:val="lowerRoman"/>
      <w:lvlText w:val="%9."/>
      <w:lvlJc w:val="left"/>
      <w:pPr>
        <w:ind w:left="4320" w:hanging="360"/>
      </w:pPr>
    </w:lvl>
  </w:abstractNum>
  <w:abstractNum w:abstractNumId="61" w15:restartNumberingAfterBreak="0">
    <w:nsid w:val="760D13EB"/>
    <w:multiLevelType w:val="hybridMultilevel"/>
    <w:tmpl w:val="E2C41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F843C5"/>
    <w:multiLevelType w:val="hybridMultilevel"/>
    <w:tmpl w:val="63E6E55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3" w15:restartNumberingAfterBreak="0">
    <w:nsid w:val="7C494E50"/>
    <w:multiLevelType w:val="multilevel"/>
    <w:tmpl w:val="1C58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EA845B1"/>
    <w:multiLevelType w:val="hybridMultilevel"/>
    <w:tmpl w:val="C948661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16cid:durableId="215632275">
    <w:abstractNumId w:val="10"/>
  </w:num>
  <w:num w:numId="2" w16cid:durableId="1873105840">
    <w:abstractNumId w:val="25"/>
  </w:num>
  <w:num w:numId="3" w16cid:durableId="1642347879">
    <w:abstractNumId w:val="9"/>
  </w:num>
  <w:num w:numId="4" w16cid:durableId="1786344074">
    <w:abstractNumId w:val="46"/>
  </w:num>
  <w:num w:numId="5" w16cid:durableId="60711901">
    <w:abstractNumId w:val="29"/>
  </w:num>
  <w:num w:numId="6" w16cid:durableId="975455268">
    <w:abstractNumId w:val="53"/>
  </w:num>
  <w:num w:numId="7" w16cid:durableId="1995991496">
    <w:abstractNumId w:val="31"/>
  </w:num>
  <w:num w:numId="8" w16cid:durableId="1718703578">
    <w:abstractNumId w:val="50"/>
  </w:num>
  <w:num w:numId="9" w16cid:durableId="397941119">
    <w:abstractNumId w:val="61"/>
  </w:num>
  <w:num w:numId="10" w16cid:durableId="252318974">
    <w:abstractNumId w:val="43"/>
  </w:num>
  <w:num w:numId="11" w16cid:durableId="594821224">
    <w:abstractNumId w:val="24"/>
  </w:num>
  <w:num w:numId="12" w16cid:durableId="577832048">
    <w:abstractNumId w:val="57"/>
  </w:num>
  <w:num w:numId="13" w16cid:durableId="1673756501">
    <w:abstractNumId w:val="56"/>
  </w:num>
  <w:num w:numId="14" w16cid:durableId="2082603063">
    <w:abstractNumId w:val="5"/>
  </w:num>
  <w:num w:numId="15" w16cid:durableId="582570649">
    <w:abstractNumId w:val="51"/>
  </w:num>
  <w:num w:numId="16" w16cid:durableId="1440099584">
    <w:abstractNumId w:val="58"/>
  </w:num>
  <w:num w:numId="17" w16cid:durableId="349796190">
    <w:abstractNumId w:val="4"/>
  </w:num>
  <w:num w:numId="18" w16cid:durableId="38012790">
    <w:abstractNumId w:val="48"/>
  </w:num>
  <w:num w:numId="19" w16cid:durableId="1967813541">
    <w:abstractNumId w:val="42"/>
  </w:num>
  <w:num w:numId="20" w16cid:durableId="919564329">
    <w:abstractNumId w:val="62"/>
  </w:num>
  <w:num w:numId="21" w16cid:durableId="1033459883">
    <w:abstractNumId w:val="1"/>
  </w:num>
  <w:num w:numId="22" w16cid:durableId="446433808">
    <w:abstractNumId w:val="16"/>
  </w:num>
  <w:num w:numId="23" w16cid:durableId="1340889278">
    <w:abstractNumId w:val="64"/>
  </w:num>
  <w:num w:numId="24" w16cid:durableId="2083023835">
    <w:abstractNumId w:val="8"/>
  </w:num>
  <w:num w:numId="25" w16cid:durableId="1564952154">
    <w:abstractNumId w:val="49"/>
  </w:num>
  <w:num w:numId="26" w16cid:durableId="1071079549">
    <w:abstractNumId w:val="44"/>
  </w:num>
  <w:num w:numId="27" w16cid:durableId="2095588858">
    <w:abstractNumId w:val="63"/>
  </w:num>
  <w:num w:numId="28" w16cid:durableId="903418979">
    <w:abstractNumId w:val="22"/>
  </w:num>
  <w:num w:numId="29" w16cid:durableId="1574003570">
    <w:abstractNumId w:val="38"/>
  </w:num>
  <w:num w:numId="30" w16cid:durableId="1471239877">
    <w:abstractNumId w:val="52"/>
  </w:num>
  <w:num w:numId="31" w16cid:durableId="1808890297">
    <w:abstractNumId w:val="60"/>
  </w:num>
  <w:num w:numId="32" w16cid:durableId="1526166277">
    <w:abstractNumId w:val="13"/>
  </w:num>
  <w:num w:numId="33" w16cid:durableId="1242329271">
    <w:abstractNumId w:val="19"/>
  </w:num>
  <w:num w:numId="34" w16cid:durableId="2057509286">
    <w:abstractNumId w:val="40"/>
  </w:num>
  <w:num w:numId="35" w16cid:durableId="1919709803">
    <w:abstractNumId w:val="32"/>
  </w:num>
  <w:num w:numId="36" w16cid:durableId="283272062">
    <w:abstractNumId w:val="0"/>
  </w:num>
  <w:num w:numId="37" w16cid:durableId="550730677">
    <w:abstractNumId w:val="28"/>
  </w:num>
  <w:num w:numId="38" w16cid:durableId="1538854863">
    <w:abstractNumId w:val="47"/>
  </w:num>
  <w:num w:numId="39" w16cid:durableId="413824813">
    <w:abstractNumId w:val="3"/>
  </w:num>
  <w:num w:numId="40" w16cid:durableId="953949477">
    <w:abstractNumId w:val="34"/>
  </w:num>
  <w:num w:numId="41" w16cid:durableId="835808767">
    <w:abstractNumId w:val="26"/>
  </w:num>
  <w:num w:numId="42" w16cid:durableId="1138960691">
    <w:abstractNumId w:val="45"/>
    <w:lvlOverride w:ilvl="0">
      <w:lvl w:ilvl="0">
        <w:numFmt w:val="decimal"/>
        <w:lvlText w:val="%1."/>
        <w:lvlJc w:val="left"/>
      </w:lvl>
    </w:lvlOverride>
  </w:num>
  <w:num w:numId="43" w16cid:durableId="686056428">
    <w:abstractNumId w:val="18"/>
  </w:num>
  <w:num w:numId="44" w16cid:durableId="2001154554">
    <w:abstractNumId w:val="15"/>
  </w:num>
  <w:num w:numId="45" w16cid:durableId="1504784793">
    <w:abstractNumId w:val="2"/>
  </w:num>
  <w:num w:numId="46" w16cid:durableId="1935628190">
    <w:abstractNumId w:val="11"/>
  </w:num>
  <w:num w:numId="47" w16cid:durableId="276956204">
    <w:abstractNumId w:val="7"/>
  </w:num>
  <w:num w:numId="48" w16cid:durableId="558368967">
    <w:abstractNumId w:val="55"/>
  </w:num>
  <w:num w:numId="49" w16cid:durableId="1692296284">
    <w:abstractNumId w:val="35"/>
  </w:num>
  <w:num w:numId="50" w16cid:durableId="395468770">
    <w:abstractNumId w:val="37"/>
  </w:num>
  <w:num w:numId="51" w16cid:durableId="1926500319">
    <w:abstractNumId w:val="6"/>
  </w:num>
  <w:num w:numId="52" w16cid:durableId="1164736898">
    <w:abstractNumId w:val="30"/>
  </w:num>
  <w:num w:numId="53" w16cid:durableId="416370922">
    <w:abstractNumId w:val="36"/>
  </w:num>
  <w:num w:numId="54" w16cid:durableId="813790182">
    <w:abstractNumId w:val="14"/>
  </w:num>
  <w:num w:numId="55" w16cid:durableId="1097605273">
    <w:abstractNumId w:val="20"/>
  </w:num>
  <w:num w:numId="56" w16cid:durableId="981543836">
    <w:abstractNumId w:val="33"/>
  </w:num>
  <w:num w:numId="57" w16cid:durableId="1707946161">
    <w:abstractNumId w:val="41"/>
  </w:num>
  <w:num w:numId="58" w16cid:durableId="355276007">
    <w:abstractNumId w:val="59"/>
  </w:num>
  <w:num w:numId="59" w16cid:durableId="408890756">
    <w:abstractNumId w:val="54"/>
  </w:num>
  <w:num w:numId="60" w16cid:durableId="529952788">
    <w:abstractNumId w:val="17"/>
  </w:num>
  <w:num w:numId="61" w16cid:durableId="2102026278">
    <w:abstractNumId w:val="12"/>
  </w:num>
  <w:num w:numId="62" w16cid:durableId="303900003">
    <w:abstractNumId w:val="27"/>
  </w:num>
  <w:num w:numId="63" w16cid:durableId="271589849">
    <w:abstractNumId w:val="21"/>
  </w:num>
  <w:num w:numId="64" w16cid:durableId="1783381739">
    <w:abstractNumId w:val="23"/>
  </w:num>
  <w:num w:numId="65" w16cid:durableId="2033610371">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E1"/>
    <w:rsid w:val="00001639"/>
    <w:rsid w:val="00002A31"/>
    <w:rsid w:val="000030F9"/>
    <w:rsid w:val="0000516C"/>
    <w:rsid w:val="000076CE"/>
    <w:rsid w:val="000100DF"/>
    <w:rsid w:val="000113DF"/>
    <w:rsid w:val="00012CA2"/>
    <w:rsid w:val="00014E80"/>
    <w:rsid w:val="000164CC"/>
    <w:rsid w:val="00016C83"/>
    <w:rsid w:val="00017B9D"/>
    <w:rsid w:val="000221A7"/>
    <w:rsid w:val="00025E25"/>
    <w:rsid w:val="000307D0"/>
    <w:rsid w:val="00032838"/>
    <w:rsid w:val="00034065"/>
    <w:rsid w:val="00035C9B"/>
    <w:rsid w:val="000377F8"/>
    <w:rsid w:val="000410F4"/>
    <w:rsid w:val="000442EA"/>
    <w:rsid w:val="0004497D"/>
    <w:rsid w:val="00044C7F"/>
    <w:rsid w:val="00045149"/>
    <w:rsid w:val="00047D6E"/>
    <w:rsid w:val="000505E2"/>
    <w:rsid w:val="000506B8"/>
    <w:rsid w:val="00050CE7"/>
    <w:rsid w:val="00050F14"/>
    <w:rsid w:val="00052118"/>
    <w:rsid w:val="00053C35"/>
    <w:rsid w:val="000544FE"/>
    <w:rsid w:val="00054691"/>
    <w:rsid w:val="000558E5"/>
    <w:rsid w:val="00056517"/>
    <w:rsid w:val="000579BD"/>
    <w:rsid w:val="00060984"/>
    <w:rsid w:val="00062D4F"/>
    <w:rsid w:val="00062E8A"/>
    <w:rsid w:val="00063619"/>
    <w:rsid w:val="000655F3"/>
    <w:rsid w:val="00067F0C"/>
    <w:rsid w:val="00072CEE"/>
    <w:rsid w:val="00073311"/>
    <w:rsid w:val="00073985"/>
    <w:rsid w:val="0007407D"/>
    <w:rsid w:val="000747C1"/>
    <w:rsid w:val="0007508D"/>
    <w:rsid w:val="000752B4"/>
    <w:rsid w:val="00075B54"/>
    <w:rsid w:val="0007605F"/>
    <w:rsid w:val="000858F7"/>
    <w:rsid w:val="00086EE6"/>
    <w:rsid w:val="00087C0C"/>
    <w:rsid w:val="00090676"/>
    <w:rsid w:val="0009571B"/>
    <w:rsid w:val="00096CC6"/>
    <w:rsid w:val="00096DF8"/>
    <w:rsid w:val="000973B4"/>
    <w:rsid w:val="000A0032"/>
    <w:rsid w:val="000A2819"/>
    <w:rsid w:val="000A4DC3"/>
    <w:rsid w:val="000A54AB"/>
    <w:rsid w:val="000A5F20"/>
    <w:rsid w:val="000B12F1"/>
    <w:rsid w:val="000B25F1"/>
    <w:rsid w:val="000B36B6"/>
    <w:rsid w:val="000B3AFD"/>
    <w:rsid w:val="000B418B"/>
    <w:rsid w:val="000B520D"/>
    <w:rsid w:val="000B733A"/>
    <w:rsid w:val="000C1DFB"/>
    <w:rsid w:val="000C2015"/>
    <w:rsid w:val="000C4167"/>
    <w:rsid w:val="000C5513"/>
    <w:rsid w:val="000C6B36"/>
    <w:rsid w:val="000C77BC"/>
    <w:rsid w:val="000C7E59"/>
    <w:rsid w:val="000D0318"/>
    <w:rsid w:val="000D1BB0"/>
    <w:rsid w:val="000D1EA1"/>
    <w:rsid w:val="000D27EF"/>
    <w:rsid w:val="000D338B"/>
    <w:rsid w:val="000D39BB"/>
    <w:rsid w:val="000D582E"/>
    <w:rsid w:val="000D7328"/>
    <w:rsid w:val="000D737F"/>
    <w:rsid w:val="000D7A5C"/>
    <w:rsid w:val="000E0982"/>
    <w:rsid w:val="000E170A"/>
    <w:rsid w:val="000E276D"/>
    <w:rsid w:val="000E2E7C"/>
    <w:rsid w:val="000E2FC7"/>
    <w:rsid w:val="000E3306"/>
    <w:rsid w:val="000E4776"/>
    <w:rsid w:val="000E4F8D"/>
    <w:rsid w:val="000E5C84"/>
    <w:rsid w:val="000F31D7"/>
    <w:rsid w:val="000F3577"/>
    <w:rsid w:val="000F4C7E"/>
    <w:rsid w:val="000F4EA9"/>
    <w:rsid w:val="000F5D41"/>
    <w:rsid w:val="000F6B15"/>
    <w:rsid w:val="0010007D"/>
    <w:rsid w:val="001003A6"/>
    <w:rsid w:val="00100AD4"/>
    <w:rsid w:val="00101F69"/>
    <w:rsid w:val="0010304D"/>
    <w:rsid w:val="00103A44"/>
    <w:rsid w:val="00105F31"/>
    <w:rsid w:val="0010617F"/>
    <w:rsid w:val="0010714F"/>
    <w:rsid w:val="0010715E"/>
    <w:rsid w:val="00107724"/>
    <w:rsid w:val="00107A54"/>
    <w:rsid w:val="00111ACA"/>
    <w:rsid w:val="00112D25"/>
    <w:rsid w:val="0011420B"/>
    <w:rsid w:val="00115054"/>
    <w:rsid w:val="00117490"/>
    <w:rsid w:val="00120B06"/>
    <w:rsid w:val="00121391"/>
    <w:rsid w:val="00123825"/>
    <w:rsid w:val="00125B63"/>
    <w:rsid w:val="00125EF3"/>
    <w:rsid w:val="0012708A"/>
    <w:rsid w:val="0013023D"/>
    <w:rsid w:val="001302F1"/>
    <w:rsid w:val="00131A24"/>
    <w:rsid w:val="001414E9"/>
    <w:rsid w:val="001430C3"/>
    <w:rsid w:val="00144F6F"/>
    <w:rsid w:val="001454AA"/>
    <w:rsid w:val="00145A43"/>
    <w:rsid w:val="0015183C"/>
    <w:rsid w:val="00151BB4"/>
    <w:rsid w:val="0015273F"/>
    <w:rsid w:val="001535A9"/>
    <w:rsid w:val="001537BD"/>
    <w:rsid w:val="00153A3B"/>
    <w:rsid w:val="00154C36"/>
    <w:rsid w:val="00154DCF"/>
    <w:rsid w:val="001562DD"/>
    <w:rsid w:val="00157345"/>
    <w:rsid w:val="00157795"/>
    <w:rsid w:val="001604A7"/>
    <w:rsid w:val="001620EC"/>
    <w:rsid w:val="00162CE3"/>
    <w:rsid w:val="00165798"/>
    <w:rsid w:val="00165BBF"/>
    <w:rsid w:val="0016610F"/>
    <w:rsid w:val="00167797"/>
    <w:rsid w:val="00167965"/>
    <w:rsid w:val="00170865"/>
    <w:rsid w:val="00172203"/>
    <w:rsid w:val="00176C0F"/>
    <w:rsid w:val="00180EAB"/>
    <w:rsid w:val="001814E3"/>
    <w:rsid w:val="00181ECF"/>
    <w:rsid w:val="0018325A"/>
    <w:rsid w:val="001840C8"/>
    <w:rsid w:val="0018665B"/>
    <w:rsid w:val="001916FE"/>
    <w:rsid w:val="001925D1"/>
    <w:rsid w:val="00193CC5"/>
    <w:rsid w:val="001963B2"/>
    <w:rsid w:val="001966A2"/>
    <w:rsid w:val="001A0BC5"/>
    <w:rsid w:val="001A2CBF"/>
    <w:rsid w:val="001A36E1"/>
    <w:rsid w:val="001A37D2"/>
    <w:rsid w:val="001A405B"/>
    <w:rsid w:val="001A50FE"/>
    <w:rsid w:val="001A5479"/>
    <w:rsid w:val="001A6B2A"/>
    <w:rsid w:val="001A732E"/>
    <w:rsid w:val="001A7A31"/>
    <w:rsid w:val="001B12A5"/>
    <w:rsid w:val="001B2091"/>
    <w:rsid w:val="001B46EA"/>
    <w:rsid w:val="001C332C"/>
    <w:rsid w:val="001C429C"/>
    <w:rsid w:val="001C7E93"/>
    <w:rsid w:val="001D0D25"/>
    <w:rsid w:val="001D3345"/>
    <w:rsid w:val="001D40DA"/>
    <w:rsid w:val="001D43D0"/>
    <w:rsid w:val="001D5BE3"/>
    <w:rsid w:val="001D665A"/>
    <w:rsid w:val="001D66B8"/>
    <w:rsid w:val="001D69EC"/>
    <w:rsid w:val="001D6E1C"/>
    <w:rsid w:val="001E02DF"/>
    <w:rsid w:val="001E0C6A"/>
    <w:rsid w:val="001E1DED"/>
    <w:rsid w:val="001E2C78"/>
    <w:rsid w:val="001E4E0A"/>
    <w:rsid w:val="001E7FDF"/>
    <w:rsid w:val="001F182F"/>
    <w:rsid w:val="001F1AB1"/>
    <w:rsid w:val="001F32C7"/>
    <w:rsid w:val="001F3961"/>
    <w:rsid w:val="001F3AD3"/>
    <w:rsid w:val="001F5542"/>
    <w:rsid w:val="001F7FC9"/>
    <w:rsid w:val="002132A8"/>
    <w:rsid w:val="002143CE"/>
    <w:rsid w:val="002154DE"/>
    <w:rsid w:val="00215883"/>
    <w:rsid w:val="00216D84"/>
    <w:rsid w:val="0022019C"/>
    <w:rsid w:val="00222E6B"/>
    <w:rsid w:val="00222ED6"/>
    <w:rsid w:val="00224507"/>
    <w:rsid w:val="00225D7B"/>
    <w:rsid w:val="002264FA"/>
    <w:rsid w:val="00226579"/>
    <w:rsid w:val="002275B9"/>
    <w:rsid w:val="00230529"/>
    <w:rsid w:val="00230FF0"/>
    <w:rsid w:val="002318C1"/>
    <w:rsid w:val="00231C24"/>
    <w:rsid w:val="002326E3"/>
    <w:rsid w:val="0023588C"/>
    <w:rsid w:val="002363C3"/>
    <w:rsid w:val="00236BF3"/>
    <w:rsid w:val="00236C51"/>
    <w:rsid w:val="00236F77"/>
    <w:rsid w:val="00237CFB"/>
    <w:rsid w:val="00240E4B"/>
    <w:rsid w:val="00242481"/>
    <w:rsid w:val="00246E70"/>
    <w:rsid w:val="00250090"/>
    <w:rsid w:val="00251119"/>
    <w:rsid w:val="0025137B"/>
    <w:rsid w:val="00251BB8"/>
    <w:rsid w:val="002525C6"/>
    <w:rsid w:val="00252CC8"/>
    <w:rsid w:val="00253F1D"/>
    <w:rsid w:val="00254D04"/>
    <w:rsid w:val="00255022"/>
    <w:rsid w:val="0025593D"/>
    <w:rsid w:val="00255FEE"/>
    <w:rsid w:val="00257AA2"/>
    <w:rsid w:val="0026193B"/>
    <w:rsid w:val="00263E57"/>
    <w:rsid w:val="002664B2"/>
    <w:rsid w:val="00267013"/>
    <w:rsid w:val="00267942"/>
    <w:rsid w:val="00270B3E"/>
    <w:rsid w:val="00270F4C"/>
    <w:rsid w:val="00271763"/>
    <w:rsid w:val="002741FC"/>
    <w:rsid w:val="002747C6"/>
    <w:rsid w:val="00274E7F"/>
    <w:rsid w:val="00275660"/>
    <w:rsid w:val="0027761E"/>
    <w:rsid w:val="00281812"/>
    <w:rsid w:val="00282B91"/>
    <w:rsid w:val="002835A5"/>
    <w:rsid w:val="00283916"/>
    <w:rsid w:val="002844E0"/>
    <w:rsid w:val="00284576"/>
    <w:rsid w:val="00284599"/>
    <w:rsid w:val="002845F9"/>
    <w:rsid w:val="00285E9F"/>
    <w:rsid w:val="002900C0"/>
    <w:rsid w:val="00291236"/>
    <w:rsid w:val="0029161D"/>
    <w:rsid w:val="00292AB2"/>
    <w:rsid w:val="00292B1A"/>
    <w:rsid w:val="00294336"/>
    <w:rsid w:val="002A00A1"/>
    <w:rsid w:val="002A05D3"/>
    <w:rsid w:val="002A13B7"/>
    <w:rsid w:val="002A4D45"/>
    <w:rsid w:val="002A4E20"/>
    <w:rsid w:val="002A5164"/>
    <w:rsid w:val="002A68CF"/>
    <w:rsid w:val="002A68DD"/>
    <w:rsid w:val="002B2386"/>
    <w:rsid w:val="002B5106"/>
    <w:rsid w:val="002B594F"/>
    <w:rsid w:val="002B5DFE"/>
    <w:rsid w:val="002B6171"/>
    <w:rsid w:val="002B76C8"/>
    <w:rsid w:val="002C1082"/>
    <w:rsid w:val="002C1EA9"/>
    <w:rsid w:val="002C25A3"/>
    <w:rsid w:val="002C3157"/>
    <w:rsid w:val="002C3B86"/>
    <w:rsid w:val="002C3C08"/>
    <w:rsid w:val="002C42D7"/>
    <w:rsid w:val="002C433A"/>
    <w:rsid w:val="002C6F6D"/>
    <w:rsid w:val="002C72B6"/>
    <w:rsid w:val="002D0B07"/>
    <w:rsid w:val="002D19FA"/>
    <w:rsid w:val="002D3ED1"/>
    <w:rsid w:val="002D4556"/>
    <w:rsid w:val="002D5C7A"/>
    <w:rsid w:val="002D6CE8"/>
    <w:rsid w:val="002E039D"/>
    <w:rsid w:val="002E2284"/>
    <w:rsid w:val="002E4DA0"/>
    <w:rsid w:val="002E5C61"/>
    <w:rsid w:val="002E69DD"/>
    <w:rsid w:val="002F490A"/>
    <w:rsid w:val="003017F9"/>
    <w:rsid w:val="00303706"/>
    <w:rsid w:val="00303879"/>
    <w:rsid w:val="0030404A"/>
    <w:rsid w:val="003119FF"/>
    <w:rsid w:val="00312F63"/>
    <w:rsid w:val="00313B77"/>
    <w:rsid w:val="003144E9"/>
    <w:rsid w:val="0031744B"/>
    <w:rsid w:val="0032141E"/>
    <w:rsid w:val="00322783"/>
    <w:rsid w:val="00323C27"/>
    <w:rsid w:val="00324F73"/>
    <w:rsid w:val="00325100"/>
    <w:rsid w:val="00325EE8"/>
    <w:rsid w:val="00331A56"/>
    <w:rsid w:val="003320BC"/>
    <w:rsid w:val="00333215"/>
    <w:rsid w:val="00333774"/>
    <w:rsid w:val="0033568F"/>
    <w:rsid w:val="00340677"/>
    <w:rsid w:val="00340A71"/>
    <w:rsid w:val="00341B54"/>
    <w:rsid w:val="00343B75"/>
    <w:rsid w:val="00343BA9"/>
    <w:rsid w:val="00343EEF"/>
    <w:rsid w:val="00346188"/>
    <w:rsid w:val="00347C89"/>
    <w:rsid w:val="00350C77"/>
    <w:rsid w:val="00354AE8"/>
    <w:rsid w:val="00354B48"/>
    <w:rsid w:val="003557BA"/>
    <w:rsid w:val="00357855"/>
    <w:rsid w:val="00360FC5"/>
    <w:rsid w:val="00362625"/>
    <w:rsid w:val="0036282F"/>
    <w:rsid w:val="00364E53"/>
    <w:rsid w:val="003673DE"/>
    <w:rsid w:val="00370873"/>
    <w:rsid w:val="00370B5A"/>
    <w:rsid w:val="0037114A"/>
    <w:rsid w:val="00377F90"/>
    <w:rsid w:val="00380A6E"/>
    <w:rsid w:val="003819D3"/>
    <w:rsid w:val="00381F7D"/>
    <w:rsid w:val="0038346D"/>
    <w:rsid w:val="00383667"/>
    <w:rsid w:val="00383EDB"/>
    <w:rsid w:val="00384A8A"/>
    <w:rsid w:val="00386B54"/>
    <w:rsid w:val="0039018C"/>
    <w:rsid w:val="00390488"/>
    <w:rsid w:val="0039056A"/>
    <w:rsid w:val="003905E2"/>
    <w:rsid w:val="00392645"/>
    <w:rsid w:val="00395153"/>
    <w:rsid w:val="003952EC"/>
    <w:rsid w:val="00397A32"/>
    <w:rsid w:val="003A0B58"/>
    <w:rsid w:val="003A241A"/>
    <w:rsid w:val="003A6ABA"/>
    <w:rsid w:val="003A74B5"/>
    <w:rsid w:val="003A77D6"/>
    <w:rsid w:val="003A7ECE"/>
    <w:rsid w:val="003B33CC"/>
    <w:rsid w:val="003B38E1"/>
    <w:rsid w:val="003B3DC9"/>
    <w:rsid w:val="003B3F67"/>
    <w:rsid w:val="003B5554"/>
    <w:rsid w:val="003B61F9"/>
    <w:rsid w:val="003B677E"/>
    <w:rsid w:val="003B6844"/>
    <w:rsid w:val="003B7904"/>
    <w:rsid w:val="003C0525"/>
    <w:rsid w:val="003C29E6"/>
    <w:rsid w:val="003C363D"/>
    <w:rsid w:val="003C5C9C"/>
    <w:rsid w:val="003D05E9"/>
    <w:rsid w:val="003D1377"/>
    <w:rsid w:val="003D3DA6"/>
    <w:rsid w:val="003D42C4"/>
    <w:rsid w:val="003D5458"/>
    <w:rsid w:val="003D5BA2"/>
    <w:rsid w:val="003D5C2C"/>
    <w:rsid w:val="003D6994"/>
    <w:rsid w:val="003D7252"/>
    <w:rsid w:val="003D727F"/>
    <w:rsid w:val="003E3B89"/>
    <w:rsid w:val="003E48F2"/>
    <w:rsid w:val="003E50B8"/>
    <w:rsid w:val="003E6856"/>
    <w:rsid w:val="003E6C38"/>
    <w:rsid w:val="003E6D56"/>
    <w:rsid w:val="003E720F"/>
    <w:rsid w:val="003F123F"/>
    <w:rsid w:val="003F13E7"/>
    <w:rsid w:val="003F1A0B"/>
    <w:rsid w:val="003F1D6D"/>
    <w:rsid w:val="003F2A67"/>
    <w:rsid w:val="003F391E"/>
    <w:rsid w:val="003F5110"/>
    <w:rsid w:val="003F6DAF"/>
    <w:rsid w:val="003F7097"/>
    <w:rsid w:val="00400454"/>
    <w:rsid w:val="004006AA"/>
    <w:rsid w:val="004015CD"/>
    <w:rsid w:val="00401931"/>
    <w:rsid w:val="00401E6A"/>
    <w:rsid w:val="00404304"/>
    <w:rsid w:val="004106EF"/>
    <w:rsid w:val="0041105F"/>
    <w:rsid w:val="00411218"/>
    <w:rsid w:val="00411980"/>
    <w:rsid w:val="0041226D"/>
    <w:rsid w:val="00414137"/>
    <w:rsid w:val="00417AEA"/>
    <w:rsid w:val="004206AF"/>
    <w:rsid w:val="004208D2"/>
    <w:rsid w:val="00420BA8"/>
    <w:rsid w:val="00422115"/>
    <w:rsid w:val="00422676"/>
    <w:rsid w:val="0042543F"/>
    <w:rsid w:val="004267A2"/>
    <w:rsid w:val="00426FE7"/>
    <w:rsid w:val="00430EB4"/>
    <w:rsid w:val="00432918"/>
    <w:rsid w:val="0043510C"/>
    <w:rsid w:val="004351B9"/>
    <w:rsid w:val="0043670E"/>
    <w:rsid w:val="00437699"/>
    <w:rsid w:val="004377C0"/>
    <w:rsid w:val="0044325F"/>
    <w:rsid w:val="0044375A"/>
    <w:rsid w:val="0044387E"/>
    <w:rsid w:val="0044432B"/>
    <w:rsid w:val="0044561C"/>
    <w:rsid w:val="0044620D"/>
    <w:rsid w:val="00446904"/>
    <w:rsid w:val="00446C02"/>
    <w:rsid w:val="00451D17"/>
    <w:rsid w:val="0045270D"/>
    <w:rsid w:val="00452FDF"/>
    <w:rsid w:val="00454257"/>
    <w:rsid w:val="00455627"/>
    <w:rsid w:val="004562CC"/>
    <w:rsid w:val="00460600"/>
    <w:rsid w:val="004615D8"/>
    <w:rsid w:val="004632B4"/>
    <w:rsid w:val="004633F1"/>
    <w:rsid w:val="00466976"/>
    <w:rsid w:val="0047067D"/>
    <w:rsid w:val="004714CA"/>
    <w:rsid w:val="0047155D"/>
    <w:rsid w:val="0047177B"/>
    <w:rsid w:val="00471FAF"/>
    <w:rsid w:val="00472F95"/>
    <w:rsid w:val="0047347C"/>
    <w:rsid w:val="00473500"/>
    <w:rsid w:val="00474210"/>
    <w:rsid w:val="004748FF"/>
    <w:rsid w:val="00474EC0"/>
    <w:rsid w:val="0047588C"/>
    <w:rsid w:val="00475E1B"/>
    <w:rsid w:val="00477E06"/>
    <w:rsid w:val="004804B5"/>
    <w:rsid w:val="0048071F"/>
    <w:rsid w:val="004873E5"/>
    <w:rsid w:val="0049163E"/>
    <w:rsid w:val="004921AF"/>
    <w:rsid w:val="004922C8"/>
    <w:rsid w:val="0049295D"/>
    <w:rsid w:val="00492FD1"/>
    <w:rsid w:val="00494BB8"/>
    <w:rsid w:val="00497F23"/>
    <w:rsid w:val="004A03B1"/>
    <w:rsid w:val="004A28B2"/>
    <w:rsid w:val="004A3A50"/>
    <w:rsid w:val="004A6236"/>
    <w:rsid w:val="004A6A71"/>
    <w:rsid w:val="004A711F"/>
    <w:rsid w:val="004A7B94"/>
    <w:rsid w:val="004B0F53"/>
    <w:rsid w:val="004B1952"/>
    <w:rsid w:val="004B4E31"/>
    <w:rsid w:val="004B5C0F"/>
    <w:rsid w:val="004B6FA9"/>
    <w:rsid w:val="004C2E5F"/>
    <w:rsid w:val="004C380C"/>
    <w:rsid w:val="004C52AB"/>
    <w:rsid w:val="004C7D46"/>
    <w:rsid w:val="004D0A4D"/>
    <w:rsid w:val="004D103C"/>
    <w:rsid w:val="004D227D"/>
    <w:rsid w:val="004D2647"/>
    <w:rsid w:val="004D49B3"/>
    <w:rsid w:val="004D4E9A"/>
    <w:rsid w:val="004D6B34"/>
    <w:rsid w:val="004D7391"/>
    <w:rsid w:val="004D757B"/>
    <w:rsid w:val="004D7715"/>
    <w:rsid w:val="004E0A3C"/>
    <w:rsid w:val="004E2887"/>
    <w:rsid w:val="004E31E3"/>
    <w:rsid w:val="004E4062"/>
    <w:rsid w:val="004E56CE"/>
    <w:rsid w:val="004E6530"/>
    <w:rsid w:val="004E7958"/>
    <w:rsid w:val="004E7A65"/>
    <w:rsid w:val="004F042F"/>
    <w:rsid w:val="004F09F7"/>
    <w:rsid w:val="004F12E2"/>
    <w:rsid w:val="004F1D23"/>
    <w:rsid w:val="004F2147"/>
    <w:rsid w:val="004F62CD"/>
    <w:rsid w:val="004F67EC"/>
    <w:rsid w:val="00502E86"/>
    <w:rsid w:val="00507243"/>
    <w:rsid w:val="005072C9"/>
    <w:rsid w:val="005106F2"/>
    <w:rsid w:val="00514B04"/>
    <w:rsid w:val="0051571C"/>
    <w:rsid w:val="00515A1F"/>
    <w:rsid w:val="0051697F"/>
    <w:rsid w:val="00516D00"/>
    <w:rsid w:val="00517AE8"/>
    <w:rsid w:val="005206BB"/>
    <w:rsid w:val="0052089C"/>
    <w:rsid w:val="005218EE"/>
    <w:rsid w:val="005234AE"/>
    <w:rsid w:val="00524CE5"/>
    <w:rsid w:val="00525277"/>
    <w:rsid w:val="00525919"/>
    <w:rsid w:val="00526A35"/>
    <w:rsid w:val="005279C8"/>
    <w:rsid w:val="005300E4"/>
    <w:rsid w:val="00530E81"/>
    <w:rsid w:val="0053104A"/>
    <w:rsid w:val="00531276"/>
    <w:rsid w:val="00531621"/>
    <w:rsid w:val="005318A8"/>
    <w:rsid w:val="00531CBE"/>
    <w:rsid w:val="005323BB"/>
    <w:rsid w:val="0053277D"/>
    <w:rsid w:val="00532D6C"/>
    <w:rsid w:val="0053471C"/>
    <w:rsid w:val="00534B89"/>
    <w:rsid w:val="00534ECF"/>
    <w:rsid w:val="00534F6C"/>
    <w:rsid w:val="0053578C"/>
    <w:rsid w:val="0053598B"/>
    <w:rsid w:val="00541F22"/>
    <w:rsid w:val="005423F0"/>
    <w:rsid w:val="0054281F"/>
    <w:rsid w:val="00543279"/>
    <w:rsid w:val="00544A2D"/>
    <w:rsid w:val="005458E1"/>
    <w:rsid w:val="0054601B"/>
    <w:rsid w:val="0054640E"/>
    <w:rsid w:val="00547DC5"/>
    <w:rsid w:val="00550984"/>
    <w:rsid w:val="00550E0A"/>
    <w:rsid w:val="00551A70"/>
    <w:rsid w:val="00552326"/>
    <w:rsid w:val="005530A1"/>
    <w:rsid w:val="0055313A"/>
    <w:rsid w:val="005540F8"/>
    <w:rsid w:val="005548FA"/>
    <w:rsid w:val="00557078"/>
    <w:rsid w:val="00557422"/>
    <w:rsid w:val="0056199D"/>
    <w:rsid w:val="005624CB"/>
    <w:rsid w:val="00563112"/>
    <w:rsid w:val="005655A6"/>
    <w:rsid w:val="00566276"/>
    <w:rsid w:val="00566C05"/>
    <w:rsid w:val="005760AB"/>
    <w:rsid w:val="00576AF0"/>
    <w:rsid w:val="00577E21"/>
    <w:rsid w:val="0058291B"/>
    <w:rsid w:val="00583A5C"/>
    <w:rsid w:val="00583E0A"/>
    <w:rsid w:val="00584437"/>
    <w:rsid w:val="00585262"/>
    <w:rsid w:val="005900D1"/>
    <w:rsid w:val="00591B01"/>
    <w:rsid w:val="005950A0"/>
    <w:rsid w:val="005951BD"/>
    <w:rsid w:val="005972E5"/>
    <w:rsid w:val="00597747"/>
    <w:rsid w:val="005A0E60"/>
    <w:rsid w:val="005A233D"/>
    <w:rsid w:val="005A41E0"/>
    <w:rsid w:val="005A7C40"/>
    <w:rsid w:val="005B07B8"/>
    <w:rsid w:val="005B56E8"/>
    <w:rsid w:val="005B5AE2"/>
    <w:rsid w:val="005B7E24"/>
    <w:rsid w:val="005C00DA"/>
    <w:rsid w:val="005C07B5"/>
    <w:rsid w:val="005C1149"/>
    <w:rsid w:val="005C1590"/>
    <w:rsid w:val="005C18F9"/>
    <w:rsid w:val="005C2721"/>
    <w:rsid w:val="005C384A"/>
    <w:rsid w:val="005C65F4"/>
    <w:rsid w:val="005C73E9"/>
    <w:rsid w:val="005C74EC"/>
    <w:rsid w:val="005D36FD"/>
    <w:rsid w:val="005D4BB9"/>
    <w:rsid w:val="005D5C9E"/>
    <w:rsid w:val="005D6779"/>
    <w:rsid w:val="005D6D54"/>
    <w:rsid w:val="005D6F64"/>
    <w:rsid w:val="005D7DB7"/>
    <w:rsid w:val="005D7F61"/>
    <w:rsid w:val="005E0865"/>
    <w:rsid w:val="005E1B01"/>
    <w:rsid w:val="005E2746"/>
    <w:rsid w:val="005E4F7A"/>
    <w:rsid w:val="005E52B8"/>
    <w:rsid w:val="005E740A"/>
    <w:rsid w:val="005F3831"/>
    <w:rsid w:val="005F4233"/>
    <w:rsid w:val="005F52E7"/>
    <w:rsid w:val="005F5580"/>
    <w:rsid w:val="00600282"/>
    <w:rsid w:val="006020A4"/>
    <w:rsid w:val="00605953"/>
    <w:rsid w:val="00605AC1"/>
    <w:rsid w:val="0060617C"/>
    <w:rsid w:val="0060797F"/>
    <w:rsid w:val="006102EC"/>
    <w:rsid w:val="00610780"/>
    <w:rsid w:val="00614008"/>
    <w:rsid w:val="00615755"/>
    <w:rsid w:val="006166BA"/>
    <w:rsid w:val="0061720B"/>
    <w:rsid w:val="0062405E"/>
    <w:rsid w:val="006240C0"/>
    <w:rsid w:val="006263BD"/>
    <w:rsid w:val="0062657F"/>
    <w:rsid w:val="00626A4E"/>
    <w:rsid w:val="006272E0"/>
    <w:rsid w:val="0062771A"/>
    <w:rsid w:val="00627DA9"/>
    <w:rsid w:val="0063030C"/>
    <w:rsid w:val="0063202B"/>
    <w:rsid w:val="00632A4F"/>
    <w:rsid w:val="00632AED"/>
    <w:rsid w:val="006334C9"/>
    <w:rsid w:val="00633C7A"/>
    <w:rsid w:val="006359C9"/>
    <w:rsid w:val="0063628B"/>
    <w:rsid w:val="0063693B"/>
    <w:rsid w:val="006369FF"/>
    <w:rsid w:val="00637309"/>
    <w:rsid w:val="006409AE"/>
    <w:rsid w:val="00641102"/>
    <w:rsid w:val="006417AC"/>
    <w:rsid w:val="00642033"/>
    <w:rsid w:val="00642845"/>
    <w:rsid w:val="006433E2"/>
    <w:rsid w:val="0064398F"/>
    <w:rsid w:val="00643C06"/>
    <w:rsid w:val="00644555"/>
    <w:rsid w:val="00645094"/>
    <w:rsid w:val="00646734"/>
    <w:rsid w:val="006469CA"/>
    <w:rsid w:val="00651AAD"/>
    <w:rsid w:val="006534DF"/>
    <w:rsid w:val="006536EA"/>
    <w:rsid w:val="0065414E"/>
    <w:rsid w:val="00656D42"/>
    <w:rsid w:val="00661E1F"/>
    <w:rsid w:val="006628C0"/>
    <w:rsid w:val="00662E0D"/>
    <w:rsid w:val="00662EBA"/>
    <w:rsid w:val="0066351F"/>
    <w:rsid w:val="00663E23"/>
    <w:rsid w:val="006655DD"/>
    <w:rsid w:val="00665F02"/>
    <w:rsid w:val="0066791C"/>
    <w:rsid w:val="006710F5"/>
    <w:rsid w:val="0067445D"/>
    <w:rsid w:val="006759BC"/>
    <w:rsid w:val="00676ECA"/>
    <w:rsid w:val="006806B3"/>
    <w:rsid w:val="00681830"/>
    <w:rsid w:val="00682A0D"/>
    <w:rsid w:val="00684A5A"/>
    <w:rsid w:val="006852EC"/>
    <w:rsid w:val="006855F3"/>
    <w:rsid w:val="00686285"/>
    <w:rsid w:val="00686DA8"/>
    <w:rsid w:val="0069149B"/>
    <w:rsid w:val="00693789"/>
    <w:rsid w:val="00694644"/>
    <w:rsid w:val="00694948"/>
    <w:rsid w:val="00694E8E"/>
    <w:rsid w:val="0069548C"/>
    <w:rsid w:val="00696C87"/>
    <w:rsid w:val="006A079F"/>
    <w:rsid w:val="006A0D36"/>
    <w:rsid w:val="006A1254"/>
    <w:rsid w:val="006A1B2B"/>
    <w:rsid w:val="006A1DC8"/>
    <w:rsid w:val="006A4C25"/>
    <w:rsid w:val="006B1B27"/>
    <w:rsid w:val="006B29C1"/>
    <w:rsid w:val="006B2DCF"/>
    <w:rsid w:val="006B3633"/>
    <w:rsid w:val="006C058F"/>
    <w:rsid w:val="006C1FEE"/>
    <w:rsid w:val="006C245E"/>
    <w:rsid w:val="006C24BC"/>
    <w:rsid w:val="006C2529"/>
    <w:rsid w:val="006C2A19"/>
    <w:rsid w:val="006C358B"/>
    <w:rsid w:val="006C3DCE"/>
    <w:rsid w:val="006D2BAB"/>
    <w:rsid w:val="006D3FE7"/>
    <w:rsid w:val="006D6807"/>
    <w:rsid w:val="006D6CEC"/>
    <w:rsid w:val="006D7525"/>
    <w:rsid w:val="006D7A0B"/>
    <w:rsid w:val="006D7C95"/>
    <w:rsid w:val="006E1A78"/>
    <w:rsid w:val="006E4A32"/>
    <w:rsid w:val="006E52F7"/>
    <w:rsid w:val="006E5B15"/>
    <w:rsid w:val="006E5F58"/>
    <w:rsid w:val="006E662B"/>
    <w:rsid w:val="006E67F2"/>
    <w:rsid w:val="006F23CB"/>
    <w:rsid w:val="006F6F48"/>
    <w:rsid w:val="006F72B5"/>
    <w:rsid w:val="006F738B"/>
    <w:rsid w:val="006F7A55"/>
    <w:rsid w:val="0070148A"/>
    <w:rsid w:val="007018D4"/>
    <w:rsid w:val="007026F9"/>
    <w:rsid w:val="007028D5"/>
    <w:rsid w:val="00704ED6"/>
    <w:rsid w:val="007053A9"/>
    <w:rsid w:val="00705C43"/>
    <w:rsid w:val="00707525"/>
    <w:rsid w:val="007118B3"/>
    <w:rsid w:val="00715496"/>
    <w:rsid w:val="0071705F"/>
    <w:rsid w:val="007178A3"/>
    <w:rsid w:val="00720351"/>
    <w:rsid w:val="00720EE4"/>
    <w:rsid w:val="007258CA"/>
    <w:rsid w:val="00726209"/>
    <w:rsid w:val="00727A25"/>
    <w:rsid w:val="00734919"/>
    <w:rsid w:val="00735589"/>
    <w:rsid w:val="007421D4"/>
    <w:rsid w:val="007436EC"/>
    <w:rsid w:val="007456F1"/>
    <w:rsid w:val="00747C38"/>
    <w:rsid w:val="00751DCC"/>
    <w:rsid w:val="007524C8"/>
    <w:rsid w:val="007531DC"/>
    <w:rsid w:val="00755A35"/>
    <w:rsid w:val="00755A9B"/>
    <w:rsid w:val="007562BA"/>
    <w:rsid w:val="00756755"/>
    <w:rsid w:val="007571B5"/>
    <w:rsid w:val="007607ED"/>
    <w:rsid w:val="00762256"/>
    <w:rsid w:val="007628AF"/>
    <w:rsid w:val="00762B2B"/>
    <w:rsid w:val="00763903"/>
    <w:rsid w:val="00764239"/>
    <w:rsid w:val="00764EED"/>
    <w:rsid w:val="00765154"/>
    <w:rsid w:val="00765241"/>
    <w:rsid w:val="00765BB5"/>
    <w:rsid w:val="0076750C"/>
    <w:rsid w:val="007702E7"/>
    <w:rsid w:val="00771B6C"/>
    <w:rsid w:val="0077314E"/>
    <w:rsid w:val="00773350"/>
    <w:rsid w:val="00774767"/>
    <w:rsid w:val="00774C6E"/>
    <w:rsid w:val="00775B87"/>
    <w:rsid w:val="00776011"/>
    <w:rsid w:val="007778D8"/>
    <w:rsid w:val="00777C9A"/>
    <w:rsid w:val="007805CE"/>
    <w:rsid w:val="00782855"/>
    <w:rsid w:val="00785E0B"/>
    <w:rsid w:val="007864B2"/>
    <w:rsid w:val="00786BB5"/>
    <w:rsid w:val="00787A67"/>
    <w:rsid w:val="00791804"/>
    <w:rsid w:val="0079245B"/>
    <w:rsid w:val="007A0C5A"/>
    <w:rsid w:val="007A0EC6"/>
    <w:rsid w:val="007A0FBE"/>
    <w:rsid w:val="007A299B"/>
    <w:rsid w:val="007A3890"/>
    <w:rsid w:val="007A6877"/>
    <w:rsid w:val="007A6E27"/>
    <w:rsid w:val="007A7A12"/>
    <w:rsid w:val="007B2493"/>
    <w:rsid w:val="007B3207"/>
    <w:rsid w:val="007B3EAC"/>
    <w:rsid w:val="007B4435"/>
    <w:rsid w:val="007C13D9"/>
    <w:rsid w:val="007C4CF0"/>
    <w:rsid w:val="007C50FB"/>
    <w:rsid w:val="007C6F85"/>
    <w:rsid w:val="007C7974"/>
    <w:rsid w:val="007C7B5D"/>
    <w:rsid w:val="007D26C0"/>
    <w:rsid w:val="007D47E0"/>
    <w:rsid w:val="007D606A"/>
    <w:rsid w:val="007E1255"/>
    <w:rsid w:val="007E13ED"/>
    <w:rsid w:val="007E2638"/>
    <w:rsid w:val="007E431E"/>
    <w:rsid w:val="007E46CA"/>
    <w:rsid w:val="007E5F95"/>
    <w:rsid w:val="007E5FC7"/>
    <w:rsid w:val="007E66C7"/>
    <w:rsid w:val="007F14C4"/>
    <w:rsid w:val="007F3A6F"/>
    <w:rsid w:val="007F5ABD"/>
    <w:rsid w:val="007F5CC5"/>
    <w:rsid w:val="00800D73"/>
    <w:rsid w:val="00801721"/>
    <w:rsid w:val="00804A46"/>
    <w:rsid w:val="00805166"/>
    <w:rsid w:val="00805FCE"/>
    <w:rsid w:val="00807482"/>
    <w:rsid w:val="00807A7A"/>
    <w:rsid w:val="00812739"/>
    <w:rsid w:val="00812755"/>
    <w:rsid w:val="0081367E"/>
    <w:rsid w:val="00814B88"/>
    <w:rsid w:val="00815188"/>
    <w:rsid w:val="00820FED"/>
    <w:rsid w:val="0082143E"/>
    <w:rsid w:val="00821C3C"/>
    <w:rsid w:val="00822EE1"/>
    <w:rsid w:val="00824A7C"/>
    <w:rsid w:val="00824E82"/>
    <w:rsid w:val="00825D57"/>
    <w:rsid w:val="0082606A"/>
    <w:rsid w:val="00826BC3"/>
    <w:rsid w:val="00827C8E"/>
    <w:rsid w:val="008305F9"/>
    <w:rsid w:val="0083308B"/>
    <w:rsid w:val="008334C6"/>
    <w:rsid w:val="0083509E"/>
    <w:rsid w:val="0083621E"/>
    <w:rsid w:val="00840865"/>
    <w:rsid w:val="00842046"/>
    <w:rsid w:val="00843790"/>
    <w:rsid w:val="00846724"/>
    <w:rsid w:val="00846BAB"/>
    <w:rsid w:val="00852881"/>
    <w:rsid w:val="00854B62"/>
    <w:rsid w:val="00855787"/>
    <w:rsid w:val="00856FF5"/>
    <w:rsid w:val="0085739A"/>
    <w:rsid w:val="00857414"/>
    <w:rsid w:val="00862F76"/>
    <w:rsid w:val="00863181"/>
    <w:rsid w:val="008633EB"/>
    <w:rsid w:val="0086413C"/>
    <w:rsid w:val="00865066"/>
    <w:rsid w:val="008734B4"/>
    <w:rsid w:val="00873C24"/>
    <w:rsid w:val="0087485A"/>
    <w:rsid w:val="008749E7"/>
    <w:rsid w:val="00875218"/>
    <w:rsid w:val="00875806"/>
    <w:rsid w:val="00876721"/>
    <w:rsid w:val="00877763"/>
    <w:rsid w:val="00877E82"/>
    <w:rsid w:val="00882079"/>
    <w:rsid w:val="008829F2"/>
    <w:rsid w:val="00885390"/>
    <w:rsid w:val="008862DA"/>
    <w:rsid w:val="00891CE9"/>
    <w:rsid w:val="0089216C"/>
    <w:rsid w:val="00892556"/>
    <w:rsid w:val="00893307"/>
    <w:rsid w:val="0089441D"/>
    <w:rsid w:val="008978CB"/>
    <w:rsid w:val="008A062A"/>
    <w:rsid w:val="008A1EF8"/>
    <w:rsid w:val="008A2D8D"/>
    <w:rsid w:val="008A338D"/>
    <w:rsid w:val="008A60BC"/>
    <w:rsid w:val="008B35D1"/>
    <w:rsid w:val="008B3D9E"/>
    <w:rsid w:val="008B47C0"/>
    <w:rsid w:val="008B4F10"/>
    <w:rsid w:val="008B75DD"/>
    <w:rsid w:val="008C108F"/>
    <w:rsid w:val="008C122A"/>
    <w:rsid w:val="008C33B5"/>
    <w:rsid w:val="008C37FF"/>
    <w:rsid w:val="008C4A4F"/>
    <w:rsid w:val="008C566A"/>
    <w:rsid w:val="008C74C7"/>
    <w:rsid w:val="008D0486"/>
    <w:rsid w:val="008D07A6"/>
    <w:rsid w:val="008D2C74"/>
    <w:rsid w:val="008D64FE"/>
    <w:rsid w:val="008E0661"/>
    <w:rsid w:val="008E2F58"/>
    <w:rsid w:val="008E3567"/>
    <w:rsid w:val="008E3767"/>
    <w:rsid w:val="008E58D3"/>
    <w:rsid w:val="008E7379"/>
    <w:rsid w:val="008F159A"/>
    <w:rsid w:val="008F1A76"/>
    <w:rsid w:val="008F2879"/>
    <w:rsid w:val="008F3569"/>
    <w:rsid w:val="008F52E1"/>
    <w:rsid w:val="008F69A7"/>
    <w:rsid w:val="008F6BC9"/>
    <w:rsid w:val="008F7D68"/>
    <w:rsid w:val="009007B7"/>
    <w:rsid w:val="00902E30"/>
    <w:rsid w:val="00903E6C"/>
    <w:rsid w:val="00904A8B"/>
    <w:rsid w:val="0090631B"/>
    <w:rsid w:val="0090750F"/>
    <w:rsid w:val="009114E8"/>
    <w:rsid w:val="00912AAD"/>
    <w:rsid w:val="00912EA0"/>
    <w:rsid w:val="00913513"/>
    <w:rsid w:val="009154FC"/>
    <w:rsid w:val="00915578"/>
    <w:rsid w:val="00917719"/>
    <w:rsid w:val="00917F41"/>
    <w:rsid w:val="0092165E"/>
    <w:rsid w:val="009218DB"/>
    <w:rsid w:val="00921AE0"/>
    <w:rsid w:val="00921F27"/>
    <w:rsid w:val="00922A7C"/>
    <w:rsid w:val="009243E1"/>
    <w:rsid w:val="00924ACD"/>
    <w:rsid w:val="00926202"/>
    <w:rsid w:val="009263DF"/>
    <w:rsid w:val="00927833"/>
    <w:rsid w:val="00931249"/>
    <w:rsid w:val="00932A74"/>
    <w:rsid w:val="00933148"/>
    <w:rsid w:val="00933CEF"/>
    <w:rsid w:val="009355B9"/>
    <w:rsid w:val="00935825"/>
    <w:rsid w:val="0093773C"/>
    <w:rsid w:val="00937CCF"/>
    <w:rsid w:val="00940E92"/>
    <w:rsid w:val="00941BAD"/>
    <w:rsid w:val="00941D2B"/>
    <w:rsid w:val="009422BC"/>
    <w:rsid w:val="0094261B"/>
    <w:rsid w:val="00943E93"/>
    <w:rsid w:val="00944492"/>
    <w:rsid w:val="00944E86"/>
    <w:rsid w:val="009452A1"/>
    <w:rsid w:val="00945420"/>
    <w:rsid w:val="009462F5"/>
    <w:rsid w:val="00946979"/>
    <w:rsid w:val="00950816"/>
    <w:rsid w:val="00951B9A"/>
    <w:rsid w:val="00951E24"/>
    <w:rsid w:val="00952C8A"/>
    <w:rsid w:val="00952F70"/>
    <w:rsid w:val="009547F2"/>
    <w:rsid w:val="0095569C"/>
    <w:rsid w:val="009557BE"/>
    <w:rsid w:val="0095676E"/>
    <w:rsid w:val="00956915"/>
    <w:rsid w:val="00960004"/>
    <w:rsid w:val="00960019"/>
    <w:rsid w:val="00960435"/>
    <w:rsid w:val="00962363"/>
    <w:rsid w:val="00963052"/>
    <w:rsid w:val="00963D70"/>
    <w:rsid w:val="009647EE"/>
    <w:rsid w:val="00964B0C"/>
    <w:rsid w:val="00964B91"/>
    <w:rsid w:val="00965B88"/>
    <w:rsid w:val="00970160"/>
    <w:rsid w:val="00970491"/>
    <w:rsid w:val="00970576"/>
    <w:rsid w:val="00970788"/>
    <w:rsid w:val="0097109C"/>
    <w:rsid w:val="00971118"/>
    <w:rsid w:val="00971321"/>
    <w:rsid w:val="009727B2"/>
    <w:rsid w:val="00972C02"/>
    <w:rsid w:val="00973554"/>
    <w:rsid w:val="00976181"/>
    <w:rsid w:val="00977D9C"/>
    <w:rsid w:val="009802ED"/>
    <w:rsid w:val="009803CE"/>
    <w:rsid w:val="009805A1"/>
    <w:rsid w:val="00985EC1"/>
    <w:rsid w:val="00991539"/>
    <w:rsid w:val="00991BFD"/>
    <w:rsid w:val="00991CBD"/>
    <w:rsid w:val="00991EAA"/>
    <w:rsid w:val="009946A8"/>
    <w:rsid w:val="00996E70"/>
    <w:rsid w:val="0099719D"/>
    <w:rsid w:val="00997C1A"/>
    <w:rsid w:val="009A0396"/>
    <w:rsid w:val="009A1E83"/>
    <w:rsid w:val="009A266F"/>
    <w:rsid w:val="009A34AB"/>
    <w:rsid w:val="009A4A26"/>
    <w:rsid w:val="009A5E72"/>
    <w:rsid w:val="009A65DE"/>
    <w:rsid w:val="009A7755"/>
    <w:rsid w:val="009A79FC"/>
    <w:rsid w:val="009B20C1"/>
    <w:rsid w:val="009B274D"/>
    <w:rsid w:val="009B3E07"/>
    <w:rsid w:val="009B5C52"/>
    <w:rsid w:val="009B6880"/>
    <w:rsid w:val="009B73ED"/>
    <w:rsid w:val="009B7DF6"/>
    <w:rsid w:val="009C090A"/>
    <w:rsid w:val="009C123D"/>
    <w:rsid w:val="009C2EF4"/>
    <w:rsid w:val="009C4951"/>
    <w:rsid w:val="009C4C93"/>
    <w:rsid w:val="009C4F38"/>
    <w:rsid w:val="009C5BC8"/>
    <w:rsid w:val="009C76DC"/>
    <w:rsid w:val="009D2B27"/>
    <w:rsid w:val="009D2C04"/>
    <w:rsid w:val="009D316D"/>
    <w:rsid w:val="009D3537"/>
    <w:rsid w:val="009D35BB"/>
    <w:rsid w:val="009D4B03"/>
    <w:rsid w:val="009D5229"/>
    <w:rsid w:val="009D6837"/>
    <w:rsid w:val="009D6DD0"/>
    <w:rsid w:val="009D7B12"/>
    <w:rsid w:val="009E0B18"/>
    <w:rsid w:val="009E2377"/>
    <w:rsid w:val="009E3B90"/>
    <w:rsid w:val="009E46E3"/>
    <w:rsid w:val="009E614E"/>
    <w:rsid w:val="009E6D46"/>
    <w:rsid w:val="009F19E5"/>
    <w:rsid w:val="009F1C94"/>
    <w:rsid w:val="009F1DD4"/>
    <w:rsid w:val="009F40BF"/>
    <w:rsid w:val="009F5684"/>
    <w:rsid w:val="009F6529"/>
    <w:rsid w:val="00A02C06"/>
    <w:rsid w:val="00A02ED7"/>
    <w:rsid w:val="00A056A4"/>
    <w:rsid w:val="00A05B28"/>
    <w:rsid w:val="00A10927"/>
    <w:rsid w:val="00A11BD5"/>
    <w:rsid w:val="00A156BD"/>
    <w:rsid w:val="00A16133"/>
    <w:rsid w:val="00A17932"/>
    <w:rsid w:val="00A202A6"/>
    <w:rsid w:val="00A205EC"/>
    <w:rsid w:val="00A2306D"/>
    <w:rsid w:val="00A2423D"/>
    <w:rsid w:val="00A25D81"/>
    <w:rsid w:val="00A26043"/>
    <w:rsid w:val="00A26947"/>
    <w:rsid w:val="00A272BE"/>
    <w:rsid w:val="00A27753"/>
    <w:rsid w:val="00A27907"/>
    <w:rsid w:val="00A30955"/>
    <w:rsid w:val="00A30C86"/>
    <w:rsid w:val="00A32340"/>
    <w:rsid w:val="00A324E5"/>
    <w:rsid w:val="00A36178"/>
    <w:rsid w:val="00A3636E"/>
    <w:rsid w:val="00A36A16"/>
    <w:rsid w:val="00A37738"/>
    <w:rsid w:val="00A37C86"/>
    <w:rsid w:val="00A412CB"/>
    <w:rsid w:val="00A42C94"/>
    <w:rsid w:val="00A439AC"/>
    <w:rsid w:val="00A470D9"/>
    <w:rsid w:val="00A47C9A"/>
    <w:rsid w:val="00A52562"/>
    <w:rsid w:val="00A5359A"/>
    <w:rsid w:val="00A5573A"/>
    <w:rsid w:val="00A57740"/>
    <w:rsid w:val="00A578D1"/>
    <w:rsid w:val="00A601D4"/>
    <w:rsid w:val="00A623F4"/>
    <w:rsid w:val="00A626AD"/>
    <w:rsid w:val="00A62A09"/>
    <w:rsid w:val="00A631AE"/>
    <w:rsid w:val="00A638E4"/>
    <w:rsid w:val="00A7052E"/>
    <w:rsid w:val="00A70F79"/>
    <w:rsid w:val="00A70FA2"/>
    <w:rsid w:val="00A75B1F"/>
    <w:rsid w:val="00A762B4"/>
    <w:rsid w:val="00A76B57"/>
    <w:rsid w:val="00A76F9C"/>
    <w:rsid w:val="00A77278"/>
    <w:rsid w:val="00A77B0C"/>
    <w:rsid w:val="00A80B9A"/>
    <w:rsid w:val="00A8155E"/>
    <w:rsid w:val="00A822E8"/>
    <w:rsid w:val="00A83136"/>
    <w:rsid w:val="00A84187"/>
    <w:rsid w:val="00A84E0B"/>
    <w:rsid w:val="00A853B0"/>
    <w:rsid w:val="00A8546C"/>
    <w:rsid w:val="00A85AC3"/>
    <w:rsid w:val="00A87660"/>
    <w:rsid w:val="00A879BF"/>
    <w:rsid w:val="00A908A1"/>
    <w:rsid w:val="00A9097D"/>
    <w:rsid w:val="00A90F96"/>
    <w:rsid w:val="00A9322E"/>
    <w:rsid w:val="00A95C24"/>
    <w:rsid w:val="00AA090A"/>
    <w:rsid w:val="00AA0FBF"/>
    <w:rsid w:val="00AA2428"/>
    <w:rsid w:val="00AA3AF4"/>
    <w:rsid w:val="00AA6675"/>
    <w:rsid w:val="00AB0D67"/>
    <w:rsid w:val="00AB16BC"/>
    <w:rsid w:val="00AB2533"/>
    <w:rsid w:val="00AB53EA"/>
    <w:rsid w:val="00AB65E8"/>
    <w:rsid w:val="00AB712F"/>
    <w:rsid w:val="00AB7ED4"/>
    <w:rsid w:val="00AC2872"/>
    <w:rsid w:val="00AC3E17"/>
    <w:rsid w:val="00AC643E"/>
    <w:rsid w:val="00AD0B5E"/>
    <w:rsid w:val="00AD3706"/>
    <w:rsid w:val="00AD72FF"/>
    <w:rsid w:val="00AE1A39"/>
    <w:rsid w:val="00AE35E9"/>
    <w:rsid w:val="00AE527B"/>
    <w:rsid w:val="00AE55A7"/>
    <w:rsid w:val="00AE708B"/>
    <w:rsid w:val="00AE7666"/>
    <w:rsid w:val="00AE788C"/>
    <w:rsid w:val="00AF040D"/>
    <w:rsid w:val="00AF3082"/>
    <w:rsid w:val="00AF4E99"/>
    <w:rsid w:val="00AF5D4B"/>
    <w:rsid w:val="00AF5D98"/>
    <w:rsid w:val="00AF62AA"/>
    <w:rsid w:val="00AF6567"/>
    <w:rsid w:val="00B017A7"/>
    <w:rsid w:val="00B039BF"/>
    <w:rsid w:val="00B05309"/>
    <w:rsid w:val="00B06113"/>
    <w:rsid w:val="00B0635E"/>
    <w:rsid w:val="00B07FD9"/>
    <w:rsid w:val="00B100A5"/>
    <w:rsid w:val="00B109F0"/>
    <w:rsid w:val="00B110EF"/>
    <w:rsid w:val="00B1169F"/>
    <w:rsid w:val="00B12F0D"/>
    <w:rsid w:val="00B17F65"/>
    <w:rsid w:val="00B20116"/>
    <w:rsid w:val="00B209E2"/>
    <w:rsid w:val="00B2234C"/>
    <w:rsid w:val="00B24EA9"/>
    <w:rsid w:val="00B25015"/>
    <w:rsid w:val="00B25E0D"/>
    <w:rsid w:val="00B311E5"/>
    <w:rsid w:val="00B31806"/>
    <w:rsid w:val="00B339E8"/>
    <w:rsid w:val="00B36E5E"/>
    <w:rsid w:val="00B407DF"/>
    <w:rsid w:val="00B40F92"/>
    <w:rsid w:val="00B414FD"/>
    <w:rsid w:val="00B4297E"/>
    <w:rsid w:val="00B444D8"/>
    <w:rsid w:val="00B45513"/>
    <w:rsid w:val="00B456DD"/>
    <w:rsid w:val="00B4657F"/>
    <w:rsid w:val="00B4782B"/>
    <w:rsid w:val="00B47915"/>
    <w:rsid w:val="00B50BB0"/>
    <w:rsid w:val="00B51390"/>
    <w:rsid w:val="00B51B49"/>
    <w:rsid w:val="00B53049"/>
    <w:rsid w:val="00B53162"/>
    <w:rsid w:val="00B53A91"/>
    <w:rsid w:val="00B54371"/>
    <w:rsid w:val="00B55A15"/>
    <w:rsid w:val="00B56D78"/>
    <w:rsid w:val="00B57E52"/>
    <w:rsid w:val="00B61698"/>
    <w:rsid w:val="00B626E4"/>
    <w:rsid w:val="00B62AEC"/>
    <w:rsid w:val="00B657E4"/>
    <w:rsid w:val="00B6664C"/>
    <w:rsid w:val="00B66F96"/>
    <w:rsid w:val="00B671B0"/>
    <w:rsid w:val="00B67EE5"/>
    <w:rsid w:val="00B70273"/>
    <w:rsid w:val="00B71768"/>
    <w:rsid w:val="00B74CA6"/>
    <w:rsid w:val="00B7618D"/>
    <w:rsid w:val="00B77AF7"/>
    <w:rsid w:val="00B77D2D"/>
    <w:rsid w:val="00B800A2"/>
    <w:rsid w:val="00B82130"/>
    <w:rsid w:val="00B825C6"/>
    <w:rsid w:val="00B847C1"/>
    <w:rsid w:val="00B849DB"/>
    <w:rsid w:val="00B8625F"/>
    <w:rsid w:val="00B86897"/>
    <w:rsid w:val="00B86C1E"/>
    <w:rsid w:val="00B90A1C"/>
    <w:rsid w:val="00B9205B"/>
    <w:rsid w:val="00B933AA"/>
    <w:rsid w:val="00B937A6"/>
    <w:rsid w:val="00B9598F"/>
    <w:rsid w:val="00B962D4"/>
    <w:rsid w:val="00B96C4B"/>
    <w:rsid w:val="00B97AB7"/>
    <w:rsid w:val="00BA0A6D"/>
    <w:rsid w:val="00BA1B38"/>
    <w:rsid w:val="00BA22BB"/>
    <w:rsid w:val="00BA3BCC"/>
    <w:rsid w:val="00BA4208"/>
    <w:rsid w:val="00BA4EC3"/>
    <w:rsid w:val="00BA6253"/>
    <w:rsid w:val="00BA6873"/>
    <w:rsid w:val="00BA7299"/>
    <w:rsid w:val="00BA7779"/>
    <w:rsid w:val="00BB07E0"/>
    <w:rsid w:val="00BB10C8"/>
    <w:rsid w:val="00BB2F30"/>
    <w:rsid w:val="00BB47B3"/>
    <w:rsid w:val="00BB47DD"/>
    <w:rsid w:val="00BB4DBD"/>
    <w:rsid w:val="00BB56DA"/>
    <w:rsid w:val="00BB6F56"/>
    <w:rsid w:val="00BC3826"/>
    <w:rsid w:val="00BC3B9C"/>
    <w:rsid w:val="00BC66AF"/>
    <w:rsid w:val="00BC66E1"/>
    <w:rsid w:val="00BC7CC8"/>
    <w:rsid w:val="00BD1ADD"/>
    <w:rsid w:val="00BD2808"/>
    <w:rsid w:val="00BD3776"/>
    <w:rsid w:val="00BD3AFD"/>
    <w:rsid w:val="00BD4C7D"/>
    <w:rsid w:val="00BD594F"/>
    <w:rsid w:val="00BD60EC"/>
    <w:rsid w:val="00BD6448"/>
    <w:rsid w:val="00BD6F32"/>
    <w:rsid w:val="00BE03F6"/>
    <w:rsid w:val="00BE1267"/>
    <w:rsid w:val="00BE445D"/>
    <w:rsid w:val="00BE583B"/>
    <w:rsid w:val="00BF0F60"/>
    <w:rsid w:val="00BF4005"/>
    <w:rsid w:val="00BF6F36"/>
    <w:rsid w:val="00BF713B"/>
    <w:rsid w:val="00C004FE"/>
    <w:rsid w:val="00C00B0F"/>
    <w:rsid w:val="00C02666"/>
    <w:rsid w:val="00C02D0A"/>
    <w:rsid w:val="00C030BF"/>
    <w:rsid w:val="00C0352A"/>
    <w:rsid w:val="00C048B4"/>
    <w:rsid w:val="00C0529E"/>
    <w:rsid w:val="00C05B7B"/>
    <w:rsid w:val="00C060D6"/>
    <w:rsid w:val="00C10CFF"/>
    <w:rsid w:val="00C1244F"/>
    <w:rsid w:val="00C132CE"/>
    <w:rsid w:val="00C13540"/>
    <w:rsid w:val="00C137AA"/>
    <w:rsid w:val="00C13DDF"/>
    <w:rsid w:val="00C13FE7"/>
    <w:rsid w:val="00C15250"/>
    <w:rsid w:val="00C16B9F"/>
    <w:rsid w:val="00C2038D"/>
    <w:rsid w:val="00C20929"/>
    <w:rsid w:val="00C20AAF"/>
    <w:rsid w:val="00C20FB5"/>
    <w:rsid w:val="00C2119C"/>
    <w:rsid w:val="00C223D3"/>
    <w:rsid w:val="00C2412D"/>
    <w:rsid w:val="00C24B3F"/>
    <w:rsid w:val="00C30A90"/>
    <w:rsid w:val="00C311F3"/>
    <w:rsid w:val="00C31D87"/>
    <w:rsid w:val="00C3481F"/>
    <w:rsid w:val="00C376EC"/>
    <w:rsid w:val="00C41D37"/>
    <w:rsid w:val="00C42E2E"/>
    <w:rsid w:val="00C42F94"/>
    <w:rsid w:val="00C44D7B"/>
    <w:rsid w:val="00C45DC5"/>
    <w:rsid w:val="00C46618"/>
    <w:rsid w:val="00C466A7"/>
    <w:rsid w:val="00C46BD1"/>
    <w:rsid w:val="00C472BA"/>
    <w:rsid w:val="00C50FE6"/>
    <w:rsid w:val="00C53905"/>
    <w:rsid w:val="00C540D7"/>
    <w:rsid w:val="00C54C1F"/>
    <w:rsid w:val="00C54F4D"/>
    <w:rsid w:val="00C5540E"/>
    <w:rsid w:val="00C625D1"/>
    <w:rsid w:val="00C628A7"/>
    <w:rsid w:val="00C64AD4"/>
    <w:rsid w:val="00C64FD7"/>
    <w:rsid w:val="00C66D00"/>
    <w:rsid w:val="00C66F8D"/>
    <w:rsid w:val="00C67606"/>
    <w:rsid w:val="00C67B4D"/>
    <w:rsid w:val="00C701E1"/>
    <w:rsid w:val="00C707A2"/>
    <w:rsid w:val="00C72863"/>
    <w:rsid w:val="00C7350E"/>
    <w:rsid w:val="00C7569A"/>
    <w:rsid w:val="00C76FE1"/>
    <w:rsid w:val="00C80E4B"/>
    <w:rsid w:val="00C834C5"/>
    <w:rsid w:val="00C83FD5"/>
    <w:rsid w:val="00C845EF"/>
    <w:rsid w:val="00C8525B"/>
    <w:rsid w:val="00C85265"/>
    <w:rsid w:val="00C90006"/>
    <w:rsid w:val="00C90A88"/>
    <w:rsid w:val="00C91C1B"/>
    <w:rsid w:val="00C91DBC"/>
    <w:rsid w:val="00C95117"/>
    <w:rsid w:val="00C9517C"/>
    <w:rsid w:val="00C97705"/>
    <w:rsid w:val="00CA2522"/>
    <w:rsid w:val="00CA37E1"/>
    <w:rsid w:val="00CA3BDB"/>
    <w:rsid w:val="00CA3BE1"/>
    <w:rsid w:val="00CA4BBE"/>
    <w:rsid w:val="00CB008D"/>
    <w:rsid w:val="00CB00F0"/>
    <w:rsid w:val="00CB0F44"/>
    <w:rsid w:val="00CB18F4"/>
    <w:rsid w:val="00CB1B4F"/>
    <w:rsid w:val="00CB20FA"/>
    <w:rsid w:val="00CB2414"/>
    <w:rsid w:val="00CB3C5F"/>
    <w:rsid w:val="00CC0CED"/>
    <w:rsid w:val="00CC1383"/>
    <w:rsid w:val="00CC13CB"/>
    <w:rsid w:val="00CC30F4"/>
    <w:rsid w:val="00CC4292"/>
    <w:rsid w:val="00CC4D76"/>
    <w:rsid w:val="00CD04AE"/>
    <w:rsid w:val="00CD1174"/>
    <w:rsid w:val="00CD1E1C"/>
    <w:rsid w:val="00CD2CB6"/>
    <w:rsid w:val="00CD3FA1"/>
    <w:rsid w:val="00CD51AC"/>
    <w:rsid w:val="00CE2D97"/>
    <w:rsid w:val="00CE3315"/>
    <w:rsid w:val="00CE33B2"/>
    <w:rsid w:val="00CE389C"/>
    <w:rsid w:val="00CE3F87"/>
    <w:rsid w:val="00CE59F1"/>
    <w:rsid w:val="00CE73B5"/>
    <w:rsid w:val="00CE7456"/>
    <w:rsid w:val="00CF3644"/>
    <w:rsid w:val="00CF4ACD"/>
    <w:rsid w:val="00CF52C4"/>
    <w:rsid w:val="00CF58A0"/>
    <w:rsid w:val="00CF5E25"/>
    <w:rsid w:val="00CF5E3A"/>
    <w:rsid w:val="00CF73E8"/>
    <w:rsid w:val="00D00EC3"/>
    <w:rsid w:val="00D02E46"/>
    <w:rsid w:val="00D03710"/>
    <w:rsid w:val="00D04E0A"/>
    <w:rsid w:val="00D05E06"/>
    <w:rsid w:val="00D06B9E"/>
    <w:rsid w:val="00D10051"/>
    <w:rsid w:val="00D10169"/>
    <w:rsid w:val="00D1189B"/>
    <w:rsid w:val="00D1388F"/>
    <w:rsid w:val="00D14094"/>
    <w:rsid w:val="00D14BEB"/>
    <w:rsid w:val="00D15B27"/>
    <w:rsid w:val="00D1697A"/>
    <w:rsid w:val="00D17511"/>
    <w:rsid w:val="00D17715"/>
    <w:rsid w:val="00D217F2"/>
    <w:rsid w:val="00D21B9C"/>
    <w:rsid w:val="00D242C7"/>
    <w:rsid w:val="00D26251"/>
    <w:rsid w:val="00D3038D"/>
    <w:rsid w:val="00D30C8E"/>
    <w:rsid w:val="00D32E6E"/>
    <w:rsid w:val="00D33B10"/>
    <w:rsid w:val="00D3675C"/>
    <w:rsid w:val="00D373D7"/>
    <w:rsid w:val="00D41303"/>
    <w:rsid w:val="00D42213"/>
    <w:rsid w:val="00D42F1D"/>
    <w:rsid w:val="00D44BF3"/>
    <w:rsid w:val="00D453AC"/>
    <w:rsid w:val="00D455EB"/>
    <w:rsid w:val="00D45897"/>
    <w:rsid w:val="00D46091"/>
    <w:rsid w:val="00D460A9"/>
    <w:rsid w:val="00D5146A"/>
    <w:rsid w:val="00D53854"/>
    <w:rsid w:val="00D54D8F"/>
    <w:rsid w:val="00D55BCD"/>
    <w:rsid w:val="00D56692"/>
    <w:rsid w:val="00D5740F"/>
    <w:rsid w:val="00D6009F"/>
    <w:rsid w:val="00D60CBF"/>
    <w:rsid w:val="00D6101F"/>
    <w:rsid w:val="00D61B40"/>
    <w:rsid w:val="00D623F0"/>
    <w:rsid w:val="00D62E3D"/>
    <w:rsid w:val="00D62FC1"/>
    <w:rsid w:val="00D63437"/>
    <w:rsid w:val="00D63787"/>
    <w:rsid w:val="00D63B20"/>
    <w:rsid w:val="00D64616"/>
    <w:rsid w:val="00D651C2"/>
    <w:rsid w:val="00D664AA"/>
    <w:rsid w:val="00D66A4C"/>
    <w:rsid w:val="00D671E4"/>
    <w:rsid w:val="00D723FC"/>
    <w:rsid w:val="00D73FAE"/>
    <w:rsid w:val="00D767D1"/>
    <w:rsid w:val="00D77320"/>
    <w:rsid w:val="00D77E6E"/>
    <w:rsid w:val="00D84AA0"/>
    <w:rsid w:val="00D854B8"/>
    <w:rsid w:val="00D85BEC"/>
    <w:rsid w:val="00D86327"/>
    <w:rsid w:val="00D91182"/>
    <w:rsid w:val="00D91CC8"/>
    <w:rsid w:val="00D92963"/>
    <w:rsid w:val="00DA2E38"/>
    <w:rsid w:val="00DA3D7F"/>
    <w:rsid w:val="00DA50F4"/>
    <w:rsid w:val="00DA6223"/>
    <w:rsid w:val="00DA785C"/>
    <w:rsid w:val="00DA7C7C"/>
    <w:rsid w:val="00DB03A2"/>
    <w:rsid w:val="00DB0D8A"/>
    <w:rsid w:val="00DB241E"/>
    <w:rsid w:val="00DB31F8"/>
    <w:rsid w:val="00DB5254"/>
    <w:rsid w:val="00DB739B"/>
    <w:rsid w:val="00DC0FA7"/>
    <w:rsid w:val="00DC12E8"/>
    <w:rsid w:val="00DC2B18"/>
    <w:rsid w:val="00DC382F"/>
    <w:rsid w:val="00DC418B"/>
    <w:rsid w:val="00DC4CB8"/>
    <w:rsid w:val="00DC57EE"/>
    <w:rsid w:val="00DC5E98"/>
    <w:rsid w:val="00DD5237"/>
    <w:rsid w:val="00DD7232"/>
    <w:rsid w:val="00DD744C"/>
    <w:rsid w:val="00DD7991"/>
    <w:rsid w:val="00DE1140"/>
    <w:rsid w:val="00DE4B6E"/>
    <w:rsid w:val="00DE4E41"/>
    <w:rsid w:val="00DE5854"/>
    <w:rsid w:val="00DE5864"/>
    <w:rsid w:val="00DE605A"/>
    <w:rsid w:val="00DE619E"/>
    <w:rsid w:val="00DE6F7F"/>
    <w:rsid w:val="00DF1633"/>
    <w:rsid w:val="00DF25C3"/>
    <w:rsid w:val="00DF2B50"/>
    <w:rsid w:val="00DF450F"/>
    <w:rsid w:val="00DF6D8B"/>
    <w:rsid w:val="00DF7998"/>
    <w:rsid w:val="00DF79F9"/>
    <w:rsid w:val="00E00923"/>
    <w:rsid w:val="00E03DD0"/>
    <w:rsid w:val="00E0442D"/>
    <w:rsid w:val="00E066D8"/>
    <w:rsid w:val="00E06D11"/>
    <w:rsid w:val="00E0704E"/>
    <w:rsid w:val="00E147BD"/>
    <w:rsid w:val="00E149B5"/>
    <w:rsid w:val="00E156F2"/>
    <w:rsid w:val="00E16B08"/>
    <w:rsid w:val="00E17120"/>
    <w:rsid w:val="00E17775"/>
    <w:rsid w:val="00E17FDC"/>
    <w:rsid w:val="00E203D3"/>
    <w:rsid w:val="00E20BFF"/>
    <w:rsid w:val="00E211F9"/>
    <w:rsid w:val="00E221A2"/>
    <w:rsid w:val="00E22B5E"/>
    <w:rsid w:val="00E24F67"/>
    <w:rsid w:val="00E251CB"/>
    <w:rsid w:val="00E2719B"/>
    <w:rsid w:val="00E31B47"/>
    <w:rsid w:val="00E3206A"/>
    <w:rsid w:val="00E3393F"/>
    <w:rsid w:val="00E33AD8"/>
    <w:rsid w:val="00E35336"/>
    <w:rsid w:val="00E35E0C"/>
    <w:rsid w:val="00E363BF"/>
    <w:rsid w:val="00E40509"/>
    <w:rsid w:val="00E4228D"/>
    <w:rsid w:val="00E4412B"/>
    <w:rsid w:val="00E45BB0"/>
    <w:rsid w:val="00E50A3A"/>
    <w:rsid w:val="00E50C96"/>
    <w:rsid w:val="00E5114C"/>
    <w:rsid w:val="00E5190A"/>
    <w:rsid w:val="00E523B9"/>
    <w:rsid w:val="00E5410D"/>
    <w:rsid w:val="00E5416F"/>
    <w:rsid w:val="00E54C36"/>
    <w:rsid w:val="00E5615F"/>
    <w:rsid w:val="00E571E4"/>
    <w:rsid w:val="00E57FA7"/>
    <w:rsid w:val="00E61C1C"/>
    <w:rsid w:val="00E6251A"/>
    <w:rsid w:val="00E63249"/>
    <w:rsid w:val="00E63834"/>
    <w:rsid w:val="00E63D57"/>
    <w:rsid w:val="00E6418F"/>
    <w:rsid w:val="00E66C50"/>
    <w:rsid w:val="00E7006C"/>
    <w:rsid w:val="00E707BF"/>
    <w:rsid w:val="00E73167"/>
    <w:rsid w:val="00E739AA"/>
    <w:rsid w:val="00E80CD0"/>
    <w:rsid w:val="00E81149"/>
    <w:rsid w:val="00E8133C"/>
    <w:rsid w:val="00E83288"/>
    <w:rsid w:val="00E85AE2"/>
    <w:rsid w:val="00E85D3C"/>
    <w:rsid w:val="00E86794"/>
    <w:rsid w:val="00E87B21"/>
    <w:rsid w:val="00E87C98"/>
    <w:rsid w:val="00E90491"/>
    <w:rsid w:val="00E905F2"/>
    <w:rsid w:val="00E91817"/>
    <w:rsid w:val="00E92085"/>
    <w:rsid w:val="00E93095"/>
    <w:rsid w:val="00E930AC"/>
    <w:rsid w:val="00E93474"/>
    <w:rsid w:val="00E93841"/>
    <w:rsid w:val="00E9683A"/>
    <w:rsid w:val="00E96DEE"/>
    <w:rsid w:val="00EA0E1F"/>
    <w:rsid w:val="00EA3F5D"/>
    <w:rsid w:val="00EA4EE3"/>
    <w:rsid w:val="00EA4FC7"/>
    <w:rsid w:val="00EA51DD"/>
    <w:rsid w:val="00EA5C58"/>
    <w:rsid w:val="00EA7DA1"/>
    <w:rsid w:val="00EB1CE2"/>
    <w:rsid w:val="00EB2446"/>
    <w:rsid w:val="00EB35C2"/>
    <w:rsid w:val="00EB3681"/>
    <w:rsid w:val="00EB3C2D"/>
    <w:rsid w:val="00EB556E"/>
    <w:rsid w:val="00EB5C9F"/>
    <w:rsid w:val="00EB5F71"/>
    <w:rsid w:val="00EB6D12"/>
    <w:rsid w:val="00EB73F7"/>
    <w:rsid w:val="00EB7572"/>
    <w:rsid w:val="00EB7894"/>
    <w:rsid w:val="00EC0110"/>
    <w:rsid w:val="00EC0DD7"/>
    <w:rsid w:val="00EC16B1"/>
    <w:rsid w:val="00EC4400"/>
    <w:rsid w:val="00EC4654"/>
    <w:rsid w:val="00ED0DF0"/>
    <w:rsid w:val="00ED1983"/>
    <w:rsid w:val="00ED25CF"/>
    <w:rsid w:val="00ED40BB"/>
    <w:rsid w:val="00ED40DF"/>
    <w:rsid w:val="00ED5F38"/>
    <w:rsid w:val="00ED690A"/>
    <w:rsid w:val="00ED706F"/>
    <w:rsid w:val="00EE5B46"/>
    <w:rsid w:val="00EE7073"/>
    <w:rsid w:val="00EE7189"/>
    <w:rsid w:val="00EF0EEE"/>
    <w:rsid w:val="00EF0F79"/>
    <w:rsid w:val="00EF3142"/>
    <w:rsid w:val="00EF373D"/>
    <w:rsid w:val="00EF37ED"/>
    <w:rsid w:val="00EF4B05"/>
    <w:rsid w:val="00EF5152"/>
    <w:rsid w:val="00EF5B69"/>
    <w:rsid w:val="00F03858"/>
    <w:rsid w:val="00F03B4D"/>
    <w:rsid w:val="00F04315"/>
    <w:rsid w:val="00F043FE"/>
    <w:rsid w:val="00F0506C"/>
    <w:rsid w:val="00F07461"/>
    <w:rsid w:val="00F1072B"/>
    <w:rsid w:val="00F10822"/>
    <w:rsid w:val="00F1150E"/>
    <w:rsid w:val="00F13EA1"/>
    <w:rsid w:val="00F13F6B"/>
    <w:rsid w:val="00F14BFA"/>
    <w:rsid w:val="00F16FCF"/>
    <w:rsid w:val="00F20941"/>
    <w:rsid w:val="00F23547"/>
    <w:rsid w:val="00F24402"/>
    <w:rsid w:val="00F24869"/>
    <w:rsid w:val="00F26CAF"/>
    <w:rsid w:val="00F273EB"/>
    <w:rsid w:val="00F34CCA"/>
    <w:rsid w:val="00F34FA5"/>
    <w:rsid w:val="00F351AD"/>
    <w:rsid w:val="00F36FDF"/>
    <w:rsid w:val="00F3706F"/>
    <w:rsid w:val="00F40062"/>
    <w:rsid w:val="00F41413"/>
    <w:rsid w:val="00F41656"/>
    <w:rsid w:val="00F42022"/>
    <w:rsid w:val="00F4268A"/>
    <w:rsid w:val="00F43245"/>
    <w:rsid w:val="00F441EF"/>
    <w:rsid w:val="00F44418"/>
    <w:rsid w:val="00F445C5"/>
    <w:rsid w:val="00F50F42"/>
    <w:rsid w:val="00F5114D"/>
    <w:rsid w:val="00F52A57"/>
    <w:rsid w:val="00F57B4D"/>
    <w:rsid w:val="00F60D2C"/>
    <w:rsid w:val="00F60E0B"/>
    <w:rsid w:val="00F60EC0"/>
    <w:rsid w:val="00F62311"/>
    <w:rsid w:val="00F62A46"/>
    <w:rsid w:val="00F62DBF"/>
    <w:rsid w:val="00F649E3"/>
    <w:rsid w:val="00F64C2C"/>
    <w:rsid w:val="00F652FA"/>
    <w:rsid w:val="00F6554F"/>
    <w:rsid w:val="00F65C7B"/>
    <w:rsid w:val="00F66A8F"/>
    <w:rsid w:val="00F66CE8"/>
    <w:rsid w:val="00F67A36"/>
    <w:rsid w:val="00F717FB"/>
    <w:rsid w:val="00F72CB3"/>
    <w:rsid w:val="00F72CC3"/>
    <w:rsid w:val="00F73C3B"/>
    <w:rsid w:val="00F73E6F"/>
    <w:rsid w:val="00F7648E"/>
    <w:rsid w:val="00F80A1F"/>
    <w:rsid w:val="00F81204"/>
    <w:rsid w:val="00F82C60"/>
    <w:rsid w:val="00F830D8"/>
    <w:rsid w:val="00F91EB9"/>
    <w:rsid w:val="00F9373F"/>
    <w:rsid w:val="00F93BF9"/>
    <w:rsid w:val="00F949DF"/>
    <w:rsid w:val="00F97571"/>
    <w:rsid w:val="00FA1BBF"/>
    <w:rsid w:val="00FA1E48"/>
    <w:rsid w:val="00FA325F"/>
    <w:rsid w:val="00FA50F2"/>
    <w:rsid w:val="00FA5E14"/>
    <w:rsid w:val="00FA644A"/>
    <w:rsid w:val="00FB00BB"/>
    <w:rsid w:val="00FB248C"/>
    <w:rsid w:val="00FB26AC"/>
    <w:rsid w:val="00FB29E5"/>
    <w:rsid w:val="00FB2D13"/>
    <w:rsid w:val="00FB2E5C"/>
    <w:rsid w:val="00FB6DD7"/>
    <w:rsid w:val="00FC06A5"/>
    <w:rsid w:val="00FC0C9B"/>
    <w:rsid w:val="00FC15E1"/>
    <w:rsid w:val="00FC26ED"/>
    <w:rsid w:val="00FC3292"/>
    <w:rsid w:val="00FC6814"/>
    <w:rsid w:val="00FC7246"/>
    <w:rsid w:val="00FD0724"/>
    <w:rsid w:val="00FD0B5D"/>
    <w:rsid w:val="00FD127C"/>
    <w:rsid w:val="00FD490B"/>
    <w:rsid w:val="00FD4E5C"/>
    <w:rsid w:val="00FD5942"/>
    <w:rsid w:val="00FD6211"/>
    <w:rsid w:val="00FE08B0"/>
    <w:rsid w:val="00FE0CDF"/>
    <w:rsid w:val="00FE28A2"/>
    <w:rsid w:val="00FE3B94"/>
    <w:rsid w:val="00FE3E83"/>
    <w:rsid w:val="00FE4AD8"/>
    <w:rsid w:val="00FE68F3"/>
    <w:rsid w:val="00FE6A32"/>
    <w:rsid w:val="00FE73BE"/>
    <w:rsid w:val="00FE774F"/>
    <w:rsid w:val="00FF0039"/>
    <w:rsid w:val="00FF0894"/>
    <w:rsid w:val="00FF2C00"/>
    <w:rsid w:val="00FF3771"/>
    <w:rsid w:val="00FF4486"/>
    <w:rsid w:val="00FF5431"/>
    <w:rsid w:val="00FF68E1"/>
    <w:rsid w:val="00FF6FEB"/>
    <w:rsid w:val="00FF7CBC"/>
    <w:rsid w:val="015B9868"/>
    <w:rsid w:val="0C950573"/>
    <w:rsid w:val="18A32EA5"/>
    <w:rsid w:val="1A199A1E"/>
    <w:rsid w:val="23355336"/>
    <w:rsid w:val="3173A092"/>
    <w:rsid w:val="3596192C"/>
    <w:rsid w:val="3B7A6F2A"/>
    <w:rsid w:val="4F8FF293"/>
    <w:rsid w:val="5FF6AE82"/>
    <w:rsid w:val="636A07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0B6B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1303"/>
    <w:pPr>
      <w:spacing w:before="100"/>
    </w:pPr>
    <w:rPr>
      <w:rFonts w:eastAsia="Times New Roman" w:cs="Times New Roman"/>
      <w:sz w:val="22"/>
      <w:lang w:eastAsia="en-GB"/>
    </w:rPr>
  </w:style>
  <w:style w:type="paragraph" w:styleId="Heading1">
    <w:name w:val="heading 1"/>
    <w:basedOn w:val="Normal"/>
    <w:next w:val="Normal"/>
    <w:link w:val="Heading1Char"/>
    <w:uiPriority w:val="9"/>
    <w:qFormat/>
    <w:rsid w:val="00E03DD0"/>
    <w:pPr>
      <w:keepNext/>
      <w:keepLines/>
      <w:suppressAutoHyphens/>
      <w:spacing w:before="240" w:line="260" w:lineRule="atLeast"/>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E03DD0"/>
    <w:pPr>
      <w:keepNext/>
      <w:keepLines/>
      <w:suppressAutoHyphens/>
      <w:spacing w:before="160" w:line="260" w:lineRule="atLeast"/>
      <w:outlineLvl w:val="1"/>
    </w:pPr>
    <w:rPr>
      <w:rFonts w:asciiTheme="majorHAnsi" w:eastAsiaTheme="majorEastAsia" w:hAnsiTheme="majorHAnsi" w:cstheme="majorBidi"/>
      <w:color w:val="2F5496" w:themeColor="accent1" w:themeShade="BF"/>
      <w:sz w:val="28"/>
      <w:szCs w:val="28"/>
      <w:lang w:eastAsia="en-US"/>
    </w:rPr>
  </w:style>
  <w:style w:type="paragraph" w:styleId="Heading3">
    <w:name w:val="heading 3"/>
    <w:basedOn w:val="Normal"/>
    <w:next w:val="Normal"/>
    <w:link w:val="Heading3Char"/>
    <w:uiPriority w:val="9"/>
    <w:unhideWhenUsed/>
    <w:qFormat/>
    <w:rsid w:val="00E03DD0"/>
    <w:pPr>
      <w:keepNext/>
      <w:keepLines/>
      <w:suppressAutoHyphens/>
      <w:spacing w:before="160" w:line="260" w:lineRule="atLeast"/>
      <w:outlineLvl w:val="2"/>
    </w:pPr>
    <w:rPr>
      <w:rFonts w:asciiTheme="majorHAnsi" w:eastAsiaTheme="majorEastAsia" w:hAnsiTheme="majorHAnsi" w:cstheme="majorBidi"/>
      <w:color w:val="5B9BD5" w:themeColor="accent5"/>
      <w:lang w:eastAsia="en-US"/>
    </w:rPr>
  </w:style>
  <w:style w:type="paragraph" w:styleId="Heading4">
    <w:name w:val="heading 4"/>
    <w:basedOn w:val="Normal"/>
    <w:next w:val="Normal"/>
    <w:link w:val="Heading4Char"/>
    <w:uiPriority w:val="9"/>
    <w:unhideWhenUsed/>
    <w:qFormat/>
    <w:rsid w:val="00162CE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D69EC"/>
    <w:pPr>
      <w:keepNext/>
      <w:keepLines/>
      <w:suppressAutoHyphens/>
      <w:spacing w:before="40" w:line="260" w:lineRule="atLeast"/>
      <w:outlineLvl w:val="4"/>
    </w:pPr>
    <w:rPr>
      <w:rFonts w:asciiTheme="majorHAnsi" w:eastAsiaTheme="majorEastAsia" w:hAnsiTheme="majorHAnsi" w:cstheme="majorBidi"/>
      <w:color w:val="2F5496" w:themeColor="accent1" w:themeShade="B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Bullet list,Citation List,Graphic,Ha,Lettre d'introduction,List Paragraph (numbered (a)),List Paragraph1,List_Paragraph,Multilevel para_II,Paragrafo elenco,References,Resume Title,Use Case List Paragraph"/>
    <w:basedOn w:val="Normal"/>
    <w:link w:val="ListParagraphChar"/>
    <w:uiPriority w:val="34"/>
    <w:qFormat/>
    <w:rsid w:val="003B38E1"/>
    <w:pPr>
      <w:suppressAutoHyphens/>
      <w:spacing w:before="120" w:after="60" w:line="260" w:lineRule="atLeast"/>
      <w:ind w:left="720"/>
      <w:contextualSpacing/>
    </w:pPr>
    <w:rPr>
      <w:rFonts w:eastAsiaTheme="minorHAnsi" w:cstheme="minorBidi"/>
      <w:color w:val="44546A" w:themeColor="text2"/>
      <w:szCs w:val="22"/>
      <w:lang w:eastAsia="en-US"/>
    </w:rPr>
  </w:style>
  <w:style w:type="character" w:customStyle="1" w:styleId="Heading1Char">
    <w:name w:val="Heading 1 Char"/>
    <w:basedOn w:val="DefaultParagraphFont"/>
    <w:link w:val="Heading1"/>
    <w:uiPriority w:val="9"/>
    <w:rsid w:val="00E03D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3DD0"/>
    <w:rPr>
      <w:rFonts w:asciiTheme="majorHAnsi" w:eastAsiaTheme="majorEastAsia" w:hAnsiTheme="majorHAnsi" w:cstheme="majorBidi"/>
      <w:color w:val="2F5496" w:themeColor="accent1" w:themeShade="BF"/>
      <w:sz w:val="28"/>
      <w:szCs w:val="28"/>
    </w:rPr>
  </w:style>
  <w:style w:type="paragraph" w:styleId="Title">
    <w:name w:val="Title"/>
    <w:basedOn w:val="Normal"/>
    <w:next w:val="Normal"/>
    <w:link w:val="TitleChar"/>
    <w:uiPriority w:val="10"/>
    <w:qFormat/>
    <w:rsid w:val="00963D70"/>
    <w:pPr>
      <w:suppressAutoHyphens/>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63D7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9557BE"/>
    <w:rPr>
      <w:sz w:val="16"/>
      <w:szCs w:val="16"/>
    </w:rPr>
  </w:style>
  <w:style w:type="paragraph" w:styleId="CommentText">
    <w:name w:val="annotation text"/>
    <w:basedOn w:val="Normal"/>
    <w:link w:val="CommentTextChar"/>
    <w:uiPriority w:val="99"/>
    <w:unhideWhenUsed/>
    <w:rsid w:val="009557BE"/>
    <w:pPr>
      <w:spacing w:before="160"/>
    </w:pPr>
    <w:rPr>
      <w:rFonts w:eastAsiaTheme="minorHAnsi" w:cstheme="minorBidi"/>
      <w:sz w:val="20"/>
      <w:szCs w:val="20"/>
      <w:lang w:val="en-US" w:eastAsia="en-US"/>
    </w:rPr>
  </w:style>
  <w:style w:type="character" w:customStyle="1" w:styleId="CommentTextChar">
    <w:name w:val="Comment Text Char"/>
    <w:basedOn w:val="DefaultParagraphFont"/>
    <w:link w:val="CommentText"/>
    <w:uiPriority w:val="99"/>
    <w:rsid w:val="009557BE"/>
    <w:rPr>
      <w:sz w:val="20"/>
      <w:szCs w:val="20"/>
      <w:lang w:val="en-US"/>
    </w:rPr>
  </w:style>
  <w:style w:type="character" w:customStyle="1" w:styleId="Heading3Char">
    <w:name w:val="Heading 3 Char"/>
    <w:basedOn w:val="DefaultParagraphFont"/>
    <w:link w:val="Heading3"/>
    <w:uiPriority w:val="9"/>
    <w:rsid w:val="00E03DD0"/>
    <w:rPr>
      <w:rFonts w:asciiTheme="majorHAnsi" w:eastAsiaTheme="majorEastAsia" w:hAnsiTheme="majorHAnsi" w:cstheme="majorBidi"/>
      <w:color w:val="5B9BD5" w:themeColor="accent5"/>
      <w:sz w:val="22"/>
    </w:rPr>
  </w:style>
  <w:style w:type="paragraph" w:styleId="TOC1">
    <w:name w:val="toc 1"/>
    <w:basedOn w:val="Normal"/>
    <w:next w:val="Normal"/>
    <w:autoRedefine/>
    <w:uiPriority w:val="39"/>
    <w:unhideWhenUsed/>
    <w:rsid w:val="006534DF"/>
    <w:pPr>
      <w:tabs>
        <w:tab w:val="right" w:leader="dot" w:pos="12590"/>
      </w:tabs>
      <w:suppressAutoHyphens/>
      <w:spacing w:before="120" w:after="100" w:line="260" w:lineRule="atLeast"/>
    </w:pPr>
    <w:rPr>
      <w:rFonts w:eastAsiaTheme="minorHAnsi" w:cstheme="minorBidi"/>
      <w:color w:val="44546A" w:themeColor="text2"/>
      <w:szCs w:val="22"/>
      <w:lang w:eastAsia="en-US"/>
    </w:rPr>
  </w:style>
  <w:style w:type="paragraph" w:styleId="TOC2">
    <w:name w:val="toc 2"/>
    <w:basedOn w:val="Normal"/>
    <w:next w:val="Normal"/>
    <w:autoRedefine/>
    <w:uiPriority w:val="39"/>
    <w:unhideWhenUsed/>
    <w:rsid w:val="002900C0"/>
    <w:pPr>
      <w:suppressAutoHyphens/>
      <w:spacing w:before="120" w:after="100" w:line="260" w:lineRule="atLeast"/>
      <w:ind w:left="220"/>
    </w:pPr>
    <w:rPr>
      <w:rFonts w:eastAsiaTheme="minorHAnsi" w:cstheme="minorBidi"/>
      <w:color w:val="44546A" w:themeColor="text2"/>
      <w:szCs w:val="22"/>
      <w:lang w:eastAsia="en-US"/>
    </w:rPr>
  </w:style>
  <w:style w:type="paragraph" w:styleId="TOC3">
    <w:name w:val="toc 3"/>
    <w:basedOn w:val="Normal"/>
    <w:next w:val="Normal"/>
    <w:autoRedefine/>
    <w:uiPriority w:val="39"/>
    <w:unhideWhenUsed/>
    <w:rsid w:val="002900C0"/>
    <w:pPr>
      <w:suppressAutoHyphens/>
      <w:spacing w:before="120" w:after="100" w:line="260" w:lineRule="atLeast"/>
      <w:ind w:left="440"/>
    </w:pPr>
    <w:rPr>
      <w:rFonts w:eastAsiaTheme="minorHAnsi" w:cstheme="minorBidi"/>
      <w:color w:val="44546A" w:themeColor="text2"/>
      <w:szCs w:val="22"/>
      <w:lang w:eastAsia="en-US"/>
    </w:rPr>
  </w:style>
  <w:style w:type="character" w:styleId="Hyperlink">
    <w:name w:val="Hyperlink"/>
    <w:basedOn w:val="DefaultParagraphFont"/>
    <w:uiPriority w:val="99"/>
    <w:unhideWhenUsed/>
    <w:rsid w:val="002900C0"/>
    <w:rPr>
      <w:color w:val="0563C1" w:themeColor="hyperlink"/>
      <w:u w:val="single"/>
    </w:rPr>
  </w:style>
  <w:style w:type="character" w:customStyle="1" w:styleId="ListParagraphChar">
    <w:name w:val="List Paragraph Char"/>
    <w:aliases w:val="1st level - Bullet List Paragraph Char,Bullet list Char,Citation List Char,Graphic Char,Ha Char,Lettre d'introduction Char,List Paragraph (numbered (a)) Char,List Paragraph1 Char,List_Paragraph Char,Multilevel para_II Char"/>
    <w:basedOn w:val="DefaultParagraphFont"/>
    <w:link w:val="ListParagraph"/>
    <w:uiPriority w:val="34"/>
    <w:qFormat/>
    <w:locked/>
    <w:rsid w:val="00225D7B"/>
    <w:rPr>
      <w:color w:val="44546A" w:themeColor="text2"/>
      <w:sz w:val="22"/>
      <w:szCs w:val="22"/>
    </w:rPr>
  </w:style>
  <w:style w:type="table" w:customStyle="1" w:styleId="TableGrid2">
    <w:name w:val="Table Grid2"/>
    <w:basedOn w:val="TableNormal"/>
    <w:next w:val="TableGrid"/>
    <w:uiPriority w:val="59"/>
    <w:rsid w:val="00F13F6B"/>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3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3F6B"/>
    <w:pPr>
      <w:tabs>
        <w:tab w:val="center" w:pos="4680"/>
        <w:tab w:val="right" w:pos="9360"/>
      </w:tabs>
      <w:suppressAutoHyphens/>
    </w:pPr>
    <w:rPr>
      <w:rFonts w:eastAsiaTheme="minorHAnsi" w:cstheme="minorBidi"/>
      <w:color w:val="44546A" w:themeColor="text2"/>
      <w:szCs w:val="22"/>
      <w:lang w:eastAsia="en-US"/>
    </w:rPr>
  </w:style>
  <w:style w:type="character" w:customStyle="1" w:styleId="HeaderChar">
    <w:name w:val="Header Char"/>
    <w:basedOn w:val="DefaultParagraphFont"/>
    <w:link w:val="Header"/>
    <w:uiPriority w:val="99"/>
    <w:rsid w:val="00F13F6B"/>
    <w:rPr>
      <w:color w:val="44546A" w:themeColor="text2"/>
      <w:sz w:val="22"/>
      <w:szCs w:val="22"/>
    </w:rPr>
  </w:style>
  <w:style w:type="paragraph" w:styleId="Footer">
    <w:name w:val="footer"/>
    <w:basedOn w:val="Normal"/>
    <w:link w:val="FooterChar"/>
    <w:uiPriority w:val="99"/>
    <w:unhideWhenUsed/>
    <w:rsid w:val="00F13F6B"/>
    <w:pPr>
      <w:tabs>
        <w:tab w:val="center" w:pos="4680"/>
        <w:tab w:val="right" w:pos="9360"/>
      </w:tabs>
      <w:suppressAutoHyphens/>
    </w:pPr>
    <w:rPr>
      <w:rFonts w:eastAsiaTheme="minorHAnsi" w:cstheme="minorBidi"/>
      <w:color w:val="44546A" w:themeColor="text2"/>
      <w:szCs w:val="22"/>
      <w:lang w:eastAsia="en-US"/>
    </w:rPr>
  </w:style>
  <w:style w:type="character" w:customStyle="1" w:styleId="FooterChar">
    <w:name w:val="Footer Char"/>
    <w:basedOn w:val="DefaultParagraphFont"/>
    <w:link w:val="Footer"/>
    <w:uiPriority w:val="99"/>
    <w:rsid w:val="00F13F6B"/>
    <w:rPr>
      <w:color w:val="44546A" w:themeColor="text2"/>
      <w:sz w:val="22"/>
      <w:szCs w:val="22"/>
    </w:rPr>
  </w:style>
  <w:style w:type="paragraph" w:customStyle="1" w:styleId="NoteTitle">
    <w:name w:val="NoteTitle"/>
    <w:basedOn w:val="Heading5"/>
    <w:link w:val="NoteTitleChar"/>
    <w:qFormat/>
    <w:rsid w:val="001D69EC"/>
    <w:pPr>
      <w:keepLines w:val="0"/>
      <w:suppressAutoHyphens w:val="0"/>
      <w:spacing w:before="0" w:line="240" w:lineRule="auto"/>
    </w:pPr>
    <w:rPr>
      <w:b/>
      <w:bCs/>
      <w:lang w:val="en-US"/>
    </w:rPr>
  </w:style>
  <w:style w:type="character" w:customStyle="1" w:styleId="NoteTitleChar">
    <w:name w:val="NoteTitle Char"/>
    <w:basedOn w:val="Heading5Char"/>
    <w:link w:val="NoteTitle"/>
    <w:rsid w:val="001D69EC"/>
    <w:rPr>
      <w:rFonts w:asciiTheme="majorHAnsi" w:eastAsiaTheme="majorEastAsia" w:hAnsiTheme="majorHAnsi" w:cstheme="majorBidi"/>
      <w:b/>
      <w:bCs/>
      <w:color w:val="2F5496" w:themeColor="accent1" w:themeShade="BF"/>
      <w:sz w:val="22"/>
      <w:szCs w:val="22"/>
      <w:lang w:val="en-US"/>
    </w:rPr>
  </w:style>
  <w:style w:type="paragraph" w:styleId="NoSpacing">
    <w:name w:val="No Spacing"/>
    <w:uiPriority w:val="1"/>
    <w:qFormat/>
    <w:rsid w:val="001D69EC"/>
    <w:rPr>
      <w:sz w:val="20"/>
      <w:lang w:val="en-US"/>
    </w:rPr>
  </w:style>
  <w:style w:type="paragraph" w:customStyle="1" w:styleId="Default">
    <w:name w:val="Default"/>
    <w:rsid w:val="001D69EC"/>
    <w:pPr>
      <w:autoSpaceDE w:val="0"/>
      <w:autoSpaceDN w:val="0"/>
      <w:adjustRightInd w:val="0"/>
    </w:pPr>
    <w:rPr>
      <w:rFonts w:ascii="Microsoft Sans Serif" w:hAnsi="Microsoft Sans Serif" w:cs="Microsoft Sans Serif"/>
      <w:color w:val="000000"/>
      <w:lang w:val="en-US"/>
    </w:rPr>
  </w:style>
  <w:style w:type="character" w:customStyle="1" w:styleId="Heading5Char">
    <w:name w:val="Heading 5 Char"/>
    <w:basedOn w:val="DefaultParagraphFont"/>
    <w:link w:val="Heading5"/>
    <w:uiPriority w:val="9"/>
    <w:rsid w:val="001D69EC"/>
    <w:rPr>
      <w:rFonts w:asciiTheme="majorHAnsi" w:eastAsiaTheme="majorEastAsia" w:hAnsiTheme="majorHAnsi" w:cstheme="majorBidi"/>
      <w:color w:val="2F5496" w:themeColor="accent1" w:themeShade="BF"/>
      <w:sz w:val="22"/>
      <w:szCs w:val="22"/>
    </w:rPr>
  </w:style>
  <w:style w:type="paragraph" w:styleId="Revision">
    <w:name w:val="Revision"/>
    <w:hidden/>
    <w:uiPriority w:val="99"/>
    <w:semiHidden/>
    <w:rsid w:val="000C6B36"/>
    <w:rPr>
      <w:color w:val="44546A" w:themeColor="text2"/>
      <w:sz w:val="22"/>
      <w:szCs w:val="22"/>
    </w:rPr>
  </w:style>
  <w:style w:type="paragraph" w:styleId="CommentSubject">
    <w:name w:val="annotation subject"/>
    <w:basedOn w:val="CommentText"/>
    <w:next w:val="CommentText"/>
    <w:link w:val="CommentSubjectChar"/>
    <w:uiPriority w:val="99"/>
    <w:semiHidden/>
    <w:unhideWhenUsed/>
    <w:rsid w:val="000B3AFD"/>
    <w:pPr>
      <w:suppressAutoHyphens/>
      <w:spacing w:before="120" w:after="60"/>
    </w:pPr>
    <w:rPr>
      <w:b/>
      <w:bCs/>
      <w:color w:val="44546A" w:themeColor="text2"/>
      <w:lang w:val="en-GB"/>
    </w:rPr>
  </w:style>
  <w:style w:type="character" w:customStyle="1" w:styleId="CommentSubjectChar">
    <w:name w:val="Comment Subject Char"/>
    <w:basedOn w:val="CommentTextChar"/>
    <w:link w:val="CommentSubject"/>
    <w:uiPriority w:val="99"/>
    <w:semiHidden/>
    <w:rsid w:val="000B3AFD"/>
    <w:rPr>
      <w:b/>
      <w:bCs/>
      <w:color w:val="44546A" w:themeColor="text2"/>
      <w:sz w:val="20"/>
      <w:szCs w:val="20"/>
      <w:lang w:val="en-US"/>
    </w:rPr>
  </w:style>
  <w:style w:type="character" w:customStyle="1" w:styleId="Heading4Char">
    <w:name w:val="Heading 4 Char"/>
    <w:basedOn w:val="DefaultParagraphFont"/>
    <w:link w:val="Heading4"/>
    <w:uiPriority w:val="9"/>
    <w:rsid w:val="00162CE3"/>
    <w:rPr>
      <w:rFonts w:asciiTheme="majorHAnsi" w:eastAsiaTheme="majorEastAsia" w:hAnsiTheme="majorHAnsi" w:cstheme="majorBidi"/>
      <w:i/>
      <w:iCs/>
      <w:color w:val="2F5496" w:themeColor="accent1" w:themeShade="BF"/>
      <w:sz w:val="22"/>
      <w:lang w:eastAsia="en-GB"/>
    </w:rPr>
  </w:style>
  <w:style w:type="paragraph" w:styleId="FootnoteText">
    <w:name w:val="footnote text"/>
    <w:basedOn w:val="Normal"/>
    <w:link w:val="FootnoteTextChar"/>
    <w:uiPriority w:val="99"/>
    <w:unhideWhenUsed/>
    <w:rsid w:val="006D6CEC"/>
    <w:pPr>
      <w:spacing w:before="0"/>
    </w:pPr>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rsid w:val="006D6CEC"/>
    <w:rPr>
      <w:sz w:val="20"/>
      <w:szCs w:val="20"/>
      <w:lang w:val="en-US"/>
    </w:rPr>
  </w:style>
  <w:style w:type="character" w:styleId="FootnoteReference">
    <w:name w:val="footnote reference"/>
    <w:basedOn w:val="DefaultParagraphFont"/>
    <w:uiPriority w:val="99"/>
    <w:unhideWhenUsed/>
    <w:rsid w:val="006D6CEC"/>
    <w:rPr>
      <w:vertAlign w:val="superscript"/>
    </w:rPr>
  </w:style>
  <w:style w:type="paragraph" w:styleId="NormalWeb">
    <w:name w:val="Normal (Web)"/>
    <w:basedOn w:val="Normal"/>
    <w:uiPriority w:val="99"/>
    <w:semiHidden/>
    <w:unhideWhenUsed/>
    <w:rsid w:val="00960435"/>
    <w:pPr>
      <w:spacing w:beforeAutospacing="1" w:after="100" w:afterAutospacing="1"/>
    </w:pPr>
    <w:rPr>
      <w:rFonts w:ascii="Times New Roman" w:hAnsi="Times New Roman"/>
      <w:sz w:val="24"/>
    </w:rPr>
  </w:style>
  <w:style w:type="character" w:styleId="PageNumber">
    <w:name w:val="page number"/>
    <w:basedOn w:val="DefaultParagraphFont"/>
    <w:uiPriority w:val="99"/>
    <w:semiHidden/>
    <w:unhideWhenUsed/>
    <w:rsid w:val="00563112"/>
  </w:style>
  <w:style w:type="paragraph" w:customStyle="1" w:styleId="Footnote">
    <w:name w:val="Footnote"/>
    <w:basedOn w:val="Normal"/>
    <w:qFormat/>
    <w:rsid w:val="00341B54"/>
    <w:pPr>
      <w:spacing w:before="0"/>
    </w:pPr>
    <w:rPr>
      <w:rFonts w:asciiTheme="majorHAnsi" w:hAnsiTheme="majorHAnsi" w:cstheme="majorHAnsi"/>
      <w:sz w:val="18"/>
      <w:szCs w:val="18"/>
      <w:vertAlign w:val="superscript"/>
    </w:rPr>
  </w:style>
  <w:style w:type="character" w:styleId="UnresolvedMention">
    <w:name w:val="Unresolved Mention"/>
    <w:basedOn w:val="DefaultParagraphFont"/>
    <w:uiPriority w:val="99"/>
    <w:rsid w:val="001537BD"/>
    <w:rPr>
      <w:color w:val="605E5C"/>
      <w:shd w:val="clear" w:color="auto" w:fill="E1DFDD"/>
    </w:rPr>
  </w:style>
  <w:style w:type="character" w:styleId="FollowedHyperlink">
    <w:name w:val="FollowedHyperlink"/>
    <w:basedOn w:val="DefaultParagraphFont"/>
    <w:uiPriority w:val="99"/>
    <w:semiHidden/>
    <w:unhideWhenUsed/>
    <w:rsid w:val="00C7350E"/>
    <w:rPr>
      <w:color w:val="954F72" w:themeColor="followedHyperlink"/>
      <w:u w:val="single"/>
    </w:rPr>
  </w:style>
  <w:style w:type="character" w:customStyle="1" w:styleId="apple-tab-span">
    <w:name w:val="apple-tab-span"/>
    <w:basedOn w:val="DefaultParagraphFont"/>
    <w:rsid w:val="005234AE"/>
  </w:style>
  <w:style w:type="numbering" w:customStyle="1" w:styleId="CurrentList1">
    <w:name w:val="Current List1"/>
    <w:uiPriority w:val="99"/>
    <w:rsid w:val="005655A6"/>
    <w:pPr>
      <w:numPr>
        <w:numId w:val="55"/>
      </w:numPr>
    </w:pPr>
  </w:style>
  <w:style w:type="paragraph" w:customStyle="1" w:styleId="Bodytxt">
    <w:name w:val="Bodytxt"/>
    <w:basedOn w:val="Normal"/>
    <w:link w:val="BodytxtChar"/>
    <w:rsid w:val="003119FF"/>
    <w:pPr>
      <w:spacing w:before="0" w:after="120"/>
      <w:ind w:left="720"/>
      <w:jc w:val="both"/>
    </w:pPr>
    <w:rPr>
      <w:rFonts w:ascii="Calibri" w:hAnsi="Calibri"/>
      <w:lang w:val="en-AU" w:eastAsia="en-US"/>
    </w:rPr>
  </w:style>
  <w:style w:type="character" w:customStyle="1" w:styleId="BodytxtChar">
    <w:name w:val="Bodytxt Char"/>
    <w:link w:val="Bodytxt"/>
    <w:rsid w:val="003119FF"/>
    <w:rPr>
      <w:rFonts w:ascii="Calibri" w:eastAsia="Times New Roman" w:hAnsi="Calibri" w:cs="Times New Roman"/>
      <w:sz w:val="22"/>
      <w:lang w:val="en-AU"/>
    </w:rPr>
  </w:style>
  <w:style w:type="paragraph" w:styleId="Subtitle">
    <w:name w:val="Subtitle"/>
    <w:basedOn w:val="Normal"/>
    <w:next w:val="Normal"/>
    <w:link w:val="SubtitleChar"/>
    <w:uiPriority w:val="11"/>
    <w:qFormat/>
    <w:rsid w:val="00EB757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EB7572"/>
    <w:rPr>
      <w:rFonts w:eastAsiaTheme="minorEastAsia"/>
      <w:color w:val="5A5A5A" w:themeColor="text1" w:themeTint="A5"/>
      <w:spacing w:val="15"/>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4974">
      <w:bodyDiv w:val="1"/>
      <w:marLeft w:val="0"/>
      <w:marRight w:val="0"/>
      <w:marTop w:val="0"/>
      <w:marBottom w:val="0"/>
      <w:divBdr>
        <w:top w:val="none" w:sz="0" w:space="0" w:color="auto"/>
        <w:left w:val="none" w:sz="0" w:space="0" w:color="auto"/>
        <w:bottom w:val="none" w:sz="0" w:space="0" w:color="auto"/>
        <w:right w:val="none" w:sz="0" w:space="0" w:color="auto"/>
      </w:divBdr>
      <w:divsChild>
        <w:div w:id="394160622">
          <w:marLeft w:val="0"/>
          <w:marRight w:val="0"/>
          <w:marTop w:val="0"/>
          <w:marBottom w:val="0"/>
          <w:divBdr>
            <w:top w:val="none" w:sz="0" w:space="0" w:color="auto"/>
            <w:left w:val="none" w:sz="0" w:space="0" w:color="auto"/>
            <w:bottom w:val="none" w:sz="0" w:space="0" w:color="auto"/>
            <w:right w:val="none" w:sz="0" w:space="0" w:color="auto"/>
          </w:divBdr>
          <w:divsChild>
            <w:div w:id="1087387032">
              <w:marLeft w:val="0"/>
              <w:marRight w:val="0"/>
              <w:marTop w:val="0"/>
              <w:marBottom w:val="0"/>
              <w:divBdr>
                <w:top w:val="none" w:sz="0" w:space="0" w:color="auto"/>
                <w:left w:val="none" w:sz="0" w:space="0" w:color="auto"/>
                <w:bottom w:val="none" w:sz="0" w:space="0" w:color="auto"/>
                <w:right w:val="none" w:sz="0" w:space="0" w:color="auto"/>
              </w:divBdr>
              <w:divsChild>
                <w:div w:id="121777117">
                  <w:marLeft w:val="0"/>
                  <w:marRight w:val="0"/>
                  <w:marTop w:val="0"/>
                  <w:marBottom w:val="0"/>
                  <w:divBdr>
                    <w:top w:val="none" w:sz="0" w:space="0" w:color="auto"/>
                    <w:left w:val="none" w:sz="0" w:space="0" w:color="auto"/>
                    <w:bottom w:val="none" w:sz="0" w:space="0" w:color="auto"/>
                    <w:right w:val="none" w:sz="0" w:space="0" w:color="auto"/>
                  </w:divBdr>
                  <w:divsChild>
                    <w:div w:id="13531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8094">
      <w:bodyDiv w:val="1"/>
      <w:marLeft w:val="0"/>
      <w:marRight w:val="0"/>
      <w:marTop w:val="0"/>
      <w:marBottom w:val="0"/>
      <w:divBdr>
        <w:top w:val="none" w:sz="0" w:space="0" w:color="auto"/>
        <w:left w:val="none" w:sz="0" w:space="0" w:color="auto"/>
        <w:bottom w:val="none" w:sz="0" w:space="0" w:color="auto"/>
        <w:right w:val="none" w:sz="0" w:space="0" w:color="auto"/>
      </w:divBdr>
    </w:div>
    <w:div w:id="153181681">
      <w:bodyDiv w:val="1"/>
      <w:marLeft w:val="0"/>
      <w:marRight w:val="0"/>
      <w:marTop w:val="0"/>
      <w:marBottom w:val="0"/>
      <w:divBdr>
        <w:top w:val="none" w:sz="0" w:space="0" w:color="auto"/>
        <w:left w:val="none" w:sz="0" w:space="0" w:color="auto"/>
        <w:bottom w:val="none" w:sz="0" w:space="0" w:color="auto"/>
        <w:right w:val="none" w:sz="0" w:space="0" w:color="auto"/>
      </w:divBdr>
    </w:div>
    <w:div w:id="176582896">
      <w:bodyDiv w:val="1"/>
      <w:marLeft w:val="0"/>
      <w:marRight w:val="0"/>
      <w:marTop w:val="0"/>
      <w:marBottom w:val="0"/>
      <w:divBdr>
        <w:top w:val="none" w:sz="0" w:space="0" w:color="auto"/>
        <w:left w:val="none" w:sz="0" w:space="0" w:color="auto"/>
        <w:bottom w:val="none" w:sz="0" w:space="0" w:color="auto"/>
        <w:right w:val="none" w:sz="0" w:space="0" w:color="auto"/>
      </w:divBdr>
    </w:div>
    <w:div w:id="215238364">
      <w:bodyDiv w:val="1"/>
      <w:marLeft w:val="0"/>
      <w:marRight w:val="0"/>
      <w:marTop w:val="0"/>
      <w:marBottom w:val="0"/>
      <w:divBdr>
        <w:top w:val="none" w:sz="0" w:space="0" w:color="auto"/>
        <w:left w:val="none" w:sz="0" w:space="0" w:color="auto"/>
        <w:bottom w:val="none" w:sz="0" w:space="0" w:color="auto"/>
        <w:right w:val="none" w:sz="0" w:space="0" w:color="auto"/>
      </w:divBdr>
    </w:div>
    <w:div w:id="280770870">
      <w:bodyDiv w:val="1"/>
      <w:marLeft w:val="0"/>
      <w:marRight w:val="0"/>
      <w:marTop w:val="0"/>
      <w:marBottom w:val="0"/>
      <w:divBdr>
        <w:top w:val="none" w:sz="0" w:space="0" w:color="auto"/>
        <w:left w:val="none" w:sz="0" w:space="0" w:color="auto"/>
        <w:bottom w:val="none" w:sz="0" w:space="0" w:color="auto"/>
        <w:right w:val="none" w:sz="0" w:space="0" w:color="auto"/>
      </w:divBdr>
    </w:div>
    <w:div w:id="328483165">
      <w:bodyDiv w:val="1"/>
      <w:marLeft w:val="0"/>
      <w:marRight w:val="0"/>
      <w:marTop w:val="0"/>
      <w:marBottom w:val="0"/>
      <w:divBdr>
        <w:top w:val="none" w:sz="0" w:space="0" w:color="auto"/>
        <w:left w:val="none" w:sz="0" w:space="0" w:color="auto"/>
        <w:bottom w:val="none" w:sz="0" w:space="0" w:color="auto"/>
        <w:right w:val="none" w:sz="0" w:space="0" w:color="auto"/>
      </w:divBdr>
      <w:divsChild>
        <w:div w:id="1608853037">
          <w:marLeft w:val="0"/>
          <w:marRight w:val="0"/>
          <w:marTop w:val="0"/>
          <w:marBottom w:val="0"/>
          <w:divBdr>
            <w:top w:val="none" w:sz="0" w:space="0" w:color="auto"/>
            <w:left w:val="none" w:sz="0" w:space="0" w:color="auto"/>
            <w:bottom w:val="none" w:sz="0" w:space="0" w:color="auto"/>
            <w:right w:val="none" w:sz="0" w:space="0" w:color="auto"/>
          </w:divBdr>
          <w:divsChild>
            <w:div w:id="1093085359">
              <w:marLeft w:val="0"/>
              <w:marRight w:val="0"/>
              <w:marTop w:val="0"/>
              <w:marBottom w:val="0"/>
              <w:divBdr>
                <w:top w:val="none" w:sz="0" w:space="0" w:color="auto"/>
                <w:left w:val="none" w:sz="0" w:space="0" w:color="auto"/>
                <w:bottom w:val="none" w:sz="0" w:space="0" w:color="auto"/>
                <w:right w:val="none" w:sz="0" w:space="0" w:color="auto"/>
              </w:divBdr>
              <w:divsChild>
                <w:div w:id="1802918827">
                  <w:marLeft w:val="0"/>
                  <w:marRight w:val="0"/>
                  <w:marTop w:val="0"/>
                  <w:marBottom w:val="0"/>
                  <w:divBdr>
                    <w:top w:val="none" w:sz="0" w:space="0" w:color="auto"/>
                    <w:left w:val="none" w:sz="0" w:space="0" w:color="auto"/>
                    <w:bottom w:val="none" w:sz="0" w:space="0" w:color="auto"/>
                    <w:right w:val="none" w:sz="0" w:space="0" w:color="auto"/>
                  </w:divBdr>
                  <w:divsChild>
                    <w:div w:id="1206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3357">
      <w:bodyDiv w:val="1"/>
      <w:marLeft w:val="0"/>
      <w:marRight w:val="0"/>
      <w:marTop w:val="0"/>
      <w:marBottom w:val="0"/>
      <w:divBdr>
        <w:top w:val="none" w:sz="0" w:space="0" w:color="auto"/>
        <w:left w:val="none" w:sz="0" w:space="0" w:color="auto"/>
        <w:bottom w:val="none" w:sz="0" w:space="0" w:color="auto"/>
        <w:right w:val="none" w:sz="0" w:space="0" w:color="auto"/>
      </w:divBdr>
    </w:div>
    <w:div w:id="506671292">
      <w:bodyDiv w:val="1"/>
      <w:marLeft w:val="0"/>
      <w:marRight w:val="0"/>
      <w:marTop w:val="0"/>
      <w:marBottom w:val="0"/>
      <w:divBdr>
        <w:top w:val="none" w:sz="0" w:space="0" w:color="auto"/>
        <w:left w:val="none" w:sz="0" w:space="0" w:color="auto"/>
        <w:bottom w:val="none" w:sz="0" w:space="0" w:color="auto"/>
        <w:right w:val="none" w:sz="0" w:space="0" w:color="auto"/>
      </w:divBdr>
    </w:div>
    <w:div w:id="543248919">
      <w:bodyDiv w:val="1"/>
      <w:marLeft w:val="0"/>
      <w:marRight w:val="0"/>
      <w:marTop w:val="0"/>
      <w:marBottom w:val="0"/>
      <w:divBdr>
        <w:top w:val="none" w:sz="0" w:space="0" w:color="auto"/>
        <w:left w:val="none" w:sz="0" w:space="0" w:color="auto"/>
        <w:bottom w:val="none" w:sz="0" w:space="0" w:color="auto"/>
        <w:right w:val="none" w:sz="0" w:space="0" w:color="auto"/>
      </w:divBdr>
      <w:divsChild>
        <w:div w:id="1761103238">
          <w:marLeft w:val="0"/>
          <w:marRight w:val="0"/>
          <w:marTop w:val="0"/>
          <w:marBottom w:val="0"/>
          <w:divBdr>
            <w:top w:val="none" w:sz="0" w:space="0" w:color="auto"/>
            <w:left w:val="none" w:sz="0" w:space="0" w:color="auto"/>
            <w:bottom w:val="none" w:sz="0" w:space="0" w:color="auto"/>
            <w:right w:val="none" w:sz="0" w:space="0" w:color="auto"/>
          </w:divBdr>
          <w:divsChild>
            <w:div w:id="1959752401">
              <w:marLeft w:val="0"/>
              <w:marRight w:val="0"/>
              <w:marTop w:val="0"/>
              <w:marBottom w:val="0"/>
              <w:divBdr>
                <w:top w:val="none" w:sz="0" w:space="0" w:color="auto"/>
                <w:left w:val="none" w:sz="0" w:space="0" w:color="auto"/>
                <w:bottom w:val="none" w:sz="0" w:space="0" w:color="auto"/>
                <w:right w:val="none" w:sz="0" w:space="0" w:color="auto"/>
              </w:divBdr>
              <w:divsChild>
                <w:div w:id="8437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71666">
      <w:bodyDiv w:val="1"/>
      <w:marLeft w:val="0"/>
      <w:marRight w:val="0"/>
      <w:marTop w:val="0"/>
      <w:marBottom w:val="0"/>
      <w:divBdr>
        <w:top w:val="none" w:sz="0" w:space="0" w:color="auto"/>
        <w:left w:val="none" w:sz="0" w:space="0" w:color="auto"/>
        <w:bottom w:val="none" w:sz="0" w:space="0" w:color="auto"/>
        <w:right w:val="none" w:sz="0" w:space="0" w:color="auto"/>
      </w:divBdr>
    </w:div>
    <w:div w:id="725840762">
      <w:bodyDiv w:val="1"/>
      <w:marLeft w:val="0"/>
      <w:marRight w:val="0"/>
      <w:marTop w:val="0"/>
      <w:marBottom w:val="0"/>
      <w:divBdr>
        <w:top w:val="none" w:sz="0" w:space="0" w:color="auto"/>
        <w:left w:val="none" w:sz="0" w:space="0" w:color="auto"/>
        <w:bottom w:val="none" w:sz="0" w:space="0" w:color="auto"/>
        <w:right w:val="none" w:sz="0" w:space="0" w:color="auto"/>
      </w:divBdr>
    </w:div>
    <w:div w:id="753402701">
      <w:bodyDiv w:val="1"/>
      <w:marLeft w:val="0"/>
      <w:marRight w:val="0"/>
      <w:marTop w:val="0"/>
      <w:marBottom w:val="0"/>
      <w:divBdr>
        <w:top w:val="none" w:sz="0" w:space="0" w:color="auto"/>
        <w:left w:val="none" w:sz="0" w:space="0" w:color="auto"/>
        <w:bottom w:val="none" w:sz="0" w:space="0" w:color="auto"/>
        <w:right w:val="none" w:sz="0" w:space="0" w:color="auto"/>
      </w:divBdr>
    </w:div>
    <w:div w:id="823007863">
      <w:bodyDiv w:val="1"/>
      <w:marLeft w:val="0"/>
      <w:marRight w:val="0"/>
      <w:marTop w:val="0"/>
      <w:marBottom w:val="0"/>
      <w:divBdr>
        <w:top w:val="none" w:sz="0" w:space="0" w:color="auto"/>
        <w:left w:val="none" w:sz="0" w:space="0" w:color="auto"/>
        <w:bottom w:val="none" w:sz="0" w:space="0" w:color="auto"/>
        <w:right w:val="none" w:sz="0" w:space="0" w:color="auto"/>
      </w:divBdr>
    </w:div>
    <w:div w:id="875505470">
      <w:bodyDiv w:val="1"/>
      <w:marLeft w:val="0"/>
      <w:marRight w:val="0"/>
      <w:marTop w:val="0"/>
      <w:marBottom w:val="0"/>
      <w:divBdr>
        <w:top w:val="none" w:sz="0" w:space="0" w:color="auto"/>
        <w:left w:val="none" w:sz="0" w:space="0" w:color="auto"/>
        <w:bottom w:val="none" w:sz="0" w:space="0" w:color="auto"/>
        <w:right w:val="none" w:sz="0" w:space="0" w:color="auto"/>
      </w:divBdr>
    </w:div>
    <w:div w:id="917399653">
      <w:bodyDiv w:val="1"/>
      <w:marLeft w:val="0"/>
      <w:marRight w:val="0"/>
      <w:marTop w:val="0"/>
      <w:marBottom w:val="0"/>
      <w:divBdr>
        <w:top w:val="none" w:sz="0" w:space="0" w:color="auto"/>
        <w:left w:val="none" w:sz="0" w:space="0" w:color="auto"/>
        <w:bottom w:val="none" w:sz="0" w:space="0" w:color="auto"/>
        <w:right w:val="none" w:sz="0" w:space="0" w:color="auto"/>
      </w:divBdr>
    </w:div>
    <w:div w:id="1174340669">
      <w:bodyDiv w:val="1"/>
      <w:marLeft w:val="0"/>
      <w:marRight w:val="0"/>
      <w:marTop w:val="0"/>
      <w:marBottom w:val="0"/>
      <w:divBdr>
        <w:top w:val="none" w:sz="0" w:space="0" w:color="auto"/>
        <w:left w:val="none" w:sz="0" w:space="0" w:color="auto"/>
        <w:bottom w:val="none" w:sz="0" w:space="0" w:color="auto"/>
        <w:right w:val="none" w:sz="0" w:space="0" w:color="auto"/>
      </w:divBdr>
      <w:divsChild>
        <w:div w:id="52628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0164">
      <w:bodyDiv w:val="1"/>
      <w:marLeft w:val="0"/>
      <w:marRight w:val="0"/>
      <w:marTop w:val="0"/>
      <w:marBottom w:val="0"/>
      <w:divBdr>
        <w:top w:val="none" w:sz="0" w:space="0" w:color="auto"/>
        <w:left w:val="none" w:sz="0" w:space="0" w:color="auto"/>
        <w:bottom w:val="none" w:sz="0" w:space="0" w:color="auto"/>
        <w:right w:val="none" w:sz="0" w:space="0" w:color="auto"/>
      </w:divBdr>
    </w:div>
    <w:div w:id="1255627122">
      <w:bodyDiv w:val="1"/>
      <w:marLeft w:val="0"/>
      <w:marRight w:val="0"/>
      <w:marTop w:val="0"/>
      <w:marBottom w:val="0"/>
      <w:divBdr>
        <w:top w:val="none" w:sz="0" w:space="0" w:color="auto"/>
        <w:left w:val="none" w:sz="0" w:space="0" w:color="auto"/>
        <w:bottom w:val="none" w:sz="0" w:space="0" w:color="auto"/>
        <w:right w:val="none" w:sz="0" w:space="0" w:color="auto"/>
      </w:divBdr>
    </w:div>
    <w:div w:id="1348098532">
      <w:bodyDiv w:val="1"/>
      <w:marLeft w:val="0"/>
      <w:marRight w:val="0"/>
      <w:marTop w:val="0"/>
      <w:marBottom w:val="0"/>
      <w:divBdr>
        <w:top w:val="none" w:sz="0" w:space="0" w:color="auto"/>
        <w:left w:val="none" w:sz="0" w:space="0" w:color="auto"/>
        <w:bottom w:val="none" w:sz="0" w:space="0" w:color="auto"/>
        <w:right w:val="none" w:sz="0" w:space="0" w:color="auto"/>
      </w:divBdr>
    </w:div>
    <w:div w:id="1419524898">
      <w:bodyDiv w:val="1"/>
      <w:marLeft w:val="0"/>
      <w:marRight w:val="0"/>
      <w:marTop w:val="0"/>
      <w:marBottom w:val="0"/>
      <w:divBdr>
        <w:top w:val="none" w:sz="0" w:space="0" w:color="auto"/>
        <w:left w:val="none" w:sz="0" w:space="0" w:color="auto"/>
        <w:bottom w:val="none" w:sz="0" w:space="0" w:color="auto"/>
        <w:right w:val="none" w:sz="0" w:space="0" w:color="auto"/>
      </w:divBdr>
      <w:divsChild>
        <w:div w:id="1486237131">
          <w:marLeft w:val="0"/>
          <w:marRight w:val="0"/>
          <w:marTop w:val="0"/>
          <w:marBottom w:val="0"/>
          <w:divBdr>
            <w:top w:val="none" w:sz="0" w:space="0" w:color="auto"/>
            <w:left w:val="none" w:sz="0" w:space="0" w:color="auto"/>
            <w:bottom w:val="none" w:sz="0" w:space="0" w:color="auto"/>
            <w:right w:val="none" w:sz="0" w:space="0" w:color="auto"/>
          </w:divBdr>
          <w:divsChild>
            <w:div w:id="1635671749">
              <w:marLeft w:val="0"/>
              <w:marRight w:val="0"/>
              <w:marTop w:val="0"/>
              <w:marBottom w:val="0"/>
              <w:divBdr>
                <w:top w:val="none" w:sz="0" w:space="0" w:color="auto"/>
                <w:left w:val="none" w:sz="0" w:space="0" w:color="auto"/>
                <w:bottom w:val="none" w:sz="0" w:space="0" w:color="auto"/>
                <w:right w:val="none" w:sz="0" w:space="0" w:color="auto"/>
              </w:divBdr>
              <w:divsChild>
                <w:div w:id="1476869200">
                  <w:marLeft w:val="0"/>
                  <w:marRight w:val="0"/>
                  <w:marTop w:val="0"/>
                  <w:marBottom w:val="0"/>
                  <w:divBdr>
                    <w:top w:val="none" w:sz="0" w:space="0" w:color="auto"/>
                    <w:left w:val="none" w:sz="0" w:space="0" w:color="auto"/>
                    <w:bottom w:val="none" w:sz="0" w:space="0" w:color="auto"/>
                    <w:right w:val="none" w:sz="0" w:space="0" w:color="auto"/>
                  </w:divBdr>
                  <w:divsChild>
                    <w:div w:id="13674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25127">
      <w:bodyDiv w:val="1"/>
      <w:marLeft w:val="0"/>
      <w:marRight w:val="0"/>
      <w:marTop w:val="0"/>
      <w:marBottom w:val="0"/>
      <w:divBdr>
        <w:top w:val="none" w:sz="0" w:space="0" w:color="auto"/>
        <w:left w:val="none" w:sz="0" w:space="0" w:color="auto"/>
        <w:bottom w:val="none" w:sz="0" w:space="0" w:color="auto"/>
        <w:right w:val="none" w:sz="0" w:space="0" w:color="auto"/>
      </w:divBdr>
    </w:div>
    <w:div w:id="1491169415">
      <w:bodyDiv w:val="1"/>
      <w:marLeft w:val="0"/>
      <w:marRight w:val="0"/>
      <w:marTop w:val="0"/>
      <w:marBottom w:val="0"/>
      <w:divBdr>
        <w:top w:val="none" w:sz="0" w:space="0" w:color="auto"/>
        <w:left w:val="none" w:sz="0" w:space="0" w:color="auto"/>
        <w:bottom w:val="none" w:sz="0" w:space="0" w:color="auto"/>
        <w:right w:val="none" w:sz="0" w:space="0" w:color="auto"/>
      </w:divBdr>
      <w:divsChild>
        <w:div w:id="198398560">
          <w:marLeft w:val="0"/>
          <w:marRight w:val="0"/>
          <w:marTop w:val="0"/>
          <w:marBottom w:val="0"/>
          <w:divBdr>
            <w:top w:val="none" w:sz="0" w:space="0" w:color="auto"/>
            <w:left w:val="none" w:sz="0" w:space="0" w:color="auto"/>
            <w:bottom w:val="none" w:sz="0" w:space="0" w:color="auto"/>
            <w:right w:val="none" w:sz="0" w:space="0" w:color="auto"/>
          </w:divBdr>
          <w:divsChild>
            <w:div w:id="1493062866">
              <w:marLeft w:val="0"/>
              <w:marRight w:val="0"/>
              <w:marTop w:val="0"/>
              <w:marBottom w:val="0"/>
              <w:divBdr>
                <w:top w:val="none" w:sz="0" w:space="0" w:color="auto"/>
                <w:left w:val="none" w:sz="0" w:space="0" w:color="auto"/>
                <w:bottom w:val="none" w:sz="0" w:space="0" w:color="auto"/>
                <w:right w:val="none" w:sz="0" w:space="0" w:color="auto"/>
              </w:divBdr>
              <w:divsChild>
                <w:div w:id="17919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39795">
      <w:bodyDiv w:val="1"/>
      <w:marLeft w:val="0"/>
      <w:marRight w:val="0"/>
      <w:marTop w:val="0"/>
      <w:marBottom w:val="0"/>
      <w:divBdr>
        <w:top w:val="none" w:sz="0" w:space="0" w:color="auto"/>
        <w:left w:val="none" w:sz="0" w:space="0" w:color="auto"/>
        <w:bottom w:val="none" w:sz="0" w:space="0" w:color="auto"/>
        <w:right w:val="none" w:sz="0" w:space="0" w:color="auto"/>
      </w:divBdr>
    </w:div>
    <w:div w:id="1642034991">
      <w:bodyDiv w:val="1"/>
      <w:marLeft w:val="0"/>
      <w:marRight w:val="0"/>
      <w:marTop w:val="0"/>
      <w:marBottom w:val="0"/>
      <w:divBdr>
        <w:top w:val="none" w:sz="0" w:space="0" w:color="auto"/>
        <w:left w:val="none" w:sz="0" w:space="0" w:color="auto"/>
        <w:bottom w:val="none" w:sz="0" w:space="0" w:color="auto"/>
        <w:right w:val="none" w:sz="0" w:space="0" w:color="auto"/>
      </w:divBdr>
    </w:div>
    <w:div w:id="1732923448">
      <w:bodyDiv w:val="1"/>
      <w:marLeft w:val="0"/>
      <w:marRight w:val="0"/>
      <w:marTop w:val="0"/>
      <w:marBottom w:val="0"/>
      <w:divBdr>
        <w:top w:val="none" w:sz="0" w:space="0" w:color="auto"/>
        <w:left w:val="none" w:sz="0" w:space="0" w:color="auto"/>
        <w:bottom w:val="none" w:sz="0" w:space="0" w:color="auto"/>
        <w:right w:val="none" w:sz="0" w:space="0" w:color="auto"/>
      </w:divBdr>
      <w:divsChild>
        <w:div w:id="1252810913">
          <w:marLeft w:val="0"/>
          <w:marRight w:val="0"/>
          <w:marTop w:val="0"/>
          <w:marBottom w:val="0"/>
          <w:divBdr>
            <w:top w:val="none" w:sz="0" w:space="0" w:color="auto"/>
            <w:left w:val="none" w:sz="0" w:space="0" w:color="auto"/>
            <w:bottom w:val="none" w:sz="0" w:space="0" w:color="auto"/>
            <w:right w:val="none" w:sz="0" w:space="0" w:color="auto"/>
          </w:divBdr>
        </w:div>
        <w:div w:id="844249596">
          <w:marLeft w:val="0"/>
          <w:marRight w:val="0"/>
          <w:marTop w:val="0"/>
          <w:marBottom w:val="0"/>
          <w:divBdr>
            <w:top w:val="none" w:sz="0" w:space="0" w:color="auto"/>
            <w:left w:val="none" w:sz="0" w:space="0" w:color="auto"/>
            <w:bottom w:val="none" w:sz="0" w:space="0" w:color="auto"/>
            <w:right w:val="none" w:sz="0" w:space="0" w:color="auto"/>
          </w:divBdr>
        </w:div>
        <w:div w:id="355886043">
          <w:marLeft w:val="0"/>
          <w:marRight w:val="0"/>
          <w:marTop w:val="0"/>
          <w:marBottom w:val="0"/>
          <w:divBdr>
            <w:top w:val="none" w:sz="0" w:space="0" w:color="auto"/>
            <w:left w:val="none" w:sz="0" w:space="0" w:color="auto"/>
            <w:bottom w:val="none" w:sz="0" w:space="0" w:color="auto"/>
            <w:right w:val="none" w:sz="0" w:space="0" w:color="auto"/>
          </w:divBdr>
        </w:div>
        <w:div w:id="1782796094">
          <w:marLeft w:val="0"/>
          <w:marRight w:val="0"/>
          <w:marTop w:val="0"/>
          <w:marBottom w:val="0"/>
          <w:divBdr>
            <w:top w:val="none" w:sz="0" w:space="0" w:color="auto"/>
            <w:left w:val="none" w:sz="0" w:space="0" w:color="auto"/>
            <w:bottom w:val="none" w:sz="0" w:space="0" w:color="auto"/>
            <w:right w:val="none" w:sz="0" w:space="0" w:color="auto"/>
          </w:divBdr>
        </w:div>
        <w:div w:id="621377153">
          <w:marLeft w:val="0"/>
          <w:marRight w:val="0"/>
          <w:marTop w:val="0"/>
          <w:marBottom w:val="0"/>
          <w:divBdr>
            <w:top w:val="none" w:sz="0" w:space="0" w:color="auto"/>
            <w:left w:val="none" w:sz="0" w:space="0" w:color="auto"/>
            <w:bottom w:val="none" w:sz="0" w:space="0" w:color="auto"/>
            <w:right w:val="none" w:sz="0" w:space="0" w:color="auto"/>
          </w:divBdr>
        </w:div>
        <w:div w:id="1654479343">
          <w:marLeft w:val="0"/>
          <w:marRight w:val="0"/>
          <w:marTop w:val="0"/>
          <w:marBottom w:val="0"/>
          <w:divBdr>
            <w:top w:val="none" w:sz="0" w:space="0" w:color="auto"/>
            <w:left w:val="none" w:sz="0" w:space="0" w:color="auto"/>
            <w:bottom w:val="none" w:sz="0" w:space="0" w:color="auto"/>
            <w:right w:val="none" w:sz="0" w:space="0" w:color="auto"/>
          </w:divBdr>
        </w:div>
        <w:div w:id="1471820432">
          <w:marLeft w:val="0"/>
          <w:marRight w:val="0"/>
          <w:marTop w:val="0"/>
          <w:marBottom w:val="0"/>
          <w:divBdr>
            <w:top w:val="none" w:sz="0" w:space="0" w:color="auto"/>
            <w:left w:val="none" w:sz="0" w:space="0" w:color="auto"/>
            <w:bottom w:val="none" w:sz="0" w:space="0" w:color="auto"/>
            <w:right w:val="none" w:sz="0" w:space="0" w:color="auto"/>
          </w:divBdr>
        </w:div>
      </w:divsChild>
    </w:div>
    <w:div w:id="1739280707">
      <w:bodyDiv w:val="1"/>
      <w:marLeft w:val="0"/>
      <w:marRight w:val="0"/>
      <w:marTop w:val="0"/>
      <w:marBottom w:val="0"/>
      <w:divBdr>
        <w:top w:val="none" w:sz="0" w:space="0" w:color="auto"/>
        <w:left w:val="none" w:sz="0" w:space="0" w:color="auto"/>
        <w:bottom w:val="none" w:sz="0" w:space="0" w:color="auto"/>
        <w:right w:val="none" w:sz="0" w:space="0" w:color="auto"/>
      </w:divBdr>
      <w:divsChild>
        <w:div w:id="45836735">
          <w:marLeft w:val="-108"/>
          <w:marRight w:val="0"/>
          <w:marTop w:val="0"/>
          <w:marBottom w:val="0"/>
          <w:divBdr>
            <w:top w:val="none" w:sz="0" w:space="0" w:color="auto"/>
            <w:left w:val="none" w:sz="0" w:space="0" w:color="auto"/>
            <w:bottom w:val="none" w:sz="0" w:space="0" w:color="auto"/>
            <w:right w:val="none" w:sz="0" w:space="0" w:color="auto"/>
          </w:divBdr>
        </w:div>
        <w:div w:id="1704162321">
          <w:marLeft w:val="-108"/>
          <w:marRight w:val="0"/>
          <w:marTop w:val="0"/>
          <w:marBottom w:val="0"/>
          <w:divBdr>
            <w:top w:val="none" w:sz="0" w:space="0" w:color="auto"/>
            <w:left w:val="none" w:sz="0" w:space="0" w:color="auto"/>
            <w:bottom w:val="none" w:sz="0" w:space="0" w:color="auto"/>
            <w:right w:val="none" w:sz="0" w:space="0" w:color="auto"/>
          </w:divBdr>
        </w:div>
      </w:divsChild>
    </w:div>
    <w:div w:id="174090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fat.gov.au/about-us/publications/Pages/dfat-monitoring-and-evaluation-stan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crodata.worldban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bank.org/en/country/philippines/brief/monitoring-covid-19-impacts-on-firms-and-families-in-the-philipp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fat.gov.au/sites/default/files/review-of-2017-program-evaluations-policy-influence-learning-paper.pdf" TargetMode="External"/><Relationship Id="rId2" Type="http://schemas.openxmlformats.org/officeDocument/2006/relationships/hyperlink" Target="https://content.tfl.gov.uk/travel-in-london-understanding-our-diverse-communities-2019.pdf" TargetMode="External"/><Relationship Id="rId1" Type="http://schemas.openxmlformats.org/officeDocument/2006/relationships/hyperlink" Target="http://wbg.org/philippines/covidmonitor" TargetMode="External"/><Relationship Id="rId5" Type="http://schemas.openxmlformats.org/officeDocument/2006/relationships/hyperlink" Target="http://www.oecd.org/dac/evaluation/daccriteriaforevaluatingdevelopmentassistance.htm" TargetMode="External"/><Relationship Id="rId4" Type="http://schemas.openxmlformats.org/officeDocument/2006/relationships/hyperlink" Target="https://cdn.odi.org/media/documents/64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603B-B70F-4F29-88CD-F6F38C73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31989</Words>
  <Characters>181699</Characters>
  <Application>Microsoft Office Word</Application>
  <DocSecurity>0</DocSecurity>
  <Lines>3865</Lines>
  <Paragraphs>1682</Paragraphs>
  <ScaleCrop>false</ScaleCrop>
  <HeadingPairs>
    <vt:vector size="2" baseType="variant">
      <vt:variant>
        <vt:lpstr>Title</vt:lpstr>
      </vt:variant>
      <vt:variant>
        <vt:i4>1</vt:i4>
      </vt:variant>
    </vt:vector>
  </HeadingPairs>
  <TitlesOfParts>
    <vt:vector size="1" baseType="lpstr">
      <vt:lpstr>Australia-World Bank Growth and Prosperity in the Philippines (AGaP) Mid term review</vt:lpstr>
    </vt:vector>
  </TitlesOfParts>
  <Manager/>
  <Company/>
  <LinksUpToDate>false</LinksUpToDate>
  <CharactersWithSpaces>212006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Australia-World Bank Growth and Prosperity in the Philippines (AGaP) Trust Fund Independent Mid term review</dc:title>
  <dc:subject/>
  <dc:creator/>
  <cp:keywords>[SEC=OFFICIAL]</cp:keywords>
  <dc:description/>
  <cp:lastModifiedBy/>
  <cp:revision>1</cp:revision>
  <dcterms:created xsi:type="dcterms:W3CDTF">2023-03-29T22:08:00Z</dcterms:created>
  <dcterms:modified xsi:type="dcterms:W3CDTF">2023-03-29T22:08:00Z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3F0B55C50101401B9C1A400709B94B19</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2023-03-29T22:08:49Z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3CB2F21EF0012B21B427CCC521D348C5</vt:lpwstr>
  </property>
  <property fmtid="{D5CDD505-2E9C-101B-9397-08002B2CF9AE}" pid="21" name="PM_Hash_Salt">
    <vt:lpwstr>FD5C40F6BF63C1344EC103DDEAACAC09</vt:lpwstr>
  </property>
  <property fmtid="{D5CDD505-2E9C-101B-9397-08002B2CF9AE}" pid="22" name="PM_Hash_SHA1">
    <vt:lpwstr>A3EAAF4D4BAD4F92C94594A608613429E1DCAEFF</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