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4276567"/>
        <w:docPartObj>
          <w:docPartGallery w:val="Cover Pages"/>
          <w:docPartUnique/>
        </w:docPartObj>
      </w:sdtPr>
      <w:sdtEndPr>
        <w:rPr>
          <w:b/>
          <w:bCs/>
          <w:sz w:val="48"/>
          <w:szCs w:val="48"/>
        </w:rPr>
      </w:sdtEndPr>
      <w:sdtContent>
        <w:sdt>
          <w:sdtPr>
            <w:id w:val="937405259"/>
            <w:docPartObj>
              <w:docPartGallery w:val="Cover Pages"/>
              <w:docPartUnique/>
            </w:docPartObj>
          </w:sdtPr>
          <w:sdtEndPr>
            <w:rPr>
              <w:b/>
              <w:bCs/>
              <w:sz w:val="48"/>
              <w:szCs w:val="48"/>
            </w:rPr>
          </w:sdtEndPr>
          <w:sdtContent>
            <w:p w14:paraId="5CDEDE2A" w14:textId="77777777" w:rsidR="0086410C" w:rsidRPr="00F32FF0" w:rsidRDefault="0086410C" w:rsidP="0086410C">
              <w:pPr>
                <w:jc w:val="both"/>
                <w:rPr>
                  <w:b/>
                  <w:bCs/>
                  <w:sz w:val="48"/>
                  <w:szCs w:val="48"/>
                </w:rPr>
              </w:pPr>
            </w:p>
            <w:p w14:paraId="6CFDE279" w14:textId="77777777" w:rsidR="0086410C" w:rsidRPr="00F32FF0" w:rsidRDefault="0086410C" w:rsidP="0086410C">
              <w:pPr>
                <w:jc w:val="both"/>
                <w:rPr>
                  <w:b/>
                  <w:bCs/>
                  <w:sz w:val="48"/>
                  <w:szCs w:val="48"/>
                </w:rPr>
              </w:pPr>
              <w:r w:rsidRPr="00F32FF0">
                <w:rPr>
                  <w:noProof/>
                </w:rPr>
                <w:drawing>
                  <wp:inline distT="0" distB="0" distL="0" distR="0" wp14:anchorId="04290C9F" wp14:editId="1AC5885A">
                    <wp:extent cx="5934075" cy="5753100"/>
                    <wp:effectExtent l="0" t="0" r="9525" b="0"/>
                    <wp:docPr id="7" name="Picture 7" descr="An elderly is being vaccinated by a health staff at a local vaccination centre in a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elderly is being vaccinated by a health staff at a local vaccination centre in a village"/>
                            <pic:cNvPicPr/>
                          </pic:nvPicPr>
                          <pic:blipFill>
                            <a:blip r:embed="rId11">
                              <a:extLst>
                                <a:ext uri="{28A0092B-C50C-407E-A947-70E740481C1C}">
                                  <a14:useLocalDpi xmlns:a14="http://schemas.microsoft.com/office/drawing/2010/main" val="0"/>
                                </a:ext>
                              </a:extLst>
                            </a:blip>
                            <a:stretch>
                              <a:fillRect/>
                            </a:stretch>
                          </pic:blipFill>
                          <pic:spPr>
                            <a:xfrm>
                              <a:off x="0" y="0"/>
                              <a:ext cx="5940889" cy="5759706"/>
                            </a:xfrm>
                            <a:prstGeom prst="rect">
                              <a:avLst/>
                            </a:prstGeom>
                          </pic:spPr>
                        </pic:pic>
                      </a:graphicData>
                    </a:graphic>
                  </wp:inline>
                </w:drawing>
              </w:r>
            </w:p>
          </w:sdtContent>
        </w:sdt>
        <w:p w14:paraId="62E62767" w14:textId="77777777" w:rsidR="0086410C" w:rsidRPr="00F32FF0" w:rsidRDefault="0086410C" w:rsidP="0086410C">
          <w:pPr>
            <w:spacing w:after="0"/>
            <w:rPr>
              <w:b/>
              <w:bCs/>
              <w:sz w:val="48"/>
              <w:szCs w:val="48"/>
            </w:rPr>
          </w:pPr>
          <w:r w:rsidRPr="78D85134">
            <w:rPr>
              <w:b/>
              <w:bCs/>
              <w:sz w:val="48"/>
              <w:szCs w:val="48"/>
            </w:rPr>
            <w:t>Australia Indonesia Health Security Partnership Mid-Term Review</w:t>
          </w:r>
        </w:p>
        <w:p w14:paraId="3282868A" w14:textId="77777777" w:rsidR="0086410C" w:rsidRPr="00F32FF0" w:rsidRDefault="0086410C" w:rsidP="0086410C">
          <w:pPr>
            <w:spacing w:after="0"/>
            <w:rPr>
              <w:b/>
              <w:bCs/>
              <w:sz w:val="48"/>
              <w:szCs w:val="48"/>
            </w:rPr>
          </w:pPr>
          <w:r w:rsidRPr="78D85134">
            <w:rPr>
              <w:b/>
              <w:bCs/>
              <w:sz w:val="48"/>
              <w:szCs w:val="48"/>
            </w:rPr>
            <w:t>Final Report</w:t>
          </w:r>
        </w:p>
        <w:p w14:paraId="54703A18" w14:textId="77777777" w:rsidR="0086410C" w:rsidRDefault="0086410C" w:rsidP="0086410C">
          <w:pPr>
            <w:spacing w:after="0"/>
            <w:jc w:val="both"/>
            <w:rPr>
              <w:b/>
              <w:bCs/>
              <w:sz w:val="48"/>
              <w:szCs w:val="48"/>
            </w:rPr>
          </w:pPr>
          <w:r w:rsidRPr="78D85134">
            <w:rPr>
              <w:b/>
              <w:bCs/>
              <w:sz w:val="48"/>
              <w:szCs w:val="48"/>
            </w:rPr>
            <w:t>June 2023</w:t>
          </w:r>
        </w:p>
        <w:p w14:paraId="70717C03" w14:textId="77777777" w:rsidR="0086410C" w:rsidRDefault="0086410C" w:rsidP="0086410C">
          <w:pPr>
            <w:jc w:val="both"/>
            <w:rPr>
              <w:b/>
              <w:bCs/>
              <w:sz w:val="48"/>
              <w:szCs w:val="48"/>
            </w:rPr>
          </w:pPr>
        </w:p>
        <w:p w14:paraId="2AF518B5" w14:textId="4CAF825D" w:rsidR="00AA5C45" w:rsidRDefault="00AA5C45"/>
        <w:p w14:paraId="2CB60573" w14:textId="235044CB" w:rsidR="00AA5C45" w:rsidRDefault="00AA5C45">
          <w:pPr>
            <w:rPr>
              <w:b/>
              <w:bCs/>
              <w:sz w:val="48"/>
              <w:szCs w:val="48"/>
            </w:rPr>
          </w:pPr>
          <w:r>
            <w:rPr>
              <w:b/>
              <w:bCs/>
              <w:sz w:val="48"/>
              <w:szCs w:val="48"/>
            </w:rPr>
            <w:br w:type="page"/>
          </w:r>
        </w:p>
      </w:sdtContent>
    </w:sdt>
    <w:p w14:paraId="51BD3AD2" w14:textId="77777777" w:rsidR="00252C83" w:rsidRPr="008473D8" w:rsidRDefault="00252C83" w:rsidP="00610B08">
      <w:pPr>
        <w:pStyle w:val="Heading1"/>
        <w:ind w:left="-284"/>
      </w:pPr>
      <w:bookmarkStart w:id="0" w:name="_Toc128762717"/>
      <w:bookmarkStart w:id="1" w:name="_Toc132584518"/>
      <w:bookmarkStart w:id="2" w:name="_Toc135837375"/>
      <w:r w:rsidRPr="008473D8">
        <w:lastRenderedPageBreak/>
        <w:t>Acronyms</w:t>
      </w:r>
      <w:bookmarkEnd w:id="0"/>
      <w:bookmarkEnd w:id="1"/>
      <w:bookmarkEnd w:id="2"/>
    </w:p>
    <w:p w14:paraId="451D4C74" w14:textId="2CCC04A9"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ACDP</w:t>
      </w:r>
      <w:r w:rsidRPr="0079317C">
        <w:rPr>
          <w:rFonts w:cstheme="minorHAnsi"/>
          <w:sz w:val="20"/>
          <w:szCs w:val="20"/>
        </w:rPr>
        <w:tab/>
        <w:t>Australian Centre for Disease Preparedness</w:t>
      </w:r>
      <w:r w:rsidR="00882E03">
        <w:rPr>
          <w:rFonts w:cstheme="minorHAnsi"/>
          <w:sz w:val="20"/>
          <w:szCs w:val="20"/>
        </w:rPr>
        <w:t xml:space="preserve"> (CSIRO</w:t>
      </w:r>
      <w:r w:rsidR="004A296A">
        <w:rPr>
          <w:rFonts w:cstheme="minorHAnsi"/>
          <w:sz w:val="20"/>
          <w:szCs w:val="20"/>
        </w:rPr>
        <w:t>-ACDP</w:t>
      </w:r>
      <w:r w:rsidR="00882E03">
        <w:rPr>
          <w:rFonts w:cstheme="minorHAnsi"/>
          <w:sz w:val="20"/>
          <w:szCs w:val="20"/>
        </w:rPr>
        <w:t>)</w:t>
      </w:r>
    </w:p>
    <w:p w14:paraId="01EB18E9" w14:textId="71FC5AF3" w:rsidR="004008A3" w:rsidRPr="0079317C" w:rsidRDefault="004008A3" w:rsidP="48362220">
      <w:pPr>
        <w:pStyle w:val="BodyText"/>
        <w:ind w:left="1134" w:right="-330" w:hanging="1418"/>
        <w:contextualSpacing/>
        <w:rPr>
          <w:sz w:val="20"/>
          <w:szCs w:val="20"/>
        </w:rPr>
      </w:pPr>
      <w:r w:rsidRPr="48362220">
        <w:rPr>
          <w:sz w:val="20"/>
          <w:szCs w:val="20"/>
        </w:rPr>
        <w:t>ACPHE</w:t>
      </w:r>
      <w:r w:rsidR="66F570E2" w:rsidRPr="48362220">
        <w:rPr>
          <w:sz w:val="20"/>
          <w:szCs w:val="20"/>
        </w:rPr>
        <w:t>E</w:t>
      </w:r>
      <w:r w:rsidRPr="48362220">
        <w:rPr>
          <w:sz w:val="20"/>
          <w:szCs w:val="20"/>
        </w:rPr>
        <w:t>D</w:t>
      </w:r>
      <w:r>
        <w:tab/>
      </w:r>
      <w:r w:rsidR="002F3446" w:rsidRPr="48362220">
        <w:rPr>
          <w:rFonts w:eastAsia="Calibri"/>
          <w:sz w:val="20"/>
          <w:szCs w:val="20"/>
        </w:rPr>
        <w:t>ASEAN Centre for Public Health Emergencies</w:t>
      </w:r>
      <w:r w:rsidR="25EF00EA" w:rsidRPr="48362220">
        <w:rPr>
          <w:rFonts w:eastAsia="Calibri"/>
          <w:sz w:val="20"/>
          <w:szCs w:val="20"/>
        </w:rPr>
        <w:t xml:space="preserve"> and Emerging Diseases</w:t>
      </w:r>
    </w:p>
    <w:p w14:paraId="26D663E8" w14:textId="268651F7" w:rsidR="004A3771" w:rsidRPr="004A3771" w:rsidRDefault="004A3771" w:rsidP="00610B08">
      <w:pPr>
        <w:pStyle w:val="BodyText"/>
        <w:ind w:left="1134" w:right="-330" w:hanging="1418"/>
        <w:contextualSpacing/>
        <w:rPr>
          <w:rFonts w:cstheme="minorHAnsi"/>
          <w:sz w:val="20"/>
          <w:szCs w:val="20"/>
        </w:rPr>
      </w:pPr>
      <w:r>
        <w:rPr>
          <w:rFonts w:cstheme="minorHAnsi"/>
          <w:sz w:val="20"/>
          <w:szCs w:val="20"/>
        </w:rPr>
        <w:t>AEFI</w:t>
      </w:r>
      <w:r>
        <w:rPr>
          <w:rFonts w:cstheme="minorHAnsi"/>
          <w:sz w:val="20"/>
          <w:szCs w:val="20"/>
        </w:rPr>
        <w:tab/>
      </w:r>
      <w:r w:rsidRPr="004A3771">
        <w:rPr>
          <w:rFonts w:eastAsia="Calibri" w:cstheme="minorHAnsi"/>
          <w:color w:val="000000"/>
          <w:sz w:val="20"/>
          <w:szCs w:val="20"/>
        </w:rPr>
        <w:t>Adverse Event Following Immunisation</w:t>
      </w:r>
    </w:p>
    <w:p w14:paraId="49DA2C79" w14:textId="02C6133E" w:rsidR="004A3771" w:rsidRPr="004A3771" w:rsidRDefault="004A3771" w:rsidP="00610B08">
      <w:pPr>
        <w:pStyle w:val="BodyText"/>
        <w:ind w:left="1134" w:right="-330" w:hanging="1418"/>
        <w:contextualSpacing/>
        <w:rPr>
          <w:rFonts w:cstheme="minorHAnsi"/>
          <w:sz w:val="20"/>
          <w:szCs w:val="20"/>
        </w:rPr>
      </w:pPr>
      <w:r w:rsidRPr="004A3771">
        <w:rPr>
          <w:rFonts w:cstheme="minorHAnsi"/>
          <w:sz w:val="20"/>
          <w:szCs w:val="20"/>
        </w:rPr>
        <w:t>AESI</w:t>
      </w:r>
      <w:r w:rsidRPr="004A3771">
        <w:rPr>
          <w:rFonts w:cstheme="minorHAnsi"/>
          <w:sz w:val="20"/>
          <w:szCs w:val="20"/>
        </w:rPr>
        <w:tab/>
      </w:r>
      <w:r w:rsidRPr="004A3771">
        <w:rPr>
          <w:rFonts w:eastAsia="Calibri" w:cstheme="minorHAnsi"/>
          <w:color w:val="000000"/>
          <w:sz w:val="20"/>
          <w:szCs w:val="20"/>
        </w:rPr>
        <w:t xml:space="preserve">Adverse </w:t>
      </w:r>
      <w:r w:rsidR="00B301DC">
        <w:rPr>
          <w:rFonts w:eastAsia="Calibri" w:cstheme="minorHAnsi"/>
          <w:color w:val="000000"/>
          <w:sz w:val="20"/>
          <w:szCs w:val="20"/>
        </w:rPr>
        <w:t>e</w:t>
      </w:r>
      <w:r w:rsidRPr="004A3771">
        <w:rPr>
          <w:rFonts w:eastAsia="Calibri" w:cstheme="minorHAnsi"/>
          <w:color w:val="000000"/>
          <w:sz w:val="20"/>
          <w:szCs w:val="20"/>
        </w:rPr>
        <w:t xml:space="preserve">ffect of </w:t>
      </w:r>
      <w:r w:rsidR="00B301DC">
        <w:rPr>
          <w:rFonts w:eastAsia="Calibri" w:cstheme="minorHAnsi"/>
          <w:color w:val="000000"/>
          <w:sz w:val="20"/>
          <w:szCs w:val="20"/>
        </w:rPr>
        <w:t>s</w:t>
      </w:r>
      <w:r w:rsidRPr="004A3771">
        <w:rPr>
          <w:rFonts w:eastAsia="Calibri" w:cstheme="minorHAnsi"/>
          <w:color w:val="000000"/>
          <w:sz w:val="20"/>
          <w:szCs w:val="20"/>
        </w:rPr>
        <w:t xml:space="preserve">pecial </w:t>
      </w:r>
      <w:r w:rsidR="00B301DC">
        <w:rPr>
          <w:rFonts w:eastAsia="Calibri" w:cstheme="minorHAnsi"/>
          <w:color w:val="000000"/>
          <w:sz w:val="20"/>
          <w:szCs w:val="20"/>
        </w:rPr>
        <w:t>i</w:t>
      </w:r>
      <w:r w:rsidRPr="004A3771">
        <w:rPr>
          <w:rFonts w:eastAsia="Calibri" w:cstheme="minorHAnsi"/>
          <w:color w:val="000000"/>
          <w:sz w:val="20"/>
          <w:szCs w:val="20"/>
        </w:rPr>
        <w:t>nterest</w:t>
      </w:r>
    </w:p>
    <w:p w14:paraId="1280D60D" w14:textId="3245478B"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AIHSP</w:t>
      </w:r>
      <w:r w:rsidRPr="0079317C">
        <w:rPr>
          <w:rFonts w:cstheme="minorHAnsi"/>
          <w:sz w:val="20"/>
          <w:szCs w:val="20"/>
        </w:rPr>
        <w:tab/>
        <w:t>Australia Indonesia Health Security Partnership</w:t>
      </w:r>
    </w:p>
    <w:p w14:paraId="73A05ECD" w14:textId="5C1A58EA"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AIP</w:t>
      </w:r>
      <w:r w:rsidR="001B2B99">
        <w:rPr>
          <w:rFonts w:cstheme="minorHAnsi"/>
          <w:sz w:val="20"/>
          <w:szCs w:val="20"/>
        </w:rPr>
        <w:t>-</w:t>
      </w:r>
      <w:r w:rsidRPr="0079317C">
        <w:rPr>
          <w:rFonts w:cstheme="minorHAnsi"/>
          <w:sz w:val="20"/>
          <w:szCs w:val="20"/>
        </w:rPr>
        <w:t>EID</w:t>
      </w:r>
      <w:r w:rsidRPr="0079317C">
        <w:rPr>
          <w:rFonts w:cstheme="minorHAnsi"/>
          <w:sz w:val="20"/>
          <w:szCs w:val="20"/>
        </w:rPr>
        <w:tab/>
        <w:t>Australia Indonesia Partnership for Emerging Infectious Diseases</w:t>
      </w:r>
    </w:p>
    <w:p w14:paraId="45FC17F0"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AMR</w:t>
      </w:r>
      <w:r w:rsidRPr="0079317C">
        <w:rPr>
          <w:rFonts w:cstheme="minorHAnsi"/>
          <w:sz w:val="20"/>
          <w:szCs w:val="20"/>
        </w:rPr>
        <w:tab/>
        <w:t>Anti-Microbial Resistance</w:t>
      </w:r>
    </w:p>
    <w:p w14:paraId="69EDFB6F"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ASEAN</w:t>
      </w:r>
      <w:r w:rsidRPr="0079317C">
        <w:rPr>
          <w:rFonts w:cstheme="minorHAnsi"/>
          <w:sz w:val="20"/>
          <w:szCs w:val="20"/>
        </w:rPr>
        <w:tab/>
        <w:t>Association of Southeast Asian Nations</w:t>
      </w:r>
    </w:p>
    <w:p w14:paraId="69D3C4C9" w14:textId="51235D92"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ASF</w:t>
      </w:r>
      <w:r w:rsidRPr="0079317C">
        <w:rPr>
          <w:rFonts w:cstheme="minorHAnsi"/>
          <w:sz w:val="20"/>
          <w:szCs w:val="20"/>
        </w:rPr>
        <w:tab/>
        <w:t xml:space="preserve">African </w:t>
      </w:r>
      <w:r w:rsidR="000D6A33" w:rsidRPr="0079317C">
        <w:rPr>
          <w:rFonts w:cstheme="minorHAnsi"/>
          <w:sz w:val="20"/>
          <w:szCs w:val="20"/>
        </w:rPr>
        <w:t>s</w:t>
      </w:r>
      <w:r w:rsidRPr="0079317C">
        <w:rPr>
          <w:rFonts w:cstheme="minorHAnsi"/>
          <w:sz w:val="20"/>
          <w:szCs w:val="20"/>
        </w:rPr>
        <w:t xml:space="preserve">wine </w:t>
      </w:r>
      <w:r w:rsidR="000D6A33" w:rsidRPr="0079317C">
        <w:rPr>
          <w:rFonts w:cstheme="minorHAnsi"/>
          <w:sz w:val="20"/>
          <w:szCs w:val="20"/>
        </w:rPr>
        <w:t>f</w:t>
      </w:r>
      <w:r w:rsidRPr="0079317C">
        <w:rPr>
          <w:rFonts w:cstheme="minorHAnsi"/>
          <w:sz w:val="20"/>
          <w:szCs w:val="20"/>
        </w:rPr>
        <w:t>ever</w:t>
      </w:r>
    </w:p>
    <w:p w14:paraId="46EDDE74" w14:textId="25C89550" w:rsidR="0071355D" w:rsidRPr="0079317C" w:rsidRDefault="00FC7399" w:rsidP="00610B08">
      <w:pPr>
        <w:pStyle w:val="BodyText"/>
        <w:ind w:left="1134" w:right="-330" w:hanging="1418"/>
        <w:contextualSpacing/>
        <w:rPr>
          <w:rFonts w:cstheme="minorHAnsi"/>
          <w:sz w:val="20"/>
          <w:szCs w:val="20"/>
        </w:rPr>
      </w:pPr>
      <w:r w:rsidRPr="0079317C">
        <w:rPr>
          <w:rFonts w:cstheme="minorHAnsi"/>
          <w:sz w:val="20"/>
          <w:szCs w:val="20"/>
        </w:rPr>
        <w:t>BAPPENAS</w:t>
      </w:r>
      <w:r w:rsidR="0071355D" w:rsidRPr="0079317C">
        <w:rPr>
          <w:rFonts w:cstheme="minorHAnsi"/>
          <w:sz w:val="20"/>
          <w:szCs w:val="20"/>
        </w:rPr>
        <w:tab/>
      </w:r>
      <w:r w:rsidR="0071355D" w:rsidRPr="0079317C">
        <w:rPr>
          <w:rFonts w:cstheme="minorHAnsi"/>
          <w:i/>
          <w:iCs/>
          <w:color w:val="000000" w:themeColor="text1"/>
          <w:sz w:val="20"/>
          <w:szCs w:val="20"/>
          <w:shd w:val="clear" w:color="auto" w:fill="FFFFFF"/>
        </w:rPr>
        <w:t xml:space="preserve">Badan </w:t>
      </w:r>
      <w:proofErr w:type="spellStart"/>
      <w:r w:rsidR="0071355D" w:rsidRPr="0079317C">
        <w:rPr>
          <w:rFonts w:cstheme="minorHAnsi"/>
          <w:i/>
          <w:iCs/>
          <w:color w:val="000000" w:themeColor="text1"/>
          <w:sz w:val="20"/>
          <w:szCs w:val="20"/>
          <w:shd w:val="clear" w:color="auto" w:fill="FFFFFF"/>
        </w:rPr>
        <w:t>Perencanaan</w:t>
      </w:r>
      <w:proofErr w:type="spellEnd"/>
      <w:r w:rsidR="0071355D" w:rsidRPr="0079317C">
        <w:rPr>
          <w:rFonts w:cstheme="minorHAnsi"/>
          <w:i/>
          <w:iCs/>
          <w:color w:val="000000" w:themeColor="text1"/>
          <w:sz w:val="20"/>
          <w:szCs w:val="20"/>
          <w:shd w:val="clear" w:color="auto" w:fill="FFFFFF"/>
        </w:rPr>
        <w:t xml:space="preserve"> Pembangunan Nasional</w:t>
      </w:r>
      <w:r w:rsidR="0071355D" w:rsidRPr="0079317C">
        <w:rPr>
          <w:rFonts w:cstheme="minorHAnsi"/>
          <w:color w:val="000000" w:themeColor="text1"/>
          <w:sz w:val="20"/>
          <w:szCs w:val="20"/>
        </w:rPr>
        <w:t xml:space="preserve"> (</w:t>
      </w:r>
      <w:r w:rsidR="0071355D" w:rsidRPr="0079317C">
        <w:rPr>
          <w:rFonts w:cstheme="minorHAnsi"/>
          <w:sz w:val="20"/>
          <w:szCs w:val="20"/>
        </w:rPr>
        <w:t xml:space="preserve">Ministry of National Development Planning) </w:t>
      </w:r>
    </w:p>
    <w:p w14:paraId="6F740EC7" w14:textId="5AE7431B"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BNPB</w:t>
      </w:r>
      <w:r w:rsidRPr="0079317C">
        <w:rPr>
          <w:rFonts w:cstheme="minorHAnsi"/>
          <w:sz w:val="20"/>
          <w:szCs w:val="20"/>
        </w:rPr>
        <w:tab/>
      </w:r>
      <w:r w:rsidRPr="0079317C">
        <w:rPr>
          <w:rFonts w:cstheme="minorHAnsi"/>
          <w:i/>
          <w:iCs/>
          <w:sz w:val="20"/>
          <w:szCs w:val="20"/>
        </w:rPr>
        <w:t xml:space="preserve">Badan Nasional </w:t>
      </w:r>
      <w:proofErr w:type="spellStart"/>
      <w:r w:rsidRPr="0079317C">
        <w:rPr>
          <w:rFonts w:cstheme="minorHAnsi"/>
          <w:i/>
          <w:iCs/>
          <w:sz w:val="20"/>
          <w:szCs w:val="20"/>
        </w:rPr>
        <w:t>Penanggulangan</w:t>
      </w:r>
      <w:proofErr w:type="spellEnd"/>
      <w:r w:rsidRPr="0079317C">
        <w:rPr>
          <w:rFonts w:cstheme="minorHAnsi"/>
          <w:i/>
          <w:iCs/>
          <w:sz w:val="20"/>
          <w:szCs w:val="20"/>
        </w:rPr>
        <w:t xml:space="preserve"> </w:t>
      </w:r>
      <w:proofErr w:type="spellStart"/>
      <w:r w:rsidRPr="0079317C">
        <w:rPr>
          <w:rFonts w:cstheme="minorHAnsi"/>
          <w:i/>
          <w:iCs/>
          <w:sz w:val="20"/>
          <w:szCs w:val="20"/>
        </w:rPr>
        <w:t>Bencana</w:t>
      </w:r>
      <w:proofErr w:type="spellEnd"/>
      <w:r w:rsidRPr="0079317C">
        <w:rPr>
          <w:rFonts w:cstheme="minorHAnsi"/>
          <w:sz w:val="20"/>
          <w:szCs w:val="20"/>
        </w:rPr>
        <w:t xml:space="preserve"> (National </w:t>
      </w:r>
      <w:r w:rsidR="00D8360A">
        <w:rPr>
          <w:rFonts w:cstheme="minorHAnsi"/>
          <w:sz w:val="20"/>
          <w:szCs w:val="20"/>
        </w:rPr>
        <w:t xml:space="preserve">Agency for </w:t>
      </w:r>
      <w:r w:rsidRPr="0079317C">
        <w:rPr>
          <w:rFonts w:cstheme="minorHAnsi"/>
          <w:sz w:val="20"/>
          <w:szCs w:val="20"/>
        </w:rPr>
        <w:t>Disaster Management)</w:t>
      </w:r>
    </w:p>
    <w:p w14:paraId="5267E473"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BPBD</w:t>
      </w:r>
      <w:r w:rsidRPr="0079317C">
        <w:rPr>
          <w:rFonts w:cstheme="minorHAnsi"/>
          <w:sz w:val="20"/>
          <w:szCs w:val="20"/>
        </w:rPr>
        <w:tab/>
      </w:r>
      <w:r w:rsidRPr="0079317C">
        <w:rPr>
          <w:rFonts w:cstheme="minorHAnsi"/>
          <w:i/>
          <w:iCs/>
          <w:sz w:val="20"/>
          <w:szCs w:val="20"/>
        </w:rPr>
        <w:t xml:space="preserve">Badan </w:t>
      </w:r>
      <w:proofErr w:type="spellStart"/>
      <w:r w:rsidRPr="0079317C">
        <w:rPr>
          <w:rFonts w:cstheme="minorHAnsi"/>
          <w:i/>
          <w:iCs/>
          <w:sz w:val="20"/>
          <w:szCs w:val="20"/>
        </w:rPr>
        <w:t>Penanggulangan</w:t>
      </w:r>
      <w:proofErr w:type="spellEnd"/>
      <w:r w:rsidRPr="0079317C">
        <w:rPr>
          <w:rFonts w:cstheme="minorHAnsi"/>
          <w:i/>
          <w:iCs/>
          <w:sz w:val="20"/>
          <w:szCs w:val="20"/>
        </w:rPr>
        <w:t xml:space="preserve"> </w:t>
      </w:r>
      <w:proofErr w:type="spellStart"/>
      <w:r w:rsidRPr="0079317C">
        <w:rPr>
          <w:rFonts w:cstheme="minorHAnsi"/>
          <w:i/>
          <w:iCs/>
          <w:sz w:val="20"/>
          <w:szCs w:val="20"/>
        </w:rPr>
        <w:t>Bencana</w:t>
      </w:r>
      <w:proofErr w:type="spellEnd"/>
      <w:r w:rsidRPr="0079317C">
        <w:rPr>
          <w:rFonts w:cstheme="minorHAnsi"/>
          <w:i/>
          <w:iCs/>
          <w:sz w:val="20"/>
          <w:szCs w:val="20"/>
        </w:rPr>
        <w:t xml:space="preserve"> Daerah</w:t>
      </w:r>
      <w:r w:rsidRPr="0079317C">
        <w:rPr>
          <w:rFonts w:cstheme="minorHAnsi"/>
          <w:sz w:val="20"/>
          <w:szCs w:val="20"/>
        </w:rPr>
        <w:t xml:space="preserve"> (Regional Disaster Management Agency)</w:t>
      </w:r>
    </w:p>
    <w:p w14:paraId="76B3E8DD" w14:textId="2AE1B43A"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BPMS</w:t>
      </w:r>
      <w:r w:rsidR="00A56679" w:rsidRPr="0079317C">
        <w:rPr>
          <w:rFonts w:cstheme="minorHAnsi"/>
          <w:sz w:val="20"/>
          <w:szCs w:val="20"/>
        </w:rPr>
        <w:t>O</w:t>
      </w:r>
      <w:r w:rsidRPr="0079317C">
        <w:rPr>
          <w:rFonts w:cstheme="minorHAnsi"/>
          <w:sz w:val="20"/>
          <w:szCs w:val="20"/>
        </w:rPr>
        <w:t>H</w:t>
      </w:r>
      <w:r w:rsidRPr="0079317C">
        <w:rPr>
          <w:rFonts w:cstheme="minorHAnsi"/>
          <w:sz w:val="20"/>
          <w:szCs w:val="20"/>
        </w:rPr>
        <w:tab/>
      </w:r>
      <w:r w:rsidRPr="0079317C">
        <w:rPr>
          <w:rFonts w:cstheme="minorHAnsi"/>
          <w:i/>
          <w:iCs/>
          <w:sz w:val="20"/>
          <w:szCs w:val="20"/>
        </w:rPr>
        <w:t xml:space="preserve">Balai </w:t>
      </w:r>
      <w:proofErr w:type="spellStart"/>
      <w:r w:rsidRPr="0079317C">
        <w:rPr>
          <w:rFonts w:cstheme="minorHAnsi"/>
          <w:i/>
          <w:iCs/>
          <w:sz w:val="20"/>
          <w:szCs w:val="20"/>
        </w:rPr>
        <w:t>Pengujian</w:t>
      </w:r>
      <w:proofErr w:type="spellEnd"/>
      <w:r w:rsidRPr="0079317C">
        <w:rPr>
          <w:rFonts w:cstheme="minorHAnsi"/>
          <w:i/>
          <w:iCs/>
          <w:sz w:val="20"/>
          <w:szCs w:val="20"/>
        </w:rPr>
        <w:t xml:space="preserve"> </w:t>
      </w:r>
      <w:proofErr w:type="spellStart"/>
      <w:r w:rsidRPr="0079317C">
        <w:rPr>
          <w:rFonts w:cstheme="minorHAnsi"/>
          <w:i/>
          <w:iCs/>
          <w:sz w:val="20"/>
          <w:szCs w:val="20"/>
        </w:rPr>
        <w:t>Mutu</w:t>
      </w:r>
      <w:proofErr w:type="spellEnd"/>
      <w:r w:rsidRPr="0079317C">
        <w:rPr>
          <w:rFonts w:cstheme="minorHAnsi"/>
          <w:i/>
          <w:iCs/>
          <w:sz w:val="20"/>
          <w:szCs w:val="20"/>
        </w:rPr>
        <w:t xml:space="preserve"> Dan </w:t>
      </w:r>
      <w:proofErr w:type="spellStart"/>
      <w:r w:rsidRPr="0079317C">
        <w:rPr>
          <w:rFonts w:cstheme="minorHAnsi"/>
          <w:i/>
          <w:iCs/>
          <w:sz w:val="20"/>
          <w:szCs w:val="20"/>
        </w:rPr>
        <w:t>Sertifikasi</w:t>
      </w:r>
      <w:proofErr w:type="spellEnd"/>
      <w:r w:rsidRPr="0079317C">
        <w:rPr>
          <w:rFonts w:cstheme="minorHAnsi"/>
          <w:i/>
          <w:iCs/>
          <w:sz w:val="20"/>
          <w:szCs w:val="20"/>
        </w:rPr>
        <w:t xml:space="preserve"> </w:t>
      </w:r>
      <w:proofErr w:type="spellStart"/>
      <w:r w:rsidRPr="0079317C">
        <w:rPr>
          <w:rFonts w:cstheme="minorHAnsi"/>
          <w:i/>
          <w:iCs/>
          <w:sz w:val="20"/>
          <w:szCs w:val="20"/>
        </w:rPr>
        <w:t>Produk</w:t>
      </w:r>
      <w:proofErr w:type="spellEnd"/>
      <w:r w:rsidRPr="0079317C">
        <w:rPr>
          <w:rFonts w:cstheme="minorHAnsi"/>
          <w:i/>
          <w:iCs/>
          <w:sz w:val="20"/>
          <w:szCs w:val="20"/>
        </w:rPr>
        <w:t xml:space="preserve"> </w:t>
      </w:r>
      <w:proofErr w:type="spellStart"/>
      <w:r w:rsidRPr="0079317C">
        <w:rPr>
          <w:rFonts w:cstheme="minorHAnsi"/>
          <w:i/>
          <w:iCs/>
          <w:sz w:val="20"/>
          <w:szCs w:val="20"/>
        </w:rPr>
        <w:t>Hewan</w:t>
      </w:r>
      <w:proofErr w:type="spellEnd"/>
      <w:r w:rsidRPr="0079317C">
        <w:rPr>
          <w:rFonts w:cstheme="minorHAnsi"/>
          <w:i/>
          <w:iCs/>
          <w:sz w:val="20"/>
          <w:szCs w:val="20"/>
        </w:rPr>
        <w:t xml:space="preserve"> </w:t>
      </w:r>
      <w:r w:rsidRPr="0079317C">
        <w:rPr>
          <w:rFonts w:cstheme="minorHAnsi"/>
          <w:sz w:val="20"/>
          <w:szCs w:val="20"/>
        </w:rPr>
        <w:t>(</w:t>
      </w:r>
      <w:r w:rsidR="00A56679" w:rsidRPr="0079317C">
        <w:rPr>
          <w:rFonts w:cstheme="minorHAnsi"/>
          <w:sz w:val="20"/>
          <w:szCs w:val="20"/>
        </w:rPr>
        <w:t xml:space="preserve">Centre for </w:t>
      </w:r>
      <w:r w:rsidRPr="0079317C">
        <w:rPr>
          <w:rFonts w:cstheme="minorHAnsi"/>
          <w:sz w:val="20"/>
          <w:szCs w:val="20"/>
        </w:rPr>
        <w:t xml:space="preserve">Quality Testing and Certification </w:t>
      </w:r>
      <w:r w:rsidR="00A56679" w:rsidRPr="0079317C">
        <w:rPr>
          <w:rFonts w:cstheme="minorHAnsi"/>
          <w:sz w:val="20"/>
          <w:szCs w:val="20"/>
        </w:rPr>
        <w:t>of Veterinary Drugs</w:t>
      </w:r>
      <w:r w:rsidRPr="0079317C">
        <w:rPr>
          <w:rFonts w:cstheme="minorHAnsi"/>
          <w:sz w:val="20"/>
          <w:szCs w:val="20"/>
        </w:rPr>
        <w:t>)</w:t>
      </w:r>
    </w:p>
    <w:p w14:paraId="6EF9655C"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BRIN</w:t>
      </w:r>
      <w:r w:rsidRPr="0079317C">
        <w:rPr>
          <w:rFonts w:cstheme="minorHAnsi"/>
          <w:sz w:val="20"/>
          <w:szCs w:val="20"/>
        </w:rPr>
        <w:tab/>
      </w:r>
      <w:r w:rsidRPr="0079317C">
        <w:rPr>
          <w:rFonts w:cstheme="minorHAnsi"/>
          <w:i/>
          <w:iCs/>
          <w:sz w:val="20"/>
          <w:szCs w:val="20"/>
        </w:rPr>
        <w:t xml:space="preserve">Badan </w:t>
      </w:r>
      <w:proofErr w:type="spellStart"/>
      <w:r w:rsidRPr="0079317C">
        <w:rPr>
          <w:rFonts w:cstheme="minorHAnsi"/>
          <w:i/>
          <w:iCs/>
          <w:sz w:val="20"/>
          <w:szCs w:val="20"/>
        </w:rPr>
        <w:t>Riset</w:t>
      </w:r>
      <w:proofErr w:type="spellEnd"/>
      <w:r w:rsidRPr="0079317C">
        <w:rPr>
          <w:rFonts w:cstheme="minorHAnsi"/>
          <w:i/>
          <w:iCs/>
          <w:sz w:val="20"/>
          <w:szCs w:val="20"/>
        </w:rPr>
        <w:t xml:space="preserve"> dan </w:t>
      </w:r>
      <w:proofErr w:type="spellStart"/>
      <w:r w:rsidRPr="0079317C">
        <w:rPr>
          <w:rFonts w:cstheme="minorHAnsi"/>
          <w:i/>
          <w:iCs/>
          <w:sz w:val="20"/>
          <w:szCs w:val="20"/>
        </w:rPr>
        <w:t>Inovasi</w:t>
      </w:r>
      <w:proofErr w:type="spellEnd"/>
      <w:r w:rsidRPr="0079317C">
        <w:rPr>
          <w:rFonts w:cstheme="minorHAnsi"/>
          <w:i/>
          <w:iCs/>
          <w:sz w:val="20"/>
          <w:szCs w:val="20"/>
        </w:rPr>
        <w:t xml:space="preserve"> Nasional</w:t>
      </w:r>
      <w:r w:rsidRPr="0079317C">
        <w:rPr>
          <w:rFonts w:cstheme="minorHAnsi"/>
          <w:sz w:val="20"/>
          <w:szCs w:val="20"/>
        </w:rPr>
        <w:t xml:space="preserve"> (National Research and Innovation Agency)</w:t>
      </w:r>
    </w:p>
    <w:p w14:paraId="54203F73"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COVID-19</w:t>
      </w:r>
      <w:r w:rsidRPr="0079317C">
        <w:rPr>
          <w:rFonts w:cstheme="minorHAnsi"/>
          <w:sz w:val="20"/>
          <w:szCs w:val="20"/>
        </w:rPr>
        <w:tab/>
        <w:t>Coronavirus disease 2019</w:t>
      </w:r>
    </w:p>
    <w:p w14:paraId="742EF4DE"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CSIRO</w:t>
      </w:r>
      <w:r w:rsidRPr="0079317C">
        <w:rPr>
          <w:rFonts w:cstheme="minorHAnsi"/>
          <w:sz w:val="20"/>
          <w:szCs w:val="20"/>
        </w:rPr>
        <w:tab/>
        <w:t>Commonwealth Scientific and Industrial Research Organisation</w:t>
      </w:r>
    </w:p>
    <w:p w14:paraId="4663B865" w14:textId="7379B20A"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DAFF</w:t>
      </w:r>
      <w:r w:rsidRPr="0079317C">
        <w:rPr>
          <w:rFonts w:cstheme="minorHAnsi"/>
          <w:sz w:val="20"/>
          <w:szCs w:val="20"/>
        </w:rPr>
        <w:tab/>
        <w:t>Australian Department of Agriculture, Fisheries</w:t>
      </w:r>
      <w:r w:rsidR="00B0236E" w:rsidRPr="0079317C">
        <w:rPr>
          <w:rFonts w:cstheme="minorHAnsi"/>
          <w:sz w:val="20"/>
          <w:szCs w:val="20"/>
        </w:rPr>
        <w:t xml:space="preserve"> and Forestry</w:t>
      </w:r>
    </w:p>
    <w:p w14:paraId="60D71607"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DFAT</w:t>
      </w:r>
      <w:r w:rsidRPr="0079317C">
        <w:rPr>
          <w:rFonts w:cstheme="minorHAnsi"/>
          <w:sz w:val="20"/>
          <w:szCs w:val="20"/>
        </w:rPr>
        <w:tab/>
        <w:t>Australian Department of Foreign Affairs and Trade</w:t>
      </w:r>
    </w:p>
    <w:p w14:paraId="42B9F81A"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DGLAHS</w:t>
      </w:r>
      <w:r w:rsidRPr="0079317C">
        <w:rPr>
          <w:rFonts w:cstheme="minorHAnsi"/>
          <w:sz w:val="20"/>
          <w:szCs w:val="20"/>
        </w:rPr>
        <w:tab/>
        <w:t>Directorate General, Livestock and Animal Health Services</w:t>
      </w:r>
    </w:p>
    <w:p w14:paraId="736FDE1A"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DHIS2</w:t>
      </w:r>
      <w:r w:rsidRPr="0079317C">
        <w:rPr>
          <w:rFonts w:cstheme="minorHAnsi"/>
          <w:sz w:val="20"/>
          <w:szCs w:val="20"/>
        </w:rPr>
        <w:tab/>
        <w:t>District Health Information Software v.2</w:t>
      </w:r>
    </w:p>
    <w:p w14:paraId="25A8716D"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DIC</w:t>
      </w:r>
      <w:r w:rsidRPr="0079317C">
        <w:rPr>
          <w:rFonts w:cstheme="minorHAnsi"/>
          <w:sz w:val="20"/>
          <w:szCs w:val="20"/>
        </w:rPr>
        <w:tab/>
        <w:t>Disease Investigation Centre</w:t>
      </w:r>
    </w:p>
    <w:p w14:paraId="00DBDA5A"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DTO</w:t>
      </w:r>
      <w:r w:rsidRPr="0079317C">
        <w:rPr>
          <w:rFonts w:cstheme="minorHAnsi"/>
          <w:sz w:val="20"/>
          <w:szCs w:val="20"/>
        </w:rPr>
        <w:tab/>
        <w:t>Digital Transformation Office</w:t>
      </w:r>
    </w:p>
    <w:p w14:paraId="7A43F846"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EID</w:t>
      </w:r>
      <w:r w:rsidRPr="0079317C">
        <w:rPr>
          <w:rFonts w:cstheme="minorHAnsi"/>
          <w:sz w:val="20"/>
          <w:szCs w:val="20"/>
        </w:rPr>
        <w:tab/>
        <w:t>Emerging Infectious Disease</w:t>
      </w:r>
    </w:p>
    <w:p w14:paraId="1C988F4E"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EOC</w:t>
      </w:r>
      <w:r w:rsidRPr="0079317C">
        <w:rPr>
          <w:rFonts w:cstheme="minorHAnsi"/>
          <w:sz w:val="20"/>
          <w:szCs w:val="20"/>
        </w:rPr>
        <w:tab/>
        <w:t>Emergency Operations Centre</w:t>
      </w:r>
    </w:p>
    <w:p w14:paraId="23BE5491"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EOPO</w:t>
      </w:r>
      <w:r w:rsidRPr="0079317C">
        <w:rPr>
          <w:rFonts w:cstheme="minorHAnsi"/>
          <w:sz w:val="20"/>
          <w:szCs w:val="20"/>
        </w:rPr>
        <w:tab/>
        <w:t>End-of-Program Outcome</w:t>
      </w:r>
    </w:p>
    <w:p w14:paraId="27360795" w14:textId="5CF7A073"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EWARS</w:t>
      </w:r>
      <w:r w:rsidRPr="0079317C">
        <w:rPr>
          <w:rFonts w:cstheme="minorHAnsi"/>
          <w:sz w:val="20"/>
          <w:szCs w:val="20"/>
        </w:rPr>
        <w:tab/>
        <w:t>Early Warning Alert and Response System</w:t>
      </w:r>
      <w:r w:rsidR="00D8360A">
        <w:rPr>
          <w:rFonts w:cstheme="minorHAnsi"/>
          <w:sz w:val="20"/>
          <w:szCs w:val="20"/>
        </w:rPr>
        <w:t xml:space="preserve"> </w:t>
      </w:r>
    </w:p>
    <w:p w14:paraId="5ECDA170"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FAO</w:t>
      </w:r>
      <w:r w:rsidRPr="0079317C">
        <w:rPr>
          <w:rFonts w:cstheme="minorHAnsi"/>
          <w:sz w:val="20"/>
          <w:szCs w:val="20"/>
        </w:rPr>
        <w:tab/>
        <w:t>UN Food and Agriculture Organisation</w:t>
      </w:r>
    </w:p>
    <w:p w14:paraId="056BEF4E"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FMD</w:t>
      </w:r>
      <w:r w:rsidRPr="0079317C">
        <w:rPr>
          <w:rFonts w:cstheme="minorHAnsi"/>
          <w:sz w:val="20"/>
          <w:szCs w:val="20"/>
        </w:rPr>
        <w:tab/>
        <w:t>Foot and Mouth Disease</w:t>
      </w:r>
    </w:p>
    <w:p w14:paraId="1C013712" w14:textId="4A22B881" w:rsidR="008F5B3C" w:rsidRPr="008F5B3C" w:rsidRDefault="008F5B3C" w:rsidP="00610B08">
      <w:pPr>
        <w:pStyle w:val="BodyText"/>
        <w:ind w:left="1134" w:right="-330" w:hanging="1418"/>
        <w:contextualSpacing/>
        <w:rPr>
          <w:rFonts w:cstheme="minorHAnsi"/>
          <w:sz w:val="20"/>
          <w:szCs w:val="20"/>
        </w:rPr>
      </w:pPr>
      <w:r w:rsidRPr="008F5B3C">
        <w:rPr>
          <w:rFonts w:cstheme="minorHAnsi"/>
          <w:sz w:val="20"/>
          <w:szCs w:val="20"/>
        </w:rPr>
        <w:t>FTE</w:t>
      </w:r>
      <w:r w:rsidRPr="008F5B3C">
        <w:rPr>
          <w:rFonts w:cstheme="minorHAnsi"/>
          <w:sz w:val="20"/>
          <w:szCs w:val="20"/>
        </w:rPr>
        <w:tab/>
      </w:r>
      <w:r w:rsidRPr="008F5B3C">
        <w:rPr>
          <w:rFonts w:ascii="Calibri" w:eastAsia="Calibri" w:hAnsi="Calibri" w:cs="Calibri"/>
          <w:sz w:val="20"/>
          <w:szCs w:val="20"/>
        </w:rPr>
        <w:t>Full-time equivalent (employees)</w:t>
      </w:r>
    </w:p>
    <w:p w14:paraId="18C8420E" w14:textId="218F92D8"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GEDSI</w:t>
      </w:r>
      <w:r w:rsidRPr="0079317C">
        <w:rPr>
          <w:rFonts w:cstheme="minorHAnsi"/>
          <w:sz w:val="20"/>
          <w:szCs w:val="20"/>
        </w:rPr>
        <w:tab/>
        <w:t>Gender Equality, Disability and Social Inclusion</w:t>
      </w:r>
    </w:p>
    <w:p w14:paraId="559AC7D6"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GISAID</w:t>
      </w:r>
      <w:r w:rsidRPr="0079317C">
        <w:rPr>
          <w:rFonts w:cstheme="minorHAnsi"/>
          <w:sz w:val="20"/>
          <w:szCs w:val="20"/>
        </w:rPr>
        <w:tab/>
        <w:t>Global Initiative on Sharing Avian Influenza Data</w:t>
      </w:r>
    </w:p>
    <w:p w14:paraId="2DF131CA" w14:textId="68B3154C"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G</w:t>
      </w:r>
      <w:r w:rsidR="00796EA0" w:rsidRPr="0079317C">
        <w:rPr>
          <w:rFonts w:cstheme="minorHAnsi"/>
          <w:sz w:val="20"/>
          <w:szCs w:val="20"/>
        </w:rPr>
        <w:t>o</w:t>
      </w:r>
      <w:r w:rsidRPr="0079317C">
        <w:rPr>
          <w:rFonts w:cstheme="minorHAnsi"/>
          <w:sz w:val="20"/>
          <w:szCs w:val="20"/>
        </w:rPr>
        <w:t>I</w:t>
      </w:r>
      <w:proofErr w:type="spellEnd"/>
      <w:r w:rsidRPr="0079317C">
        <w:rPr>
          <w:rFonts w:cstheme="minorHAnsi"/>
          <w:sz w:val="20"/>
          <w:szCs w:val="20"/>
        </w:rPr>
        <w:tab/>
        <w:t>Government of Indonesia</w:t>
      </w:r>
    </w:p>
    <w:p w14:paraId="39CDB39D" w14:textId="19B02E74" w:rsidR="002F3446" w:rsidRPr="0079317C" w:rsidRDefault="002F3446" w:rsidP="00610B08">
      <w:pPr>
        <w:pStyle w:val="BodyText"/>
        <w:ind w:left="1134" w:right="-330" w:hanging="1418"/>
        <w:contextualSpacing/>
        <w:rPr>
          <w:rFonts w:cstheme="minorHAnsi"/>
          <w:sz w:val="20"/>
          <w:szCs w:val="20"/>
        </w:rPr>
      </w:pPr>
      <w:r w:rsidRPr="0079317C">
        <w:rPr>
          <w:rFonts w:cstheme="minorHAnsi"/>
          <w:sz w:val="20"/>
          <w:szCs w:val="20"/>
        </w:rPr>
        <w:t>HEOC</w:t>
      </w:r>
      <w:r w:rsidRPr="0079317C">
        <w:rPr>
          <w:rFonts w:cstheme="minorHAnsi"/>
          <w:sz w:val="20"/>
          <w:szCs w:val="20"/>
        </w:rPr>
        <w:tab/>
        <w:t>Health Emergency Operations Centre</w:t>
      </w:r>
    </w:p>
    <w:p w14:paraId="190FCC15" w14:textId="4DBF7CC5"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HIS</w:t>
      </w:r>
      <w:r w:rsidRPr="0079317C">
        <w:rPr>
          <w:rFonts w:cstheme="minorHAnsi"/>
          <w:sz w:val="20"/>
          <w:szCs w:val="20"/>
        </w:rPr>
        <w:tab/>
        <w:t>Health Information System</w:t>
      </w:r>
    </w:p>
    <w:p w14:paraId="16D717BD" w14:textId="1035285E" w:rsidR="00A024F1" w:rsidRDefault="00A024F1" w:rsidP="00610B08">
      <w:pPr>
        <w:pStyle w:val="BodyText"/>
        <w:ind w:left="1134" w:right="-330" w:hanging="1418"/>
        <w:contextualSpacing/>
        <w:rPr>
          <w:rFonts w:cstheme="minorHAnsi"/>
          <w:sz w:val="20"/>
          <w:szCs w:val="20"/>
        </w:rPr>
      </w:pPr>
      <w:r>
        <w:rPr>
          <w:rFonts w:cstheme="minorHAnsi"/>
          <w:sz w:val="20"/>
          <w:szCs w:val="20"/>
        </w:rPr>
        <w:t>HSS</w:t>
      </w:r>
      <w:r>
        <w:rPr>
          <w:rFonts w:cstheme="minorHAnsi"/>
          <w:sz w:val="20"/>
          <w:szCs w:val="20"/>
        </w:rPr>
        <w:tab/>
        <w:t xml:space="preserve">Health systems </w:t>
      </w:r>
      <w:proofErr w:type="gramStart"/>
      <w:r>
        <w:rPr>
          <w:rFonts w:cstheme="minorHAnsi"/>
          <w:sz w:val="20"/>
          <w:szCs w:val="20"/>
        </w:rPr>
        <w:t>strengthening</w:t>
      </w:r>
      <w:proofErr w:type="gramEnd"/>
    </w:p>
    <w:p w14:paraId="4A06BC6D" w14:textId="6AAD565D"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IDCOMM</w:t>
      </w:r>
      <w:r w:rsidRPr="0079317C">
        <w:rPr>
          <w:rFonts w:cstheme="minorHAnsi"/>
          <w:sz w:val="20"/>
          <w:szCs w:val="20"/>
        </w:rPr>
        <w:tab/>
        <w:t>Indonesia Communications (a private communications firm)</w:t>
      </w:r>
    </w:p>
    <w:p w14:paraId="7F778B78" w14:textId="3ECD4449"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IDDS</w:t>
      </w:r>
      <w:r w:rsidRPr="0079317C">
        <w:rPr>
          <w:rFonts w:cstheme="minorHAnsi"/>
          <w:sz w:val="20"/>
          <w:szCs w:val="20"/>
        </w:rPr>
        <w:tab/>
      </w:r>
      <w:r w:rsidR="00957A7D">
        <w:rPr>
          <w:rFonts w:cstheme="minorHAnsi"/>
          <w:sz w:val="20"/>
          <w:szCs w:val="20"/>
        </w:rPr>
        <w:t xml:space="preserve">USAID’s </w:t>
      </w:r>
      <w:r w:rsidRPr="0079317C">
        <w:rPr>
          <w:rFonts w:cstheme="minorHAnsi"/>
          <w:sz w:val="20"/>
          <w:szCs w:val="20"/>
        </w:rPr>
        <w:t>Infectious Disease Detection and Surveillance project</w:t>
      </w:r>
    </w:p>
    <w:p w14:paraId="282E6DAF"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IFRC</w:t>
      </w:r>
      <w:r w:rsidRPr="0079317C">
        <w:rPr>
          <w:rFonts w:cstheme="minorHAnsi"/>
          <w:sz w:val="20"/>
          <w:szCs w:val="20"/>
        </w:rPr>
        <w:tab/>
        <w:t>International Federation of Red Cross and Red Crescent Societies</w:t>
      </w:r>
    </w:p>
    <w:p w14:paraId="1832AC6A"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IHR</w:t>
      </w:r>
      <w:r w:rsidRPr="0079317C">
        <w:rPr>
          <w:rFonts w:cstheme="minorHAnsi"/>
          <w:sz w:val="20"/>
          <w:szCs w:val="20"/>
        </w:rPr>
        <w:tab/>
        <w:t>International Health Regulations</w:t>
      </w:r>
    </w:p>
    <w:p w14:paraId="6B0D302D"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INDOHUN</w:t>
      </w:r>
      <w:r w:rsidRPr="0079317C">
        <w:rPr>
          <w:rFonts w:cstheme="minorHAnsi"/>
          <w:sz w:val="20"/>
          <w:szCs w:val="20"/>
        </w:rPr>
        <w:tab/>
        <w:t>Indonesia One Health University Network</w:t>
      </w:r>
    </w:p>
    <w:p w14:paraId="793B69BE" w14:textId="30502BE8"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iSIKHNAS</w:t>
      </w:r>
      <w:proofErr w:type="spellEnd"/>
      <w:r w:rsidRPr="0079317C">
        <w:rPr>
          <w:rFonts w:cstheme="minorHAnsi"/>
          <w:sz w:val="20"/>
          <w:szCs w:val="20"/>
        </w:rPr>
        <w:tab/>
        <w:t xml:space="preserve">Indonesia's </w:t>
      </w:r>
      <w:r w:rsidR="00D8360A">
        <w:rPr>
          <w:rFonts w:cstheme="minorHAnsi"/>
          <w:sz w:val="20"/>
          <w:szCs w:val="20"/>
        </w:rPr>
        <w:t>I</w:t>
      </w:r>
      <w:r w:rsidRPr="0079317C">
        <w:rPr>
          <w:rFonts w:cstheme="minorHAnsi"/>
          <w:sz w:val="20"/>
          <w:szCs w:val="20"/>
        </w:rPr>
        <w:t xml:space="preserve">ntegrated </w:t>
      </w:r>
      <w:r w:rsidR="00D8360A">
        <w:rPr>
          <w:rFonts w:cstheme="minorHAnsi"/>
          <w:sz w:val="20"/>
          <w:szCs w:val="20"/>
        </w:rPr>
        <w:t>A</w:t>
      </w:r>
      <w:r w:rsidRPr="0079317C">
        <w:rPr>
          <w:rFonts w:cstheme="minorHAnsi"/>
          <w:sz w:val="20"/>
          <w:szCs w:val="20"/>
        </w:rPr>
        <w:t xml:space="preserve">nimal </w:t>
      </w:r>
      <w:r w:rsidR="00D8360A">
        <w:rPr>
          <w:rFonts w:cstheme="minorHAnsi"/>
          <w:sz w:val="20"/>
          <w:szCs w:val="20"/>
        </w:rPr>
        <w:t>H</w:t>
      </w:r>
      <w:r w:rsidRPr="0079317C">
        <w:rPr>
          <w:rFonts w:cstheme="minorHAnsi"/>
          <w:sz w:val="20"/>
          <w:szCs w:val="20"/>
        </w:rPr>
        <w:t xml:space="preserve">ealth </w:t>
      </w:r>
      <w:r w:rsidR="00D8360A">
        <w:rPr>
          <w:rFonts w:cstheme="minorHAnsi"/>
          <w:sz w:val="20"/>
          <w:szCs w:val="20"/>
        </w:rPr>
        <w:t>I</w:t>
      </w:r>
      <w:r w:rsidRPr="0079317C">
        <w:rPr>
          <w:rFonts w:cstheme="minorHAnsi"/>
          <w:sz w:val="20"/>
          <w:szCs w:val="20"/>
        </w:rPr>
        <w:t xml:space="preserve">nformation </w:t>
      </w:r>
      <w:r w:rsidR="00D8360A">
        <w:rPr>
          <w:rFonts w:cstheme="minorHAnsi"/>
          <w:sz w:val="20"/>
          <w:szCs w:val="20"/>
        </w:rPr>
        <w:t>S</w:t>
      </w:r>
      <w:r w:rsidRPr="0079317C">
        <w:rPr>
          <w:rFonts w:cstheme="minorHAnsi"/>
          <w:sz w:val="20"/>
          <w:szCs w:val="20"/>
        </w:rPr>
        <w:t>ystem</w:t>
      </w:r>
    </w:p>
    <w:p w14:paraId="318398A3" w14:textId="77777777"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iVLAB</w:t>
      </w:r>
      <w:proofErr w:type="spellEnd"/>
      <w:r w:rsidRPr="0079317C">
        <w:rPr>
          <w:rFonts w:cstheme="minorHAnsi"/>
          <w:sz w:val="20"/>
          <w:szCs w:val="20"/>
        </w:rPr>
        <w:tab/>
        <w:t>Indonesian Veterinary Labs Information System</w:t>
      </w:r>
    </w:p>
    <w:p w14:paraId="20837970"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IVMA</w:t>
      </w:r>
      <w:r w:rsidRPr="0079317C">
        <w:rPr>
          <w:rFonts w:cstheme="minorHAnsi"/>
          <w:sz w:val="20"/>
          <w:szCs w:val="20"/>
        </w:rPr>
        <w:tab/>
        <w:t>Indonesian Veterinary Medical Association</w:t>
      </w:r>
    </w:p>
    <w:p w14:paraId="6ED68E75"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JEE</w:t>
      </w:r>
      <w:r w:rsidRPr="0079317C">
        <w:rPr>
          <w:rFonts w:cstheme="minorHAnsi"/>
          <w:sz w:val="20"/>
          <w:szCs w:val="20"/>
        </w:rPr>
        <w:tab/>
        <w:t>Joint External Evaluation</w:t>
      </w:r>
    </w:p>
    <w:p w14:paraId="48D3B24F" w14:textId="65592953" w:rsidR="008F1D8E" w:rsidRPr="0079317C" w:rsidRDefault="008F1D8E" w:rsidP="00610B08">
      <w:pPr>
        <w:pStyle w:val="BodyText"/>
        <w:ind w:left="1134" w:right="-330" w:hanging="1418"/>
        <w:contextualSpacing/>
        <w:rPr>
          <w:rFonts w:cstheme="minorHAnsi"/>
          <w:sz w:val="20"/>
          <w:szCs w:val="20"/>
        </w:rPr>
      </w:pPr>
      <w:r w:rsidRPr="0079317C">
        <w:rPr>
          <w:rFonts w:cstheme="minorHAnsi"/>
          <w:sz w:val="20"/>
          <w:szCs w:val="20"/>
        </w:rPr>
        <w:t>JRA</w:t>
      </w:r>
      <w:r w:rsidRPr="0079317C">
        <w:rPr>
          <w:rFonts w:cstheme="minorHAnsi"/>
          <w:sz w:val="20"/>
          <w:szCs w:val="20"/>
        </w:rPr>
        <w:tab/>
      </w:r>
      <w:r w:rsidRPr="0079317C">
        <w:rPr>
          <w:rFonts w:eastAsia="Calibri" w:cstheme="minorHAnsi"/>
          <w:color w:val="000000" w:themeColor="text1"/>
          <w:sz w:val="20"/>
          <w:szCs w:val="20"/>
          <w:lang w:val="en-US"/>
        </w:rPr>
        <w:t>Joint risk assessment</w:t>
      </w:r>
    </w:p>
    <w:p w14:paraId="5BA1242C" w14:textId="218D67CC"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Kemenko</w:t>
      </w:r>
      <w:proofErr w:type="spellEnd"/>
      <w:r w:rsidRPr="0079317C">
        <w:rPr>
          <w:rFonts w:cstheme="minorHAnsi"/>
          <w:sz w:val="20"/>
          <w:szCs w:val="20"/>
        </w:rPr>
        <w:t xml:space="preserve"> PMK</w:t>
      </w:r>
      <w:r w:rsidRPr="0079317C">
        <w:rPr>
          <w:rFonts w:cstheme="minorHAnsi"/>
          <w:sz w:val="20"/>
          <w:szCs w:val="20"/>
        </w:rPr>
        <w:tab/>
      </w:r>
      <w:r w:rsidRPr="0079317C">
        <w:rPr>
          <w:rFonts w:cstheme="minorHAnsi"/>
          <w:i/>
          <w:iCs/>
          <w:sz w:val="20"/>
          <w:szCs w:val="20"/>
        </w:rPr>
        <w:t xml:space="preserve">Kementerian </w:t>
      </w:r>
      <w:proofErr w:type="spellStart"/>
      <w:r w:rsidRPr="0079317C">
        <w:rPr>
          <w:rFonts w:cstheme="minorHAnsi"/>
          <w:i/>
          <w:iCs/>
          <w:sz w:val="20"/>
          <w:szCs w:val="20"/>
        </w:rPr>
        <w:t>Koordinator</w:t>
      </w:r>
      <w:proofErr w:type="spellEnd"/>
      <w:r w:rsidRPr="0079317C">
        <w:rPr>
          <w:rFonts w:cstheme="minorHAnsi"/>
          <w:i/>
          <w:iCs/>
          <w:sz w:val="20"/>
          <w:szCs w:val="20"/>
        </w:rPr>
        <w:t xml:space="preserve"> </w:t>
      </w:r>
      <w:proofErr w:type="spellStart"/>
      <w:r w:rsidRPr="0079317C">
        <w:rPr>
          <w:rFonts w:cstheme="minorHAnsi"/>
          <w:i/>
          <w:iCs/>
          <w:sz w:val="20"/>
          <w:szCs w:val="20"/>
        </w:rPr>
        <w:t>Bidang</w:t>
      </w:r>
      <w:proofErr w:type="spellEnd"/>
      <w:r w:rsidRPr="0079317C">
        <w:rPr>
          <w:rFonts w:cstheme="minorHAnsi"/>
          <w:i/>
          <w:iCs/>
          <w:sz w:val="20"/>
          <w:szCs w:val="20"/>
        </w:rPr>
        <w:t xml:space="preserve"> Pembangunan </w:t>
      </w:r>
      <w:proofErr w:type="spellStart"/>
      <w:r w:rsidRPr="0079317C">
        <w:rPr>
          <w:rFonts w:cstheme="minorHAnsi"/>
          <w:i/>
          <w:iCs/>
          <w:sz w:val="20"/>
          <w:szCs w:val="20"/>
        </w:rPr>
        <w:t>Manusia</w:t>
      </w:r>
      <w:proofErr w:type="spellEnd"/>
      <w:r w:rsidRPr="0079317C">
        <w:rPr>
          <w:rFonts w:cstheme="minorHAnsi"/>
          <w:i/>
          <w:iCs/>
          <w:sz w:val="20"/>
          <w:szCs w:val="20"/>
        </w:rPr>
        <w:t xml:space="preserve"> dan </w:t>
      </w:r>
      <w:proofErr w:type="spellStart"/>
      <w:r w:rsidRPr="0079317C">
        <w:rPr>
          <w:rFonts w:cstheme="minorHAnsi"/>
          <w:i/>
          <w:iCs/>
          <w:sz w:val="20"/>
          <w:szCs w:val="20"/>
        </w:rPr>
        <w:t>Kebudayaan</w:t>
      </w:r>
      <w:proofErr w:type="spellEnd"/>
      <w:r w:rsidRPr="0079317C">
        <w:rPr>
          <w:rFonts w:cstheme="minorHAnsi"/>
          <w:sz w:val="20"/>
          <w:szCs w:val="20"/>
        </w:rPr>
        <w:t xml:space="preserve"> (Coordinating Ministry for Human Development and Cultural Affairs)</w:t>
      </w:r>
    </w:p>
    <w:p w14:paraId="3660FFB0" w14:textId="57D47739" w:rsidR="008F1D8E" w:rsidRPr="0079317C" w:rsidRDefault="008F1D8E" w:rsidP="00610B08">
      <w:pPr>
        <w:pStyle w:val="BodyText"/>
        <w:ind w:left="1134" w:right="-330" w:hanging="1418"/>
        <w:contextualSpacing/>
        <w:rPr>
          <w:rFonts w:cstheme="minorHAnsi"/>
          <w:sz w:val="20"/>
          <w:szCs w:val="20"/>
        </w:rPr>
      </w:pPr>
      <w:r w:rsidRPr="0079317C">
        <w:rPr>
          <w:rFonts w:cstheme="minorHAnsi"/>
          <w:sz w:val="20"/>
          <w:szCs w:val="20"/>
        </w:rPr>
        <w:t>KEQ</w:t>
      </w:r>
      <w:r w:rsidRPr="0079317C">
        <w:rPr>
          <w:rFonts w:cstheme="minorHAnsi"/>
          <w:sz w:val="20"/>
          <w:szCs w:val="20"/>
        </w:rPr>
        <w:tab/>
        <w:t>Key evaluation question</w:t>
      </w:r>
    </w:p>
    <w:p w14:paraId="1D1DF328" w14:textId="76BC00FE" w:rsidR="00252C83" w:rsidRPr="002351EA" w:rsidRDefault="00252C83" w:rsidP="00610B08">
      <w:pPr>
        <w:pStyle w:val="BodyText"/>
        <w:ind w:left="1134" w:right="-330" w:hanging="1418"/>
        <w:contextualSpacing/>
        <w:rPr>
          <w:rFonts w:cstheme="minorHAnsi"/>
          <w:sz w:val="20"/>
          <w:szCs w:val="20"/>
        </w:rPr>
      </w:pPr>
      <w:r w:rsidRPr="0079317C">
        <w:rPr>
          <w:rFonts w:cstheme="minorHAnsi"/>
          <w:sz w:val="20"/>
          <w:szCs w:val="20"/>
        </w:rPr>
        <w:t>KOMPAK</w:t>
      </w:r>
      <w:r w:rsidRPr="0079317C">
        <w:rPr>
          <w:rFonts w:cstheme="minorHAnsi"/>
          <w:sz w:val="20"/>
          <w:szCs w:val="20"/>
        </w:rPr>
        <w:tab/>
      </w:r>
      <w:proofErr w:type="spellStart"/>
      <w:r w:rsidRPr="0037742F">
        <w:rPr>
          <w:rFonts w:cstheme="minorHAnsi"/>
          <w:i/>
          <w:iCs/>
          <w:sz w:val="20"/>
          <w:szCs w:val="20"/>
        </w:rPr>
        <w:t>Kolaborasi</w:t>
      </w:r>
      <w:proofErr w:type="spellEnd"/>
      <w:r w:rsidRPr="0037742F">
        <w:rPr>
          <w:rFonts w:cstheme="minorHAnsi"/>
          <w:i/>
          <w:iCs/>
          <w:sz w:val="20"/>
          <w:szCs w:val="20"/>
        </w:rPr>
        <w:t xml:space="preserve"> Masyarakat dan </w:t>
      </w:r>
      <w:proofErr w:type="spellStart"/>
      <w:r w:rsidRPr="0037742F">
        <w:rPr>
          <w:rFonts w:cstheme="minorHAnsi"/>
          <w:i/>
          <w:iCs/>
          <w:sz w:val="20"/>
          <w:szCs w:val="20"/>
        </w:rPr>
        <w:t>Pelayanan</w:t>
      </w:r>
      <w:proofErr w:type="spellEnd"/>
      <w:r w:rsidRPr="0037742F">
        <w:rPr>
          <w:rFonts w:cstheme="minorHAnsi"/>
          <w:i/>
          <w:iCs/>
          <w:sz w:val="20"/>
          <w:szCs w:val="20"/>
        </w:rPr>
        <w:t xml:space="preserve"> </w:t>
      </w:r>
      <w:proofErr w:type="spellStart"/>
      <w:r w:rsidRPr="0037742F">
        <w:rPr>
          <w:rFonts w:cstheme="minorHAnsi"/>
          <w:i/>
          <w:iCs/>
          <w:sz w:val="20"/>
          <w:szCs w:val="20"/>
        </w:rPr>
        <w:t>untuk</w:t>
      </w:r>
      <w:proofErr w:type="spellEnd"/>
      <w:r w:rsidRPr="0037742F">
        <w:rPr>
          <w:rFonts w:cstheme="minorHAnsi"/>
          <w:i/>
          <w:iCs/>
          <w:sz w:val="20"/>
          <w:szCs w:val="20"/>
        </w:rPr>
        <w:t xml:space="preserve"> </w:t>
      </w:r>
      <w:proofErr w:type="spellStart"/>
      <w:r w:rsidRPr="0037742F">
        <w:rPr>
          <w:rFonts w:cstheme="minorHAnsi"/>
          <w:i/>
          <w:iCs/>
          <w:sz w:val="20"/>
          <w:szCs w:val="20"/>
        </w:rPr>
        <w:t>Kesejahteraan</w:t>
      </w:r>
      <w:proofErr w:type="spellEnd"/>
      <w:r w:rsidRPr="0037742F">
        <w:rPr>
          <w:rFonts w:cstheme="minorHAnsi"/>
          <w:i/>
          <w:iCs/>
          <w:sz w:val="20"/>
          <w:szCs w:val="20"/>
        </w:rPr>
        <w:t xml:space="preserve"> </w:t>
      </w:r>
      <w:proofErr w:type="spellStart"/>
      <w:r w:rsidRPr="0037742F">
        <w:rPr>
          <w:rFonts w:cstheme="minorHAnsi"/>
          <w:i/>
          <w:iCs/>
          <w:sz w:val="20"/>
          <w:szCs w:val="20"/>
        </w:rPr>
        <w:t>Kemitraan</w:t>
      </w:r>
      <w:proofErr w:type="spellEnd"/>
      <w:r w:rsidRPr="0037742F">
        <w:rPr>
          <w:rFonts w:cstheme="minorHAnsi"/>
          <w:i/>
          <w:iCs/>
          <w:sz w:val="20"/>
          <w:szCs w:val="20"/>
        </w:rPr>
        <w:t xml:space="preserve"> </w:t>
      </w:r>
      <w:proofErr w:type="spellStart"/>
      <w:r w:rsidRPr="0037742F">
        <w:rPr>
          <w:rFonts w:cstheme="minorHAnsi"/>
          <w:i/>
          <w:iCs/>
          <w:sz w:val="20"/>
          <w:szCs w:val="20"/>
        </w:rPr>
        <w:t>Pemerintah</w:t>
      </w:r>
      <w:proofErr w:type="spellEnd"/>
      <w:r w:rsidRPr="0037742F">
        <w:rPr>
          <w:rFonts w:cstheme="minorHAnsi"/>
          <w:i/>
          <w:iCs/>
          <w:sz w:val="20"/>
          <w:szCs w:val="20"/>
        </w:rPr>
        <w:t xml:space="preserve"> Australia-Indonesia</w:t>
      </w:r>
      <w:r w:rsidR="002351EA">
        <w:rPr>
          <w:rFonts w:cstheme="minorHAnsi"/>
          <w:i/>
          <w:iCs/>
          <w:sz w:val="20"/>
          <w:szCs w:val="20"/>
        </w:rPr>
        <w:t xml:space="preserve"> </w:t>
      </w:r>
      <w:r w:rsidR="002351EA" w:rsidRPr="0079317C">
        <w:rPr>
          <w:rFonts w:cstheme="minorHAnsi"/>
          <w:sz w:val="20"/>
          <w:szCs w:val="20"/>
        </w:rPr>
        <w:t>(funded by DFAT)</w:t>
      </w:r>
    </w:p>
    <w:p w14:paraId="21061183"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KPI</w:t>
      </w:r>
      <w:r w:rsidRPr="0079317C">
        <w:rPr>
          <w:rFonts w:cstheme="minorHAnsi"/>
          <w:sz w:val="20"/>
          <w:szCs w:val="20"/>
        </w:rPr>
        <w:tab/>
        <w:t>Key Performance Indicator</w:t>
      </w:r>
    </w:p>
    <w:p w14:paraId="2CE87423" w14:textId="0F66A0B8" w:rsidR="00C903DB" w:rsidRPr="0079317C" w:rsidRDefault="00C903DB" w:rsidP="00610B08">
      <w:pPr>
        <w:pStyle w:val="BodyText"/>
        <w:ind w:left="1134" w:right="-330" w:hanging="1418"/>
        <w:contextualSpacing/>
        <w:rPr>
          <w:rFonts w:cstheme="minorHAnsi"/>
          <w:sz w:val="20"/>
          <w:szCs w:val="20"/>
        </w:rPr>
      </w:pPr>
      <w:r w:rsidRPr="0079317C">
        <w:rPr>
          <w:rFonts w:cstheme="minorHAnsi"/>
          <w:sz w:val="20"/>
          <w:szCs w:val="20"/>
        </w:rPr>
        <w:t>KSI</w:t>
      </w:r>
      <w:r w:rsidR="009B18E6" w:rsidRPr="0079317C">
        <w:rPr>
          <w:rFonts w:cstheme="minorHAnsi"/>
          <w:sz w:val="20"/>
          <w:szCs w:val="20"/>
        </w:rPr>
        <w:tab/>
        <w:t>Knowledge Sector Initiative (funded by DFAT)</w:t>
      </w:r>
    </w:p>
    <w:p w14:paraId="46178C75" w14:textId="1EC955AC"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LAMP</w:t>
      </w:r>
      <w:r w:rsidRPr="0079317C">
        <w:rPr>
          <w:rFonts w:cstheme="minorHAnsi"/>
          <w:sz w:val="20"/>
          <w:szCs w:val="20"/>
        </w:rPr>
        <w:tab/>
        <w:t>Loop-mediated Isothermal Amplification</w:t>
      </w:r>
    </w:p>
    <w:p w14:paraId="555AB538"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LIMS</w:t>
      </w:r>
      <w:r w:rsidRPr="0079317C">
        <w:rPr>
          <w:rFonts w:cstheme="minorHAnsi"/>
          <w:sz w:val="20"/>
          <w:szCs w:val="20"/>
        </w:rPr>
        <w:tab/>
        <w:t>Laboratory Information Management System</w:t>
      </w:r>
    </w:p>
    <w:p w14:paraId="21624E08"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lastRenderedPageBreak/>
        <w:t>LSD</w:t>
      </w:r>
      <w:r w:rsidRPr="0079317C">
        <w:rPr>
          <w:rFonts w:cstheme="minorHAnsi"/>
          <w:sz w:val="20"/>
          <w:szCs w:val="20"/>
        </w:rPr>
        <w:tab/>
        <w:t>Lumpy Skin Disease</w:t>
      </w:r>
    </w:p>
    <w:p w14:paraId="535846CC"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MERLA</w:t>
      </w:r>
      <w:r w:rsidRPr="0079317C">
        <w:rPr>
          <w:rFonts w:cstheme="minorHAnsi"/>
          <w:sz w:val="20"/>
          <w:szCs w:val="20"/>
        </w:rPr>
        <w:tab/>
        <w:t>Monitoring, Evaluation, Research, Learning and Adaptation</w:t>
      </w:r>
    </w:p>
    <w:p w14:paraId="4209CE9F" w14:textId="43FF19B3"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MoA</w:t>
      </w:r>
      <w:proofErr w:type="spellEnd"/>
      <w:r w:rsidRPr="0079317C">
        <w:rPr>
          <w:rFonts w:cstheme="minorHAnsi"/>
          <w:sz w:val="20"/>
          <w:szCs w:val="20"/>
        </w:rPr>
        <w:tab/>
        <w:t>Ministry of Agriculture</w:t>
      </w:r>
    </w:p>
    <w:p w14:paraId="0D4885B4" w14:textId="159F7D3D"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MoEF</w:t>
      </w:r>
      <w:proofErr w:type="spellEnd"/>
      <w:r w:rsidRPr="0079317C">
        <w:rPr>
          <w:rFonts w:cstheme="minorHAnsi"/>
          <w:sz w:val="20"/>
          <w:szCs w:val="20"/>
        </w:rPr>
        <w:tab/>
        <w:t>Ministry of Environment and Forestry</w:t>
      </w:r>
    </w:p>
    <w:p w14:paraId="4BAEE349" w14:textId="6E37A7CC"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MoH</w:t>
      </w:r>
      <w:r w:rsidRPr="0079317C">
        <w:rPr>
          <w:rFonts w:cstheme="minorHAnsi"/>
          <w:sz w:val="20"/>
          <w:szCs w:val="20"/>
        </w:rPr>
        <w:tab/>
        <w:t>Ministry of Health</w:t>
      </w:r>
    </w:p>
    <w:p w14:paraId="0F5243C2" w14:textId="386DB064"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MoHA</w:t>
      </w:r>
      <w:proofErr w:type="spellEnd"/>
      <w:r w:rsidRPr="0079317C">
        <w:rPr>
          <w:rFonts w:cstheme="minorHAnsi"/>
          <w:sz w:val="20"/>
          <w:szCs w:val="20"/>
        </w:rPr>
        <w:tab/>
        <w:t>Ministry of Home Affairs</w:t>
      </w:r>
    </w:p>
    <w:p w14:paraId="6DDD6851" w14:textId="7CBF60FB" w:rsidR="00B57261" w:rsidRPr="00B57261" w:rsidRDefault="00B57261" w:rsidP="00610B08">
      <w:pPr>
        <w:pStyle w:val="BodyText"/>
        <w:ind w:left="1134" w:right="-330" w:hanging="1418"/>
        <w:contextualSpacing/>
        <w:rPr>
          <w:rFonts w:cstheme="minorHAnsi"/>
          <w:sz w:val="18"/>
          <w:szCs w:val="18"/>
        </w:rPr>
      </w:pPr>
      <w:proofErr w:type="spellStart"/>
      <w:r w:rsidRPr="00B57261">
        <w:rPr>
          <w:rFonts w:ascii="Calibri" w:eastAsia="Calibri" w:hAnsi="Calibri" w:cs="Calibri"/>
          <w:color w:val="000000"/>
          <w:sz w:val="20"/>
          <w:szCs w:val="20"/>
        </w:rPr>
        <w:t>MoWECP</w:t>
      </w:r>
      <w:proofErr w:type="spellEnd"/>
      <w:r w:rsidRPr="00B57261">
        <w:rPr>
          <w:rFonts w:ascii="Calibri" w:eastAsia="Calibri" w:hAnsi="Calibri" w:cs="Calibri"/>
          <w:color w:val="000000"/>
          <w:sz w:val="20"/>
          <w:szCs w:val="20"/>
        </w:rPr>
        <w:tab/>
        <w:t>Ministry of Women Empowerment and Child Protection</w:t>
      </w:r>
    </w:p>
    <w:p w14:paraId="701C069B" w14:textId="71BCAA4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NAPHS</w:t>
      </w:r>
      <w:r w:rsidRPr="0079317C">
        <w:rPr>
          <w:rFonts w:cstheme="minorHAnsi"/>
          <w:sz w:val="20"/>
          <w:szCs w:val="20"/>
        </w:rPr>
        <w:tab/>
        <w:t>National Action Plan on Health Security</w:t>
      </w:r>
    </w:p>
    <w:p w14:paraId="18955205" w14:textId="75766376" w:rsidR="0006008E" w:rsidRPr="0006008E" w:rsidRDefault="0006008E" w:rsidP="00610B08">
      <w:pPr>
        <w:pStyle w:val="BodyText"/>
        <w:ind w:left="1134" w:right="-330" w:hanging="1418"/>
        <w:contextualSpacing/>
        <w:rPr>
          <w:rFonts w:cstheme="minorHAnsi"/>
          <w:sz w:val="18"/>
          <w:szCs w:val="18"/>
        </w:rPr>
      </w:pPr>
      <w:r w:rsidRPr="0006008E">
        <w:rPr>
          <w:sz w:val="20"/>
          <w:szCs w:val="20"/>
        </w:rPr>
        <w:t>NDVP</w:t>
      </w:r>
      <w:r w:rsidRPr="0006008E">
        <w:rPr>
          <w:sz w:val="20"/>
          <w:szCs w:val="20"/>
        </w:rPr>
        <w:tab/>
        <w:t>COVID-19 National Deployment and Vaccination Plan</w:t>
      </w:r>
    </w:p>
    <w:p w14:paraId="7E3668E2" w14:textId="79E6714B"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NGO</w:t>
      </w:r>
      <w:r w:rsidRPr="0079317C">
        <w:rPr>
          <w:rFonts w:cstheme="minorHAnsi"/>
          <w:sz w:val="20"/>
          <w:szCs w:val="20"/>
        </w:rPr>
        <w:tab/>
        <w:t>Non-Governmental Organisation</w:t>
      </w:r>
    </w:p>
    <w:p w14:paraId="08629A9E"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NIHRD</w:t>
      </w:r>
      <w:r w:rsidRPr="0079317C">
        <w:rPr>
          <w:rFonts w:cstheme="minorHAnsi"/>
          <w:sz w:val="20"/>
          <w:szCs w:val="20"/>
        </w:rPr>
        <w:tab/>
        <w:t>National Institute of Health Research and Development</w:t>
      </w:r>
    </w:p>
    <w:p w14:paraId="275D0F0C"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NTT</w:t>
      </w:r>
      <w:r w:rsidRPr="0079317C">
        <w:rPr>
          <w:rFonts w:cstheme="minorHAnsi"/>
          <w:sz w:val="20"/>
          <w:szCs w:val="20"/>
        </w:rPr>
        <w:tab/>
        <w:t>Nusa Tenggara Timur Province</w:t>
      </w:r>
    </w:p>
    <w:p w14:paraId="4BD05921" w14:textId="5036BEC5" w:rsidR="00D9152F" w:rsidRPr="0079317C" w:rsidRDefault="00D9152F" w:rsidP="00610B08">
      <w:pPr>
        <w:pStyle w:val="BodyText"/>
        <w:ind w:left="1134" w:right="-330" w:hanging="1418"/>
        <w:contextualSpacing/>
        <w:rPr>
          <w:rFonts w:cstheme="minorHAnsi"/>
          <w:sz w:val="20"/>
          <w:szCs w:val="20"/>
        </w:rPr>
      </w:pPr>
      <w:proofErr w:type="gramStart"/>
      <w:r w:rsidRPr="0079317C">
        <w:rPr>
          <w:rFonts w:cstheme="minorHAnsi"/>
          <w:sz w:val="20"/>
          <w:szCs w:val="20"/>
        </w:rPr>
        <w:t>OH</w:t>
      </w:r>
      <w:proofErr w:type="gramEnd"/>
      <w:r w:rsidRPr="0079317C">
        <w:rPr>
          <w:rFonts w:cstheme="minorHAnsi"/>
          <w:sz w:val="20"/>
          <w:szCs w:val="20"/>
        </w:rPr>
        <w:tab/>
        <w:t>One Health</w:t>
      </w:r>
    </w:p>
    <w:p w14:paraId="3816F562" w14:textId="4F03473A"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OIE</w:t>
      </w:r>
      <w:r w:rsidRPr="0079317C">
        <w:rPr>
          <w:rFonts w:cstheme="minorHAnsi"/>
          <w:sz w:val="20"/>
          <w:szCs w:val="20"/>
        </w:rPr>
        <w:tab/>
        <w:t>World Organisation for Animal Health (originally ‘Office International des Epizooties’)</w:t>
      </w:r>
    </w:p>
    <w:p w14:paraId="2C65815C" w14:textId="21FE8167" w:rsidR="00395C0F" w:rsidRPr="0079317C" w:rsidRDefault="00395C0F" w:rsidP="00610B08">
      <w:pPr>
        <w:pStyle w:val="BodyText"/>
        <w:ind w:left="1134" w:right="-330" w:hanging="1418"/>
        <w:contextualSpacing/>
        <w:rPr>
          <w:rFonts w:cstheme="minorHAnsi"/>
          <w:sz w:val="20"/>
          <w:szCs w:val="20"/>
        </w:rPr>
      </w:pPr>
      <w:r w:rsidRPr="0079317C">
        <w:rPr>
          <w:rFonts w:cstheme="minorHAnsi"/>
          <w:sz w:val="20"/>
          <w:szCs w:val="20"/>
        </w:rPr>
        <w:t>OPD</w:t>
      </w:r>
      <w:r w:rsidRPr="0079317C">
        <w:rPr>
          <w:rFonts w:cstheme="minorHAnsi"/>
          <w:sz w:val="20"/>
          <w:szCs w:val="20"/>
        </w:rPr>
        <w:tab/>
        <w:t xml:space="preserve">Organisations of </w:t>
      </w:r>
      <w:r w:rsidR="00D81729">
        <w:rPr>
          <w:rFonts w:cstheme="minorHAnsi"/>
          <w:sz w:val="20"/>
          <w:szCs w:val="20"/>
        </w:rPr>
        <w:t>persons</w:t>
      </w:r>
      <w:r w:rsidRPr="0079317C">
        <w:rPr>
          <w:rFonts w:cstheme="minorHAnsi"/>
          <w:sz w:val="20"/>
          <w:szCs w:val="20"/>
        </w:rPr>
        <w:t xml:space="preserve"> with disabilities</w:t>
      </w:r>
    </w:p>
    <w:p w14:paraId="36D4812B" w14:textId="7A766DF6" w:rsidR="00C903DB"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ORV</w:t>
      </w:r>
      <w:r w:rsidRPr="0079317C">
        <w:rPr>
          <w:rFonts w:cstheme="minorHAnsi"/>
          <w:sz w:val="20"/>
          <w:szCs w:val="20"/>
        </w:rPr>
        <w:tab/>
        <w:t>Oral Rabies Vaccine</w:t>
      </w:r>
    </w:p>
    <w:p w14:paraId="050570C7" w14:textId="1E171262" w:rsidR="00C903DB" w:rsidRPr="0079317C" w:rsidRDefault="00C903DB" w:rsidP="00610B08">
      <w:pPr>
        <w:pStyle w:val="BodyText"/>
        <w:ind w:left="1134" w:right="-330" w:hanging="1418"/>
        <w:contextualSpacing/>
        <w:rPr>
          <w:rFonts w:cstheme="minorHAnsi"/>
          <w:sz w:val="20"/>
          <w:szCs w:val="20"/>
        </w:rPr>
      </w:pPr>
      <w:r w:rsidRPr="0079317C">
        <w:rPr>
          <w:rFonts w:cstheme="minorHAnsi"/>
          <w:sz w:val="20"/>
          <w:szCs w:val="20"/>
        </w:rPr>
        <w:t>OT</w:t>
      </w:r>
      <w:r w:rsidRPr="0079317C">
        <w:rPr>
          <w:rFonts w:cstheme="minorHAnsi"/>
          <w:sz w:val="20"/>
          <w:szCs w:val="20"/>
        </w:rPr>
        <w:tab/>
        <w:t>Operational Tool</w:t>
      </w:r>
    </w:p>
    <w:p w14:paraId="5DE143F4" w14:textId="32BC834A"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PCR</w:t>
      </w:r>
      <w:r w:rsidRPr="0079317C">
        <w:rPr>
          <w:rFonts w:cstheme="minorHAnsi"/>
          <w:sz w:val="20"/>
          <w:szCs w:val="20"/>
        </w:rPr>
        <w:tab/>
        <w:t>Polymerase Chain Reaction</w:t>
      </w:r>
    </w:p>
    <w:p w14:paraId="25F8D005"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PHC</w:t>
      </w:r>
      <w:r w:rsidRPr="0079317C">
        <w:rPr>
          <w:rFonts w:cstheme="minorHAnsi"/>
          <w:sz w:val="20"/>
          <w:szCs w:val="20"/>
        </w:rPr>
        <w:tab/>
        <w:t>Primary Health Care</w:t>
      </w:r>
    </w:p>
    <w:p w14:paraId="201D843D"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PHO</w:t>
      </w:r>
      <w:r w:rsidRPr="0079317C">
        <w:rPr>
          <w:rFonts w:cstheme="minorHAnsi"/>
          <w:sz w:val="20"/>
          <w:szCs w:val="20"/>
        </w:rPr>
        <w:tab/>
        <w:t>Provincial Health Office</w:t>
      </w:r>
    </w:p>
    <w:p w14:paraId="2766E257"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PHEOC</w:t>
      </w:r>
      <w:r w:rsidRPr="0079317C">
        <w:rPr>
          <w:rFonts w:cstheme="minorHAnsi"/>
          <w:sz w:val="20"/>
          <w:szCs w:val="20"/>
        </w:rPr>
        <w:tab/>
        <w:t>Public Health Emergency Operations Centre</w:t>
      </w:r>
    </w:p>
    <w:p w14:paraId="2EB9C4EF" w14:textId="719741E4" w:rsidR="00E21697"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PMI</w:t>
      </w:r>
      <w:r w:rsidRPr="0079317C">
        <w:rPr>
          <w:rFonts w:cstheme="minorHAnsi"/>
          <w:sz w:val="20"/>
          <w:szCs w:val="20"/>
        </w:rPr>
        <w:tab/>
      </w:r>
      <w:proofErr w:type="spellStart"/>
      <w:r w:rsidRPr="0079317C">
        <w:rPr>
          <w:rFonts w:cstheme="minorHAnsi"/>
          <w:i/>
          <w:iCs/>
          <w:sz w:val="20"/>
          <w:szCs w:val="20"/>
        </w:rPr>
        <w:t>Palang</w:t>
      </w:r>
      <w:proofErr w:type="spellEnd"/>
      <w:r w:rsidRPr="0079317C">
        <w:rPr>
          <w:rFonts w:cstheme="minorHAnsi"/>
          <w:i/>
          <w:iCs/>
          <w:sz w:val="20"/>
          <w:szCs w:val="20"/>
        </w:rPr>
        <w:t xml:space="preserve"> Merah Indonesia</w:t>
      </w:r>
      <w:r w:rsidRPr="0079317C">
        <w:rPr>
          <w:rFonts w:cstheme="minorHAnsi"/>
          <w:sz w:val="20"/>
          <w:szCs w:val="20"/>
        </w:rPr>
        <w:t xml:space="preserve"> (Indonesian Red Cross Society)</w:t>
      </w:r>
    </w:p>
    <w:p w14:paraId="2A875007" w14:textId="741DDAE9" w:rsidR="00E21697" w:rsidRPr="0079317C" w:rsidRDefault="00E21697" w:rsidP="00610B08">
      <w:pPr>
        <w:pStyle w:val="BodyText"/>
        <w:ind w:left="1134" w:right="-330" w:hanging="1418"/>
        <w:contextualSpacing/>
        <w:rPr>
          <w:rFonts w:cstheme="minorHAnsi"/>
          <w:color w:val="000000" w:themeColor="text1"/>
          <w:sz w:val="20"/>
          <w:szCs w:val="20"/>
        </w:rPr>
      </w:pPr>
      <w:proofErr w:type="spellStart"/>
      <w:r w:rsidRPr="0079317C">
        <w:rPr>
          <w:rFonts w:cstheme="minorHAnsi"/>
          <w:sz w:val="20"/>
          <w:szCs w:val="20"/>
        </w:rPr>
        <w:t>Posyandu</w:t>
      </w:r>
      <w:proofErr w:type="spellEnd"/>
      <w:r w:rsidRPr="0079317C">
        <w:rPr>
          <w:rFonts w:cstheme="minorHAnsi"/>
          <w:sz w:val="20"/>
          <w:szCs w:val="20"/>
        </w:rPr>
        <w:t xml:space="preserve"> </w:t>
      </w:r>
      <w:r w:rsidRPr="0079317C">
        <w:rPr>
          <w:rFonts w:cstheme="minorHAnsi"/>
          <w:sz w:val="20"/>
          <w:szCs w:val="20"/>
        </w:rPr>
        <w:tab/>
      </w:r>
      <w:r w:rsidRPr="0079317C">
        <w:rPr>
          <w:rStyle w:val="Emphasis"/>
          <w:rFonts w:cstheme="minorHAnsi"/>
          <w:color w:val="000000" w:themeColor="text1"/>
          <w:sz w:val="20"/>
          <w:szCs w:val="20"/>
          <w:shd w:val="clear" w:color="auto" w:fill="FFFFFF"/>
        </w:rPr>
        <w:t xml:space="preserve">Pos </w:t>
      </w:r>
      <w:proofErr w:type="spellStart"/>
      <w:r w:rsidR="00D8360A">
        <w:rPr>
          <w:rStyle w:val="Emphasis"/>
          <w:rFonts w:cstheme="minorHAnsi"/>
          <w:color w:val="000000" w:themeColor="text1"/>
          <w:sz w:val="20"/>
          <w:szCs w:val="20"/>
          <w:shd w:val="clear" w:color="auto" w:fill="FFFFFF"/>
        </w:rPr>
        <w:t>p</w:t>
      </w:r>
      <w:r w:rsidRPr="0079317C">
        <w:rPr>
          <w:rStyle w:val="Emphasis"/>
          <w:rFonts w:cstheme="minorHAnsi"/>
          <w:color w:val="000000" w:themeColor="text1"/>
          <w:sz w:val="20"/>
          <w:szCs w:val="20"/>
          <w:shd w:val="clear" w:color="auto" w:fill="FFFFFF"/>
        </w:rPr>
        <w:t>elayanan</w:t>
      </w:r>
      <w:proofErr w:type="spellEnd"/>
      <w:r w:rsidRPr="0079317C">
        <w:rPr>
          <w:rStyle w:val="Emphasis"/>
          <w:rFonts w:cstheme="minorHAnsi"/>
          <w:color w:val="000000" w:themeColor="text1"/>
          <w:sz w:val="20"/>
          <w:szCs w:val="20"/>
          <w:shd w:val="clear" w:color="auto" w:fill="FFFFFF"/>
        </w:rPr>
        <w:t xml:space="preserve"> </w:t>
      </w:r>
      <w:proofErr w:type="spellStart"/>
      <w:r w:rsidR="00D8360A">
        <w:rPr>
          <w:rStyle w:val="Emphasis"/>
          <w:rFonts w:cstheme="minorHAnsi"/>
          <w:color w:val="000000" w:themeColor="text1"/>
          <w:sz w:val="20"/>
          <w:szCs w:val="20"/>
          <w:shd w:val="clear" w:color="auto" w:fill="FFFFFF"/>
        </w:rPr>
        <w:t>t</w:t>
      </w:r>
      <w:r w:rsidRPr="0079317C">
        <w:rPr>
          <w:rStyle w:val="Emphasis"/>
          <w:rFonts w:cstheme="minorHAnsi"/>
          <w:color w:val="000000" w:themeColor="text1"/>
          <w:sz w:val="20"/>
          <w:szCs w:val="20"/>
          <w:shd w:val="clear" w:color="auto" w:fill="FFFFFF"/>
        </w:rPr>
        <w:t>erpadu</w:t>
      </w:r>
      <w:proofErr w:type="spellEnd"/>
      <w:r w:rsidRPr="0079317C">
        <w:rPr>
          <w:rStyle w:val="Emphasis"/>
          <w:rFonts w:cstheme="minorHAnsi"/>
          <w:b/>
          <w:bCs/>
          <w:i w:val="0"/>
          <w:iCs w:val="0"/>
          <w:color w:val="5F6368"/>
          <w:sz w:val="20"/>
          <w:szCs w:val="20"/>
          <w:shd w:val="clear" w:color="auto" w:fill="FFFFFF"/>
        </w:rPr>
        <w:t> (</w:t>
      </w:r>
      <w:r w:rsidR="00D8360A">
        <w:rPr>
          <w:rStyle w:val="Emphasis"/>
          <w:rFonts w:cstheme="minorHAnsi"/>
          <w:i w:val="0"/>
          <w:iCs w:val="0"/>
          <w:color w:val="000000" w:themeColor="text1"/>
          <w:sz w:val="20"/>
          <w:szCs w:val="20"/>
          <w:shd w:val="clear" w:color="auto" w:fill="FFFFFF"/>
        </w:rPr>
        <w:t>I</w:t>
      </w:r>
      <w:r w:rsidRPr="0079317C">
        <w:rPr>
          <w:rStyle w:val="Emphasis"/>
          <w:rFonts w:cstheme="minorHAnsi"/>
          <w:i w:val="0"/>
          <w:iCs w:val="0"/>
          <w:color w:val="000000" w:themeColor="text1"/>
          <w:sz w:val="20"/>
          <w:szCs w:val="20"/>
          <w:shd w:val="clear" w:color="auto" w:fill="FFFFFF"/>
        </w:rPr>
        <w:t>ntegrated health service delivery post)</w:t>
      </w:r>
    </w:p>
    <w:p w14:paraId="678FC9F6" w14:textId="03B75011"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PRISMA</w:t>
      </w:r>
      <w:r w:rsidRPr="0079317C">
        <w:rPr>
          <w:rFonts w:cstheme="minorHAnsi"/>
          <w:sz w:val="20"/>
          <w:szCs w:val="20"/>
        </w:rPr>
        <w:tab/>
        <w:t>Australia Indonesia Partnership for Promoting Rural Incomes through Support to Markets in Agriculture</w:t>
      </w:r>
    </w:p>
    <w:p w14:paraId="1243DA7B"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PROSPERA</w:t>
      </w:r>
      <w:r w:rsidRPr="0079317C">
        <w:rPr>
          <w:rFonts w:cstheme="minorHAnsi"/>
          <w:sz w:val="20"/>
          <w:szCs w:val="20"/>
        </w:rPr>
        <w:tab/>
        <w:t>Australia Indonesia Partnership for Economic Development</w:t>
      </w:r>
    </w:p>
    <w:p w14:paraId="6CA6E28D" w14:textId="77777777"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Pusdatin</w:t>
      </w:r>
      <w:proofErr w:type="spellEnd"/>
      <w:r w:rsidRPr="0079317C">
        <w:rPr>
          <w:rFonts w:cstheme="minorHAnsi"/>
          <w:sz w:val="20"/>
          <w:szCs w:val="20"/>
        </w:rPr>
        <w:tab/>
      </w:r>
      <w:r w:rsidRPr="0079317C">
        <w:rPr>
          <w:rFonts w:cstheme="minorHAnsi"/>
          <w:i/>
          <w:iCs/>
          <w:sz w:val="20"/>
          <w:szCs w:val="20"/>
        </w:rPr>
        <w:t xml:space="preserve">Pusat Data dan </w:t>
      </w:r>
      <w:proofErr w:type="spellStart"/>
      <w:r w:rsidRPr="0079317C">
        <w:rPr>
          <w:rFonts w:cstheme="minorHAnsi"/>
          <w:i/>
          <w:iCs/>
          <w:sz w:val="20"/>
          <w:szCs w:val="20"/>
        </w:rPr>
        <w:t>Informasi</w:t>
      </w:r>
      <w:proofErr w:type="spellEnd"/>
      <w:r w:rsidRPr="0079317C">
        <w:rPr>
          <w:rFonts w:cstheme="minorHAnsi"/>
          <w:sz w:val="20"/>
          <w:szCs w:val="20"/>
        </w:rPr>
        <w:t xml:space="preserve"> (Health Data and Information Centre)</w:t>
      </w:r>
    </w:p>
    <w:p w14:paraId="594E2A0A" w14:textId="219FA740"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Puskesmas</w:t>
      </w:r>
      <w:proofErr w:type="spellEnd"/>
      <w:r w:rsidRPr="0079317C">
        <w:rPr>
          <w:rFonts w:cstheme="minorHAnsi"/>
          <w:sz w:val="20"/>
          <w:szCs w:val="20"/>
        </w:rPr>
        <w:tab/>
      </w:r>
      <w:r w:rsidRPr="0079317C">
        <w:rPr>
          <w:rFonts w:cstheme="minorHAnsi"/>
          <w:i/>
          <w:iCs/>
          <w:sz w:val="20"/>
          <w:szCs w:val="20"/>
        </w:rPr>
        <w:t xml:space="preserve">Pusat </w:t>
      </w:r>
      <w:proofErr w:type="spellStart"/>
      <w:r w:rsidR="00D8360A">
        <w:rPr>
          <w:rFonts w:cstheme="minorHAnsi"/>
          <w:i/>
          <w:iCs/>
          <w:sz w:val="20"/>
          <w:szCs w:val="20"/>
        </w:rPr>
        <w:t>k</w:t>
      </w:r>
      <w:r w:rsidRPr="0079317C">
        <w:rPr>
          <w:rFonts w:cstheme="minorHAnsi"/>
          <w:i/>
          <w:iCs/>
          <w:sz w:val="20"/>
          <w:szCs w:val="20"/>
        </w:rPr>
        <w:t>esehatan</w:t>
      </w:r>
      <w:proofErr w:type="spellEnd"/>
      <w:r w:rsidRPr="0079317C">
        <w:rPr>
          <w:rFonts w:cstheme="minorHAnsi"/>
          <w:i/>
          <w:iCs/>
          <w:sz w:val="20"/>
          <w:szCs w:val="20"/>
        </w:rPr>
        <w:t xml:space="preserve"> </w:t>
      </w:r>
      <w:proofErr w:type="spellStart"/>
      <w:r w:rsidR="00D8360A">
        <w:rPr>
          <w:rFonts w:cstheme="minorHAnsi"/>
          <w:i/>
          <w:iCs/>
          <w:sz w:val="20"/>
          <w:szCs w:val="20"/>
        </w:rPr>
        <w:t>m</w:t>
      </w:r>
      <w:r w:rsidRPr="0079317C">
        <w:rPr>
          <w:rFonts w:cstheme="minorHAnsi"/>
          <w:i/>
          <w:iCs/>
          <w:sz w:val="20"/>
          <w:szCs w:val="20"/>
        </w:rPr>
        <w:t>asyarakat</w:t>
      </w:r>
      <w:proofErr w:type="spellEnd"/>
      <w:r w:rsidRPr="0079317C">
        <w:rPr>
          <w:rFonts w:cstheme="minorHAnsi"/>
          <w:sz w:val="20"/>
          <w:szCs w:val="20"/>
        </w:rPr>
        <w:t xml:space="preserve"> (Community </w:t>
      </w:r>
      <w:r w:rsidR="00D8360A">
        <w:rPr>
          <w:rFonts w:cstheme="minorHAnsi"/>
          <w:sz w:val="20"/>
          <w:szCs w:val="20"/>
        </w:rPr>
        <w:t>h</w:t>
      </w:r>
      <w:r w:rsidRPr="0079317C">
        <w:rPr>
          <w:rFonts w:cstheme="minorHAnsi"/>
          <w:sz w:val="20"/>
          <w:szCs w:val="20"/>
        </w:rPr>
        <w:t xml:space="preserve">ealth </w:t>
      </w:r>
      <w:r w:rsidR="00D8360A">
        <w:rPr>
          <w:rFonts w:cstheme="minorHAnsi"/>
          <w:sz w:val="20"/>
          <w:szCs w:val="20"/>
        </w:rPr>
        <w:t>c</w:t>
      </w:r>
      <w:r w:rsidRPr="0079317C">
        <w:rPr>
          <w:rFonts w:cstheme="minorHAnsi"/>
          <w:sz w:val="20"/>
          <w:szCs w:val="20"/>
        </w:rPr>
        <w:t>entre)</w:t>
      </w:r>
    </w:p>
    <w:p w14:paraId="26AFB45A" w14:textId="254DCED7" w:rsidR="00252C83" w:rsidRPr="0079317C" w:rsidRDefault="00252C83" w:rsidP="00610B08">
      <w:pPr>
        <w:pStyle w:val="BodyText"/>
        <w:ind w:left="1134" w:right="-330" w:hanging="1418"/>
        <w:contextualSpacing/>
        <w:rPr>
          <w:rFonts w:cstheme="minorHAnsi"/>
          <w:sz w:val="20"/>
          <w:szCs w:val="20"/>
        </w:rPr>
      </w:pPr>
      <w:proofErr w:type="spellStart"/>
      <w:r w:rsidRPr="0079317C">
        <w:rPr>
          <w:rFonts w:cstheme="minorHAnsi"/>
          <w:sz w:val="20"/>
          <w:szCs w:val="20"/>
        </w:rPr>
        <w:t>Puskeswan</w:t>
      </w:r>
      <w:proofErr w:type="spellEnd"/>
      <w:r w:rsidRPr="0079317C">
        <w:rPr>
          <w:rFonts w:cstheme="minorHAnsi"/>
          <w:sz w:val="20"/>
          <w:szCs w:val="20"/>
        </w:rPr>
        <w:tab/>
      </w:r>
      <w:r w:rsidRPr="0079317C">
        <w:rPr>
          <w:rFonts w:cstheme="minorHAnsi"/>
          <w:i/>
          <w:iCs/>
          <w:sz w:val="20"/>
          <w:szCs w:val="20"/>
        </w:rPr>
        <w:t xml:space="preserve">Pusat </w:t>
      </w:r>
      <w:proofErr w:type="spellStart"/>
      <w:r w:rsidR="00D8360A">
        <w:rPr>
          <w:rFonts w:cstheme="minorHAnsi"/>
          <w:i/>
          <w:iCs/>
          <w:sz w:val="20"/>
          <w:szCs w:val="20"/>
        </w:rPr>
        <w:t>k</w:t>
      </w:r>
      <w:r w:rsidRPr="0079317C">
        <w:rPr>
          <w:rFonts w:cstheme="minorHAnsi"/>
          <w:i/>
          <w:iCs/>
          <w:sz w:val="20"/>
          <w:szCs w:val="20"/>
        </w:rPr>
        <w:t>esehatan</w:t>
      </w:r>
      <w:proofErr w:type="spellEnd"/>
      <w:r w:rsidRPr="0079317C">
        <w:rPr>
          <w:rFonts w:cstheme="minorHAnsi"/>
          <w:i/>
          <w:iCs/>
          <w:sz w:val="20"/>
          <w:szCs w:val="20"/>
        </w:rPr>
        <w:t xml:space="preserve"> </w:t>
      </w:r>
      <w:proofErr w:type="spellStart"/>
      <w:r w:rsidR="00D8360A">
        <w:rPr>
          <w:rFonts w:cstheme="minorHAnsi"/>
          <w:i/>
          <w:iCs/>
          <w:sz w:val="20"/>
          <w:szCs w:val="20"/>
        </w:rPr>
        <w:t>h</w:t>
      </w:r>
      <w:r w:rsidRPr="0079317C">
        <w:rPr>
          <w:rFonts w:cstheme="minorHAnsi"/>
          <w:i/>
          <w:iCs/>
          <w:sz w:val="20"/>
          <w:szCs w:val="20"/>
        </w:rPr>
        <w:t>ewan</w:t>
      </w:r>
      <w:proofErr w:type="spellEnd"/>
      <w:r w:rsidRPr="0079317C">
        <w:rPr>
          <w:rFonts w:cstheme="minorHAnsi"/>
          <w:sz w:val="20"/>
          <w:szCs w:val="20"/>
        </w:rPr>
        <w:t xml:space="preserve"> (Animal </w:t>
      </w:r>
      <w:r w:rsidR="00D8360A">
        <w:rPr>
          <w:rFonts w:cstheme="minorHAnsi"/>
          <w:sz w:val="20"/>
          <w:szCs w:val="20"/>
        </w:rPr>
        <w:t>h</w:t>
      </w:r>
      <w:r w:rsidRPr="0079317C">
        <w:rPr>
          <w:rFonts w:cstheme="minorHAnsi"/>
          <w:sz w:val="20"/>
          <w:szCs w:val="20"/>
        </w:rPr>
        <w:t xml:space="preserve">ealth </w:t>
      </w:r>
      <w:r w:rsidR="00D8360A">
        <w:rPr>
          <w:rFonts w:cstheme="minorHAnsi"/>
          <w:sz w:val="20"/>
          <w:szCs w:val="20"/>
        </w:rPr>
        <w:t>c</w:t>
      </w:r>
      <w:r w:rsidRPr="0079317C">
        <w:rPr>
          <w:rFonts w:cstheme="minorHAnsi"/>
          <w:sz w:val="20"/>
          <w:szCs w:val="20"/>
        </w:rPr>
        <w:t>entre)</w:t>
      </w:r>
    </w:p>
    <w:p w14:paraId="60C4D048" w14:textId="60EEC43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RCCE</w:t>
      </w:r>
      <w:r w:rsidRPr="0079317C">
        <w:rPr>
          <w:rFonts w:cstheme="minorHAnsi"/>
          <w:sz w:val="20"/>
          <w:szCs w:val="20"/>
        </w:rPr>
        <w:tab/>
        <w:t xml:space="preserve">Risk </w:t>
      </w:r>
      <w:r w:rsidR="00B301DC">
        <w:rPr>
          <w:rFonts w:cstheme="minorHAnsi"/>
          <w:sz w:val="20"/>
          <w:szCs w:val="20"/>
        </w:rPr>
        <w:t>c</w:t>
      </w:r>
      <w:r w:rsidRPr="0079317C">
        <w:rPr>
          <w:rFonts w:cstheme="minorHAnsi"/>
          <w:sz w:val="20"/>
          <w:szCs w:val="20"/>
        </w:rPr>
        <w:t xml:space="preserve">ommunication and </w:t>
      </w:r>
      <w:r w:rsidR="00B301DC">
        <w:rPr>
          <w:rFonts w:cstheme="minorHAnsi"/>
          <w:sz w:val="20"/>
          <w:szCs w:val="20"/>
        </w:rPr>
        <w:t>c</w:t>
      </w:r>
      <w:r w:rsidRPr="0079317C">
        <w:rPr>
          <w:rFonts w:cstheme="minorHAnsi"/>
          <w:sz w:val="20"/>
          <w:szCs w:val="20"/>
        </w:rPr>
        <w:t xml:space="preserve">ommunity </w:t>
      </w:r>
      <w:r w:rsidR="00B301DC">
        <w:rPr>
          <w:rFonts w:cstheme="minorHAnsi"/>
          <w:sz w:val="20"/>
          <w:szCs w:val="20"/>
        </w:rPr>
        <w:t>e</w:t>
      </w:r>
      <w:r w:rsidRPr="0079317C">
        <w:rPr>
          <w:rFonts w:cstheme="minorHAnsi"/>
          <w:sz w:val="20"/>
          <w:szCs w:val="20"/>
        </w:rPr>
        <w:t>ngagement</w:t>
      </w:r>
    </w:p>
    <w:p w14:paraId="797739FD"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RCPA</w:t>
      </w:r>
      <w:r w:rsidRPr="0079317C">
        <w:rPr>
          <w:rFonts w:cstheme="minorHAnsi"/>
          <w:sz w:val="20"/>
          <w:szCs w:val="20"/>
        </w:rPr>
        <w:tab/>
        <w:t>Royal College of Pathologists of Australasia</w:t>
      </w:r>
    </w:p>
    <w:p w14:paraId="068B3BB5" w14:textId="3F74FF89" w:rsidR="00D45816" w:rsidRPr="00D45816" w:rsidRDefault="00D45816" w:rsidP="00610B08">
      <w:pPr>
        <w:pStyle w:val="BodyText"/>
        <w:ind w:left="1134" w:right="-330" w:hanging="1418"/>
        <w:contextualSpacing/>
        <w:rPr>
          <w:rFonts w:cstheme="minorHAnsi"/>
          <w:sz w:val="18"/>
          <w:szCs w:val="18"/>
        </w:rPr>
      </w:pPr>
      <w:r w:rsidRPr="00D45816">
        <w:rPr>
          <w:sz w:val="20"/>
          <w:szCs w:val="20"/>
        </w:rPr>
        <w:t>RMCP</w:t>
      </w:r>
      <w:r w:rsidRPr="00D45816">
        <w:rPr>
          <w:sz w:val="20"/>
          <w:szCs w:val="20"/>
        </w:rPr>
        <w:tab/>
        <w:t>Indonesia-Australia Partnership on Food Security in the Red Meat and Cattle Sector</w:t>
      </w:r>
    </w:p>
    <w:p w14:paraId="7211BA7D" w14:textId="22F405B2"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RPJMN</w:t>
      </w:r>
      <w:r w:rsidRPr="0079317C">
        <w:rPr>
          <w:rFonts w:cstheme="minorHAnsi"/>
          <w:sz w:val="20"/>
          <w:szCs w:val="20"/>
        </w:rPr>
        <w:tab/>
      </w:r>
      <w:proofErr w:type="spellStart"/>
      <w:r w:rsidRPr="0079317C">
        <w:rPr>
          <w:rFonts w:cstheme="minorHAnsi"/>
          <w:i/>
          <w:iCs/>
          <w:sz w:val="20"/>
          <w:szCs w:val="20"/>
        </w:rPr>
        <w:t>Rencana</w:t>
      </w:r>
      <w:proofErr w:type="spellEnd"/>
      <w:r w:rsidRPr="0079317C">
        <w:rPr>
          <w:rFonts w:cstheme="minorHAnsi"/>
          <w:i/>
          <w:iCs/>
          <w:sz w:val="20"/>
          <w:szCs w:val="20"/>
        </w:rPr>
        <w:t xml:space="preserve"> Pembangunan </w:t>
      </w:r>
      <w:proofErr w:type="spellStart"/>
      <w:r w:rsidRPr="0079317C">
        <w:rPr>
          <w:rFonts w:cstheme="minorHAnsi"/>
          <w:i/>
          <w:iCs/>
          <w:sz w:val="20"/>
          <w:szCs w:val="20"/>
        </w:rPr>
        <w:t>Jangka</w:t>
      </w:r>
      <w:proofErr w:type="spellEnd"/>
      <w:r w:rsidRPr="0079317C">
        <w:rPr>
          <w:rFonts w:cstheme="minorHAnsi"/>
          <w:i/>
          <w:iCs/>
          <w:sz w:val="20"/>
          <w:szCs w:val="20"/>
        </w:rPr>
        <w:t xml:space="preserve"> </w:t>
      </w:r>
      <w:proofErr w:type="spellStart"/>
      <w:r w:rsidRPr="0079317C">
        <w:rPr>
          <w:rFonts w:cstheme="minorHAnsi"/>
          <w:i/>
          <w:iCs/>
          <w:sz w:val="20"/>
          <w:szCs w:val="20"/>
        </w:rPr>
        <w:t>Menengah</w:t>
      </w:r>
      <w:proofErr w:type="spellEnd"/>
      <w:r w:rsidRPr="0079317C">
        <w:rPr>
          <w:rFonts w:cstheme="minorHAnsi"/>
          <w:i/>
          <w:iCs/>
          <w:sz w:val="20"/>
          <w:szCs w:val="20"/>
        </w:rPr>
        <w:t xml:space="preserve"> Nasional </w:t>
      </w:r>
      <w:r w:rsidRPr="0079317C">
        <w:rPr>
          <w:rFonts w:cstheme="minorHAnsi"/>
          <w:sz w:val="20"/>
          <w:szCs w:val="20"/>
        </w:rPr>
        <w:t>(Medium-Term National Development Plan)</w:t>
      </w:r>
    </w:p>
    <w:p w14:paraId="551F1E93" w14:textId="7DE52B31" w:rsidR="00E06075" w:rsidRDefault="00E06075" w:rsidP="00610B08">
      <w:pPr>
        <w:pStyle w:val="BodyText"/>
        <w:ind w:left="1134" w:right="-330" w:hanging="1418"/>
        <w:contextualSpacing/>
        <w:rPr>
          <w:rFonts w:cstheme="minorHAnsi"/>
          <w:sz w:val="20"/>
          <w:szCs w:val="20"/>
        </w:rPr>
      </w:pPr>
      <w:proofErr w:type="spellStart"/>
      <w:r>
        <w:rPr>
          <w:rFonts w:cstheme="minorHAnsi"/>
          <w:sz w:val="20"/>
          <w:szCs w:val="20"/>
        </w:rPr>
        <w:t>Satu</w:t>
      </w:r>
      <w:r w:rsidR="00693780">
        <w:rPr>
          <w:rFonts w:cstheme="minorHAnsi"/>
          <w:sz w:val="20"/>
          <w:szCs w:val="20"/>
        </w:rPr>
        <w:t>S</w:t>
      </w:r>
      <w:r>
        <w:rPr>
          <w:rFonts w:cstheme="minorHAnsi"/>
          <w:sz w:val="20"/>
          <w:szCs w:val="20"/>
        </w:rPr>
        <w:t>ehat</w:t>
      </w:r>
      <w:proofErr w:type="spellEnd"/>
      <w:r w:rsidR="00E84D54">
        <w:rPr>
          <w:rFonts w:cstheme="minorHAnsi"/>
          <w:sz w:val="20"/>
          <w:szCs w:val="20"/>
        </w:rPr>
        <w:tab/>
        <w:t>One Health (Indonesia’s</w:t>
      </w:r>
      <w:r w:rsidR="00E84D54" w:rsidRPr="00D8360A">
        <w:rPr>
          <w:rFonts w:cstheme="minorHAnsi"/>
          <w:sz w:val="20"/>
          <w:szCs w:val="20"/>
        </w:rPr>
        <w:t xml:space="preserve"> </w:t>
      </w:r>
      <w:r w:rsidR="00E84D54" w:rsidRPr="00D8360A">
        <w:rPr>
          <w:rFonts w:ascii="Calibri" w:eastAsia="Calibri" w:hAnsi="Calibri" w:cs="Calibri"/>
          <w:color w:val="000000" w:themeColor="text1"/>
          <w:sz w:val="20"/>
          <w:szCs w:val="20"/>
          <w:lang w:val="en-US"/>
        </w:rPr>
        <w:t>integrated health data system)</w:t>
      </w:r>
    </w:p>
    <w:p w14:paraId="060F2EC4" w14:textId="3E7622BA"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SIAP SIAGA</w:t>
      </w:r>
      <w:r w:rsidRPr="0079317C">
        <w:rPr>
          <w:rFonts w:cstheme="minorHAnsi"/>
          <w:sz w:val="20"/>
          <w:szCs w:val="20"/>
        </w:rPr>
        <w:tab/>
        <w:t>Australia-Indonesia Partnership in Disaster Risk Management</w:t>
      </w:r>
    </w:p>
    <w:p w14:paraId="7636AA09" w14:textId="274FF61F" w:rsidR="001C5293" w:rsidRPr="0079317C" w:rsidRDefault="001C5293" w:rsidP="00610B08">
      <w:pPr>
        <w:pStyle w:val="BodyText"/>
        <w:ind w:left="1134" w:right="-330" w:hanging="1418"/>
        <w:contextualSpacing/>
        <w:rPr>
          <w:rFonts w:cstheme="minorHAnsi"/>
          <w:bCs/>
          <w:sz w:val="20"/>
          <w:szCs w:val="20"/>
        </w:rPr>
      </w:pPr>
      <w:r w:rsidRPr="0079317C">
        <w:rPr>
          <w:rFonts w:cstheme="minorHAnsi"/>
          <w:sz w:val="20"/>
          <w:szCs w:val="20"/>
        </w:rPr>
        <w:t>SISHIS</w:t>
      </w:r>
      <w:r w:rsidRPr="0079317C">
        <w:rPr>
          <w:rFonts w:cstheme="minorHAnsi"/>
          <w:sz w:val="20"/>
          <w:szCs w:val="20"/>
        </w:rPr>
        <w:tab/>
      </w:r>
      <w:r w:rsidRPr="0079317C">
        <w:rPr>
          <w:rFonts w:eastAsia="Calibri" w:cstheme="minorHAnsi"/>
          <w:bCs/>
          <w:color w:val="000000"/>
          <w:sz w:val="20"/>
          <w:szCs w:val="20"/>
        </w:rPr>
        <w:t>Secure &amp; Interoperable Surveillance and Health Information System</w:t>
      </w:r>
    </w:p>
    <w:p w14:paraId="0F81C157" w14:textId="1CC2BF6E"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SIZE</w:t>
      </w:r>
      <w:r w:rsidRPr="0079317C">
        <w:rPr>
          <w:rFonts w:cstheme="minorHAnsi"/>
          <w:sz w:val="20"/>
          <w:szCs w:val="20"/>
        </w:rPr>
        <w:tab/>
        <w:t>Information System for Zoonotic and Emerging Infectious Disease</w:t>
      </w:r>
    </w:p>
    <w:p w14:paraId="7FE2D98E" w14:textId="34C8463C"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SKDR</w:t>
      </w:r>
      <w:r w:rsidRPr="0079317C">
        <w:rPr>
          <w:rFonts w:cstheme="minorHAnsi"/>
          <w:sz w:val="20"/>
          <w:szCs w:val="20"/>
        </w:rPr>
        <w:tab/>
      </w:r>
      <w:proofErr w:type="spellStart"/>
      <w:r w:rsidRPr="0079317C">
        <w:rPr>
          <w:rFonts w:cstheme="minorHAnsi"/>
          <w:i/>
          <w:iCs/>
          <w:sz w:val="20"/>
          <w:szCs w:val="20"/>
        </w:rPr>
        <w:t>Sistem</w:t>
      </w:r>
      <w:proofErr w:type="spellEnd"/>
      <w:r w:rsidRPr="0079317C">
        <w:rPr>
          <w:rFonts w:cstheme="minorHAnsi"/>
          <w:i/>
          <w:iCs/>
          <w:sz w:val="20"/>
          <w:szCs w:val="20"/>
        </w:rPr>
        <w:t xml:space="preserve"> </w:t>
      </w:r>
      <w:proofErr w:type="spellStart"/>
      <w:r w:rsidRPr="0079317C">
        <w:rPr>
          <w:rFonts w:cstheme="minorHAnsi"/>
          <w:i/>
          <w:iCs/>
          <w:sz w:val="20"/>
          <w:szCs w:val="20"/>
        </w:rPr>
        <w:t>Kewaspadaan</w:t>
      </w:r>
      <w:proofErr w:type="spellEnd"/>
      <w:r w:rsidRPr="0079317C">
        <w:rPr>
          <w:rFonts w:cstheme="minorHAnsi"/>
          <w:i/>
          <w:iCs/>
          <w:sz w:val="20"/>
          <w:szCs w:val="20"/>
        </w:rPr>
        <w:t xml:space="preserve"> Dini dan </w:t>
      </w:r>
      <w:proofErr w:type="spellStart"/>
      <w:r w:rsidRPr="0079317C">
        <w:rPr>
          <w:rFonts w:cstheme="minorHAnsi"/>
          <w:i/>
          <w:iCs/>
          <w:sz w:val="20"/>
          <w:szCs w:val="20"/>
        </w:rPr>
        <w:t>Respon</w:t>
      </w:r>
      <w:proofErr w:type="spellEnd"/>
      <w:r w:rsidRPr="0079317C">
        <w:rPr>
          <w:rFonts w:cstheme="minorHAnsi"/>
          <w:sz w:val="20"/>
          <w:szCs w:val="20"/>
        </w:rPr>
        <w:t xml:space="preserve"> (Early Warning and Response System </w:t>
      </w:r>
      <w:r w:rsidR="00D8360A">
        <w:rPr>
          <w:rFonts w:cstheme="minorHAnsi"/>
          <w:sz w:val="20"/>
          <w:szCs w:val="20"/>
        </w:rPr>
        <w:t>–</w:t>
      </w:r>
      <w:r w:rsidRPr="0079317C">
        <w:rPr>
          <w:rFonts w:cstheme="minorHAnsi"/>
          <w:sz w:val="20"/>
          <w:szCs w:val="20"/>
        </w:rPr>
        <w:t xml:space="preserve"> EWARS)</w:t>
      </w:r>
    </w:p>
    <w:p w14:paraId="53475326"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SOP</w:t>
      </w:r>
      <w:r w:rsidRPr="0079317C">
        <w:rPr>
          <w:rFonts w:cstheme="minorHAnsi"/>
          <w:sz w:val="20"/>
          <w:szCs w:val="20"/>
        </w:rPr>
        <w:tab/>
        <w:t>Standard Operating Procedure</w:t>
      </w:r>
    </w:p>
    <w:p w14:paraId="0B90BD3F" w14:textId="62478557" w:rsidR="004008A3" w:rsidRPr="0079317C" w:rsidRDefault="004008A3" w:rsidP="00610B08">
      <w:pPr>
        <w:pStyle w:val="BodyText"/>
        <w:ind w:left="1134" w:right="-330" w:hanging="1418"/>
        <w:contextualSpacing/>
        <w:rPr>
          <w:rFonts w:cstheme="minorHAnsi"/>
          <w:sz w:val="20"/>
          <w:szCs w:val="20"/>
        </w:rPr>
      </w:pPr>
      <w:r w:rsidRPr="0079317C">
        <w:rPr>
          <w:rFonts w:cstheme="minorHAnsi"/>
          <w:sz w:val="20"/>
          <w:szCs w:val="20"/>
        </w:rPr>
        <w:t>TA</w:t>
      </w:r>
      <w:r w:rsidRPr="0079317C">
        <w:rPr>
          <w:rFonts w:cstheme="minorHAnsi"/>
          <w:sz w:val="20"/>
          <w:szCs w:val="20"/>
        </w:rPr>
        <w:tab/>
        <w:t>Thematic area (in the AIHSP MERLA Framework)</w:t>
      </w:r>
    </w:p>
    <w:p w14:paraId="7091FB12" w14:textId="0E3B1491"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TAD</w:t>
      </w:r>
      <w:r w:rsidRPr="0079317C">
        <w:rPr>
          <w:rFonts w:cstheme="minorHAnsi"/>
          <w:sz w:val="20"/>
          <w:szCs w:val="20"/>
        </w:rPr>
        <w:tab/>
        <w:t>Transboundary Animal Disease</w:t>
      </w:r>
    </w:p>
    <w:p w14:paraId="2E70333A" w14:textId="55B6DDAD"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TOT</w:t>
      </w:r>
      <w:r w:rsidRPr="0079317C">
        <w:rPr>
          <w:rFonts w:cstheme="minorHAnsi"/>
          <w:sz w:val="20"/>
          <w:szCs w:val="20"/>
        </w:rPr>
        <w:tab/>
        <w:t xml:space="preserve">Training of </w:t>
      </w:r>
      <w:r w:rsidR="00B301DC">
        <w:rPr>
          <w:rFonts w:cstheme="minorHAnsi"/>
          <w:sz w:val="20"/>
          <w:szCs w:val="20"/>
        </w:rPr>
        <w:t>t</w:t>
      </w:r>
      <w:r w:rsidRPr="0079317C">
        <w:rPr>
          <w:rFonts w:cstheme="minorHAnsi"/>
          <w:sz w:val="20"/>
          <w:szCs w:val="20"/>
        </w:rPr>
        <w:t>rainers</w:t>
      </w:r>
    </w:p>
    <w:p w14:paraId="2169F5AA" w14:textId="0422E404"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TWG</w:t>
      </w:r>
      <w:r w:rsidRPr="0079317C">
        <w:rPr>
          <w:rFonts w:cstheme="minorHAnsi"/>
          <w:sz w:val="20"/>
          <w:szCs w:val="20"/>
        </w:rPr>
        <w:tab/>
        <w:t xml:space="preserve">Technical </w:t>
      </w:r>
      <w:r w:rsidR="00B301DC">
        <w:rPr>
          <w:rFonts w:cstheme="minorHAnsi"/>
          <w:sz w:val="20"/>
          <w:szCs w:val="20"/>
        </w:rPr>
        <w:t>w</w:t>
      </w:r>
      <w:r w:rsidRPr="0079317C">
        <w:rPr>
          <w:rFonts w:cstheme="minorHAnsi"/>
          <w:sz w:val="20"/>
          <w:szCs w:val="20"/>
        </w:rPr>
        <w:t xml:space="preserve">orking </w:t>
      </w:r>
      <w:r w:rsidR="00B301DC">
        <w:rPr>
          <w:rFonts w:cstheme="minorHAnsi"/>
          <w:sz w:val="20"/>
          <w:szCs w:val="20"/>
        </w:rPr>
        <w:t>g</w:t>
      </w:r>
      <w:r w:rsidRPr="0079317C">
        <w:rPr>
          <w:rFonts w:cstheme="minorHAnsi"/>
          <w:sz w:val="20"/>
          <w:szCs w:val="20"/>
        </w:rPr>
        <w:t>roup</w:t>
      </w:r>
    </w:p>
    <w:p w14:paraId="408DF4D2" w14:textId="67A440EF" w:rsidR="00610B08" w:rsidRDefault="00610B08" w:rsidP="00610B08">
      <w:pPr>
        <w:pStyle w:val="BodyText"/>
        <w:ind w:left="1134" w:right="-330" w:hanging="1418"/>
        <w:contextualSpacing/>
        <w:rPr>
          <w:rFonts w:cstheme="minorHAnsi"/>
          <w:sz w:val="20"/>
          <w:szCs w:val="20"/>
        </w:rPr>
      </w:pPr>
      <w:r>
        <w:rPr>
          <w:rFonts w:cstheme="minorHAnsi"/>
          <w:sz w:val="20"/>
          <w:szCs w:val="20"/>
        </w:rPr>
        <w:t>TZG</w:t>
      </w:r>
      <w:r>
        <w:rPr>
          <w:rFonts w:cstheme="minorHAnsi"/>
          <w:sz w:val="20"/>
          <w:szCs w:val="20"/>
        </w:rPr>
        <w:tab/>
        <w:t>Tripartite Zoonoses Guide</w:t>
      </w:r>
    </w:p>
    <w:p w14:paraId="2EE680B6" w14:textId="6D8FCBE5"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UNICEF</w:t>
      </w:r>
      <w:r w:rsidRPr="0079317C">
        <w:rPr>
          <w:rFonts w:cstheme="minorHAnsi"/>
          <w:sz w:val="20"/>
          <w:szCs w:val="20"/>
        </w:rPr>
        <w:tab/>
        <w:t>United Nations Children’s Fund</w:t>
      </w:r>
    </w:p>
    <w:p w14:paraId="563A1DC5"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VAHSI</w:t>
      </w:r>
      <w:r w:rsidRPr="0079317C">
        <w:rPr>
          <w:rFonts w:cstheme="minorHAnsi"/>
          <w:sz w:val="20"/>
          <w:szCs w:val="20"/>
        </w:rPr>
        <w:tab/>
        <w:t>DFAT’s Vaccines Access and Health Security Initiative</w:t>
      </w:r>
    </w:p>
    <w:p w14:paraId="1C54E278" w14:textId="513B0844" w:rsidR="002E1DB0" w:rsidRPr="0079317C" w:rsidRDefault="002E1DB0" w:rsidP="00610B08">
      <w:pPr>
        <w:pStyle w:val="BodyText"/>
        <w:ind w:left="1134" w:right="-330" w:hanging="1418"/>
        <w:contextualSpacing/>
        <w:rPr>
          <w:rFonts w:cstheme="minorHAnsi"/>
          <w:sz w:val="20"/>
          <w:szCs w:val="20"/>
        </w:rPr>
      </w:pPr>
      <w:r w:rsidRPr="0079317C">
        <w:rPr>
          <w:rFonts w:cstheme="minorHAnsi"/>
          <w:color w:val="000000" w:themeColor="text1"/>
          <w:sz w:val="20"/>
          <w:szCs w:val="20"/>
        </w:rPr>
        <w:t>VIRAT/VRAF 2.0</w:t>
      </w:r>
      <w:r w:rsidRPr="0079317C">
        <w:rPr>
          <w:rFonts w:cstheme="minorHAnsi"/>
          <w:sz w:val="20"/>
          <w:szCs w:val="20"/>
        </w:rPr>
        <w:tab/>
      </w:r>
      <w:r w:rsidRPr="0079317C">
        <w:rPr>
          <w:rFonts w:cstheme="minorHAnsi"/>
          <w:color w:val="000000" w:themeColor="text1"/>
          <w:sz w:val="20"/>
          <w:szCs w:val="20"/>
        </w:rPr>
        <w:t xml:space="preserve">WHO’s </w:t>
      </w:r>
      <w:r w:rsidRPr="0079317C">
        <w:rPr>
          <w:rFonts w:cstheme="minorHAnsi"/>
          <w:color w:val="000000" w:themeColor="text1"/>
          <w:sz w:val="20"/>
          <w:szCs w:val="20"/>
          <w:shd w:val="clear" w:color="auto" w:fill="FFFFFF"/>
        </w:rPr>
        <w:t>Vaccine </w:t>
      </w:r>
      <w:r w:rsidRPr="0079317C">
        <w:rPr>
          <w:rStyle w:val="Emphasis"/>
          <w:rFonts w:cstheme="minorHAnsi"/>
          <w:i w:val="0"/>
          <w:iCs w:val="0"/>
          <w:color w:val="000000" w:themeColor="text1"/>
          <w:sz w:val="20"/>
          <w:szCs w:val="20"/>
          <w:shd w:val="clear" w:color="auto" w:fill="FFFFFF"/>
        </w:rPr>
        <w:t>Introduction Readiness Assessment</w:t>
      </w:r>
      <w:r w:rsidRPr="0079317C">
        <w:rPr>
          <w:rFonts w:cstheme="minorHAnsi"/>
          <w:color w:val="000000" w:themeColor="text1"/>
          <w:sz w:val="20"/>
          <w:szCs w:val="20"/>
          <w:shd w:val="clear" w:color="auto" w:fill="FFFFFF"/>
        </w:rPr>
        <w:t> Tool</w:t>
      </w:r>
      <w:r w:rsidR="00610B08">
        <w:rPr>
          <w:rFonts w:cstheme="minorHAnsi"/>
          <w:color w:val="000000" w:themeColor="text1"/>
          <w:sz w:val="20"/>
          <w:szCs w:val="20"/>
          <w:shd w:val="clear" w:color="auto" w:fill="FFFFFF"/>
        </w:rPr>
        <w:t>/</w:t>
      </w:r>
      <w:r w:rsidRPr="0079317C">
        <w:rPr>
          <w:rFonts w:cstheme="minorHAnsi"/>
          <w:color w:val="000000" w:themeColor="text1"/>
          <w:sz w:val="20"/>
          <w:szCs w:val="20"/>
        </w:rPr>
        <w:t xml:space="preserve">World Bank’s Vaccine Readiness Assessment Framework </w:t>
      </w:r>
    </w:p>
    <w:p w14:paraId="0E94E483" w14:textId="0680F573"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VSB</w:t>
      </w:r>
      <w:r w:rsidRPr="0079317C">
        <w:rPr>
          <w:rFonts w:cstheme="minorHAnsi"/>
          <w:sz w:val="20"/>
          <w:szCs w:val="20"/>
        </w:rPr>
        <w:tab/>
        <w:t>Veterinary Statutory Body</w:t>
      </w:r>
    </w:p>
    <w:p w14:paraId="3F9E4C37" w14:textId="7DE34526"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WGS</w:t>
      </w:r>
      <w:r w:rsidRPr="0079317C">
        <w:rPr>
          <w:rFonts w:cstheme="minorHAnsi"/>
          <w:sz w:val="20"/>
          <w:szCs w:val="20"/>
        </w:rPr>
        <w:tab/>
        <w:t xml:space="preserve">Whole </w:t>
      </w:r>
      <w:r w:rsidR="00B301DC">
        <w:rPr>
          <w:rFonts w:cstheme="minorHAnsi"/>
          <w:sz w:val="20"/>
          <w:szCs w:val="20"/>
        </w:rPr>
        <w:t>g</w:t>
      </w:r>
      <w:r w:rsidRPr="0079317C">
        <w:rPr>
          <w:rFonts w:cstheme="minorHAnsi"/>
          <w:sz w:val="20"/>
          <w:szCs w:val="20"/>
        </w:rPr>
        <w:t xml:space="preserve">enome </w:t>
      </w:r>
      <w:r w:rsidR="00B301DC">
        <w:rPr>
          <w:rFonts w:cstheme="minorHAnsi"/>
          <w:sz w:val="20"/>
          <w:szCs w:val="20"/>
        </w:rPr>
        <w:t>s</w:t>
      </w:r>
      <w:r w:rsidRPr="0079317C">
        <w:rPr>
          <w:rFonts w:cstheme="minorHAnsi"/>
          <w:sz w:val="20"/>
          <w:szCs w:val="20"/>
        </w:rPr>
        <w:t>equencing</w:t>
      </w:r>
    </w:p>
    <w:p w14:paraId="36DEBB17" w14:textId="77777777" w:rsidR="00252C83" w:rsidRPr="0079317C" w:rsidRDefault="00252C83" w:rsidP="00610B08">
      <w:pPr>
        <w:pStyle w:val="BodyText"/>
        <w:ind w:left="1134" w:right="-330" w:hanging="1418"/>
        <w:contextualSpacing/>
        <w:rPr>
          <w:rFonts w:cstheme="minorHAnsi"/>
          <w:sz w:val="20"/>
          <w:szCs w:val="20"/>
        </w:rPr>
      </w:pPr>
      <w:r w:rsidRPr="0079317C">
        <w:rPr>
          <w:rFonts w:cstheme="minorHAnsi"/>
          <w:sz w:val="20"/>
          <w:szCs w:val="20"/>
        </w:rPr>
        <w:t>WHO</w:t>
      </w:r>
      <w:r w:rsidRPr="0079317C">
        <w:rPr>
          <w:rFonts w:cstheme="minorHAnsi"/>
          <w:sz w:val="20"/>
          <w:szCs w:val="20"/>
        </w:rPr>
        <w:tab/>
        <w:t>World Health Organisation</w:t>
      </w:r>
    </w:p>
    <w:p w14:paraId="1281920B" w14:textId="77777777" w:rsidR="000D1531" w:rsidRDefault="00252C83" w:rsidP="000D1531">
      <w:pPr>
        <w:pStyle w:val="BodyText"/>
        <w:ind w:left="1134" w:right="-330" w:hanging="1418"/>
        <w:contextualSpacing/>
        <w:rPr>
          <w:rFonts w:cstheme="minorHAnsi"/>
          <w:sz w:val="20"/>
          <w:szCs w:val="20"/>
        </w:rPr>
      </w:pPr>
      <w:r w:rsidRPr="0079317C">
        <w:rPr>
          <w:rFonts w:cstheme="minorHAnsi"/>
          <w:sz w:val="20"/>
          <w:szCs w:val="20"/>
        </w:rPr>
        <w:t>WOAH</w:t>
      </w:r>
      <w:r w:rsidRPr="0079317C">
        <w:rPr>
          <w:rFonts w:cstheme="minorHAnsi"/>
          <w:sz w:val="20"/>
          <w:szCs w:val="20"/>
        </w:rPr>
        <w:tab/>
        <w:t>World Organisation for Animal Health (formerly OIE)</w:t>
      </w:r>
    </w:p>
    <w:p w14:paraId="0A41BD61" w14:textId="77777777" w:rsidR="000D1531" w:rsidRDefault="000D1531" w:rsidP="000D1531">
      <w:pPr>
        <w:pStyle w:val="BodyText"/>
        <w:ind w:left="1134" w:right="-330" w:hanging="1418"/>
        <w:contextualSpacing/>
        <w:rPr>
          <w:rFonts w:cstheme="minorHAnsi"/>
          <w:sz w:val="20"/>
          <w:szCs w:val="20"/>
        </w:rPr>
      </w:pPr>
    </w:p>
    <w:p w14:paraId="49E00DAA" w14:textId="77777777" w:rsidR="000D1531" w:rsidRDefault="000D1531" w:rsidP="000D1531">
      <w:pPr>
        <w:pStyle w:val="BodyText"/>
        <w:ind w:left="1134" w:right="-330" w:hanging="1418"/>
        <w:contextualSpacing/>
        <w:rPr>
          <w:i/>
          <w:iCs/>
          <w:sz w:val="16"/>
          <w:szCs w:val="16"/>
        </w:rPr>
      </w:pPr>
    </w:p>
    <w:p w14:paraId="013D6A28" w14:textId="2DCEF48E" w:rsidR="00252C83" w:rsidRPr="000D1531" w:rsidRDefault="000D1531" w:rsidP="000D1531">
      <w:pPr>
        <w:pStyle w:val="BodyText"/>
        <w:ind w:left="1134" w:right="-330" w:hanging="1418"/>
        <w:contextualSpacing/>
        <w:rPr>
          <w:rFonts w:asciiTheme="majorHAnsi" w:eastAsiaTheme="majorEastAsia" w:hAnsiTheme="majorHAnsi" w:cstheme="majorBidi"/>
          <w:i/>
          <w:iCs/>
          <w:color w:val="2F5496" w:themeColor="accent1" w:themeShade="BF"/>
          <w:sz w:val="16"/>
          <w:szCs w:val="16"/>
        </w:rPr>
      </w:pPr>
      <w:r w:rsidRPr="000D1531">
        <w:rPr>
          <w:i/>
          <w:iCs/>
          <w:sz w:val="16"/>
          <w:szCs w:val="16"/>
        </w:rPr>
        <w:t>Cover photo courtesy of the Australia Indonesia Health Security Partnership</w:t>
      </w:r>
    </w:p>
    <w:p w14:paraId="179ADCD0" w14:textId="77777777" w:rsidR="00C00C4C" w:rsidRPr="00C00C4C" w:rsidRDefault="00131C30" w:rsidP="00C00C4C">
      <w:pPr>
        <w:pStyle w:val="TOCHeading"/>
        <w:outlineLvl w:val="0"/>
        <w:rPr>
          <w:sz w:val="32"/>
        </w:rPr>
      </w:pPr>
      <w:bookmarkStart w:id="3" w:name="_Toc132584519"/>
      <w:bookmarkStart w:id="4" w:name="_Toc135837376"/>
      <w:r w:rsidRPr="00C00C4C">
        <w:rPr>
          <w:sz w:val="32"/>
        </w:rPr>
        <w:lastRenderedPageBreak/>
        <w:t>Table of Contents</w:t>
      </w:r>
      <w:bookmarkStart w:id="5" w:name="_Hlk135837374"/>
      <w:bookmarkEnd w:id="3"/>
      <w:bookmarkEnd w:id="4"/>
    </w:p>
    <w:sdt>
      <w:sdtPr>
        <w:rPr>
          <w:rFonts w:asciiTheme="minorHAnsi" w:eastAsiaTheme="minorHAnsi" w:hAnsiTheme="minorHAnsi" w:cstheme="minorBidi"/>
          <w:color w:val="auto"/>
          <w:sz w:val="22"/>
          <w:szCs w:val="22"/>
          <w:shd w:val="clear" w:color="auto" w:fill="E6E6E6"/>
        </w:rPr>
        <w:id w:val="1566846185"/>
        <w:docPartObj>
          <w:docPartGallery w:val="Table of Contents"/>
          <w:docPartUnique/>
        </w:docPartObj>
      </w:sdtPr>
      <w:sdtEndPr>
        <w:rPr>
          <w:b/>
          <w:bCs/>
          <w:noProof/>
        </w:rPr>
      </w:sdtEndPr>
      <w:sdtContent>
        <w:p w14:paraId="5206ECCA" w14:textId="5B31912A" w:rsidR="00B8546D" w:rsidRPr="004513F3" w:rsidRDefault="00B8546D" w:rsidP="00C00C4C">
          <w:pPr>
            <w:pStyle w:val="Heading1"/>
            <w:rPr>
              <w:sz w:val="8"/>
              <w:szCs w:val="4"/>
            </w:rPr>
          </w:pPr>
        </w:p>
        <w:bookmarkStart w:id="6" w:name="_Hlk137651059"/>
        <w:p w14:paraId="5F49D9E5" w14:textId="57F61C12" w:rsidR="00B40B37" w:rsidRDefault="00B8546D">
          <w:pPr>
            <w:pStyle w:val="TOC1"/>
            <w:tabs>
              <w:tab w:val="right" w:leader="dot" w:pos="9016"/>
            </w:tabs>
            <w:rPr>
              <w:rFonts w:eastAsiaTheme="minorEastAsia" w:cstheme="minorBidi"/>
              <w:b w:val="0"/>
              <w:bCs w:val="0"/>
              <w:caps w:val="0"/>
              <w:noProof/>
              <w:kern w:val="2"/>
              <w:sz w:val="22"/>
              <w:szCs w:val="22"/>
              <w:lang w:val="en-ID" w:eastAsia="en-ID"/>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5837377" w:history="1">
            <w:r w:rsidR="00B40B37" w:rsidRPr="00DF7ED6">
              <w:rPr>
                <w:rStyle w:val="Hyperlink"/>
                <w:noProof/>
              </w:rPr>
              <w:t>Executive Summary</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_Toc135837377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4</w:t>
            </w:r>
            <w:r w:rsidR="00B40B37">
              <w:rPr>
                <w:noProof/>
                <w:webHidden/>
                <w:color w:val="2B579A"/>
                <w:shd w:val="clear" w:color="auto" w:fill="E6E6E6"/>
              </w:rPr>
              <w:fldChar w:fldCharType="end"/>
            </w:r>
          </w:hyperlink>
        </w:p>
        <w:p w14:paraId="2F39207A" w14:textId="2C147EB6" w:rsidR="00B40B37" w:rsidRPr="00C00C4C" w:rsidRDefault="005D623B">
          <w:pPr>
            <w:pStyle w:val="TOC2"/>
            <w:rPr>
              <w:rFonts w:eastAsiaTheme="minorEastAsia" w:cstheme="minorBidi"/>
              <w:smallCaps w:val="0"/>
              <w:color w:val="auto"/>
              <w:kern w:val="2"/>
              <w:sz w:val="22"/>
              <w:szCs w:val="22"/>
              <w:lang w:val="en-ID" w:eastAsia="en-ID"/>
              <w14:ligatures w14:val="standardContextual"/>
            </w:rPr>
          </w:pPr>
          <w:hyperlink w:anchor="_Toc135837378" w:history="1">
            <w:r w:rsidR="00B40B37" w:rsidRPr="00C00C4C">
              <w:rPr>
                <w:rStyle w:val="Hyperlink"/>
                <w:u w:val="none"/>
              </w:rPr>
              <w:t>Introduction</w:t>
            </w:r>
            <w:r w:rsidR="00B40B37" w:rsidRPr="00C00C4C">
              <w:rPr>
                <w:webHidden/>
              </w:rPr>
              <w:tab/>
            </w:r>
            <w:r w:rsidR="00B40B37" w:rsidRPr="00C00C4C">
              <w:rPr>
                <w:webHidden/>
                <w:color w:val="2B579A"/>
                <w:shd w:val="clear" w:color="auto" w:fill="E6E6E6"/>
              </w:rPr>
              <w:fldChar w:fldCharType="begin"/>
            </w:r>
            <w:r w:rsidR="00B40B37" w:rsidRPr="00C00C4C">
              <w:rPr>
                <w:webHidden/>
              </w:rPr>
              <w:instrText xml:space="preserve"> PAGEREF _Toc135837378 \h </w:instrText>
            </w:r>
            <w:r w:rsidR="00B40B37" w:rsidRPr="00C00C4C">
              <w:rPr>
                <w:webHidden/>
                <w:color w:val="2B579A"/>
                <w:shd w:val="clear" w:color="auto" w:fill="E6E6E6"/>
              </w:rPr>
            </w:r>
            <w:r w:rsidR="00B40B37" w:rsidRPr="00C00C4C">
              <w:rPr>
                <w:webHidden/>
                <w:color w:val="2B579A"/>
                <w:shd w:val="clear" w:color="auto" w:fill="E6E6E6"/>
              </w:rPr>
              <w:fldChar w:fldCharType="separate"/>
            </w:r>
            <w:r w:rsidR="000B12F0">
              <w:rPr>
                <w:webHidden/>
              </w:rPr>
              <w:t>4</w:t>
            </w:r>
            <w:r w:rsidR="00B40B37" w:rsidRPr="00C00C4C">
              <w:rPr>
                <w:webHidden/>
                <w:color w:val="2B579A"/>
                <w:shd w:val="clear" w:color="auto" w:fill="E6E6E6"/>
              </w:rPr>
              <w:fldChar w:fldCharType="end"/>
            </w:r>
          </w:hyperlink>
        </w:p>
        <w:p w14:paraId="3D9FB80B" w14:textId="0FCE49E8" w:rsidR="00B40B37" w:rsidRPr="00C00C4C" w:rsidRDefault="005D623B">
          <w:pPr>
            <w:pStyle w:val="TOC2"/>
            <w:rPr>
              <w:rFonts w:eastAsiaTheme="minorEastAsia" w:cstheme="minorBidi"/>
              <w:smallCaps w:val="0"/>
              <w:kern w:val="2"/>
              <w:sz w:val="22"/>
              <w:szCs w:val="22"/>
              <w:lang w:val="en-ID" w:eastAsia="en-ID"/>
              <w14:ligatures w14:val="standardContextual"/>
            </w:rPr>
          </w:pPr>
          <w:hyperlink w:anchor="_Toc135837379" w:history="1">
            <w:r w:rsidR="00B40B37" w:rsidRPr="00C00C4C">
              <w:rPr>
                <w:rStyle w:val="Hyperlink"/>
                <w:color w:val="000000" w:themeColor="text1"/>
                <w:u w:val="none"/>
              </w:rPr>
              <w:t>The results</w:t>
            </w:r>
            <w:r w:rsidR="00B40B37" w:rsidRPr="00C00C4C">
              <w:rPr>
                <w:webHidden/>
              </w:rPr>
              <w:tab/>
            </w:r>
            <w:r w:rsidR="00B40B37" w:rsidRPr="00C00C4C">
              <w:rPr>
                <w:webHidden/>
                <w:color w:val="2B579A"/>
                <w:shd w:val="clear" w:color="auto" w:fill="E6E6E6"/>
              </w:rPr>
              <w:fldChar w:fldCharType="begin"/>
            </w:r>
            <w:r w:rsidR="00B40B37" w:rsidRPr="00C00C4C">
              <w:rPr>
                <w:webHidden/>
              </w:rPr>
              <w:instrText xml:space="preserve"> PAGEREF _Toc135837379 \h </w:instrText>
            </w:r>
            <w:r w:rsidR="00B40B37" w:rsidRPr="00C00C4C">
              <w:rPr>
                <w:webHidden/>
                <w:color w:val="2B579A"/>
                <w:shd w:val="clear" w:color="auto" w:fill="E6E6E6"/>
              </w:rPr>
            </w:r>
            <w:r w:rsidR="00B40B37" w:rsidRPr="00C00C4C">
              <w:rPr>
                <w:webHidden/>
                <w:color w:val="2B579A"/>
                <w:shd w:val="clear" w:color="auto" w:fill="E6E6E6"/>
              </w:rPr>
              <w:fldChar w:fldCharType="separate"/>
            </w:r>
            <w:r w:rsidR="000B12F0">
              <w:rPr>
                <w:webHidden/>
              </w:rPr>
              <w:t>4</w:t>
            </w:r>
            <w:r w:rsidR="00B40B37" w:rsidRPr="00C00C4C">
              <w:rPr>
                <w:webHidden/>
                <w:color w:val="2B579A"/>
                <w:shd w:val="clear" w:color="auto" w:fill="E6E6E6"/>
              </w:rPr>
              <w:fldChar w:fldCharType="end"/>
            </w:r>
          </w:hyperlink>
        </w:p>
        <w:p w14:paraId="2189F966" w14:textId="4F5D0446" w:rsidR="00B40B37" w:rsidRPr="00C00C4C" w:rsidRDefault="005D623B">
          <w:pPr>
            <w:pStyle w:val="TOC2"/>
            <w:rPr>
              <w:rFonts w:eastAsiaTheme="minorEastAsia" w:cstheme="minorBidi"/>
              <w:smallCaps w:val="0"/>
              <w:color w:val="auto"/>
              <w:kern w:val="2"/>
              <w:sz w:val="22"/>
              <w:szCs w:val="22"/>
              <w:lang w:val="en-ID" w:eastAsia="en-ID"/>
              <w14:ligatures w14:val="standardContextual"/>
            </w:rPr>
          </w:pPr>
          <w:hyperlink w:anchor="_Toc135837385" w:history="1">
            <w:r w:rsidR="00B40B37" w:rsidRPr="00C00C4C">
              <w:rPr>
                <w:rStyle w:val="Hyperlink"/>
                <w:rFonts w:cstheme="majorHAnsi"/>
                <w:u w:val="none"/>
              </w:rPr>
              <w:t>Future considerations and recommendations</w:t>
            </w:r>
            <w:r w:rsidR="00B40B37" w:rsidRPr="00C00C4C">
              <w:rPr>
                <w:webHidden/>
              </w:rPr>
              <w:tab/>
            </w:r>
            <w:r w:rsidR="00B40B37" w:rsidRPr="00C00C4C">
              <w:rPr>
                <w:webHidden/>
                <w:color w:val="2B579A"/>
                <w:shd w:val="clear" w:color="auto" w:fill="E6E6E6"/>
              </w:rPr>
              <w:fldChar w:fldCharType="begin"/>
            </w:r>
            <w:r w:rsidR="00B40B37" w:rsidRPr="00C00C4C">
              <w:rPr>
                <w:webHidden/>
              </w:rPr>
              <w:instrText xml:space="preserve"> PAGEREF _Toc135837385 \h </w:instrText>
            </w:r>
            <w:r w:rsidR="00B40B37" w:rsidRPr="00C00C4C">
              <w:rPr>
                <w:webHidden/>
                <w:color w:val="2B579A"/>
                <w:shd w:val="clear" w:color="auto" w:fill="E6E6E6"/>
              </w:rPr>
            </w:r>
            <w:r w:rsidR="00B40B37" w:rsidRPr="00C00C4C">
              <w:rPr>
                <w:webHidden/>
                <w:color w:val="2B579A"/>
                <w:shd w:val="clear" w:color="auto" w:fill="E6E6E6"/>
              </w:rPr>
              <w:fldChar w:fldCharType="separate"/>
            </w:r>
            <w:r w:rsidR="000B12F0">
              <w:rPr>
                <w:webHidden/>
              </w:rPr>
              <w:t>7</w:t>
            </w:r>
            <w:r w:rsidR="00B40B37" w:rsidRPr="00C00C4C">
              <w:rPr>
                <w:webHidden/>
                <w:color w:val="2B579A"/>
                <w:shd w:val="clear" w:color="auto" w:fill="E6E6E6"/>
              </w:rPr>
              <w:fldChar w:fldCharType="end"/>
            </w:r>
          </w:hyperlink>
        </w:p>
        <w:p w14:paraId="31C46B2F" w14:textId="2022C617"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390" w:history="1">
            <w:r w:rsidR="00B40B37" w:rsidRPr="00DF7ED6">
              <w:rPr>
                <w:rStyle w:val="Hyperlink"/>
                <w:noProof/>
              </w:rPr>
              <w:t>1.</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Introduction</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_Toc135837390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9</w:t>
            </w:r>
            <w:r w:rsidR="00B40B37">
              <w:rPr>
                <w:noProof/>
                <w:webHidden/>
                <w:color w:val="2B579A"/>
                <w:shd w:val="clear" w:color="auto" w:fill="E6E6E6"/>
              </w:rPr>
              <w:fldChar w:fldCharType="end"/>
            </w:r>
          </w:hyperlink>
        </w:p>
        <w:p w14:paraId="5750C03E" w14:textId="6837EB4B"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391" w:history="1">
            <w:r w:rsidR="00B40B37" w:rsidRPr="00DF7ED6">
              <w:rPr>
                <w:rStyle w:val="Hyperlink"/>
              </w:rPr>
              <w:t>1.1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Key Evaluation Questions and Methodology</w:t>
            </w:r>
            <w:r w:rsidR="00B40B37">
              <w:rPr>
                <w:webHidden/>
              </w:rPr>
              <w:tab/>
            </w:r>
            <w:r w:rsidR="00B40B37">
              <w:rPr>
                <w:webHidden/>
                <w:color w:val="2B579A"/>
                <w:shd w:val="clear" w:color="auto" w:fill="E6E6E6"/>
              </w:rPr>
              <w:fldChar w:fldCharType="begin"/>
            </w:r>
            <w:r w:rsidR="00B40B37">
              <w:rPr>
                <w:webHidden/>
              </w:rPr>
              <w:instrText xml:space="preserve"> PAGEREF _Toc135837391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9</w:t>
            </w:r>
            <w:r w:rsidR="00B40B37">
              <w:rPr>
                <w:webHidden/>
                <w:color w:val="2B579A"/>
                <w:shd w:val="clear" w:color="auto" w:fill="E6E6E6"/>
              </w:rPr>
              <w:fldChar w:fldCharType="end"/>
            </w:r>
          </w:hyperlink>
        </w:p>
        <w:p w14:paraId="058E2DA9" w14:textId="72583C8E"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395" w:history="1">
            <w:r w:rsidR="00B40B37" w:rsidRPr="00DF7ED6">
              <w:rPr>
                <w:rStyle w:val="Hyperlink"/>
                <w:noProof/>
              </w:rPr>
              <w:t>2.</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Overall context</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_Toc135837395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11</w:t>
            </w:r>
            <w:r w:rsidR="00B40B37">
              <w:rPr>
                <w:noProof/>
                <w:webHidden/>
                <w:color w:val="2B579A"/>
                <w:shd w:val="clear" w:color="auto" w:fill="E6E6E6"/>
              </w:rPr>
              <w:fldChar w:fldCharType="end"/>
            </w:r>
          </w:hyperlink>
        </w:p>
        <w:p w14:paraId="3A7A5E5F" w14:textId="31F566B2"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396" w:history="1">
            <w:r w:rsidR="00B40B37" w:rsidRPr="00DF7ED6">
              <w:rPr>
                <w:rStyle w:val="Hyperlink"/>
              </w:rPr>
              <w:t>2.1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Relevance of AIHSP</w:t>
            </w:r>
            <w:r w:rsidR="00B40B37">
              <w:rPr>
                <w:webHidden/>
              </w:rPr>
              <w:tab/>
            </w:r>
            <w:r w:rsidR="00B40B37">
              <w:rPr>
                <w:webHidden/>
                <w:color w:val="2B579A"/>
                <w:shd w:val="clear" w:color="auto" w:fill="E6E6E6"/>
              </w:rPr>
              <w:fldChar w:fldCharType="begin"/>
            </w:r>
            <w:r w:rsidR="00B40B37">
              <w:rPr>
                <w:webHidden/>
              </w:rPr>
              <w:instrText xml:space="preserve"> PAGEREF _Toc135837396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11</w:t>
            </w:r>
            <w:r w:rsidR="00B40B37">
              <w:rPr>
                <w:webHidden/>
                <w:color w:val="2B579A"/>
                <w:shd w:val="clear" w:color="auto" w:fill="E6E6E6"/>
              </w:rPr>
              <w:fldChar w:fldCharType="end"/>
            </w:r>
          </w:hyperlink>
        </w:p>
        <w:p w14:paraId="03834246" w14:textId="3757AEF8"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397" w:history="1">
            <w:r w:rsidR="00B40B37" w:rsidRPr="00DF7ED6">
              <w:rPr>
                <w:rStyle w:val="Hyperlink"/>
              </w:rPr>
              <w:t>2.2</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COVID-19</w:t>
            </w:r>
            <w:r w:rsidR="00B40B37">
              <w:rPr>
                <w:webHidden/>
              </w:rPr>
              <w:tab/>
            </w:r>
            <w:r w:rsidR="00B40B37">
              <w:rPr>
                <w:webHidden/>
                <w:color w:val="2B579A"/>
                <w:shd w:val="clear" w:color="auto" w:fill="E6E6E6"/>
              </w:rPr>
              <w:fldChar w:fldCharType="begin"/>
            </w:r>
            <w:r w:rsidR="00B40B37">
              <w:rPr>
                <w:webHidden/>
              </w:rPr>
              <w:instrText xml:space="preserve"> PAGEREF _Toc135837397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11</w:t>
            </w:r>
            <w:r w:rsidR="00B40B37">
              <w:rPr>
                <w:webHidden/>
                <w:color w:val="2B579A"/>
                <w:shd w:val="clear" w:color="auto" w:fill="E6E6E6"/>
              </w:rPr>
              <w:fldChar w:fldCharType="end"/>
            </w:r>
          </w:hyperlink>
        </w:p>
        <w:p w14:paraId="5D923026" w14:textId="7F370437"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398" w:history="1">
            <w:r w:rsidR="00B40B37" w:rsidRPr="00DF7ED6">
              <w:rPr>
                <w:rStyle w:val="Hyperlink"/>
              </w:rPr>
              <w:t>2.3</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MoH transformation agenda and restructure</w:t>
            </w:r>
            <w:r w:rsidR="00B40B37">
              <w:rPr>
                <w:webHidden/>
              </w:rPr>
              <w:tab/>
            </w:r>
            <w:r w:rsidR="00B40B37">
              <w:rPr>
                <w:webHidden/>
                <w:color w:val="2B579A"/>
                <w:shd w:val="clear" w:color="auto" w:fill="E6E6E6"/>
              </w:rPr>
              <w:fldChar w:fldCharType="begin"/>
            </w:r>
            <w:r w:rsidR="00B40B37">
              <w:rPr>
                <w:webHidden/>
              </w:rPr>
              <w:instrText xml:space="preserve"> PAGEREF _Toc135837398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11</w:t>
            </w:r>
            <w:r w:rsidR="00B40B37">
              <w:rPr>
                <w:webHidden/>
                <w:color w:val="2B579A"/>
                <w:shd w:val="clear" w:color="auto" w:fill="E6E6E6"/>
              </w:rPr>
              <w:fldChar w:fldCharType="end"/>
            </w:r>
          </w:hyperlink>
        </w:p>
        <w:p w14:paraId="4C4E0EE6" w14:textId="30502E83"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399" w:history="1">
            <w:r w:rsidR="00B40B37" w:rsidRPr="00DF7ED6">
              <w:rPr>
                <w:rStyle w:val="Hyperlink"/>
                <w:rFonts w:eastAsia="Calibri" w:cstheme="majorHAnsi"/>
              </w:rPr>
              <w:t>2.4</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Fonts w:eastAsia="Calibri" w:cstheme="majorHAnsi"/>
              </w:rPr>
              <w:t>Transboundary animal disease outbreaks</w:t>
            </w:r>
            <w:r w:rsidR="00B40B37">
              <w:rPr>
                <w:webHidden/>
              </w:rPr>
              <w:tab/>
            </w:r>
            <w:r w:rsidR="00B40B37">
              <w:rPr>
                <w:webHidden/>
                <w:color w:val="2B579A"/>
                <w:shd w:val="clear" w:color="auto" w:fill="E6E6E6"/>
              </w:rPr>
              <w:fldChar w:fldCharType="begin"/>
            </w:r>
            <w:r w:rsidR="00B40B37">
              <w:rPr>
                <w:webHidden/>
              </w:rPr>
              <w:instrText xml:space="preserve"> PAGEREF _Toc135837399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11</w:t>
            </w:r>
            <w:r w:rsidR="00B40B37">
              <w:rPr>
                <w:webHidden/>
                <w:color w:val="2B579A"/>
                <w:shd w:val="clear" w:color="auto" w:fill="E6E6E6"/>
              </w:rPr>
              <w:fldChar w:fldCharType="end"/>
            </w:r>
          </w:hyperlink>
        </w:p>
        <w:p w14:paraId="699E7960" w14:textId="6D362929"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00" w:history="1">
            <w:r w:rsidR="00B40B37" w:rsidRPr="00DF7ED6">
              <w:rPr>
                <w:rStyle w:val="Hyperlink"/>
                <w:rFonts w:eastAsia="Calibri" w:cstheme="majorHAnsi"/>
              </w:rPr>
              <w:t>2.5</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Fonts w:eastAsia="Calibri" w:cstheme="majorHAnsi"/>
              </w:rPr>
              <w:t>Visibility of a One Health approach</w:t>
            </w:r>
            <w:r w:rsidR="00B40B37">
              <w:rPr>
                <w:webHidden/>
              </w:rPr>
              <w:tab/>
            </w:r>
            <w:r w:rsidR="00B40B37">
              <w:rPr>
                <w:webHidden/>
                <w:color w:val="2B579A"/>
                <w:shd w:val="clear" w:color="auto" w:fill="E6E6E6"/>
              </w:rPr>
              <w:fldChar w:fldCharType="begin"/>
            </w:r>
            <w:r w:rsidR="00B40B37">
              <w:rPr>
                <w:webHidden/>
              </w:rPr>
              <w:instrText xml:space="preserve"> PAGEREF _Toc135837400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12</w:t>
            </w:r>
            <w:r w:rsidR="00B40B37">
              <w:rPr>
                <w:webHidden/>
                <w:color w:val="2B579A"/>
                <w:shd w:val="clear" w:color="auto" w:fill="E6E6E6"/>
              </w:rPr>
              <w:fldChar w:fldCharType="end"/>
            </w:r>
          </w:hyperlink>
        </w:p>
        <w:p w14:paraId="7FA34052" w14:textId="1ED0C129"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01" w:history="1">
            <w:r w:rsidR="00B40B37" w:rsidRPr="00DF7ED6">
              <w:rPr>
                <w:rStyle w:val="Hyperlink"/>
              </w:rPr>
              <w:t>2.6</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Continued Australia-Indonesia health cooperation</w:t>
            </w:r>
            <w:r w:rsidR="00B40B37">
              <w:rPr>
                <w:webHidden/>
              </w:rPr>
              <w:tab/>
            </w:r>
            <w:r w:rsidR="00B40B37">
              <w:rPr>
                <w:webHidden/>
                <w:color w:val="2B579A"/>
                <w:shd w:val="clear" w:color="auto" w:fill="E6E6E6"/>
              </w:rPr>
              <w:fldChar w:fldCharType="begin"/>
            </w:r>
            <w:r w:rsidR="00B40B37">
              <w:rPr>
                <w:webHidden/>
              </w:rPr>
              <w:instrText xml:space="preserve"> PAGEREF _Toc135837401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12</w:t>
            </w:r>
            <w:r w:rsidR="00B40B37">
              <w:rPr>
                <w:webHidden/>
                <w:color w:val="2B579A"/>
                <w:shd w:val="clear" w:color="auto" w:fill="E6E6E6"/>
              </w:rPr>
              <w:fldChar w:fldCharType="end"/>
            </w:r>
          </w:hyperlink>
        </w:p>
        <w:p w14:paraId="34E791EF" w14:textId="14E2CC4D"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402" w:history="1">
            <w:r w:rsidR="00B40B37" w:rsidRPr="00DF7ED6">
              <w:rPr>
                <w:rStyle w:val="Hyperlink"/>
                <w:noProof/>
              </w:rPr>
              <w:t>3.</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Mid-Term Review Findings</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_Toc135837402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13</w:t>
            </w:r>
            <w:r w:rsidR="00B40B37">
              <w:rPr>
                <w:noProof/>
                <w:webHidden/>
                <w:color w:val="2B579A"/>
                <w:shd w:val="clear" w:color="auto" w:fill="E6E6E6"/>
              </w:rPr>
              <w:fldChar w:fldCharType="end"/>
            </w:r>
          </w:hyperlink>
        </w:p>
        <w:p w14:paraId="32D65950" w14:textId="57DBF4F2"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03" w:history="1">
            <w:r w:rsidR="00B40B37" w:rsidRPr="00DF7ED6">
              <w:rPr>
                <w:rStyle w:val="Hyperlink"/>
              </w:rPr>
              <w:t>3.1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Progress against outcomes</w:t>
            </w:r>
            <w:r w:rsidR="00B40B37">
              <w:rPr>
                <w:webHidden/>
              </w:rPr>
              <w:tab/>
            </w:r>
            <w:r w:rsidR="00B40B37">
              <w:rPr>
                <w:webHidden/>
                <w:color w:val="2B579A"/>
                <w:shd w:val="clear" w:color="auto" w:fill="E6E6E6"/>
              </w:rPr>
              <w:fldChar w:fldCharType="begin"/>
            </w:r>
            <w:r w:rsidR="00B40B37">
              <w:rPr>
                <w:webHidden/>
              </w:rPr>
              <w:instrText xml:space="preserve"> PAGEREF _Toc135837403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13</w:t>
            </w:r>
            <w:r w:rsidR="00B40B37">
              <w:rPr>
                <w:webHidden/>
                <w:color w:val="2B579A"/>
                <w:shd w:val="clear" w:color="auto" w:fill="E6E6E6"/>
              </w:rPr>
              <w:fldChar w:fldCharType="end"/>
            </w:r>
          </w:hyperlink>
        </w:p>
        <w:p w14:paraId="3FCEB420" w14:textId="331C35C6"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420" w:history="1">
            <w:r w:rsidR="00B40B37" w:rsidRPr="00DF7ED6">
              <w:rPr>
                <w:rStyle w:val="Hyperlink"/>
                <w:noProof/>
              </w:rPr>
              <w:t>4.</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Contribution to Indonesia’s COVID-19 response</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_Toc135837420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20</w:t>
            </w:r>
            <w:r w:rsidR="00B40B37">
              <w:rPr>
                <w:noProof/>
                <w:webHidden/>
                <w:color w:val="2B579A"/>
                <w:shd w:val="clear" w:color="auto" w:fill="E6E6E6"/>
              </w:rPr>
              <w:fldChar w:fldCharType="end"/>
            </w:r>
          </w:hyperlink>
        </w:p>
        <w:p w14:paraId="77E0FD9F" w14:textId="56052766"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21" w:history="1">
            <w:r w:rsidR="00B40B37" w:rsidRPr="00DF7ED6">
              <w:rPr>
                <w:rStyle w:val="Hyperlink"/>
              </w:rPr>
              <w:t>4.1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Partners’ contribution to Indonesia’s COVID-19 response</w:t>
            </w:r>
            <w:r w:rsidR="00B40B37">
              <w:rPr>
                <w:webHidden/>
              </w:rPr>
              <w:tab/>
            </w:r>
            <w:r w:rsidR="00B40B37">
              <w:rPr>
                <w:webHidden/>
                <w:color w:val="2B579A"/>
                <w:shd w:val="clear" w:color="auto" w:fill="E6E6E6"/>
              </w:rPr>
              <w:fldChar w:fldCharType="begin"/>
            </w:r>
            <w:r w:rsidR="00B40B37">
              <w:rPr>
                <w:webHidden/>
              </w:rPr>
              <w:instrText xml:space="preserve"> PAGEREF _Toc135837421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20</w:t>
            </w:r>
            <w:r w:rsidR="00B40B37">
              <w:rPr>
                <w:webHidden/>
                <w:color w:val="2B579A"/>
                <w:shd w:val="clear" w:color="auto" w:fill="E6E6E6"/>
              </w:rPr>
              <w:fldChar w:fldCharType="end"/>
            </w:r>
          </w:hyperlink>
        </w:p>
        <w:p w14:paraId="6CD57B95" w14:textId="48ED9419"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423" w:history="1">
            <w:r w:rsidR="00B40B37" w:rsidRPr="00DF7ED6">
              <w:rPr>
                <w:rStyle w:val="Hyperlink"/>
                <w:noProof/>
              </w:rPr>
              <w:t>5.</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Strengthening health systems</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_Toc135837423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22</w:t>
            </w:r>
            <w:r w:rsidR="00B40B37">
              <w:rPr>
                <w:noProof/>
                <w:webHidden/>
                <w:color w:val="2B579A"/>
                <w:shd w:val="clear" w:color="auto" w:fill="E6E6E6"/>
              </w:rPr>
              <w:fldChar w:fldCharType="end"/>
            </w:r>
          </w:hyperlink>
        </w:p>
        <w:p w14:paraId="54F2E2E3" w14:textId="5F5129D0"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24" w:history="1">
            <w:r w:rsidR="00B40B37" w:rsidRPr="00DF7ED6">
              <w:rPr>
                <w:rStyle w:val="Hyperlink"/>
              </w:rPr>
              <w:t>5.1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Partners’ contribution to Indonesian health systems strengthening</w:t>
            </w:r>
            <w:r w:rsidR="00B40B37">
              <w:rPr>
                <w:webHidden/>
              </w:rPr>
              <w:tab/>
            </w:r>
            <w:r w:rsidR="00B40B37">
              <w:rPr>
                <w:webHidden/>
                <w:color w:val="2B579A"/>
                <w:shd w:val="clear" w:color="auto" w:fill="E6E6E6"/>
              </w:rPr>
              <w:fldChar w:fldCharType="begin"/>
            </w:r>
            <w:r w:rsidR="00B40B37">
              <w:rPr>
                <w:webHidden/>
              </w:rPr>
              <w:instrText xml:space="preserve"> PAGEREF _Toc135837424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22</w:t>
            </w:r>
            <w:r w:rsidR="00B40B37">
              <w:rPr>
                <w:webHidden/>
                <w:color w:val="2B579A"/>
                <w:shd w:val="clear" w:color="auto" w:fill="E6E6E6"/>
              </w:rPr>
              <w:fldChar w:fldCharType="end"/>
            </w:r>
          </w:hyperlink>
        </w:p>
        <w:p w14:paraId="126F90B3" w14:textId="67FFA334"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426" w:history="1">
            <w:r w:rsidR="00B40B37" w:rsidRPr="00DF7ED6">
              <w:rPr>
                <w:rStyle w:val="Hyperlink"/>
                <w:noProof/>
              </w:rPr>
              <w:t>6.</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Efficiency</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_Toc135837426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24</w:t>
            </w:r>
            <w:r w:rsidR="00B40B37">
              <w:rPr>
                <w:noProof/>
                <w:webHidden/>
                <w:color w:val="2B579A"/>
                <w:shd w:val="clear" w:color="auto" w:fill="E6E6E6"/>
              </w:rPr>
              <w:fldChar w:fldCharType="end"/>
            </w:r>
          </w:hyperlink>
        </w:p>
        <w:p w14:paraId="5D0EE03E" w14:textId="14846B53"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27" w:history="1">
            <w:r w:rsidR="00B40B37" w:rsidRPr="00DF7ED6">
              <w:rPr>
                <w:rStyle w:val="Hyperlink"/>
              </w:rPr>
              <w:t>6.1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Efficiency of partners</w:t>
            </w:r>
            <w:r w:rsidR="00B40B37">
              <w:rPr>
                <w:webHidden/>
              </w:rPr>
              <w:tab/>
            </w:r>
            <w:r w:rsidR="00B40B37">
              <w:rPr>
                <w:webHidden/>
                <w:color w:val="2B579A"/>
                <w:shd w:val="clear" w:color="auto" w:fill="E6E6E6"/>
              </w:rPr>
              <w:fldChar w:fldCharType="begin"/>
            </w:r>
            <w:r w:rsidR="00B40B37">
              <w:rPr>
                <w:webHidden/>
              </w:rPr>
              <w:instrText xml:space="preserve"> PAGEREF _Toc135837427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24</w:t>
            </w:r>
            <w:r w:rsidR="00B40B37">
              <w:rPr>
                <w:webHidden/>
                <w:color w:val="2B579A"/>
                <w:shd w:val="clear" w:color="auto" w:fill="E6E6E6"/>
              </w:rPr>
              <w:fldChar w:fldCharType="end"/>
            </w:r>
          </w:hyperlink>
        </w:p>
        <w:p w14:paraId="0A623546" w14:textId="1B5FF474"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35" w:history="1">
            <w:r w:rsidR="00B40B37" w:rsidRPr="00DF7ED6">
              <w:rPr>
                <w:rStyle w:val="Hyperlink"/>
                <w:rFonts w:cstheme="majorHAnsi"/>
              </w:rPr>
              <w:t>6.2</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Fonts w:cstheme="majorHAnsi"/>
              </w:rPr>
              <w:t>Implementation modalities</w:t>
            </w:r>
            <w:r w:rsidR="00B40B37">
              <w:rPr>
                <w:webHidden/>
              </w:rPr>
              <w:tab/>
            </w:r>
            <w:r w:rsidR="00B40B37">
              <w:rPr>
                <w:webHidden/>
                <w:color w:val="2B579A"/>
                <w:shd w:val="clear" w:color="auto" w:fill="E6E6E6"/>
              </w:rPr>
              <w:fldChar w:fldCharType="begin"/>
            </w:r>
            <w:r w:rsidR="00B40B37">
              <w:rPr>
                <w:webHidden/>
              </w:rPr>
              <w:instrText xml:space="preserve"> PAGEREF _Toc135837435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27</w:t>
            </w:r>
            <w:r w:rsidR="00B40B37">
              <w:rPr>
                <w:webHidden/>
                <w:color w:val="2B579A"/>
                <w:shd w:val="clear" w:color="auto" w:fill="E6E6E6"/>
              </w:rPr>
              <w:fldChar w:fldCharType="end"/>
            </w:r>
          </w:hyperlink>
        </w:p>
        <w:p w14:paraId="26115B3B" w14:textId="07AB5302"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442" w:history="1">
            <w:r w:rsidR="00B40B37" w:rsidRPr="00DF7ED6">
              <w:rPr>
                <w:rStyle w:val="Hyperlink"/>
                <w:noProof/>
              </w:rPr>
              <w:t>7.</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Targeted community groups</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_Toc135837442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30</w:t>
            </w:r>
            <w:r w:rsidR="00B40B37">
              <w:rPr>
                <w:noProof/>
                <w:webHidden/>
                <w:color w:val="2B579A"/>
                <w:shd w:val="clear" w:color="auto" w:fill="E6E6E6"/>
              </w:rPr>
              <w:fldChar w:fldCharType="end"/>
            </w:r>
          </w:hyperlink>
        </w:p>
        <w:p w14:paraId="3EBB60E4" w14:textId="3256D786"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44" w:history="1">
            <w:r w:rsidR="00B40B37" w:rsidRPr="00DF7ED6">
              <w:rPr>
                <w:rStyle w:val="Hyperlink"/>
              </w:rPr>
              <w:t>7.1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Context</w:t>
            </w:r>
            <w:r w:rsidR="00B40B37">
              <w:rPr>
                <w:webHidden/>
              </w:rPr>
              <w:tab/>
            </w:r>
            <w:r w:rsidR="00B40B37">
              <w:rPr>
                <w:webHidden/>
                <w:color w:val="2B579A"/>
                <w:shd w:val="clear" w:color="auto" w:fill="E6E6E6"/>
              </w:rPr>
              <w:fldChar w:fldCharType="begin"/>
            </w:r>
            <w:r w:rsidR="00B40B37">
              <w:rPr>
                <w:webHidden/>
              </w:rPr>
              <w:instrText xml:space="preserve"> PAGEREF _Toc135837444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30</w:t>
            </w:r>
            <w:r w:rsidR="00B40B37">
              <w:rPr>
                <w:webHidden/>
                <w:color w:val="2B579A"/>
                <w:shd w:val="clear" w:color="auto" w:fill="E6E6E6"/>
              </w:rPr>
              <w:fldChar w:fldCharType="end"/>
            </w:r>
          </w:hyperlink>
        </w:p>
        <w:p w14:paraId="3580F1EF" w14:textId="2E3BC8AD"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45" w:history="1">
            <w:r w:rsidR="00B40B37" w:rsidRPr="00DF7ED6">
              <w:rPr>
                <w:rStyle w:val="Hyperlink"/>
              </w:rPr>
              <w:t>7.2</w:t>
            </w:r>
            <w:r w:rsidR="00B40B37">
              <w:rPr>
                <w:rFonts w:eastAsiaTheme="minorEastAsia" w:cstheme="minorBidi"/>
                <w:smallCaps w:val="0"/>
                <w:color w:val="auto"/>
                <w:kern w:val="2"/>
                <w:sz w:val="22"/>
                <w:szCs w:val="22"/>
                <w:lang w:val="en-ID" w:eastAsia="en-ID"/>
                <w14:ligatures w14:val="standardContextual"/>
              </w:rPr>
              <w:tab/>
            </w:r>
            <w:r w:rsidR="002E11F2">
              <w:rPr>
                <w:rStyle w:val="Hyperlink"/>
              </w:rPr>
              <w:t>Overall progress on gender equality, disability and social inclusion</w:t>
            </w:r>
            <w:r w:rsidR="00B40B37">
              <w:rPr>
                <w:webHidden/>
              </w:rPr>
              <w:tab/>
            </w:r>
            <w:r w:rsidR="00B40B37">
              <w:rPr>
                <w:webHidden/>
                <w:color w:val="2B579A"/>
                <w:shd w:val="clear" w:color="auto" w:fill="E6E6E6"/>
              </w:rPr>
              <w:fldChar w:fldCharType="begin"/>
            </w:r>
            <w:r w:rsidR="00B40B37">
              <w:rPr>
                <w:webHidden/>
              </w:rPr>
              <w:instrText xml:space="preserve"> PAGEREF _Toc135837445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30</w:t>
            </w:r>
            <w:r w:rsidR="00B40B37">
              <w:rPr>
                <w:webHidden/>
                <w:color w:val="2B579A"/>
                <w:shd w:val="clear" w:color="auto" w:fill="E6E6E6"/>
              </w:rPr>
              <w:fldChar w:fldCharType="end"/>
            </w:r>
          </w:hyperlink>
        </w:p>
        <w:p w14:paraId="2ECE25E8" w14:textId="646B3D3D"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46" w:history="1">
            <w:r w:rsidR="00B40B37" w:rsidRPr="00DF7ED6">
              <w:rPr>
                <w:rStyle w:val="Hyperlink"/>
              </w:rPr>
              <w:t>7.3</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Gender equality</w:t>
            </w:r>
            <w:r w:rsidR="00B40B37">
              <w:rPr>
                <w:webHidden/>
              </w:rPr>
              <w:tab/>
            </w:r>
            <w:r w:rsidR="00B40B37">
              <w:rPr>
                <w:webHidden/>
                <w:color w:val="2B579A"/>
                <w:shd w:val="clear" w:color="auto" w:fill="E6E6E6"/>
              </w:rPr>
              <w:fldChar w:fldCharType="begin"/>
            </w:r>
            <w:r w:rsidR="00B40B37">
              <w:rPr>
                <w:webHidden/>
              </w:rPr>
              <w:instrText xml:space="preserve"> PAGEREF _Toc135837446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31</w:t>
            </w:r>
            <w:r w:rsidR="00B40B37">
              <w:rPr>
                <w:webHidden/>
                <w:color w:val="2B579A"/>
                <w:shd w:val="clear" w:color="auto" w:fill="E6E6E6"/>
              </w:rPr>
              <w:fldChar w:fldCharType="end"/>
            </w:r>
          </w:hyperlink>
        </w:p>
        <w:p w14:paraId="35910515" w14:textId="2A44219B"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47" w:history="1">
            <w:r w:rsidR="00B40B37" w:rsidRPr="00DF7ED6">
              <w:rPr>
                <w:rStyle w:val="Hyperlink"/>
              </w:rPr>
              <w:t>7.4</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People with disabilities</w:t>
            </w:r>
            <w:r w:rsidR="00B40B37">
              <w:rPr>
                <w:webHidden/>
              </w:rPr>
              <w:tab/>
            </w:r>
            <w:r w:rsidR="00B40B37">
              <w:rPr>
                <w:webHidden/>
                <w:color w:val="2B579A"/>
                <w:shd w:val="clear" w:color="auto" w:fill="E6E6E6"/>
              </w:rPr>
              <w:fldChar w:fldCharType="begin"/>
            </w:r>
            <w:r w:rsidR="00B40B37">
              <w:rPr>
                <w:webHidden/>
              </w:rPr>
              <w:instrText xml:space="preserve"> PAGEREF _Toc135837447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32</w:t>
            </w:r>
            <w:r w:rsidR="00B40B37">
              <w:rPr>
                <w:webHidden/>
                <w:color w:val="2B579A"/>
                <w:shd w:val="clear" w:color="auto" w:fill="E6E6E6"/>
              </w:rPr>
              <w:fldChar w:fldCharType="end"/>
            </w:r>
          </w:hyperlink>
        </w:p>
        <w:p w14:paraId="177CBB44" w14:textId="571ACFDE"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48" w:history="1">
            <w:r w:rsidR="00B40B37" w:rsidRPr="00DF7ED6">
              <w:rPr>
                <w:rStyle w:val="Hyperlink"/>
              </w:rPr>
              <w:t>7.5</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The elderly</w:t>
            </w:r>
            <w:r w:rsidR="00B40B37">
              <w:rPr>
                <w:webHidden/>
              </w:rPr>
              <w:tab/>
            </w:r>
            <w:r w:rsidR="00B40B37">
              <w:rPr>
                <w:webHidden/>
                <w:color w:val="2B579A"/>
                <w:shd w:val="clear" w:color="auto" w:fill="E6E6E6"/>
              </w:rPr>
              <w:fldChar w:fldCharType="begin"/>
            </w:r>
            <w:r w:rsidR="00B40B37">
              <w:rPr>
                <w:webHidden/>
              </w:rPr>
              <w:instrText xml:space="preserve"> PAGEREF _Toc135837448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33</w:t>
            </w:r>
            <w:r w:rsidR="00B40B37">
              <w:rPr>
                <w:webHidden/>
                <w:color w:val="2B579A"/>
                <w:shd w:val="clear" w:color="auto" w:fill="E6E6E6"/>
              </w:rPr>
              <w:fldChar w:fldCharType="end"/>
            </w:r>
          </w:hyperlink>
        </w:p>
        <w:p w14:paraId="2728E1DE" w14:textId="5DDD7E5C"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49" w:history="1">
            <w:r w:rsidR="00B40B37" w:rsidRPr="00DF7ED6">
              <w:rPr>
                <w:rStyle w:val="Hyperlink"/>
              </w:rPr>
              <w:t>7.6</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Children</w:t>
            </w:r>
            <w:r w:rsidR="00B40B37">
              <w:rPr>
                <w:webHidden/>
              </w:rPr>
              <w:tab/>
            </w:r>
            <w:r w:rsidR="00B40B37">
              <w:rPr>
                <w:webHidden/>
                <w:color w:val="2B579A"/>
                <w:shd w:val="clear" w:color="auto" w:fill="E6E6E6"/>
              </w:rPr>
              <w:fldChar w:fldCharType="begin"/>
            </w:r>
            <w:r w:rsidR="00B40B37">
              <w:rPr>
                <w:webHidden/>
              </w:rPr>
              <w:instrText xml:space="preserve"> PAGEREF _Toc135837449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33</w:t>
            </w:r>
            <w:r w:rsidR="00B40B37">
              <w:rPr>
                <w:webHidden/>
                <w:color w:val="2B579A"/>
                <w:shd w:val="clear" w:color="auto" w:fill="E6E6E6"/>
              </w:rPr>
              <w:fldChar w:fldCharType="end"/>
            </w:r>
          </w:hyperlink>
        </w:p>
        <w:p w14:paraId="666DC408" w14:textId="28C115CD" w:rsidR="00B40B37" w:rsidRDefault="005D623B">
          <w:pPr>
            <w:pStyle w:val="TOC1"/>
            <w:tabs>
              <w:tab w:val="left" w:pos="440"/>
              <w:tab w:val="right" w:leader="dot" w:pos="9016"/>
            </w:tabs>
            <w:rPr>
              <w:rFonts w:eastAsiaTheme="minorEastAsia" w:cstheme="minorBidi"/>
              <w:b w:val="0"/>
              <w:bCs w:val="0"/>
              <w:caps w:val="0"/>
              <w:noProof/>
              <w:kern w:val="2"/>
              <w:sz w:val="22"/>
              <w:szCs w:val="22"/>
              <w:lang w:val="en-ID" w:eastAsia="en-ID"/>
              <w14:ligatures w14:val="standardContextual"/>
            </w:rPr>
          </w:pPr>
          <w:hyperlink w:anchor="_Toc135837450" w:history="1">
            <w:r w:rsidR="00B40B37" w:rsidRPr="00DF7ED6">
              <w:rPr>
                <w:rStyle w:val="Hyperlink"/>
                <w:noProof/>
              </w:rPr>
              <w:t>8.</w:t>
            </w:r>
            <w:r w:rsidR="00B40B37">
              <w:rPr>
                <w:rFonts w:eastAsiaTheme="minorEastAsia" w:cstheme="minorBidi"/>
                <w:b w:val="0"/>
                <w:bCs w:val="0"/>
                <w:caps w:val="0"/>
                <w:noProof/>
                <w:kern w:val="2"/>
                <w:sz w:val="22"/>
                <w:szCs w:val="22"/>
                <w:lang w:val="en-ID" w:eastAsia="en-ID"/>
                <w14:ligatures w14:val="standardContextual"/>
              </w:rPr>
              <w:tab/>
            </w:r>
            <w:r w:rsidR="00B40B37" w:rsidRPr="00DF7ED6">
              <w:rPr>
                <w:rStyle w:val="Hyperlink"/>
                <w:noProof/>
              </w:rPr>
              <w:t>Future Considerations and Recommendations</w:t>
            </w:r>
            <w:r w:rsidR="00B40B37">
              <w:rPr>
                <w:noProof/>
                <w:webHidden/>
              </w:rPr>
              <w:tab/>
            </w:r>
            <w:r w:rsidR="00B40B37">
              <w:rPr>
                <w:noProof/>
                <w:webHidden/>
                <w:color w:val="2B579A"/>
                <w:shd w:val="clear" w:color="auto" w:fill="E6E6E6"/>
              </w:rPr>
              <w:fldChar w:fldCharType="begin"/>
            </w:r>
            <w:r w:rsidR="00B40B37">
              <w:rPr>
                <w:noProof/>
                <w:webHidden/>
              </w:rPr>
              <w:instrText xml:space="preserve"> PAGEREF _Toc135837450 \h </w:instrText>
            </w:r>
            <w:r w:rsidR="00B40B37">
              <w:rPr>
                <w:noProof/>
                <w:webHidden/>
                <w:color w:val="2B579A"/>
                <w:shd w:val="clear" w:color="auto" w:fill="E6E6E6"/>
              </w:rPr>
            </w:r>
            <w:r w:rsidR="00B40B37">
              <w:rPr>
                <w:noProof/>
                <w:webHidden/>
                <w:color w:val="2B579A"/>
                <w:shd w:val="clear" w:color="auto" w:fill="E6E6E6"/>
              </w:rPr>
              <w:fldChar w:fldCharType="separate"/>
            </w:r>
            <w:r w:rsidR="000B12F0">
              <w:rPr>
                <w:noProof/>
                <w:webHidden/>
              </w:rPr>
              <w:t>34</w:t>
            </w:r>
            <w:r w:rsidR="00B40B37">
              <w:rPr>
                <w:noProof/>
                <w:webHidden/>
                <w:color w:val="2B579A"/>
                <w:shd w:val="clear" w:color="auto" w:fill="E6E6E6"/>
              </w:rPr>
              <w:fldChar w:fldCharType="end"/>
            </w:r>
          </w:hyperlink>
        </w:p>
        <w:p w14:paraId="1C066490" w14:textId="46740C4B"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51" w:history="1">
            <w:r w:rsidR="00B40B37" w:rsidRPr="00DF7ED6">
              <w:rPr>
                <w:rStyle w:val="Hyperlink"/>
              </w:rPr>
              <w:t>8.1</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Future considerations</w:t>
            </w:r>
            <w:r w:rsidR="00B40B37">
              <w:rPr>
                <w:webHidden/>
              </w:rPr>
              <w:tab/>
            </w:r>
            <w:r w:rsidR="00B40B37">
              <w:rPr>
                <w:webHidden/>
                <w:color w:val="2B579A"/>
                <w:shd w:val="clear" w:color="auto" w:fill="E6E6E6"/>
              </w:rPr>
              <w:fldChar w:fldCharType="begin"/>
            </w:r>
            <w:r w:rsidR="00B40B37">
              <w:rPr>
                <w:webHidden/>
              </w:rPr>
              <w:instrText xml:space="preserve"> PAGEREF _Toc135837451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34</w:t>
            </w:r>
            <w:r w:rsidR="00B40B37">
              <w:rPr>
                <w:webHidden/>
                <w:color w:val="2B579A"/>
                <w:shd w:val="clear" w:color="auto" w:fill="E6E6E6"/>
              </w:rPr>
              <w:fldChar w:fldCharType="end"/>
            </w:r>
          </w:hyperlink>
        </w:p>
        <w:p w14:paraId="3DC6E293" w14:textId="7A892C22"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65" w:history="1">
            <w:r w:rsidR="00B40B37" w:rsidRPr="00DF7ED6">
              <w:rPr>
                <w:rStyle w:val="Hyperlink"/>
              </w:rPr>
              <w:t>8.2</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Recommendations for the Current Phase of Activity (2020-2026)</w:t>
            </w:r>
            <w:r w:rsidR="00B40B37">
              <w:rPr>
                <w:webHidden/>
              </w:rPr>
              <w:tab/>
            </w:r>
            <w:r w:rsidR="00B40B37">
              <w:rPr>
                <w:webHidden/>
                <w:color w:val="2B579A"/>
                <w:shd w:val="clear" w:color="auto" w:fill="E6E6E6"/>
              </w:rPr>
              <w:fldChar w:fldCharType="begin"/>
            </w:r>
            <w:r w:rsidR="00B40B37">
              <w:rPr>
                <w:webHidden/>
              </w:rPr>
              <w:instrText xml:space="preserve"> PAGEREF _Toc135837465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36</w:t>
            </w:r>
            <w:r w:rsidR="00B40B37">
              <w:rPr>
                <w:webHidden/>
                <w:color w:val="2B579A"/>
                <w:shd w:val="clear" w:color="auto" w:fill="E6E6E6"/>
              </w:rPr>
              <w:fldChar w:fldCharType="end"/>
            </w:r>
          </w:hyperlink>
        </w:p>
        <w:p w14:paraId="14DF1117" w14:textId="7D9D1349" w:rsidR="00B40B37" w:rsidRDefault="005D623B">
          <w:pPr>
            <w:pStyle w:val="TOC2"/>
            <w:rPr>
              <w:rFonts w:eastAsiaTheme="minorEastAsia" w:cstheme="minorBidi"/>
              <w:smallCaps w:val="0"/>
              <w:color w:val="auto"/>
              <w:kern w:val="2"/>
              <w:sz w:val="22"/>
              <w:szCs w:val="22"/>
              <w:lang w:val="en-ID" w:eastAsia="en-ID"/>
              <w14:ligatures w14:val="standardContextual"/>
            </w:rPr>
          </w:pPr>
          <w:hyperlink w:anchor="_Toc135837467" w:history="1">
            <w:r w:rsidR="00B40B37" w:rsidRPr="00DF7ED6">
              <w:rPr>
                <w:rStyle w:val="Hyperlink"/>
              </w:rPr>
              <w:t>8.3</w:t>
            </w:r>
            <w:r w:rsidR="00B40B37">
              <w:rPr>
                <w:rFonts w:eastAsiaTheme="minorEastAsia" w:cstheme="minorBidi"/>
                <w:smallCaps w:val="0"/>
                <w:color w:val="auto"/>
                <w:kern w:val="2"/>
                <w:sz w:val="22"/>
                <w:szCs w:val="22"/>
                <w:lang w:val="en-ID" w:eastAsia="en-ID"/>
                <w14:ligatures w14:val="standardContextual"/>
              </w:rPr>
              <w:tab/>
            </w:r>
            <w:r w:rsidR="00B40B37" w:rsidRPr="00DF7ED6">
              <w:rPr>
                <w:rStyle w:val="Hyperlink"/>
              </w:rPr>
              <w:t xml:space="preserve">Recommendations for Future </w:t>
            </w:r>
            <w:r w:rsidR="00D0179E">
              <w:rPr>
                <w:rStyle w:val="Hyperlink"/>
              </w:rPr>
              <w:t>Australian</w:t>
            </w:r>
            <w:r w:rsidR="00B40B37" w:rsidRPr="00DF7ED6">
              <w:rPr>
                <w:rStyle w:val="Hyperlink"/>
              </w:rPr>
              <w:t xml:space="preserve"> Health Sector Support (</w:t>
            </w:r>
            <w:r w:rsidR="00075731">
              <w:rPr>
                <w:rStyle w:val="Hyperlink"/>
              </w:rPr>
              <w:t>from</w:t>
            </w:r>
            <w:r w:rsidR="00B40B37" w:rsidRPr="00DF7ED6">
              <w:rPr>
                <w:rStyle w:val="Hyperlink"/>
              </w:rPr>
              <w:t xml:space="preserve"> </w:t>
            </w:r>
            <w:r w:rsidR="00075731">
              <w:rPr>
                <w:rStyle w:val="Hyperlink"/>
              </w:rPr>
              <w:t>20</w:t>
            </w:r>
            <w:r w:rsidR="00B40B37" w:rsidRPr="00DF7ED6">
              <w:rPr>
                <w:rStyle w:val="Hyperlink"/>
              </w:rPr>
              <w:t>26)</w:t>
            </w:r>
            <w:r w:rsidR="00B40B37">
              <w:rPr>
                <w:webHidden/>
              </w:rPr>
              <w:tab/>
            </w:r>
            <w:r w:rsidR="00B40B37">
              <w:rPr>
                <w:webHidden/>
                <w:color w:val="2B579A"/>
                <w:shd w:val="clear" w:color="auto" w:fill="E6E6E6"/>
              </w:rPr>
              <w:fldChar w:fldCharType="begin"/>
            </w:r>
            <w:r w:rsidR="00B40B37">
              <w:rPr>
                <w:webHidden/>
              </w:rPr>
              <w:instrText xml:space="preserve"> PAGEREF _Toc135837467 \h </w:instrText>
            </w:r>
            <w:r w:rsidR="00B40B37">
              <w:rPr>
                <w:webHidden/>
                <w:color w:val="2B579A"/>
                <w:shd w:val="clear" w:color="auto" w:fill="E6E6E6"/>
              </w:rPr>
            </w:r>
            <w:r w:rsidR="00B40B37">
              <w:rPr>
                <w:webHidden/>
                <w:color w:val="2B579A"/>
                <w:shd w:val="clear" w:color="auto" w:fill="E6E6E6"/>
              </w:rPr>
              <w:fldChar w:fldCharType="separate"/>
            </w:r>
            <w:r w:rsidR="000B12F0">
              <w:rPr>
                <w:webHidden/>
              </w:rPr>
              <w:t>36</w:t>
            </w:r>
            <w:r w:rsidR="00B40B37">
              <w:rPr>
                <w:webHidden/>
                <w:color w:val="2B579A"/>
                <w:shd w:val="clear" w:color="auto" w:fill="E6E6E6"/>
              </w:rPr>
              <w:fldChar w:fldCharType="end"/>
            </w:r>
          </w:hyperlink>
        </w:p>
        <w:p w14:paraId="6EB6F239" w14:textId="4C9F6497" w:rsidR="00B8546D" w:rsidRDefault="00B8546D">
          <w:r>
            <w:rPr>
              <w:b/>
              <w:bCs/>
              <w:noProof/>
              <w:color w:val="2B579A"/>
              <w:shd w:val="clear" w:color="auto" w:fill="E6E6E6"/>
            </w:rPr>
            <w:fldChar w:fldCharType="end"/>
          </w:r>
        </w:p>
      </w:sdtContent>
    </w:sdt>
    <w:bookmarkEnd w:id="6" w:displacedByCustomXml="prev"/>
    <w:bookmarkEnd w:id="5" w:displacedByCustomXml="prev"/>
    <w:p w14:paraId="41289FA8" w14:textId="77777777" w:rsidR="008C0CD0" w:rsidRDefault="008C0CD0" w:rsidP="008C0CD0">
      <w:pPr>
        <w:rPr>
          <w:color w:val="000000" w:themeColor="text1"/>
        </w:rPr>
      </w:pPr>
      <w:r w:rsidRPr="00AA5C45">
        <w:rPr>
          <w:b/>
          <w:bCs/>
          <w:color w:val="000000" w:themeColor="text1"/>
        </w:rPr>
        <w:t>Acknowledgements</w:t>
      </w:r>
    </w:p>
    <w:p w14:paraId="048F6B3B" w14:textId="77777777" w:rsidR="008475D3" w:rsidRDefault="008C0CD0" w:rsidP="008C0CD0">
      <w:pPr>
        <w:rPr>
          <w:sz w:val="20"/>
          <w:szCs w:val="20"/>
        </w:rPr>
      </w:pPr>
      <w:r w:rsidRPr="008C0CD0">
        <w:rPr>
          <w:sz w:val="20"/>
          <w:szCs w:val="20"/>
        </w:rPr>
        <w:t xml:space="preserve">The MTR Team consisted of Dr Kathryn Dinh (Team Leader), Kwan Men Yon, Vidia Darmawi and Dr Peter Black. The MTR Team would like to thank the MTR interviewees for generously contributing their time; MoH and </w:t>
      </w:r>
      <w:proofErr w:type="spellStart"/>
      <w:r w:rsidRPr="008C0CD0">
        <w:rPr>
          <w:sz w:val="20"/>
          <w:szCs w:val="20"/>
        </w:rPr>
        <w:t>MoA</w:t>
      </w:r>
      <w:proofErr w:type="spellEnd"/>
      <w:r w:rsidRPr="008C0CD0">
        <w:rPr>
          <w:sz w:val="20"/>
          <w:szCs w:val="20"/>
        </w:rPr>
        <w:t xml:space="preserve"> for facilitating the MTR in-country visit; AIHSP, UNICEF and WHO staff for providing detailed information; DFAT Jakarta for coordinating the review</w:t>
      </w:r>
      <w:r w:rsidR="00547C22">
        <w:rPr>
          <w:sz w:val="20"/>
          <w:szCs w:val="20"/>
        </w:rPr>
        <w:t>;</w:t>
      </w:r>
      <w:r w:rsidRPr="008C0CD0">
        <w:rPr>
          <w:sz w:val="20"/>
          <w:szCs w:val="20"/>
        </w:rPr>
        <w:t xml:space="preserve"> and</w:t>
      </w:r>
      <w:r w:rsidR="00547C22">
        <w:rPr>
          <w:sz w:val="20"/>
          <w:szCs w:val="20"/>
        </w:rPr>
        <w:t xml:space="preserve"> DFAT and SHS for</w:t>
      </w:r>
      <w:r w:rsidRPr="008C0CD0">
        <w:rPr>
          <w:sz w:val="20"/>
          <w:szCs w:val="20"/>
        </w:rPr>
        <w:t xml:space="preserve"> engaging at key points in the process.</w:t>
      </w:r>
    </w:p>
    <w:p w14:paraId="770AB4F6" w14:textId="1C2F6FE5" w:rsidR="008475D3" w:rsidRPr="00863BC3" w:rsidRDefault="008475D3" w:rsidP="008475D3">
      <w:pPr>
        <w:spacing w:line="240" w:lineRule="auto"/>
        <w:rPr>
          <w:rFonts w:ascii="Calibri" w:eastAsia="Calibri" w:hAnsi="Calibri" w:cs="Calibri"/>
          <w:color w:val="595959" w:themeColor="text1" w:themeTint="A6"/>
          <w:sz w:val="20"/>
          <w:szCs w:val="20"/>
        </w:rPr>
      </w:pPr>
      <w:r w:rsidRPr="00863BC3">
        <w:rPr>
          <w:rFonts w:eastAsia="Times New Roman"/>
          <w:color w:val="595959" w:themeColor="text1" w:themeTint="A6"/>
          <w:sz w:val="20"/>
          <w:szCs w:val="20"/>
        </w:rPr>
        <w:t>Note: This report has been adapted by DFAT prior to publication.</w:t>
      </w:r>
    </w:p>
    <w:p w14:paraId="6AEC1557" w14:textId="74BCA83F" w:rsidR="00131C30" w:rsidRPr="008C0CD0" w:rsidRDefault="00131C30" w:rsidP="008C0CD0">
      <w:pPr>
        <w:rPr>
          <w:sz w:val="20"/>
          <w:szCs w:val="20"/>
        </w:rPr>
      </w:pPr>
      <w:r w:rsidRPr="008C0CD0">
        <w:rPr>
          <w:sz w:val="20"/>
          <w:szCs w:val="20"/>
        </w:rPr>
        <w:br w:type="page"/>
      </w:r>
    </w:p>
    <w:p w14:paraId="262E7193" w14:textId="21AFA8D1" w:rsidR="00332024" w:rsidRPr="001A3A75" w:rsidRDefault="00C56BA1" w:rsidP="00327F0E">
      <w:pPr>
        <w:pStyle w:val="Heading1"/>
      </w:pPr>
      <w:bookmarkStart w:id="7" w:name="_Toc135837377"/>
      <w:r w:rsidRPr="001A3A75">
        <w:lastRenderedPageBreak/>
        <w:t>Executive Summary</w:t>
      </w:r>
      <w:bookmarkEnd w:id="7"/>
    </w:p>
    <w:p w14:paraId="2C2B11A2" w14:textId="7FB7DC01" w:rsidR="00793B00" w:rsidRDefault="00793B00" w:rsidP="00E46C99">
      <w:pPr>
        <w:pStyle w:val="Heading2"/>
      </w:pPr>
      <w:bookmarkStart w:id="8" w:name="_Toc132584521"/>
      <w:bookmarkStart w:id="9" w:name="_Toc135837378"/>
      <w:r>
        <w:t>Introduction</w:t>
      </w:r>
      <w:bookmarkEnd w:id="8"/>
      <w:bookmarkEnd w:id="9"/>
    </w:p>
    <w:p w14:paraId="0B50471A" w14:textId="11BF56C7" w:rsidR="00793B00" w:rsidRDefault="00793B00" w:rsidP="008C0CD0">
      <w:pPr>
        <w:spacing w:after="120" w:line="240" w:lineRule="auto"/>
        <w:rPr>
          <w:rFonts w:ascii="Calibri" w:eastAsia="Calibri" w:hAnsi="Calibri" w:cs="Calibri"/>
        </w:rPr>
      </w:pPr>
      <w:r>
        <w:t xml:space="preserve">This is the Mid-Term Review (MTR) Report of the Australia Indonesia Health Security Partnership (AIHSP) as well as the Australian-funded COVID-19 response work of UNICEF and WHO in Indonesia. </w:t>
      </w:r>
      <w:bookmarkStart w:id="10" w:name="_Hlk132475116"/>
      <w:r>
        <w:t>AIHSP was launched as an AUD$14</w:t>
      </w:r>
      <w:r w:rsidR="09FD7B8C">
        <w:t xml:space="preserve"> </w:t>
      </w:r>
      <w:r>
        <w:t>million, five-year bilateral health security program in February 2020 in partnership with Indonesia’s Ministry of Health (MoH) and the Ministry of Agriculture (</w:t>
      </w:r>
      <w:proofErr w:type="spellStart"/>
      <w:r>
        <w:t>MoA</w:t>
      </w:r>
      <w:proofErr w:type="spellEnd"/>
      <w:r>
        <w:t xml:space="preserve">). Since </w:t>
      </w:r>
      <w:proofErr w:type="gramStart"/>
      <w:r>
        <w:t>then</w:t>
      </w:r>
      <w:proofErr w:type="gramEnd"/>
      <w:r>
        <w:t xml:space="preserve"> it has significantly expanded in scope and has a current budget of AUD4</w:t>
      </w:r>
      <w:r w:rsidR="00E23E9E">
        <w:t xml:space="preserve">8 </w:t>
      </w:r>
      <w:r>
        <w:t>million</w:t>
      </w:r>
      <w:r w:rsidR="003F425B">
        <w:t>, covering 20 districts in five provinces</w:t>
      </w:r>
      <w:r>
        <w:t xml:space="preserve">. </w:t>
      </w:r>
      <w:bookmarkEnd w:id="10"/>
      <w:r>
        <w:t>The aim of AIHSP is to strengthen Government of Indonesia (</w:t>
      </w:r>
      <w:proofErr w:type="spellStart"/>
      <w:r>
        <w:t>G</w:t>
      </w:r>
      <w:r w:rsidR="000962E2">
        <w:t>o</w:t>
      </w:r>
      <w:r>
        <w:t>I</w:t>
      </w:r>
      <w:proofErr w:type="spellEnd"/>
      <w:r>
        <w:t xml:space="preserve">) systems to prevent, detect and respond to public health and animal health emergencies and strengthen national coordination responses to health threats. </w:t>
      </w:r>
      <w:bookmarkStart w:id="11" w:name="_Hlk132475144"/>
      <w:r>
        <w:t xml:space="preserve">Australia funded </w:t>
      </w:r>
      <w:r w:rsidRPr="48362220">
        <w:rPr>
          <w:rFonts w:ascii="Calibri" w:eastAsia="Calibri" w:hAnsi="Calibri" w:cs="Calibri"/>
        </w:rPr>
        <w:t>WHO (AUD1</w:t>
      </w:r>
      <w:r w:rsidR="00E23E9E" w:rsidRPr="48362220">
        <w:rPr>
          <w:rFonts w:ascii="Calibri" w:eastAsia="Calibri" w:hAnsi="Calibri" w:cs="Calibri"/>
        </w:rPr>
        <w:t>0</w:t>
      </w:r>
      <w:r w:rsidRPr="48362220">
        <w:rPr>
          <w:rFonts w:ascii="Calibri" w:eastAsia="Calibri" w:hAnsi="Calibri" w:cs="Calibri"/>
        </w:rPr>
        <w:t>.</w:t>
      </w:r>
      <w:r w:rsidR="00E23E9E" w:rsidRPr="48362220">
        <w:rPr>
          <w:rFonts w:ascii="Calibri" w:eastAsia="Calibri" w:hAnsi="Calibri" w:cs="Calibri"/>
        </w:rPr>
        <w:t>7</w:t>
      </w:r>
      <w:r w:rsidRPr="48362220">
        <w:rPr>
          <w:rFonts w:ascii="Calibri" w:eastAsia="Calibri" w:hAnsi="Calibri" w:cs="Calibri"/>
        </w:rPr>
        <w:t xml:space="preserve"> million) and UNICEF (AUD1</w:t>
      </w:r>
      <w:r w:rsidR="00E23E9E" w:rsidRPr="00C45DEB">
        <w:t>5</w:t>
      </w:r>
      <w:r w:rsidRPr="00C45DEB">
        <w:t>.</w:t>
      </w:r>
      <w:r w:rsidR="00E23E9E" w:rsidRPr="00C45DEB">
        <w:t>4</w:t>
      </w:r>
      <w:r w:rsidRPr="00C45DEB">
        <w:t xml:space="preserve"> </w:t>
      </w:r>
      <w:r w:rsidRPr="48362220">
        <w:rPr>
          <w:rFonts w:ascii="Calibri" w:eastAsia="Calibri" w:hAnsi="Calibri" w:cs="Calibri"/>
        </w:rPr>
        <w:t xml:space="preserve">million) for COVID-19 response </w:t>
      </w:r>
      <w:r w:rsidR="004545A7">
        <w:rPr>
          <w:rFonts w:ascii="Calibri" w:eastAsia="Calibri" w:hAnsi="Calibri" w:cs="Calibri"/>
        </w:rPr>
        <w:t>activities</w:t>
      </w:r>
      <w:r w:rsidRPr="48362220">
        <w:rPr>
          <w:rFonts w:ascii="Calibri" w:eastAsia="Calibri" w:hAnsi="Calibri" w:cs="Calibri"/>
        </w:rPr>
        <w:t xml:space="preserve"> commencing in June 2020.</w:t>
      </w:r>
      <w:bookmarkEnd w:id="11"/>
    </w:p>
    <w:p w14:paraId="21C45C5B" w14:textId="137FFF4B" w:rsidR="00793B00" w:rsidRDefault="00793B00" w:rsidP="008C0CD0">
      <w:pPr>
        <w:autoSpaceDE w:val="0"/>
        <w:autoSpaceDN w:val="0"/>
        <w:spacing w:after="120" w:line="240" w:lineRule="auto"/>
      </w:pPr>
      <w:bookmarkStart w:id="12" w:name="_Hlk132475163"/>
      <w:r w:rsidRPr="48362220">
        <w:rPr>
          <w:rFonts w:ascii="Calibri" w:eastAsia="Calibri" w:hAnsi="Calibri" w:cs="Calibri"/>
        </w:rPr>
        <w:t>The purpose of the MTR (February 2020 to March 2023) was to</w:t>
      </w:r>
      <w:r>
        <w:t xml:space="preserve"> assess whether Australia’s health security partnership with Indonesia (activities managed by DT Global (AIHSP), UNICEF and WHO herein referred to as ‘partners’) is on track to achieve program outcomes and how it is contributing to the Indonesian health sector. </w:t>
      </w:r>
      <w:bookmarkEnd w:id="12"/>
      <w:r>
        <w:t xml:space="preserve">In addition, the MTR sought to explore future considerations and provide recommendations for the remainder of this phase of </w:t>
      </w:r>
      <w:r w:rsidR="007C7207">
        <w:t xml:space="preserve">the program </w:t>
      </w:r>
      <w:r>
        <w:t xml:space="preserve">as well as Australia’s future support to the Indonesian health sector. </w:t>
      </w:r>
      <w:bookmarkStart w:id="13" w:name="_Hlk132475187"/>
      <w:r>
        <w:t xml:space="preserve">Five key evaluation questions (KEQs) were identified. An independent MTR Team gathered evidence through a review of </w:t>
      </w:r>
      <w:r w:rsidR="008B2868">
        <w:t>112</w:t>
      </w:r>
      <w:r>
        <w:t xml:space="preserve"> documents </w:t>
      </w:r>
      <w:r w:rsidRPr="48362220">
        <w:rPr>
          <w:i/>
          <w:iCs/>
        </w:rPr>
        <w:t>(see annex 9.2</w:t>
      </w:r>
      <w:proofErr w:type="gramStart"/>
      <w:r w:rsidRPr="48362220">
        <w:rPr>
          <w:i/>
          <w:iCs/>
        </w:rPr>
        <w:t>)</w:t>
      </w:r>
      <w:r>
        <w:t>, and</w:t>
      </w:r>
      <w:proofErr w:type="gramEnd"/>
      <w:r>
        <w:t xml:space="preserve"> conducted face-to-face interviews and remote interviews with</w:t>
      </w:r>
      <w:r w:rsidR="00042766">
        <w:t xml:space="preserve"> 19</w:t>
      </w:r>
      <w:r w:rsidR="002126A0">
        <w:t>4</w:t>
      </w:r>
      <w:r w:rsidR="00042766">
        <w:t xml:space="preserve"> representatives </w:t>
      </w:r>
      <w:r w:rsidR="004545A7">
        <w:t>of</w:t>
      </w:r>
      <w:r>
        <w:t xml:space="preserve"> partners and sub-partners, DFAT, </w:t>
      </w:r>
      <w:r w:rsidR="003C1B1D">
        <w:t xml:space="preserve">DAFF, </w:t>
      </w:r>
      <w:proofErr w:type="spellStart"/>
      <w:r>
        <w:t>GoI</w:t>
      </w:r>
      <w:proofErr w:type="spellEnd"/>
      <w:r>
        <w:t>, community groups</w:t>
      </w:r>
      <w:r w:rsidR="00DA319B">
        <w:t xml:space="preserve"> including women’s groups and organisations of persons with disabilities,</w:t>
      </w:r>
      <w:r>
        <w:t xml:space="preserve"> and other donors </w:t>
      </w:r>
      <w:r w:rsidR="003C1B1D">
        <w:t>to</w:t>
      </w:r>
      <w:r>
        <w:t xml:space="preserve"> Indonesia </w:t>
      </w:r>
      <w:r w:rsidRPr="48362220">
        <w:rPr>
          <w:i/>
          <w:iCs/>
        </w:rPr>
        <w:t>(see annex 9.3)</w:t>
      </w:r>
      <w:r>
        <w:t xml:space="preserve">. </w:t>
      </w:r>
      <w:bookmarkEnd w:id="13"/>
      <w:r>
        <w:t>The MTR’s time</w:t>
      </w:r>
      <w:r w:rsidR="00550A70">
        <w:t xml:space="preserve"> </w:t>
      </w:r>
      <w:r>
        <w:t>frame and resourcing limited the number of documents that could be reviewed</w:t>
      </w:r>
      <w:r w:rsidR="00894C8A">
        <w:t xml:space="preserve">, excluding </w:t>
      </w:r>
      <w:r>
        <w:t>documents on other donors. This fact, coupled with the limited interview time, meant that the MTR Team could not assess Australia’s contribution in relation to the work of other donors in Indonesia.</w:t>
      </w:r>
    </w:p>
    <w:p w14:paraId="2BE8DE2D" w14:textId="77777777" w:rsidR="00793B00" w:rsidRDefault="00793B00" w:rsidP="00C157B0">
      <w:pPr>
        <w:pStyle w:val="Heading2"/>
        <w:spacing w:before="0" w:line="240" w:lineRule="auto"/>
      </w:pPr>
      <w:bookmarkStart w:id="14" w:name="_Toc132584523"/>
      <w:bookmarkStart w:id="15" w:name="_Toc135837379"/>
      <w:r>
        <w:t>The results</w:t>
      </w:r>
      <w:bookmarkEnd w:id="14"/>
      <w:bookmarkEnd w:id="15"/>
    </w:p>
    <w:p w14:paraId="1FA040D0" w14:textId="77777777" w:rsidR="00793B00" w:rsidRDefault="00793B00" w:rsidP="008C0CD0">
      <w:pPr>
        <w:spacing w:after="120" w:line="240" w:lineRule="auto"/>
      </w:pPr>
      <w:r>
        <w:t>The following are the results of the MTR for KEQs 1-4.</w:t>
      </w:r>
    </w:p>
    <w:p w14:paraId="61E32495" w14:textId="65B37503" w:rsidR="00793B00" w:rsidRDefault="00793B00" w:rsidP="00425817">
      <w:pPr>
        <w:pStyle w:val="Heading3"/>
        <w:numPr>
          <w:ilvl w:val="0"/>
          <w:numId w:val="10"/>
        </w:numPr>
      </w:pPr>
      <w:bookmarkStart w:id="16" w:name="_Toc132584524"/>
      <w:bookmarkStart w:id="17" w:name="_Toc135837380"/>
      <w:r>
        <w:t>Progress towards outcomes</w:t>
      </w:r>
      <w:bookmarkEnd w:id="16"/>
      <w:bookmarkEnd w:id="17"/>
    </w:p>
    <w:p w14:paraId="61FF4ABC" w14:textId="77777777" w:rsidR="00793B00" w:rsidRPr="001B6F09" w:rsidRDefault="00793B00" w:rsidP="00644D35">
      <w:pPr>
        <w:shd w:val="clear" w:color="auto" w:fill="D9D9D9" w:themeFill="background1" w:themeFillShade="D9"/>
        <w:spacing w:after="0" w:line="240" w:lineRule="auto"/>
        <w:jc w:val="both"/>
        <w:rPr>
          <w:b/>
          <w:bCs/>
        </w:rPr>
      </w:pPr>
      <w:r>
        <w:t>KEQ1.1: Are AIHSP intermediate outcomes (IOs) and EOPOs on track?</w:t>
      </w:r>
    </w:p>
    <w:p w14:paraId="19E2E9A3" w14:textId="4E8C982A" w:rsidR="00793B00" w:rsidRDefault="00793B00" w:rsidP="008C0CD0">
      <w:pPr>
        <w:spacing w:after="120" w:line="240" w:lineRule="auto"/>
      </w:pPr>
      <w:r>
        <w:t>Overall, from February 2020 to March 2023</w:t>
      </w:r>
      <w:r w:rsidR="00B96673">
        <w:t>,</w:t>
      </w:r>
      <w:r>
        <w:t xml:space="preserve"> AIHSP made good progress </w:t>
      </w:r>
      <w:r w:rsidR="00B96673">
        <w:t>towards</w:t>
      </w:r>
      <w:r>
        <w:t xml:space="preserve"> its end of program outcomes (EOPOs). This is despite a significant </w:t>
      </w:r>
      <w:r w:rsidR="00166F2D">
        <w:t xml:space="preserve">and effective </w:t>
      </w:r>
      <w:r>
        <w:t>pivot and scale-up of activities due to COVID-19 and animal disease outbreaks</w:t>
      </w:r>
      <w:r w:rsidR="00166F2D">
        <w:t xml:space="preserve"> including </w:t>
      </w:r>
      <w:r w:rsidR="004E7865">
        <w:t>foot and mouth disease (</w:t>
      </w:r>
      <w:r w:rsidR="00166F2D">
        <w:t>FMD</w:t>
      </w:r>
      <w:r w:rsidR="004E7865">
        <w:t>)</w:t>
      </w:r>
      <w:r w:rsidR="00166F2D">
        <w:t xml:space="preserve"> and </w:t>
      </w:r>
      <w:r w:rsidR="004E7865">
        <w:t>lumpy skin disease (</w:t>
      </w:r>
      <w:r w:rsidR="00166F2D">
        <w:t>LSD</w:t>
      </w:r>
      <w:r w:rsidR="004E7865">
        <w:t>)</w:t>
      </w:r>
      <w:r>
        <w:t>. AIHSP’s progress needs to be viewed with these contextual challenges in mind.</w:t>
      </w:r>
      <w:r w:rsidR="00C67F2B">
        <w:t xml:space="preserve"> </w:t>
      </w:r>
    </w:p>
    <w:p w14:paraId="3129D5CD" w14:textId="4408FC46" w:rsidR="00793B00" w:rsidRDefault="00793B00" w:rsidP="008C0CD0">
      <w:pPr>
        <w:spacing w:after="120" w:line="240" w:lineRule="auto"/>
      </w:pPr>
      <w:r>
        <w:t>The MTR Team assessed and rated AIHSP’s progress against its December 2022 MERLA Framework</w:t>
      </w:r>
      <w:r>
        <w:rPr>
          <w:rStyle w:val="FootnoteReference"/>
        </w:rPr>
        <w:footnoteReference w:id="1"/>
      </w:r>
      <w:r>
        <w:t xml:space="preserve">. EOPO ratings are presented in Table 1 below. </w:t>
      </w:r>
    </w:p>
    <w:p w14:paraId="2CFBED2B" w14:textId="77777777" w:rsidR="00793B00" w:rsidRDefault="00793B00" w:rsidP="00793B00">
      <w:pPr>
        <w:pStyle w:val="Heading4"/>
      </w:pPr>
      <w:r>
        <w:t>Table 1: AIHSP end of program outcome MTR ratings</w:t>
      </w:r>
      <w:r>
        <w:rPr>
          <w:rStyle w:val="FootnoteReference"/>
        </w:rPr>
        <w:footnoteReference w:id="2"/>
      </w:r>
      <w:r>
        <w:t xml:space="preserve"> </w:t>
      </w:r>
    </w:p>
    <w:tbl>
      <w:tblPr>
        <w:tblStyle w:val="TableGrid"/>
        <w:tblW w:w="9067" w:type="dxa"/>
        <w:tblLayout w:type="fixed"/>
        <w:tblLook w:val="0420" w:firstRow="1" w:lastRow="0" w:firstColumn="0" w:lastColumn="0" w:noHBand="0" w:noVBand="1"/>
      </w:tblPr>
      <w:tblGrid>
        <w:gridCol w:w="4531"/>
        <w:gridCol w:w="4536"/>
      </w:tblGrid>
      <w:tr w:rsidR="00793B00" w:rsidRPr="00D66A91" w14:paraId="49ADCB89" w14:textId="77777777" w:rsidTr="00064ED7">
        <w:tc>
          <w:tcPr>
            <w:tcW w:w="4531" w:type="dxa"/>
            <w:shd w:val="clear" w:color="auto" w:fill="002060"/>
          </w:tcPr>
          <w:p w14:paraId="57C66057" w14:textId="77777777" w:rsidR="00793B00" w:rsidRPr="005B2538" w:rsidRDefault="00793B00" w:rsidP="000F52A8">
            <w:pPr>
              <w:spacing w:line="257" w:lineRule="auto"/>
              <w:jc w:val="center"/>
              <w:rPr>
                <w:b/>
                <w:bCs/>
                <w:color w:val="FFFFFF" w:themeColor="background1"/>
                <w:sz w:val="20"/>
                <w:szCs w:val="20"/>
              </w:rPr>
            </w:pPr>
            <w:r w:rsidRPr="005B2538">
              <w:rPr>
                <w:rFonts w:ascii="Calibri" w:eastAsia="Calibri" w:hAnsi="Calibri" w:cs="Calibri"/>
                <w:b/>
                <w:bCs/>
                <w:color w:val="FFFFFF" w:themeColor="background1"/>
                <w:sz w:val="20"/>
                <w:szCs w:val="20"/>
              </w:rPr>
              <w:t>Outcome</w:t>
            </w:r>
          </w:p>
        </w:tc>
        <w:tc>
          <w:tcPr>
            <w:tcW w:w="4536" w:type="dxa"/>
            <w:shd w:val="clear" w:color="auto" w:fill="002060"/>
          </w:tcPr>
          <w:p w14:paraId="706ABBA6" w14:textId="77777777" w:rsidR="00793B00" w:rsidRPr="005B2538" w:rsidRDefault="00793B00" w:rsidP="000F52A8">
            <w:pPr>
              <w:spacing w:line="257" w:lineRule="auto"/>
              <w:jc w:val="center"/>
              <w:rPr>
                <w:b/>
                <w:bCs/>
                <w:color w:val="FFFFFF" w:themeColor="background1"/>
                <w:sz w:val="20"/>
                <w:szCs w:val="20"/>
              </w:rPr>
            </w:pPr>
            <w:r w:rsidRPr="005B2538">
              <w:rPr>
                <w:rFonts w:ascii="Calibri" w:eastAsia="Calibri" w:hAnsi="Calibri" w:cs="Calibri"/>
                <w:b/>
                <w:bCs/>
                <w:color w:val="FFFFFF" w:themeColor="background1"/>
                <w:sz w:val="20"/>
                <w:szCs w:val="20"/>
              </w:rPr>
              <w:t>Rating</w:t>
            </w:r>
          </w:p>
        </w:tc>
      </w:tr>
      <w:tr w:rsidR="00793B00" w:rsidRPr="00D66A91" w14:paraId="5E96122C" w14:textId="77777777" w:rsidTr="00064ED7">
        <w:trPr>
          <w:trHeight w:val="186"/>
        </w:trPr>
        <w:tc>
          <w:tcPr>
            <w:tcW w:w="4531" w:type="dxa"/>
          </w:tcPr>
          <w:p w14:paraId="2B6626E7" w14:textId="77777777" w:rsidR="00793B00" w:rsidRPr="00D66A91" w:rsidRDefault="00793B00" w:rsidP="000F52A8">
            <w:pPr>
              <w:spacing w:line="257" w:lineRule="auto"/>
              <w:rPr>
                <w:sz w:val="20"/>
                <w:szCs w:val="20"/>
              </w:rPr>
            </w:pPr>
            <w:r w:rsidRPr="00D66A91">
              <w:rPr>
                <w:rFonts w:ascii="Calibri" w:eastAsia="Calibri" w:hAnsi="Calibri" w:cs="Calibri"/>
                <w:sz w:val="20"/>
                <w:szCs w:val="20"/>
              </w:rPr>
              <w:t xml:space="preserve">EOPO 1.1: Prepare and prevent </w:t>
            </w:r>
          </w:p>
        </w:tc>
        <w:tc>
          <w:tcPr>
            <w:tcW w:w="4536" w:type="dxa"/>
            <w:shd w:val="clear" w:color="auto" w:fill="FFC000"/>
          </w:tcPr>
          <w:p w14:paraId="08EF477C" w14:textId="1C5BB5C9" w:rsidR="00793B00" w:rsidRPr="004C0121" w:rsidRDefault="00166F2D" w:rsidP="004C0121">
            <w:pPr>
              <w:spacing w:line="257" w:lineRule="auto"/>
              <w:jc w:val="center"/>
              <w:rPr>
                <w:b/>
                <w:bCs/>
                <w:sz w:val="20"/>
                <w:szCs w:val="20"/>
              </w:rPr>
            </w:pPr>
            <w:r w:rsidRPr="004C0121">
              <w:rPr>
                <w:b/>
                <w:bCs/>
                <w:color w:val="000000"/>
                <w:sz w:val="20"/>
                <w:szCs w:val="20"/>
              </w:rPr>
              <w:t>Good</w:t>
            </w:r>
          </w:p>
        </w:tc>
      </w:tr>
      <w:tr w:rsidR="00793B00" w:rsidRPr="00D66A91" w14:paraId="1270A992" w14:textId="77777777" w:rsidTr="00064ED7">
        <w:tc>
          <w:tcPr>
            <w:tcW w:w="4531" w:type="dxa"/>
          </w:tcPr>
          <w:p w14:paraId="3E440FAE" w14:textId="77777777" w:rsidR="00793B00" w:rsidRPr="00D66A91" w:rsidRDefault="00793B00" w:rsidP="000F52A8">
            <w:pPr>
              <w:spacing w:line="257" w:lineRule="auto"/>
              <w:rPr>
                <w:sz w:val="20"/>
                <w:szCs w:val="20"/>
              </w:rPr>
            </w:pPr>
            <w:r w:rsidRPr="00D66A91">
              <w:rPr>
                <w:rFonts w:ascii="Calibri" w:eastAsia="Calibri" w:hAnsi="Calibri" w:cs="Calibri"/>
                <w:sz w:val="20"/>
                <w:szCs w:val="20"/>
              </w:rPr>
              <w:t>EOPO 1.2: Detect</w:t>
            </w:r>
          </w:p>
        </w:tc>
        <w:tc>
          <w:tcPr>
            <w:tcW w:w="4536" w:type="dxa"/>
            <w:shd w:val="clear" w:color="auto" w:fill="FFC000"/>
          </w:tcPr>
          <w:p w14:paraId="541A5D0D" w14:textId="0559AA81" w:rsidR="00793B00" w:rsidRPr="004C0121" w:rsidRDefault="00793B00" w:rsidP="004C0121">
            <w:pPr>
              <w:spacing w:line="257" w:lineRule="auto"/>
              <w:jc w:val="center"/>
              <w:rPr>
                <w:b/>
                <w:bCs/>
                <w:sz w:val="20"/>
                <w:szCs w:val="20"/>
              </w:rPr>
            </w:pPr>
            <w:r w:rsidRPr="004C0121">
              <w:rPr>
                <w:b/>
                <w:bCs/>
                <w:color w:val="000000"/>
                <w:sz w:val="20"/>
                <w:szCs w:val="20"/>
              </w:rPr>
              <w:t>Good</w:t>
            </w:r>
          </w:p>
        </w:tc>
      </w:tr>
      <w:tr w:rsidR="00793B00" w:rsidRPr="00D66A91" w14:paraId="1D804D8E" w14:textId="77777777" w:rsidTr="00064ED7">
        <w:tc>
          <w:tcPr>
            <w:tcW w:w="4531" w:type="dxa"/>
          </w:tcPr>
          <w:p w14:paraId="07260475" w14:textId="77777777" w:rsidR="00793B00" w:rsidRPr="00D66A91" w:rsidRDefault="00793B00" w:rsidP="000F52A8">
            <w:pPr>
              <w:spacing w:line="257" w:lineRule="auto"/>
              <w:rPr>
                <w:sz w:val="20"/>
                <w:szCs w:val="20"/>
              </w:rPr>
            </w:pPr>
            <w:r w:rsidRPr="00D66A91">
              <w:rPr>
                <w:rFonts w:ascii="Calibri" w:eastAsia="Calibri" w:hAnsi="Calibri" w:cs="Calibri"/>
                <w:sz w:val="20"/>
                <w:szCs w:val="20"/>
              </w:rPr>
              <w:t>EOPO 1.3: Respond and recover</w:t>
            </w:r>
          </w:p>
        </w:tc>
        <w:tc>
          <w:tcPr>
            <w:tcW w:w="4536" w:type="dxa"/>
            <w:shd w:val="clear" w:color="auto" w:fill="FFC000"/>
          </w:tcPr>
          <w:p w14:paraId="5885BBBE" w14:textId="5BEEB91B" w:rsidR="00793B00" w:rsidRPr="004C0121" w:rsidRDefault="00793B00" w:rsidP="004C0121">
            <w:pPr>
              <w:spacing w:line="257" w:lineRule="auto"/>
              <w:jc w:val="center"/>
              <w:rPr>
                <w:b/>
                <w:bCs/>
                <w:sz w:val="20"/>
                <w:szCs w:val="20"/>
              </w:rPr>
            </w:pPr>
            <w:r w:rsidRPr="004C0121">
              <w:rPr>
                <w:b/>
                <w:bCs/>
                <w:color w:val="000000"/>
                <w:sz w:val="20"/>
                <w:szCs w:val="20"/>
              </w:rPr>
              <w:t>Good</w:t>
            </w:r>
          </w:p>
        </w:tc>
      </w:tr>
      <w:tr w:rsidR="00793B00" w:rsidRPr="00D66A91" w14:paraId="44CB0C8C" w14:textId="77777777" w:rsidTr="00064ED7">
        <w:tc>
          <w:tcPr>
            <w:tcW w:w="4531" w:type="dxa"/>
          </w:tcPr>
          <w:p w14:paraId="5E2BF8C8" w14:textId="77777777" w:rsidR="00793B00" w:rsidRPr="00D66A91" w:rsidRDefault="00793B00" w:rsidP="000F52A8">
            <w:pPr>
              <w:spacing w:line="257" w:lineRule="auto"/>
              <w:rPr>
                <w:rFonts w:ascii="Calibri" w:eastAsia="Calibri" w:hAnsi="Calibri" w:cs="Calibri"/>
                <w:sz w:val="20"/>
                <w:szCs w:val="20"/>
              </w:rPr>
            </w:pPr>
            <w:r w:rsidRPr="00D66A91">
              <w:rPr>
                <w:rFonts w:ascii="Calibri" w:eastAsia="Calibri" w:hAnsi="Calibri" w:cs="Calibri"/>
                <w:sz w:val="20"/>
                <w:szCs w:val="20"/>
              </w:rPr>
              <w:t>EOPO 2.1: Coordinate</w:t>
            </w:r>
          </w:p>
        </w:tc>
        <w:tc>
          <w:tcPr>
            <w:tcW w:w="4536" w:type="dxa"/>
            <w:shd w:val="clear" w:color="auto" w:fill="00B0F0"/>
          </w:tcPr>
          <w:p w14:paraId="57F3F356" w14:textId="70401B05" w:rsidR="00793B00" w:rsidRPr="004C0121" w:rsidRDefault="00793B00" w:rsidP="004C0121">
            <w:pPr>
              <w:spacing w:line="257" w:lineRule="auto"/>
              <w:jc w:val="center"/>
              <w:rPr>
                <w:rFonts w:ascii="Arimo" w:eastAsia="Arimo" w:hAnsi="Arimo" w:cs="Arimo"/>
                <w:b/>
                <w:bCs/>
                <w:color w:val="00B050"/>
                <w:sz w:val="20"/>
                <w:szCs w:val="20"/>
              </w:rPr>
            </w:pPr>
            <w:r w:rsidRPr="004C0121">
              <w:rPr>
                <w:b/>
                <w:bCs/>
                <w:color w:val="000000"/>
                <w:sz w:val="20"/>
                <w:szCs w:val="20"/>
              </w:rPr>
              <w:t>Acceptable</w:t>
            </w:r>
          </w:p>
        </w:tc>
      </w:tr>
    </w:tbl>
    <w:p w14:paraId="5CFE0001" w14:textId="3D6AEC4B" w:rsidR="00793B00" w:rsidRPr="00D74FC2" w:rsidRDefault="00793B00" w:rsidP="48362220">
      <w:pPr>
        <w:spacing w:after="120" w:line="240" w:lineRule="auto"/>
        <w:rPr>
          <w:rFonts w:eastAsia="Calibri"/>
        </w:rPr>
      </w:pPr>
      <w:r>
        <w:br/>
        <w:t xml:space="preserve">Under </w:t>
      </w:r>
      <w:r w:rsidRPr="48362220">
        <w:rPr>
          <w:b/>
          <w:bCs/>
        </w:rPr>
        <w:t>EOPO1.1</w:t>
      </w:r>
      <w:r w:rsidR="00CC64D7" w:rsidRPr="00CC64D7">
        <w:t>,</w:t>
      </w:r>
      <w:r w:rsidR="003F425B" w:rsidRPr="00F70175">
        <w:t xml:space="preserve"> which aimed</w:t>
      </w:r>
      <w:r w:rsidR="570FF29C" w:rsidRPr="00F70175">
        <w:t xml:space="preserve"> to </w:t>
      </w:r>
      <w:r w:rsidR="00555F8C">
        <w:t>support</w:t>
      </w:r>
      <w:r w:rsidR="003F425B" w:rsidRPr="00F70175">
        <w:t xml:space="preserve"> </w:t>
      </w:r>
      <w:r w:rsidR="003F425B">
        <w:t>g</w:t>
      </w:r>
      <w:r w:rsidR="003F425B" w:rsidRPr="00F70175">
        <w:t xml:space="preserve">overnment regulations </w:t>
      </w:r>
      <w:r w:rsidR="00DC00AC">
        <w:t xml:space="preserve">and </w:t>
      </w:r>
      <w:r w:rsidR="003F425B" w:rsidRPr="00F70175">
        <w:t xml:space="preserve">systems, community </w:t>
      </w:r>
      <w:r w:rsidR="00A5711E" w:rsidRPr="00F70175">
        <w:t>behaviours</w:t>
      </w:r>
      <w:r w:rsidR="003F425B" w:rsidRPr="00F70175">
        <w:t xml:space="preserve"> and private sector practices to reduce the impact of disease</w:t>
      </w:r>
      <w:r w:rsidR="00DC00AC">
        <w:t>,</w:t>
      </w:r>
      <w:r w:rsidR="003F425B" w:rsidRPr="00F70175">
        <w:t xml:space="preserve"> </w:t>
      </w:r>
      <w:r w:rsidR="00A651F3" w:rsidRPr="48362220">
        <w:rPr>
          <w:rFonts w:eastAsia="Calibri"/>
          <w:color w:val="000000" w:themeColor="text1"/>
          <w:lang w:val="en-US"/>
        </w:rPr>
        <w:t xml:space="preserve">greatest progress was made in </w:t>
      </w:r>
      <w:r w:rsidR="00BE6E16" w:rsidRPr="48362220">
        <w:rPr>
          <w:rFonts w:eastAsia="Calibri"/>
          <w:color w:val="000000" w:themeColor="text1"/>
          <w:lang w:val="en-US"/>
        </w:rPr>
        <w:t xml:space="preserve">supporting </w:t>
      </w:r>
      <w:r w:rsidR="00A651F3" w:rsidRPr="48362220">
        <w:rPr>
          <w:rFonts w:eastAsia="Calibri"/>
          <w:color w:val="000000" w:themeColor="text1"/>
          <w:lang w:val="en-US"/>
        </w:rPr>
        <w:t xml:space="preserve">the development and/or modification of government regulations or policy and planning documents such as the FMD </w:t>
      </w:r>
      <w:r w:rsidR="00E26B63" w:rsidRPr="48362220">
        <w:rPr>
          <w:rFonts w:eastAsia="Calibri"/>
          <w:color w:val="000000" w:themeColor="text1"/>
          <w:lang w:val="en-US"/>
        </w:rPr>
        <w:t>Roadmap</w:t>
      </w:r>
      <w:r w:rsidR="00A651F3" w:rsidRPr="48362220">
        <w:rPr>
          <w:rFonts w:eastAsia="Calibri"/>
          <w:color w:val="000000" w:themeColor="text1"/>
          <w:lang w:val="en-US"/>
        </w:rPr>
        <w:t xml:space="preserve"> (complete), the National Action Plan for improving laboratory capacity (in progress) and the </w:t>
      </w:r>
      <w:r w:rsidR="00A651F3" w:rsidRPr="48362220">
        <w:rPr>
          <w:rFonts w:eastAsia="Calibri"/>
          <w:color w:val="000000" w:themeColor="text1"/>
        </w:rPr>
        <w:t xml:space="preserve">National Health System Review which will inform Indonesia’s next medium and long-term development plans. The evidence for this was strong and </w:t>
      </w:r>
      <w:r w:rsidR="00463CCD" w:rsidRPr="48362220">
        <w:rPr>
          <w:rFonts w:eastAsia="Calibri"/>
          <w:color w:val="000000" w:themeColor="text1"/>
        </w:rPr>
        <w:t>th</w:t>
      </w:r>
      <w:r w:rsidR="00BE6E16" w:rsidRPr="48362220">
        <w:rPr>
          <w:rFonts w:eastAsia="Calibri"/>
          <w:color w:val="000000" w:themeColor="text1"/>
        </w:rPr>
        <w:t>is</w:t>
      </w:r>
      <w:r w:rsidR="00463CCD" w:rsidRPr="48362220">
        <w:rPr>
          <w:rFonts w:eastAsia="Calibri"/>
          <w:color w:val="000000" w:themeColor="text1"/>
        </w:rPr>
        <w:t xml:space="preserve"> progress </w:t>
      </w:r>
      <w:r w:rsidR="00A651F3" w:rsidRPr="48362220">
        <w:rPr>
          <w:rFonts w:eastAsia="Calibri"/>
          <w:color w:val="000000" w:themeColor="text1"/>
        </w:rPr>
        <w:t xml:space="preserve">resulted in the </w:t>
      </w:r>
      <w:proofErr w:type="gramStart"/>
      <w:r w:rsidR="00A651F3" w:rsidRPr="48362220">
        <w:rPr>
          <w:rFonts w:eastAsia="Calibri"/>
          <w:b/>
          <w:bCs/>
          <w:color w:val="000000" w:themeColor="text1"/>
        </w:rPr>
        <w:t>Good</w:t>
      </w:r>
      <w:proofErr w:type="gramEnd"/>
      <w:r w:rsidR="00A651F3" w:rsidRPr="48362220">
        <w:rPr>
          <w:rFonts w:eastAsia="Calibri"/>
          <w:color w:val="000000" w:themeColor="text1"/>
        </w:rPr>
        <w:t xml:space="preserve"> rating. </w:t>
      </w:r>
      <w:r w:rsidRPr="48362220">
        <w:rPr>
          <w:rFonts w:eastAsia="Calibri"/>
          <w:color w:val="000000" w:themeColor="text1"/>
        </w:rPr>
        <w:t>WHO facilitated the development of 10 technical guidelines</w:t>
      </w:r>
      <w:r w:rsidR="00FD6101" w:rsidRPr="48362220">
        <w:rPr>
          <w:rFonts w:eastAsia="Calibri"/>
          <w:color w:val="000000" w:themeColor="text1"/>
        </w:rPr>
        <w:t xml:space="preserve"> (</w:t>
      </w:r>
      <w:proofErr w:type="gramStart"/>
      <w:r w:rsidR="00FD6101" w:rsidRPr="48362220">
        <w:rPr>
          <w:rFonts w:eastAsia="Calibri"/>
          <w:color w:val="000000" w:themeColor="text1"/>
        </w:rPr>
        <w:t>e.g</w:t>
      </w:r>
      <w:r w:rsidR="00555F8C">
        <w:rPr>
          <w:rFonts w:eastAsia="Calibri"/>
          <w:color w:val="000000" w:themeColor="text1"/>
        </w:rPr>
        <w:t>.</w:t>
      </w:r>
      <w:proofErr w:type="gramEnd"/>
      <w:r w:rsidR="00FD6101" w:rsidRPr="48362220">
        <w:rPr>
          <w:rFonts w:eastAsia="Calibri"/>
          <w:color w:val="000000" w:themeColor="text1"/>
        </w:rPr>
        <w:t xml:space="preserve"> </w:t>
      </w:r>
      <w:r w:rsidR="00FF7C0B" w:rsidRPr="48362220">
        <w:rPr>
          <w:rFonts w:eastAsia="Calibri"/>
          <w:color w:val="000000" w:themeColor="text1"/>
        </w:rPr>
        <w:t xml:space="preserve">COVID-19 </w:t>
      </w:r>
      <w:r w:rsidR="00FD6101" w:rsidRPr="48362220">
        <w:rPr>
          <w:rFonts w:eastAsia="Calibri"/>
          <w:color w:val="000000" w:themeColor="text1"/>
        </w:rPr>
        <w:t>vaccination of priority populations)</w:t>
      </w:r>
      <w:r w:rsidRPr="48362220">
        <w:rPr>
          <w:rFonts w:eastAsia="Calibri"/>
          <w:color w:val="000000" w:themeColor="text1"/>
        </w:rPr>
        <w:t xml:space="preserve"> and built the capacity of primary </w:t>
      </w:r>
      <w:r w:rsidRPr="48362220">
        <w:rPr>
          <w:rFonts w:eastAsia="Calibri"/>
          <w:color w:val="000000" w:themeColor="text1"/>
        </w:rPr>
        <w:lastRenderedPageBreak/>
        <w:t xml:space="preserve">health workers to deliver essential health services in </w:t>
      </w:r>
      <w:proofErr w:type="spellStart"/>
      <w:r w:rsidR="00E21697" w:rsidRPr="48362220">
        <w:rPr>
          <w:rFonts w:eastAsia="Calibri"/>
          <w:color w:val="000000" w:themeColor="text1"/>
        </w:rPr>
        <w:t>p</w:t>
      </w:r>
      <w:r w:rsidRPr="48362220">
        <w:rPr>
          <w:rFonts w:eastAsia="Calibri"/>
          <w:color w:val="000000" w:themeColor="text1"/>
        </w:rPr>
        <w:t>uskesmas</w:t>
      </w:r>
      <w:proofErr w:type="spellEnd"/>
      <w:r w:rsidR="00411B7B" w:rsidRPr="48362220">
        <w:rPr>
          <w:rFonts w:eastAsia="Calibri"/>
          <w:color w:val="000000" w:themeColor="text1"/>
        </w:rPr>
        <w:t>.</w:t>
      </w:r>
      <w:r w:rsidRPr="48362220">
        <w:rPr>
          <w:rFonts w:eastAsia="Calibri"/>
          <w:color w:val="000000" w:themeColor="text1"/>
        </w:rPr>
        <w:t xml:space="preserve"> UNICEF supported training for health workers and health promoters</w:t>
      </w:r>
      <w:r w:rsidRPr="00E41FFD">
        <w:t xml:space="preserve"> </w:t>
      </w:r>
      <w:r w:rsidR="00E41FFD">
        <w:t>in</w:t>
      </w:r>
      <w:r w:rsidRPr="00E41FFD">
        <w:t xml:space="preserve"> routine immunisation </w:t>
      </w:r>
      <w:r w:rsidRPr="48362220">
        <w:rPr>
          <w:rFonts w:eastAsia="Calibri"/>
          <w:color w:val="000000" w:themeColor="text1"/>
        </w:rPr>
        <w:t xml:space="preserve">at </w:t>
      </w:r>
      <w:proofErr w:type="spellStart"/>
      <w:r w:rsidR="00411B7B" w:rsidRPr="48362220">
        <w:rPr>
          <w:rFonts w:eastAsia="Calibri"/>
          <w:color w:val="000000" w:themeColor="text1"/>
        </w:rPr>
        <w:t>p</w:t>
      </w:r>
      <w:r w:rsidRPr="48362220">
        <w:rPr>
          <w:rFonts w:eastAsia="Calibri"/>
          <w:color w:val="000000" w:themeColor="text1"/>
        </w:rPr>
        <w:t>uskesmas</w:t>
      </w:r>
      <w:proofErr w:type="spellEnd"/>
      <w:r w:rsidRPr="48362220">
        <w:rPr>
          <w:rFonts w:eastAsia="Calibri"/>
          <w:color w:val="000000" w:themeColor="text1"/>
        </w:rPr>
        <w:t xml:space="preserve"> and </w:t>
      </w:r>
      <w:proofErr w:type="spellStart"/>
      <w:r w:rsidRPr="48362220">
        <w:rPr>
          <w:rFonts w:eastAsia="Calibri"/>
          <w:color w:val="000000" w:themeColor="text1"/>
        </w:rPr>
        <w:t>posyandu</w:t>
      </w:r>
      <w:proofErr w:type="spellEnd"/>
      <w:r w:rsidR="00E01C31" w:rsidRPr="48362220">
        <w:rPr>
          <w:rFonts w:eastAsia="Calibri"/>
          <w:color w:val="000000" w:themeColor="text1"/>
        </w:rPr>
        <w:t xml:space="preserve"> </w:t>
      </w:r>
      <w:r w:rsidR="00E21697" w:rsidRPr="48362220">
        <w:rPr>
          <w:rFonts w:eastAsia="Calibri"/>
          <w:color w:val="000000" w:themeColor="text1"/>
        </w:rPr>
        <w:t>(integrated health service delivery post</w:t>
      </w:r>
      <w:r w:rsidR="00CC64D7">
        <w:rPr>
          <w:rFonts w:eastAsia="Calibri"/>
          <w:color w:val="000000" w:themeColor="text1"/>
        </w:rPr>
        <w:t>s</w:t>
      </w:r>
      <w:r w:rsidR="00E21697" w:rsidRPr="48362220">
        <w:rPr>
          <w:rFonts w:eastAsia="Calibri"/>
          <w:color w:val="000000" w:themeColor="text1"/>
        </w:rPr>
        <w:t>)</w:t>
      </w:r>
      <w:r w:rsidR="00E01C31" w:rsidRPr="48362220">
        <w:rPr>
          <w:rFonts w:eastAsia="Calibri"/>
          <w:color w:val="000000" w:themeColor="text1"/>
        </w:rPr>
        <w:t xml:space="preserve"> in multiple provinces</w:t>
      </w:r>
      <w:r w:rsidR="000D06CB">
        <w:rPr>
          <w:rFonts w:eastAsia="Calibri"/>
          <w:color w:val="000000" w:themeColor="text1"/>
        </w:rPr>
        <w:t xml:space="preserve"> </w:t>
      </w:r>
      <w:r w:rsidR="004C0121">
        <w:rPr>
          <w:rFonts w:eastAsia="Calibri"/>
          <w:color w:val="000000" w:themeColor="text1"/>
        </w:rPr>
        <w:t>as part of the National Child Immunization Month campaign</w:t>
      </w:r>
      <w:r w:rsidRPr="48362220">
        <w:rPr>
          <w:rFonts w:eastAsia="Calibri"/>
          <w:color w:val="000000" w:themeColor="text1"/>
        </w:rPr>
        <w:t xml:space="preserve">. </w:t>
      </w:r>
    </w:p>
    <w:p w14:paraId="72857858" w14:textId="3B99AF98" w:rsidR="00972DBD" w:rsidRDefault="00793B00" w:rsidP="48362220">
      <w:pPr>
        <w:spacing w:after="120" w:line="240" w:lineRule="auto"/>
        <w:rPr>
          <w:rFonts w:eastAsia="Calibri"/>
          <w:color w:val="000000"/>
        </w:rPr>
      </w:pPr>
      <w:r w:rsidRPr="48362220">
        <w:rPr>
          <w:rFonts w:eastAsia="Calibri"/>
        </w:rPr>
        <w:t xml:space="preserve">Under </w:t>
      </w:r>
      <w:r w:rsidRPr="48362220">
        <w:rPr>
          <w:rFonts w:eastAsia="Calibri"/>
          <w:b/>
          <w:bCs/>
        </w:rPr>
        <w:t>EOPO 1.2</w:t>
      </w:r>
      <w:r w:rsidR="00555F8C">
        <w:rPr>
          <w:rFonts w:eastAsia="Calibri"/>
          <w:b/>
          <w:bCs/>
        </w:rPr>
        <w:t>,</w:t>
      </w:r>
      <w:r w:rsidR="00DC00AC">
        <w:rPr>
          <w:rFonts w:eastAsia="Calibri"/>
        </w:rPr>
        <w:t xml:space="preserve"> </w:t>
      </w:r>
      <w:r w:rsidR="00DD70B4">
        <w:rPr>
          <w:rFonts w:eastAsia="Calibri"/>
        </w:rPr>
        <w:t>aimed at</w:t>
      </w:r>
      <w:r w:rsidR="00DC00AC">
        <w:rPr>
          <w:rFonts w:eastAsia="Calibri"/>
        </w:rPr>
        <w:t xml:space="preserve"> </w:t>
      </w:r>
      <w:r w:rsidR="00555F8C">
        <w:rPr>
          <w:rFonts w:eastAsia="Calibri"/>
        </w:rPr>
        <w:t xml:space="preserve">supporting </w:t>
      </w:r>
      <w:r w:rsidR="00DC00AC" w:rsidRPr="00DC00AC">
        <w:rPr>
          <w:rFonts w:eastAsia="Calibri"/>
        </w:rPr>
        <w:t>surveillance system</w:t>
      </w:r>
      <w:r w:rsidR="00555F8C">
        <w:rPr>
          <w:rFonts w:eastAsia="Calibri"/>
        </w:rPr>
        <w:t>s</w:t>
      </w:r>
      <w:r w:rsidR="00DC00AC" w:rsidRPr="00DC00AC">
        <w:rPr>
          <w:rFonts w:eastAsia="Calibri"/>
        </w:rPr>
        <w:t xml:space="preserve"> </w:t>
      </w:r>
      <w:r w:rsidR="00555F8C">
        <w:rPr>
          <w:rFonts w:eastAsia="Calibri"/>
        </w:rPr>
        <w:t>for</w:t>
      </w:r>
      <w:r w:rsidR="00DC00AC" w:rsidRPr="00DC00AC">
        <w:rPr>
          <w:rFonts w:eastAsia="Calibri"/>
        </w:rPr>
        <w:t xml:space="preserve"> detect</w:t>
      </w:r>
      <w:r w:rsidR="00555F8C">
        <w:rPr>
          <w:rFonts w:eastAsia="Calibri"/>
        </w:rPr>
        <w:t>ing</w:t>
      </w:r>
      <w:r w:rsidR="00DC00AC" w:rsidRPr="00DC00AC">
        <w:rPr>
          <w:rFonts w:eastAsia="Calibri"/>
        </w:rPr>
        <w:t xml:space="preserve"> emerging </w:t>
      </w:r>
      <w:r w:rsidR="00555F8C">
        <w:rPr>
          <w:rFonts w:eastAsia="Calibri"/>
        </w:rPr>
        <w:t>disease</w:t>
      </w:r>
      <w:r w:rsidR="00DC00AC" w:rsidRPr="00DC00AC">
        <w:rPr>
          <w:rFonts w:eastAsia="Calibri"/>
        </w:rPr>
        <w:t xml:space="preserve"> threats</w:t>
      </w:r>
      <w:r w:rsidRPr="48362220">
        <w:rPr>
          <w:rFonts w:eastAsia="Calibri"/>
        </w:rPr>
        <w:t>, AIHSP</w:t>
      </w:r>
      <w:r w:rsidR="00BE6E16" w:rsidRPr="48362220">
        <w:rPr>
          <w:rFonts w:eastAsia="Calibri"/>
        </w:rPr>
        <w:t>’s work on</w:t>
      </w:r>
      <w:r w:rsidRPr="48362220">
        <w:rPr>
          <w:rFonts w:eastAsia="Calibri"/>
        </w:rPr>
        <w:t xml:space="preserve"> the laboratory information system </w:t>
      </w:r>
      <w:proofErr w:type="spellStart"/>
      <w:r w:rsidRPr="48362220">
        <w:rPr>
          <w:rFonts w:eastAsia="Calibri"/>
        </w:rPr>
        <w:t>iVL</w:t>
      </w:r>
      <w:r w:rsidR="00441E8C">
        <w:rPr>
          <w:rFonts w:eastAsia="Calibri"/>
        </w:rPr>
        <w:t>AB</w:t>
      </w:r>
      <w:proofErr w:type="spellEnd"/>
      <w:r w:rsidRPr="48362220">
        <w:rPr>
          <w:rFonts w:eastAsia="Calibri"/>
        </w:rPr>
        <w:t xml:space="preserve"> and its </w:t>
      </w:r>
      <w:r w:rsidR="00307E62">
        <w:rPr>
          <w:rFonts w:eastAsia="Calibri"/>
        </w:rPr>
        <w:t>incorporation</w:t>
      </w:r>
      <w:r w:rsidRPr="48362220">
        <w:rPr>
          <w:rFonts w:eastAsia="Calibri"/>
        </w:rPr>
        <w:t xml:space="preserve"> into </w:t>
      </w:r>
      <w:proofErr w:type="spellStart"/>
      <w:r w:rsidRPr="48362220">
        <w:rPr>
          <w:rFonts w:eastAsia="Calibri"/>
        </w:rPr>
        <w:t>iSIKHNAS</w:t>
      </w:r>
      <w:proofErr w:type="spellEnd"/>
      <w:r w:rsidR="00BE6E16" w:rsidRPr="48362220">
        <w:rPr>
          <w:rFonts w:eastAsia="Calibri"/>
        </w:rPr>
        <w:t xml:space="preserve"> </w:t>
      </w:r>
      <w:r w:rsidR="00BE6E16" w:rsidRPr="48362220">
        <w:rPr>
          <w:lang w:val="en-US"/>
        </w:rPr>
        <w:t xml:space="preserve">resulted in a more integrated system, enhanced early warning and reporting, and increased system security. </w:t>
      </w:r>
      <w:r w:rsidR="0000142F">
        <w:rPr>
          <w:lang w:val="en-US"/>
        </w:rPr>
        <w:t xml:space="preserve">There </w:t>
      </w:r>
      <w:r w:rsidR="000E7D40">
        <w:rPr>
          <w:lang w:val="en-US"/>
        </w:rPr>
        <w:t>wa</w:t>
      </w:r>
      <w:r w:rsidR="0000142F">
        <w:rPr>
          <w:lang w:val="en-US"/>
        </w:rPr>
        <w:t xml:space="preserve">s evidence that </w:t>
      </w:r>
      <w:proofErr w:type="spellStart"/>
      <w:r w:rsidR="00BE6E16" w:rsidRPr="48362220">
        <w:rPr>
          <w:lang w:val="en-US"/>
        </w:rPr>
        <w:t>iSIKHNAS</w:t>
      </w:r>
      <w:proofErr w:type="spellEnd"/>
      <w:r w:rsidR="00BE6E16" w:rsidRPr="48362220">
        <w:rPr>
          <w:lang w:val="en-US"/>
        </w:rPr>
        <w:t xml:space="preserve"> </w:t>
      </w:r>
      <w:r w:rsidR="0000142F">
        <w:rPr>
          <w:lang w:val="en-US"/>
        </w:rPr>
        <w:t>was</w:t>
      </w:r>
      <w:r w:rsidR="008859A6">
        <w:rPr>
          <w:lang w:val="en-US"/>
        </w:rPr>
        <w:t xml:space="preserve"> valuable </w:t>
      </w:r>
      <w:r w:rsidR="0000142F">
        <w:rPr>
          <w:lang w:val="en-US"/>
        </w:rPr>
        <w:t>in</w:t>
      </w:r>
      <w:r w:rsidR="008859A6">
        <w:rPr>
          <w:lang w:val="en-US"/>
        </w:rPr>
        <w:t xml:space="preserve"> track</w:t>
      </w:r>
      <w:r w:rsidR="0000142F">
        <w:rPr>
          <w:lang w:val="en-US"/>
        </w:rPr>
        <w:t>ing the</w:t>
      </w:r>
      <w:r w:rsidR="008859A6">
        <w:rPr>
          <w:lang w:val="en-US"/>
        </w:rPr>
        <w:t xml:space="preserve"> spread </w:t>
      </w:r>
      <w:r w:rsidR="0000142F">
        <w:rPr>
          <w:lang w:val="en-US"/>
        </w:rPr>
        <w:t xml:space="preserve">of, </w:t>
      </w:r>
      <w:r w:rsidR="008859A6">
        <w:rPr>
          <w:lang w:val="en-US"/>
        </w:rPr>
        <w:t>and</w:t>
      </w:r>
      <w:r w:rsidR="0000142F">
        <w:rPr>
          <w:lang w:val="en-US"/>
        </w:rPr>
        <w:t xml:space="preserve"> </w:t>
      </w:r>
      <w:r w:rsidR="008859A6">
        <w:rPr>
          <w:lang w:val="en-US"/>
        </w:rPr>
        <w:t>inform</w:t>
      </w:r>
      <w:r w:rsidR="00307E62">
        <w:rPr>
          <w:lang w:val="en-US"/>
        </w:rPr>
        <w:t>ing</w:t>
      </w:r>
      <w:r w:rsidR="008859A6">
        <w:rPr>
          <w:lang w:val="en-US"/>
        </w:rPr>
        <w:t xml:space="preserve"> responses to</w:t>
      </w:r>
      <w:r w:rsidR="0000142F">
        <w:rPr>
          <w:lang w:val="en-US"/>
        </w:rPr>
        <w:t>, the</w:t>
      </w:r>
      <w:r w:rsidR="008859A6">
        <w:rPr>
          <w:lang w:val="en-US"/>
        </w:rPr>
        <w:t xml:space="preserve"> FMD and LSD outbreaks</w:t>
      </w:r>
      <w:r w:rsidR="00BE6E16" w:rsidRPr="48362220">
        <w:rPr>
          <w:lang w:val="en-US"/>
        </w:rPr>
        <w:t xml:space="preserve">. </w:t>
      </w:r>
      <w:r w:rsidR="00F93DBE" w:rsidRPr="48362220">
        <w:rPr>
          <w:lang w:val="en-US"/>
        </w:rPr>
        <w:t xml:space="preserve">The progress of </w:t>
      </w:r>
      <w:r w:rsidR="003F7404" w:rsidRPr="48362220">
        <w:rPr>
          <w:lang w:val="en-US"/>
        </w:rPr>
        <w:t>three</w:t>
      </w:r>
      <w:r w:rsidR="00F93DBE" w:rsidRPr="48362220">
        <w:rPr>
          <w:lang w:val="en-US"/>
        </w:rPr>
        <w:t xml:space="preserve"> </w:t>
      </w:r>
      <w:r w:rsidR="00443B1A" w:rsidRPr="48362220">
        <w:rPr>
          <w:lang w:val="en-US"/>
        </w:rPr>
        <w:t xml:space="preserve">AIHSP-supported </w:t>
      </w:r>
      <w:r w:rsidR="00F93DBE" w:rsidRPr="48362220">
        <w:rPr>
          <w:lang w:val="en-US"/>
        </w:rPr>
        <w:t xml:space="preserve">systems </w:t>
      </w:r>
      <w:r w:rsidR="00443B1A" w:rsidRPr="48362220">
        <w:rPr>
          <w:lang w:val="en-US"/>
        </w:rPr>
        <w:t>was</w:t>
      </w:r>
      <w:r w:rsidR="00F93DBE" w:rsidRPr="48362220">
        <w:rPr>
          <w:rFonts w:eastAsia="Calibri"/>
        </w:rPr>
        <w:t xml:space="preserve"> </w:t>
      </w:r>
      <w:r w:rsidR="003F7404" w:rsidRPr="48362220">
        <w:rPr>
          <w:rFonts w:eastAsia="Calibri"/>
        </w:rPr>
        <w:t xml:space="preserve">mixed: ASIK used </w:t>
      </w:r>
      <w:r w:rsidRPr="48362220">
        <w:rPr>
          <w:rFonts w:eastAsia="Calibri"/>
        </w:rPr>
        <w:t xml:space="preserve">for monitoring health at a primary health care (PHC) level </w:t>
      </w:r>
      <w:r w:rsidR="003F7404" w:rsidRPr="48362220">
        <w:rPr>
          <w:rFonts w:eastAsia="Calibri"/>
        </w:rPr>
        <w:t>ha</w:t>
      </w:r>
      <w:r w:rsidR="00443B1A" w:rsidRPr="48362220">
        <w:rPr>
          <w:rFonts w:eastAsia="Calibri"/>
        </w:rPr>
        <w:t>d</w:t>
      </w:r>
      <w:r w:rsidRPr="48362220">
        <w:rPr>
          <w:rFonts w:eastAsia="Calibri"/>
        </w:rPr>
        <w:t xml:space="preserve"> been accessed by 94% of </w:t>
      </w:r>
      <w:r w:rsidR="00443B1A" w:rsidRPr="48362220">
        <w:rPr>
          <w:rFonts w:eastAsia="Calibri"/>
        </w:rPr>
        <w:t xml:space="preserve">all </w:t>
      </w:r>
      <w:proofErr w:type="spellStart"/>
      <w:r w:rsidR="00A06CC2" w:rsidRPr="48362220">
        <w:rPr>
          <w:rFonts w:eastAsia="Calibri"/>
        </w:rPr>
        <w:t>puskesmas</w:t>
      </w:r>
      <w:proofErr w:type="spellEnd"/>
      <w:r w:rsidR="003F7404" w:rsidRPr="48362220">
        <w:rPr>
          <w:rFonts w:eastAsia="Calibri"/>
        </w:rPr>
        <w:t xml:space="preserve">; </w:t>
      </w:r>
      <w:r w:rsidRPr="48362220">
        <w:rPr>
          <w:rFonts w:eastAsia="Calibri"/>
        </w:rPr>
        <w:t xml:space="preserve">the </w:t>
      </w:r>
      <w:r w:rsidRPr="48362220">
        <w:rPr>
          <w:rFonts w:eastAsia="Calibri"/>
          <w:color w:val="000000" w:themeColor="text1"/>
        </w:rPr>
        <w:t>Secure and Interoperable Surveillance and Health Information System (SISHIS)</w:t>
      </w:r>
      <w:r w:rsidR="003F7404" w:rsidRPr="48362220">
        <w:rPr>
          <w:rFonts w:eastAsia="Calibri"/>
          <w:color w:val="000000" w:themeColor="text1"/>
        </w:rPr>
        <w:t xml:space="preserve"> </w:t>
      </w:r>
      <w:r w:rsidR="0088753D" w:rsidRPr="48362220">
        <w:rPr>
          <w:rFonts w:eastAsia="Calibri"/>
          <w:color w:val="000000" w:themeColor="text1"/>
        </w:rPr>
        <w:t>remain</w:t>
      </w:r>
      <w:r w:rsidR="00443B1A" w:rsidRPr="48362220">
        <w:rPr>
          <w:rFonts w:eastAsia="Calibri"/>
          <w:color w:val="000000" w:themeColor="text1"/>
        </w:rPr>
        <w:t>ed</w:t>
      </w:r>
      <w:r w:rsidR="0088753D" w:rsidRPr="48362220">
        <w:rPr>
          <w:rFonts w:eastAsia="Calibri"/>
          <w:color w:val="000000" w:themeColor="text1"/>
        </w:rPr>
        <w:t xml:space="preserve"> </w:t>
      </w:r>
      <w:r w:rsidRPr="48362220">
        <w:rPr>
          <w:rFonts w:eastAsia="Calibri"/>
          <w:color w:val="000000" w:themeColor="text1"/>
        </w:rPr>
        <w:t>at pilot stage</w:t>
      </w:r>
      <w:r w:rsidR="003F7404" w:rsidRPr="48362220">
        <w:rPr>
          <w:rFonts w:eastAsia="Calibri"/>
          <w:color w:val="000000" w:themeColor="text1"/>
        </w:rPr>
        <w:t>;</w:t>
      </w:r>
      <w:r w:rsidRPr="48362220">
        <w:rPr>
          <w:rFonts w:eastAsia="Calibri"/>
        </w:rPr>
        <w:t xml:space="preserve"> </w:t>
      </w:r>
      <w:r w:rsidR="003F7404" w:rsidRPr="48362220">
        <w:rPr>
          <w:rFonts w:eastAsia="Calibri"/>
        </w:rPr>
        <w:t xml:space="preserve">progress of </w:t>
      </w:r>
      <w:r w:rsidRPr="48362220">
        <w:rPr>
          <w:rFonts w:eastAsia="Calibri"/>
          <w:color w:val="000000" w:themeColor="text1"/>
        </w:rPr>
        <w:t>the interoperable One Health surveillance data exchange, SIZE</w:t>
      </w:r>
      <w:r w:rsidR="003F7404" w:rsidRPr="48362220">
        <w:rPr>
          <w:rFonts w:eastAsia="Calibri"/>
          <w:color w:val="000000" w:themeColor="text1"/>
        </w:rPr>
        <w:t>, ha</w:t>
      </w:r>
      <w:r w:rsidR="00443B1A" w:rsidRPr="48362220">
        <w:rPr>
          <w:rFonts w:eastAsia="Calibri"/>
          <w:color w:val="000000" w:themeColor="text1"/>
        </w:rPr>
        <w:t>d</w:t>
      </w:r>
      <w:r w:rsidR="003F7404" w:rsidRPr="48362220">
        <w:rPr>
          <w:rFonts w:eastAsia="Calibri"/>
          <w:color w:val="000000" w:themeColor="text1"/>
        </w:rPr>
        <w:t xml:space="preserve"> been slow. The</w:t>
      </w:r>
      <w:r w:rsidR="00441E8C">
        <w:rPr>
          <w:rFonts w:eastAsia="Calibri"/>
          <w:color w:val="000000" w:themeColor="text1"/>
        </w:rPr>
        <w:t xml:space="preserve"> </w:t>
      </w:r>
      <w:proofErr w:type="spellStart"/>
      <w:r w:rsidR="00441E8C">
        <w:rPr>
          <w:rFonts w:eastAsia="Calibri"/>
          <w:color w:val="000000" w:themeColor="text1"/>
        </w:rPr>
        <w:t>iVLAB</w:t>
      </w:r>
      <w:proofErr w:type="spellEnd"/>
      <w:r w:rsidR="003F7404" w:rsidRPr="48362220">
        <w:rPr>
          <w:rFonts w:eastAsia="Calibri"/>
          <w:color w:val="000000" w:themeColor="text1"/>
        </w:rPr>
        <w:t xml:space="preserve"> and </w:t>
      </w:r>
      <w:proofErr w:type="spellStart"/>
      <w:r w:rsidR="003F7404" w:rsidRPr="48362220">
        <w:rPr>
          <w:rFonts w:eastAsia="Calibri"/>
          <w:color w:val="000000" w:themeColor="text1"/>
        </w:rPr>
        <w:t>iSIKHNAS</w:t>
      </w:r>
      <w:proofErr w:type="spellEnd"/>
      <w:r w:rsidR="003F7404" w:rsidRPr="48362220">
        <w:rPr>
          <w:rFonts w:eastAsia="Calibri"/>
          <w:color w:val="000000" w:themeColor="text1"/>
        </w:rPr>
        <w:t xml:space="preserve"> work in particular resulted in the </w:t>
      </w:r>
      <w:proofErr w:type="gramStart"/>
      <w:r w:rsidR="003F7404" w:rsidRPr="48362220">
        <w:rPr>
          <w:rFonts w:eastAsia="Calibri"/>
          <w:b/>
          <w:bCs/>
          <w:color w:val="000000" w:themeColor="text1"/>
        </w:rPr>
        <w:t>Good</w:t>
      </w:r>
      <w:proofErr w:type="gramEnd"/>
      <w:r w:rsidR="003F7404" w:rsidRPr="48362220">
        <w:rPr>
          <w:rFonts w:eastAsia="Calibri"/>
          <w:color w:val="000000" w:themeColor="text1"/>
        </w:rPr>
        <w:t xml:space="preserve"> rating, and there </w:t>
      </w:r>
      <w:r w:rsidR="00443B1A" w:rsidRPr="48362220">
        <w:rPr>
          <w:rFonts w:eastAsia="Calibri"/>
          <w:color w:val="000000" w:themeColor="text1"/>
        </w:rPr>
        <w:t>wa</w:t>
      </w:r>
      <w:r w:rsidR="003F7404" w:rsidRPr="48362220">
        <w:rPr>
          <w:rFonts w:eastAsia="Calibri"/>
          <w:color w:val="000000" w:themeColor="text1"/>
        </w:rPr>
        <w:t>s strong evidence to support this.</w:t>
      </w:r>
    </w:p>
    <w:p w14:paraId="17531EED" w14:textId="7E267462" w:rsidR="00793B00" w:rsidRPr="00D74FC2" w:rsidRDefault="00793B00" w:rsidP="008C0CD0">
      <w:pPr>
        <w:spacing w:after="120" w:line="240" w:lineRule="auto"/>
        <w:rPr>
          <w:rFonts w:eastAsia="Calibri"/>
        </w:rPr>
      </w:pPr>
      <w:r w:rsidRPr="4FCF45F9">
        <w:rPr>
          <w:rFonts w:eastAsia="Calibri"/>
          <w:color w:val="000000" w:themeColor="text1"/>
        </w:rPr>
        <w:t xml:space="preserve">WHO supported 31,000 health facilities at </w:t>
      </w:r>
      <w:proofErr w:type="spellStart"/>
      <w:r w:rsidR="00A06CC2">
        <w:rPr>
          <w:rFonts w:eastAsia="Calibri"/>
          <w:color w:val="000000" w:themeColor="text1"/>
        </w:rPr>
        <w:t>puskesmas</w:t>
      </w:r>
      <w:proofErr w:type="spellEnd"/>
      <w:r w:rsidRPr="4FCF45F9">
        <w:rPr>
          <w:rFonts w:eastAsia="Calibri"/>
          <w:color w:val="000000" w:themeColor="text1"/>
        </w:rPr>
        <w:t xml:space="preserve"> level with capability for antigen-rapid diagnostic testing (Ag-RDT)</w:t>
      </w:r>
      <w:r w:rsidR="00307E62">
        <w:rPr>
          <w:rFonts w:eastAsia="Calibri"/>
          <w:color w:val="000000" w:themeColor="text1"/>
        </w:rPr>
        <w:t xml:space="preserve">, </w:t>
      </w:r>
      <w:r w:rsidRPr="4FCF45F9">
        <w:rPr>
          <w:rFonts w:eastAsia="Calibri"/>
          <w:color w:val="000000" w:themeColor="text1"/>
        </w:rPr>
        <w:t xml:space="preserve">1,300 laboratories to </w:t>
      </w:r>
      <w:r w:rsidR="0088753D" w:rsidRPr="4FCF45F9">
        <w:rPr>
          <w:rFonts w:eastAsia="Calibri"/>
          <w:color w:val="000000" w:themeColor="text1"/>
        </w:rPr>
        <w:t xml:space="preserve">conduct </w:t>
      </w:r>
      <w:r w:rsidRPr="4FCF45F9">
        <w:rPr>
          <w:rFonts w:eastAsia="Calibri"/>
          <w:color w:val="000000" w:themeColor="text1"/>
        </w:rPr>
        <w:t>PCR testing</w:t>
      </w:r>
      <w:r w:rsidR="00307E62">
        <w:rPr>
          <w:rFonts w:eastAsia="Calibri"/>
          <w:color w:val="000000" w:themeColor="text1"/>
        </w:rPr>
        <w:t xml:space="preserve"> and</w:t>
      </w:r>
      <w:r w:rsidRPr="4FCF45F9">
        <w:rPr>
          <w:rFonts w:eastAsia="Calibri"/>
          <w:color w:val="000000" w:themeColor="text1"/>
        </w:rPr>
        <w:t xml:space="preserve"> 1,034 laboratories for external quality assurance </w:t>
      </w:r>
      <w:r w:rsidR="00B94B5C" w:rsidRPr="4FCF45F9">
        <w:rPr>
          <w:rFonts w:eastAsia="Calibri"/>
          <w:color w:val="000000" w:themeColor="text1"/>
        </w:rPr>
        <w:t xml:space="preserve">for COVID-19 diagnostics. </w:t>
      </w:r>
      <w:bookmarkStart w:id="18" w:name="_Hlk132478936"/>
      <w:r w:rsidR="008E052F" w:rsidRPr="4FCF45F9">
        <w:rPr>
          <w:rFonts w:eastAsia="Calibri"/>
          <w:color w:val="000000" w:themeColor="text1"/>
          <w:lang w:val="en-US"/>
        </w:rPr>
        <w:t xml:space="preserve">UNICEF supported the </w:t>
      </w:r>
      <w:proofErr w:type="spellStart"/>
      <w:r w:rsidR="008E052F" w:rsidRPr="4FCF45F9">
        <w:rPr>
          <w:rFonts w:eastAsia="Calibri"/>
          <w:color w:val="000000" w:themeColor="text1"/>
          <w:lang w:val="en-US"/>
        </w:rPr>
        <w:t>RapidPro</w:t>
      </w:r>
      <w:proofErr w:type="spellEnd"/>
      <w:r w:rsidR="008E052F" w:rsidRPr="4FCF45F9">
        <w:rPr>
          <w:rFonts w:eastAsia="Calibri"/>
          <w:color w:val="000000" w:themeColor="text1"/>
          <w:lang w:val="en-US"/>
        </w:rPr>
        <w:t xml:space="preserve"> digital platform </w:t>
      </w:r>
      <w:r w:rsidR="00246C79" w:rsidRPr="4FCF45F9">
        <w:rPr>
          <w:rFonts w:eastAsia="Calibri"/>
          <w:color w:val="000000" w:themeColor="text1"/>
          <w:lang w:val="en-US"/>
        </w:rPr>
        <w:t>which identified 35,814 children</w:t>
      </w:r>
      <w:r w:rsidR="0035614D" w:rsidRPr="4FCF45F9">
        <w:rPr>
          <w:rFonts w:eastAsia="Calibri"/>
          <w:color w:val="000000" w:themeColor="text1"/>
          <w:lang w:val="en-US"/>
        </w:rPr>
        <w:t xml:space="preserve"> </w:t>
      </w:r>
      <w:r w:rsidR="008E052F" w:rsidRPr="4FCF45F9">
        <w:rPr>
          <w:rFonts w:eastAsia="Calibri"/>
          <w:color w:val="000000" w:themeColor="text1"/>
          <w:lang w:val="en-US"/>
        </w:rPr>
        <w:t xml:space="preserve">who lost their parents/caregivers due to COVID-19. </w:t>
      </w:r>
      <w:bookmarkEnd w:id="18"/>
    </w:p>
    <w:p w14:paraId="0C101C65" w14:textId="77284775" w:rsidR="0088753D" w:rsidRPr="00D74FC2" w:rsidRDefault="00793B00" w:rsidP="48362220">
      <w:pPr>
        <w:spacing w:after="120" w:line="240" w:lineRule="auto"/>
      </w:pPr>
      <w:r w:rsidRPr="48362220">
        <w:rPr>
          <w:rFonts w:eastAsia="Calibri"/>
          <w:b/>
          <w:bCs/>
        </w:rPr>
        <w:t>EOPO 1.3</w:t>
      </w:r>
      <w:r w:rsidR="0C10DECA" w:rsidRPr="0000142F">
        <w:rPr>
          <w:rFonts w:eastAsia="Calibri"/>
        </w:rPr>
        <w:t xml:space="preserve"> </w:t>
      </w:r>
      <w:r w:rsidR="00066A8B">
        <w:rPr>
          <w:rFonts w:eastAsia="Calibri"/>
        </w:rPr>
        <w:t>aimed to</w:t>
      </w:r>
      <w:r w:rsidR="00DD70B4">
        <w:rPr>
          <w:rFonts w:eastAsia="Calibri"/>
        </w:rPr>
        <w:t xml:space="preserve"> improve the ability of </w:t>
      </w:r>
      <w:r w:rsidR="00066A8B">
        <w:rPr>
          <w:rFonts w:eastAsia="Calibri"/>
        </w:rPr>
        <w:t xml:space="preserve">the </w:t>
      </w:r>
      <w:r w:rsidR="00DD70B4">
        <w:rPr>
          <w:rFonts w:ascii="Calibri" w:eastAsia="Calibri" w:hAnsi="Calibri" w:cs="Calibri"/>
          <w:lang w:val="en-US"/>
        </w:rPr>
        <w:t>g</w:t>
      </w:r>
      <w:r w:rsidR="00DD70B4" w:rsidRPr="008F1A29">
        <w:rPr>
          <w:rFonts w:ascii="Calibri" w:eastAsia="Calibri" w:hAnsi="Calibri" w:cs="Calibri"/>
          <w:lang w:val="en-US"/>
        </w:rPr>
        <w:t xml:space="preserve">overnment, </w:t>
      </w:r>
      <w:proofErr w:type="gramStart"/>
      <w:r w:rsidR="00DD70B4" w:rsidRPr="008F1A29">
        <w:rPr>
          <w:rFonts w:ascii="Calibri" w:eastAsia="Calibri" w:hAnsi="Calibri" w:cs="Calibri"/>
          <w:lang w:val="en-US"/>
        </w:rPr>
        <w:t>communit</w:t>
      </w:r>
      <w:r w:rsidR="00066A8B">
        <w:rPr>
          <w:rFonts w:ascii="Calibri" w:eastAsia="Calibri" w:hAnsi="Calibri" w:cs="Calibri"/>
          <w:lang w:val="en-US"/>
        </w:rPr>
        <w:t>y</w:t>
      </w:r>
      <w:proofErr w:type="gramEnd"/>
      <w:r w:rsidR="00066A8B">
        <w:rPr>
          <w:rFonts w:ascii="Calibri" w:eastAsia="Calibri" w:hAnsi="Calibri" w:cs="Calibri"/>
          <w:lang w:val="en-US"/>
        </w:rPr>
        <w:t xml:space="preserve"> and </w:t>
      </w:r>
      <w:r w:rsidR="00DD70B4" w:rsidRPr="008F1A29">
        <w:rPr>
          <w:rFonts w:ascii="Calibri" w:eastAsia="Calibri" w:hAnsi="Calibri" w:cs="Calibri"/>
          <w:lang w:val="en-US"/>
        </w:rPr>
        <w:t>private sector to respon</w:t>
      </w:r>
      <w:r w:rsidR="00066A8B">
        <w:rPr>
          <w:rFonts w:ascii="Calibri" w:eastAsia="Calibri" w:hAnsi="Calibri" w:cs="Calibri"/>
          <w:lang w:val="en-US"/>
        </w:rPr>
        <w:t>d to disease outbreaks. Under this EOPO,</w:t>
      </w:r>
      <w:r w:rsidRPr="48362220">
        <w:rPr>
          <w:rFonts w:eastAsia="Calibri"/>
        </w:rPr>
        <w:t xml:space="preserve"> </w:t>
      </w:r>
      <w:r w:rsidR="00246C79" w:rsidRPr="48362220">
        <w:rPr>
          <w:lang w:val="en-US"/>
        </w:rPr>
        <w:t>AIHSP</w:t>
      </w:r>
      <w:r w:rsidR="000D511D">
        <w:rPr>
          <w:lang w:val="en-US"/>
        </w:rPr>
        <w:t xml:space="preserve">’s response </w:t>
      </w:r>
      <w:r w:rsidR="00246C79" w:rsidRPr="48362220">
        <w:rPr>
          <w:lang w:val="en-US"/>
        </w:rPr>
        <w:t>to COVID-19 and animal disease outbreaks</w:t>
      </w:r>
      <w:r w:rsidR="000D511D">
        <w:rPr>
          <w:lang w:val="en-US"/>
        </w:rPr>
        <w:t xml:space="preserve"> </w:t>
      </w:r>
      <w:r w:rsidR="000D511D" w:rsidRPr="48362220">
        <w:rPr>
          <w:lang w:val="en-US"/>
        </w:rPr>
        <w:t>including FMD, LSD and rabies</w:t>
      </w:r>
      <w:r w:rsidR="000D511D">
        <w:rPr>
          <w:lang w:val="en-US"/>
        </w:rPr>
        <w:t xml:space="preserve"> was timely and flexible</w:t>
      </w:r>
      <w:r w:rsidR="00246C79" w:rsidRPr="48362220">
        <w:rPr>
          <w:lang w:val="en-US"/>
        </w:rPr>
        <w:t xml:space="preserve">. </w:t>
      </w:r>
      <w:r w:rsidRPr="00A85839">
        <w:t xml:space="preserve">As at March 2023, a </w:t>
      </w:r>
      <w:r w:rsidRPr="48362220">
        <w:t xml:space="preserve">total of 263,559 men and women, including 39,350 </w:t>
      </w:r>
      <w:proofErr w:type="gramStart"/>
      <w:r w:rsidRPr="48362220">
        <w:t>elderly</w:t>
      </w:r>
      <w:proofErr w:type="gramEnd"/>
      <w:r w:rsidR="00417940" w:rsidRPr="48362220">
        <w:rPr>
          <w:rStyle w:val="FootnoteReference"/>
        </w:rPr>
        <w:footnoteReference w:id="3"/>
      </w:r>
      <w:r w:rsidRPr="48362220">
        <w:t xml:space="preserve"> and 1,684 people with disabilities were vaccinated against COVID-19 through AIHSP</w:t>
      </w:r>
      <w:r w:rsidR="00246C79" w:rsidRPr="48362220">
        <w:t xml:space="preserve">. </w:t>
      </w:r>
      <w:r w:rsidR="00FF7C0B" w:rsidRPr="48362220">
        <w:t>I</w:t>
      </w:r>
      <w:r w:rsidRPr="48362220">
        <w:t xml:space="preserve">nclusive vaccination events </w:t>
      </w:r>
      <w:r w:rsidR="00FF7C0B" w:rsidRPr="48362220">
        <w:t xml:space="preserve">were </w:t>
      </w:r>
      <w:r w:rsidR="00246C79" w:rsidRPr="48362220">
        <w:t xml:space="preserve">held but </w:t>
      </w:r>
      <w:r w:rsidR="007E037C">
        <w:t xml:space="preserve">as of March 2023, </w:t>
      </w:r>
      <w:r w:rsidRPr="48362220">
        <w:t xml:space="preserve">vaccination rates for </w:t>
      </w:r>
      <w:r w:rsidR="00246C79" w:rsidRPr="48362220">
        <w:t xml:space="preserve">people with disabilities </w:t>
      </w:r>
      <w:r w:rsidR="00246C79" w:rsidRPr="007E037C">
        <w:t>and the elderly remain</w:t>
      </w:r>
      <w:r w:rsidR="00651DAB" w:rsidRPr="007E037C">
        <w:t>ed</w:t>
      </w:r>
      <w:r w:rsidRPr="007E037C">
        <w:t xml:space="preserve"> l</w:t>
      </w:r>
      <w:r w:rsidRPr="48362220">
        <w:t xml:space="preserve">ower than expected. </w:t>
      </w:r>
      <w:r w:rsidR="00FF7C0B" w:rsidRPr="48362220">
        <w:t xml:space="preserve">AIHSP supported the development of Health Emergency Operations Centres (HEOCs) in four provinces, with mixed results. </w:t>
      </w:r>
      <w:r w:rsidR="00246C79" w:rsidRPr="48362220">
        <w:t>Australia contributed 435,000 doses of the LSD vaccine and 4 million doses of the FMD vaccine</w:t>
      </w:r>
      <w:r w:rsidR="00B053A8" w:rsidRPr="48362220">
        <w:t xml:space="preserve">. </w:t>
      </w:r>
      <w:r w:rsidR="00B053A8">
        <w:t xml:space="preserve">However, more holistic disease control strategies were needed in </w:t>
      </w:r>
      <w:r w:rsidR="00B053A8" w:rsidRPr="00644A4B">
        <w:t>combination with more vaccines, and</w:t>
      </w:r>
      <w:r w:rsidR="00B053A8">
        <w:t xml:space="preserve"> so the diseases continued to spread.</w:t>
      </w:r>
      <w:r w:rsidR="00246C79" w:rsidRPr="48362220">
        <w:t xml:space="preserve"> </w:t>
      </w:r>
      <w:r w:rsidR="00492E15" w:rsidRPr="48362220">
        <w:t>Despite this, t</w:t>
      </w:r>
      <w:r w:rsidR="00FB3AD3" w:rsidRPr="48362220">
        <w:t xml:space="preserve">he strong evidence and efficacy of </w:t>
      </w:r>
      <w:r w:rsidR="00B053A8" w:rsidRPr="48362220">
        <w:t xml:space="preserve">Australia’s contribution to the </w:t>
      </w:r>
      <w:r w:rsidR="000D511D">
        <w:t xml:space="preserve">disease outbreak </w:t>
      </w:r>
      <w:r w:rsidR="00FB3AD3" w:rsidRPr="48362220">
        <w:t xml:space="preserve">responses resulted in the </w:t>
      </w:r>
      <w:proofErr w:type="gramStart"/>
      <w:r w:rsidR="00FB3AD3" w:rsidRPr="48362220">
        <w:rPr>
          <w:b/>
          <w:bCs/>
        </w:rPr>
        <w:t>Good</w:t>
      </w:r>
      <w:proofErr w:type="gramEnd"/>
      <w:r w:rsidR="00FB3AD3" w:rsidRPr="48362220">
        <w:t xml:space="preserve"> rating.</w:t>
      </w:r>
    </w:p>
    <w:p w14:paraId="6AD62789" w14:textId="2AC9E2CF" w:rsidR="00793B00" w:rsidRPr="00D74FC2" w:rsidRDefault="000D511D" w:rsidP="008C0CD0">
      <w:pPr>
        <w:spacing w:after="120" w:line="240" w:lineRule="auto"/>
      </w:pPr>
      <w:r>
        <w:t xml:space="preserve">WHO provided support for the COVID-19 response </w:t>
      </w:r>
      <w:r w:rsidR="22D4AA4D" w:rsidRPr="4FCF45F9">
        <w:t xml:space="preserve">through </w:t>
      </w:r>
      <w:r w:rsidR="00793B00" w:rsidRPr="4FCF45F9">
        <w:t xml:space="preserve">sentinel surveillance and contact tracing activities </w:t>
      </w:r>
      <w:r>
        <w:t>while</w:t>
      </w:r>
      <w:r w:rsidR="00793B00" w:rsidRPr="4FCF45F9">
        <w:t xml:space="preserve"> UNICEF </w:t>
      </w:r>
      <w:r w:rsidR="001D2201" w:rsidRPr="4FCF45F9">
        <w:t>supported procurement</w:t>
      </w:r>
      <w:r w:rsidR="00D97FA2" w:rsidRPr="4FCF45F9">
        <w:t xml:space="preserve"> and administration of COVID-19 vaccines, </w:t>
      </w:r>
      <w:r w:rsidR="00B43E17">
        <w:t>risk communication and community engagement (</w:t>
      </w:r>
      <w:r w:rsidR="00D97FA2" w:rsidRPr="4FCF45F9">
        <w:t>RCCE</w:t>
      </w:r>
      <w:r w:rsidR="00B43E17">
        <w:t>)</w:t>
      </w:r>
      <w:r w:rsidR="00D97FA2" w:rsidRPr="4FCF45F9">
        <w:t xml:space="preserve"> and the </w:t>
      </w:r>
      <w:proofErr w:type="spellStart"/>
      <w:r w:rsidR="00A46A44" w:rsidRPr="4FCF45F9">
        <w:t>GoI</w:t>
      </w:r>
      <w:r w:rsidR="00D97FA2" w:rsidRPr="4FCF45F9">
        <w:t>’s</w:t>
      </w:r>
      <w:proofErr w:type="spellEnd"/>
      <w:r w:rsidR="00D97FA2" w:rsidRPr="4FCF45F9">
        <w:t xml:space="preserve"> COVID-19 website. </w:t>
      </w:r>
    </w:p>
    <w:p w14:paraId="23F0C638" w14:textId="4495BE90" w:rsidR="00A36758" w:rsidRPr="003C5D14" w:rsidRDefault="00793B00" w:rsidP="48362220">
      <w:pPr>
        <w:spacing w:after="120" w:line="240" w:lineRule="auto"/>
        <w:rPr>
          <w:highlight w:val="cyan"/>
        </w:rPr>
      </w:pPr>
      <w:r w:rsidRPr="48362220">
        <w:rPr>
          <w:b/>
          <w:bCs/>
        </w:rPr>
        <w:t>EOPO 2.1</w:t>
      </w:r>
      <w:r w:rsidR="00A85839">
        <w:rPr>
          <w:b/>
          <w:bCs/>
        </w:rPr>
        <w:t xml:space="preserve"> </w:t>
      </w:r>
      <w:r w:rsidR="00A85839">
        <w:t>focused on</w:t>
      </w:r>
      <w:r w:rsidR="0027308F">
        <w:t xml:space="preserve"> </w:t>
      </w:r>
      <w:r w:rsidR="00DD70B4" w:rsidRPr="00DD70B4">
        <w:t xml:space="preserve">relevant government bodies </w:t>
      </w:r>
      <w:r w:rsidR="00DD70B4">
        <w:t>us</w:t>
      </w:r>
      <w:r w:rsidR="00A85839">
        <w:t>ing</w:t>
      </w:r>
      <w:r w:rsidR="00DD70B4">
        <w:t xml:space="preserve"> a One Health approach</w:t>
      </w:r>
      <w:r w:rsidR="007C6D1A">
        <w:t xml:space="preserve"> and collaborative working</w:t>
      </w:r>
      <w:r w:rsidR="00A85839">
        <w:t xml:space="preserve">. Under this EOPO, </w:t>
      </w:r>
      <w:r>
        <w:t xml:space="preserve">AIHSP </w:t>
      </w:r>
      <w:r w:rsidR="00CE0CE7">
        <w:t xml:space="preserve">promoted a One Health approach through the </w:t>
      </w:r>
      <w:r>
        <w:t xml:space="preserve">development of 16 multistakeholder structures at provincial, </w:t>
      </w:r>
      <w:proofErr w:type="gramStart"/>
      <w:r>
        <w:t>district</w:t>
      </w:r>
      <w:proofErr w:type="gramEnd"/>
      <w:r>
        <w:t xml:space="preserve"> and village level. However, while multiagency communication on health security improved, there was limited evidence of </w:t>
      </w:r>
      <w:r w:rsidR="00CE0CE7">
        <w:t>the structures</w:t>
      </w:r>
      <w:r>
        <w:t xml:space="preserve"> operationalising for an emergency response except for rabies in Bali. </w:t>
      </w:r>
      <w:r w:rsidR="00A36758">
        <w:t xml:space="preserve">AIHSP supported the </w:t>
      </w:r>
      <w:r w:rsidR="00A36758" w:rsidRPr="48362220">
        <w:rPr>
          <w:rFonts w:eastAsia="Calibri"/>
          <w:color w:val="000000" w:themeColor="text1"/>
        </w:rPr>
        <w:t>G20 One Health Side Event in Indonesia</w:t>
      </w:r>
      <w:r w:rsidR="4DBAA5EB" w:rsidRPr="48362220">
        <w:rPr>
          <w:rFonts w:eastAsia="Calibri"/>
          <w:color w:val="000000" w:themeColor="text1"/>
        </w:rPr>
        <w:t xml:space="preserve"> </w:t>
      </w:r>
      <w:r w:rsidR="00972DBD" w:rsidRPr="48362220">
        <w:rPr>
          <w:rFonts w:eastAsia="Calibri"/>
          <w:color w:val="000000" w:themeColor="text1"/>
        </w:rPr>
        <w:t>which</w:t>
      </w:r>
      <w:r w:rsidR="4DBAA5EB" w:rsidRPr="48362220">
        <w:rPr>
          <w:rFonts w:eastAsia="Calibri"/>
          <w:color w:val="000000" w:themeColor="text1"/>
        </w:rPr>
        <w:t xml:space="preserve"> helped increase </w:t>
      </w:r>
      <w:r w:rsidR="00972DBD" w:rsidRPr="48362220">
        <w:rPr>
          <w:rFonts w:eastAsia="Calibri"/>
          <w:color w:val="000000" w:themeColor="text1"/>
        </w:rPr>
        <w:t xml:space="preserve">the visibility of </w:t>
      </w:r>
      <w:r w:rsidR="4DBAA5EB" w:rsidRPr="48362220">
        <w:rPr>
          <w:rFonts w:eastAsia="Calibri"/>
          <w:color w:val="000000" w:themeColor="text1"/>
        </w:rPr>
        <w:t>a One Health approach</w:t>
      </w:r>
      <w:r w:rsidR="00972DBD" w:rsidRPr="48362220">
        <w:rPr>
          <w:rFonts w:eastAsia="Calibri"/>
          <w:color w:val="000000" w:themeColor="text1"/>
        </w:rPr>
        <w:t>.</w:t>
      </w:r>
      <w:r w:rsidR="00A36758" w:rsidRPr="003C5D14">
        <w:t xml:space="preserve"> The rating of </w:t>
      </w:r>
      <w:r w:rsidR="00A36758" w:rsidRPr="003C5D14">
        <w:rPr>
          <w:b/>
          <w:bCs/>
        </w:rPr>
        <w:t>Acceptable</w:t>
      </w:r>
      <w:r w:rsidR="00A36758" w:rsidRPr="003C5D14">
        <w:t xml:space="preserve"> for this EOPO is based upon early but limited progress of One Health activities, but evidence was not as strong as for the other EOPOs. </w:t>
      </w:r>
    </w:p>
    <w:p w14:paraId="34B7B0E0" w14:textId="432E39D4" w:rsidR="00793B00" w:rsidRPr="00D74FC2" w:rsidRDefault="00793021" w:rsidP="48362220">
      <w:pPr>
        <w:spacing w:after="120" w:line="240" w:lineRule="auto"/>
        <w:rPr>
          <w:rFonts w:eastAsia="Calibri"/>
        </w:rPr>
      </w:pPr>
      <w:r w:rsidRPr="48362220">
        <w:rPr>
          <w:rFonts w:eastAsia="Calibri"/>
          <w:color w:val="000000" w:themeColor="text1"/>
          <w:lang w:val="en-US"/>
        </w:rPr>
        <w:t>WHO and UNICEF contributed to COVID-19 working groups and the donor coordination forum for COVID-19. In 2021, WHO supported the MoH to develop a One Health training module.</w:t>
      </w:r>
    </w:p>
    <w:p w14:paraId="06094FD4" w14:textId="69697FB5" w:rsidR="00793B00" w:rsidRPr="00E46C99" w:rsidRDefault="00793B00" w:rsidP="00425817">
      <w:pPr>
        <w:pStyle w:val="Heading2"/>
        <w:numPr>
          <w:ilvl w:val="0"/>
          <w:numId w:val="10"/>
        </w:numPr>
        <w:rPr>
          <w:rFonts w:cstheme="majorHAnsi"/>
        </w:rPr>
      </w:pPr>
      <w:bookmarkStart w:id="19" w:name="_Toc132584525"/>
      <w:bookmarkStart w:id="20" w:name="_Toc135837381"/>
      <w:r w:rsidRPr="00E46C99">
        <w:rPr>
          <w:rFonts w:cstheme="majorHAnsi"/>
        </w:rPr>
        <w:t>Contribution to Indonesia’s health sector</w:t>
      </w:r>
      <w:bookmarkEnd w:id="19"/>
      <w:bookmarkEnd w:id="20"/>
    </w:p>
    <w:p w14:paraId="2E483250" w14:textId="55046139" w:rsidR="00793B00" w:rsidRPr="00871D91" w:rsidRDefault="00793B00" w:rsidP="00425817">
      <w:pPr>
        <w:pStyle w:val="Heading4"/>
        <w:numPr>
          <w:ilvl w:val="1"/>
          <w:numId w:val="9"/>
        </w:numPr>
        <w:spacing w:line="240" w:lineRule="auto"/>
        <w:ind w:left="357" w:hanging="357"/>
        <w:rPr>
          <w:rFonts w:cstheme="majorHAnsi"/>
          <w:i w:val="0"/>
          <w:iCs w:val="0"/>
          <w:sz w:val="24"/>
          <w:szCs w:val="24"/>
        </w:rPr>
      </w:pPr>
      <w:r w:rsidRPr="00871D91">
        <w:rPr>
          <w:rFonts w:cstheme="majorHAnsi"/>
          <w:i w:val="0"/>
          <w:iCs w:val="0"/>
          <w:sz w:val="24"/>
          <w:szCs w:val="24"/>
        </w:rPr>
        <w:t>Contribution to the COVID-19 response</w:t>
      </w:r>
    </w:p>
    <w:p w14:paraId="22BEE6AE" w14:textId="77777777" w:rsidR="00793B00" w:rsidRPr="00D74FC2" w:rsidRDefault="00793B00" w:rsidP="00793B00">
      <w:pPr>
        <w:pStyle w:val="Heading4"/>
        <w:shd w:val="clear" w:color="auto" w:fill="D9D9D9" w:themeFill="background1" w:themeFillShade="D9"/>
        <w:rPr>
          <w:rFonts w:asciiTheme="minorHAnsi" w:hAnsiTheme="minorHAnsi" w:cstheme="minorHAnsi"/>
          <w:i w:val="0"/>
          <w:iCs w:val="0"/>
          <w:color w:val="000000" w:themeColor="text1"/>
        </w:rPr>
      </w:pPr>
      <w:r w:rsidRPr="00D74FC2">
        <w:rPr>
          <w:rFonts w:asciiTheme="minorHAnsi" w:hAnsiTheme="minorHAnsi" w:cstheme="minorHAnsi"/>
          <w:i w:val="0"/>
          <w:iCs w:val="0"/>
          <w:color w:val="000000" w:themeColor="text1"/>
        </w:rPr>
        <w:t>KEQ 2.1: How have the DFAT-funded AIHSP, UNICEF and WHO activities contributed to Indonesia’s COVID-19 response?</w:t>
      </w:r>
    </w:p>
    <w:p w14:paraId="4CAC1125" w14:textId="58C85C81" w:rsidR="00793B00" w:rsidRPr="00D74FC2" w:rsidRDefault="00793B00" w:rsidP="008C0CD0">
      <w:pPr>
        <w:spacing w:after="120" w:line="240" w:lineRule="auto"/>
      </w:pPr>
      <w:r w:rsidRPr="4FCF45F9">
        <w:t xml:space="preserve">Australia </w:t>
      </w:r>
      <w:r w:rsidR="00CD4DEB" w:rsidRPr="4FCF45F9">
        <w:t>made</w:t>
      </w:r>
      <w:r w:rsidRPr="4FCF45F9">
        <w:t xml:space="preserve"> a significant</w:t>
      </w:r>
      <w:r w:rsidR="00CD4DEB" w:rsidRPr="4FCF45F9">
        <w:t>, timely and comprehensive contribution to</w:t>
      </w:r>
      <w:r w:rsidRPr="4FCF45F9">
        <w:t xml:space="preserve"> Indonesia’s COVID-19 response through AIHSP and its funding of UNICEF and WHO. </w:t>
      </w:r>
      <w:r w:rsidR="00CD4DEB" w:rsidRPr="4FCF45F9">
        <w:t>F</w:t>
      </w:r>
      <w:r w:rsidR="001015EA" w:rsidRPr="4FCF45F9">
        <w:t>unding</w:t>
      </w:r>
      <w:r w:rsidR="00CD4DEB" w:rsidRPr="4FCF45F9">
        <w:t xml:space="preserve"> was allocated</w:t>
      </w:r>
      <w:r w:rsidR="001015EA" w:rsidRPr="4FCF45F9">
        <w:t xml:space="preserve"> through</w:t>
      </w:r>
      <w:r w:rsidR="00E7530B" w:rsidRPr="4FCF45F9">
        <w:t xml:space="preserve"> DFAT’s </w:t>
      </w:r>
      <w:r w:rsidR="005309ED">
        <w:t xml:space="preserve">regional </w:t>
      </w:r>
      <w:r w:rsidR="00E7530B" w:rsidRPr="4FCF45F9">
        <w:t xml:space="preserve">Vaccine Access and Health Security Initiative (VAHSI) </w:t>
      </w:r>
      <w:r w:rsidR="00CD4DEB" w:rsidRPr="4FCF45F9">
        <w:t xml:space="preserve">and bilaterally </w:t>
      </w:r>
      <w:r w:rsidR="00E7530B" w:rsidRPr="4FCF45F9">
        <w:t xml:space="preserve">for COVID-19. </w:t>
      </w:r>
      <w:r w:rsidR="00CD4DEB" w:rsidRPr="4FCF45F9">
        <w:rPr>
          <w:color w:val="000000" w:themeColor="text1"/>
        </w:rPr>
        <w:t xml:space="preserve">AIHSP partners provided significant support to surveillance, </w:t>
      </w:r>
      <w:proofErr w:type="gramStart"/>
      <w:r w:rsidR="00CD4DEB" w:rsidRPr="4FCF45F9">
        <w:rPr>
          <w:color w:val="000000" w:themeColor="text1"/>
        </w:rPr>
        <w:t>laboratory</w:t>
      </w:r>
      <w:proofErr w:type="gramEnd"/>
      <w:r w:rsidR="00CD4DEB" w:rsidRPr="4FCF45F9">
        <w:rPr>
          <w:color w:val="000000" w:themeColor="text1"/>
        </w:rPr>
        <w:t xml:space="preserve"> and information systems</w:t>
      </w:r>
      <w:r w:rsidR="00061614" w:rsidRPr="4FCF45F9">
        <w:rPr>
          <w:color w:val="000000" w:themeColor="text1"/>
        </w:rPr>
        <w:t xml:space="preserve">, </w:t>
      </w:r>
      <w:r w:rsidR="00061614" w:rsidRPr="4FCF45F9">
        <w:lastRenderedPageBreak/>
        <w:t xml:space="preserve">strengthening </w:t>
      </w:r>
      <w:r w:rsidR="00F61BE1">
        <w:t>health</w:t>
      </w:r>
      <w:r w:rsidR="00061614" w:rsidRPr="4FCF45F9">
        <w:t xml:space="preserve"> emergency operations centres</w:t>
      </w:r>
      <w:r w:rsidR="00061614" w:rsidRPr="4FCF45F9">
        <w:rPr>
          <w:color w:val="000000" w:themeColor="text1"/>
        </w:rPr>
        <w:t xml:space="preserve">, </w:t>
      </w:r>
      <w:r w:rsidR="00CA0C2B" w:rsidRPr="4FCF45F9">
        <w:rPr>
          <w:color w:val="000000" w:themeColor="text1"/>
        </w:rPr>
        <w:t>RCCE and vaccination</w:t>
      </w:r>
      <w:r w:rsidR="00CD4DEB" w:rsidRPr="4FCF45F9">
        <w:rPr>
          <w:color w:val="000000" w:themeColor="text1"/>
        </w:rPr>
        <w:t xml:space="preserve">. </w:t>
      </w:r>
      <w:r w:rsidRPr="4FCF45F9">
        <w:rPr>
          <w:color w:val="000000" w:themeColor="text1"/>
        </w:rPr>
        <w:t xml:space="preserve">Both WHO and UNICEF supported development of Indonesia’s National Deployment and Vaccination Plan, vaccine readiness assessments, dashboards </w:t>
      </w:r>
      <w:r w:rsidR="00DA4D48" w:rsidRPr="4FCF45F9">
        <w:rPr>
          <w:color w:val="000000" w:themeColor="text1"/>
        </w:rPr>
        <w:t>for</w:t>
      </w:r>
      <w:r w:rsidRPr="4FCF45F9">
        <w:rPr>
          <w:color w:val="000000" w:themeColor="text1"/>
        </w:rPr>
        <w:t xml:space="preserve"> monitor</w:t>
      </w:r>
      <w:r w:rsidR="00DA4D48" w:rsidRPr="4FCF45F9">
        <w:rPr>
          <w:color w:val="000000" w:themeColor="text1"/>
        </w:rPr>
        <w:t>ing</w:t>
      </w:r>
      <w:r w:rsidRPr="4FCF45F9">
        <w:rPr>
          <w:color w:val="000000" w:themeColor="text1"/>
        </w:rPr>
        <w:t xml:space="preserve"> vaccination </w:t>
      </w:r>
      <w:r w:rsidR="00CA0C2B" w:rsidRPr="4FCF45F9">
        <w:rPr>
          <w:color w:val="000000" w:themeColor="text1"/>
        </w:rPr>
        <w:t>and administering vaccines</w:t>
      </w:r>
      <w:r w:rsidRPr="4FCF45F9">
        <w:rPr>
          <w:color w:val="000000" w:themeColor="text1"/>
        </w:rPr>
        <w:t xml:space="preserve">. </w:t>
      </w:r>
      <w:r w:rsidR="00CA0C2B" w:rsidRPr="4FCF45F9">
        <w:rPr>
          <w:color w:val="000000" w:themeColor="text1"/>
        </w:rPr>
        <w:t>WHO supported national strategies and guidance, for example in sentinel surveillance</w:t>
      </w:r>
      <w:r w:rsidR="008B5B24">
        <w:rPr>
          <w:color w:val="000000" w:themeColor="text1"/>
        </w:rPr>
        <w:t>,</w:t>
      </w:r>
      <w:r w:rsidR="00D21728" w:rsidRPr="4FCF45F9">
        <w:rPr>
          <w:color w:val="000000" w:themeColor="text1"/>
        </w:rPr>
        <w:t xml:space="preserve"> and suppl</w:t>
      </w:r>
      <w:r w:rsidR="008B5B24">
        <w:rPr>
          <w:color w:val="000000" w:themeColor="text1"/>
        </w:rPr>
        <w:t>ied</w:t>
      </w:r>
      <w:r w:rsidR="00D21728" w:rsidRPr="4FCF45F9">
        <w:rPr>
          <w:color w:val="000000" w:themeColor="text1"/>
        </w:rPr>
        <w:t xml:space="preserve"> rapid diagnostic tests</w:t>
      </w:r>
      <w:r w:rsidR="00CA0C2B" w:rsidRPr="4FCF45F9">
        <w:rPr>
          <w:color w:val="000000" w:themeColor="text1"/>
        </w:rPr>
        <w:t xml:space="preserve">. </w:t>
      </w:r>
      <w:r w:rsidR="00061614" w:rsidRPr="4FCF45F9">
        <w:rPr>
          <w:color w:val="000000" w:themeColor="text1"/>
        </w:rPr>
        <w:t>UNICEF supported vaccine procurement and</w:t>
      </w:r>
      <w:r w:rsidR="008B5B24">
        <w:rPr>
          <w:color w:val="000000" w:themeColor="text1"/>
        </w:rPr>
        <w:t xml:space="preserve"> </w:t>
      </w:r>
      <w:r w:rsidR="00061614" w:rsidRPr="4FCF45F9">
        <w:rPr>
          <w:color w:val="000000" w:themeColor="text1"/>
        </w:rPr>
        <w:t xml:space="preserve">RCCE. </w:t>
      </w:r>
      <w:r w:rsidR="00CA0C2B" w:rsidRPr="4FCF45F9">
        <w:rPr>
          <w:color w:val="000000" w:themeColor="text1"/>
        </w:rPr>
        <w:t>All partners</w:t>
      </w:r>
      <w:r w:rsidRPr="4FCF45F9">
        <w:rPr>
          <w:color w:val="000000" w:themeColor="text1"/>
        </w:rPr>
        <w:t xml:space="preserve"> </w:t>
      </w:r>
      <w:r w:rsidR="00CA0C2B" w:rsidRPr="4FCF45F9">
        <w:rPr>
          <w:color w:val="000000" w:themeColor="text1"/>
        </w:rPr>
        <w:t>provided</w:t>
      </w:r>
      <w:r w:rsidRPr="4FCF45F9">
        <w:rPr>
          <w:color w:val="000000" w:themeColor="text1"/>
        </w:rPr>
        <w:t xml:space="preserve"> </w:t>
      </w:r>
      <w:r w:rsidR="00B34605" w:rsidRPr="4FCF45F9">
        <w:rPr>
          <w:color w:val="000000" w:themeColor="text1"/>
        </w:rPr>
        <w:t xml:space="preserve">support </w:t>
      </w:r>
      <w:r w:rsidR="00D21728" w:rsidRPr="4FCF45F9">
        <w:rPr>
          <w:color w:val="000000" w:themeColor="text1"/>
        </w:rPr>
        <w:t>for</w:t>
      </w:r>
      <w:r w:rsidRPr="4FCF45F9">
        <w:rPr>
          <w:color w:val="000000" w:themeColor="text1"/>
        </w:rPr>
        <w:t xml:space="preserve"> inclusive vaccination, particularly for women, people with disabilities and the elderly </w:t>
      </w:r>
      <w:r w:rsidRPr="4FCF45F9">
        <w:rPr>
          <w:i/>
          <w:iCs/>
          <w:color w:val="000000" w:themeColor="text1"/>
        </w:rPr>
        <w:t xml:space="preserve">(see </w:t>
      </w:r>
      <w:r w:rsidR="0039375F">
        <w:rPr>
          <w:i/>
          <w:iCs/>
          <w:color w:val="000000" w:themeColor="text1"/>
        </w:rPr>
        <w:t xml:space="preserve">also </w:t>
      </w:r>
      <w:r w:rsidRPr="4FCF45F9">
        <w:rPr>
          <w:i/>
          <w:iCs/>
          <w:color w:val="000000" w:themeColor="text1"/>
        </w:rPr>
        <w:t>KEQ 4.1 below</w:t>
      </w:r>
      <w:r w:rsidR="0039375F">
        <w:rPr>
          <w:i/>
          <w:iCs/>
          <w:color w:val="000000" w:themeColor="text1"/>
        </w:rPr>
        <w:t>)</w:t>
      </w:r>
      <w:r w:rsidRPr="4FCF45F9">
        <w:rPr>
          <w:color w:val="000000" w:themeColor="text1"/>
        </w:rPr>
        <w:t xml:space="preserve">. </w:t>
      </w:r>
    </w:p>
    <w:p w14:paraId="150BF59C" w14:textId="3B2468BC" w:rsidR="00793B00" w:rsidRPr="00D74FC2" w:rsidRDefault="00D21728" w:rsidP="008C0CD0">
      <w:pPr>
        <w:spacing w:after="120" w:line="240" w:lineRule="auto"/>
        <w:rPr>
          <w:rFonts w:ascii="Calibri" w:eastAsia="Calibri" w:hAnsi="Calibri" w:cs="Calibri"/>
        </w:rPr>
      </w:pPr>
      <w:r w:rsidRPr="4FCF45F9">
        <w:t xml:space="preserve">The MTR Team mapped these activities to the </w:t>
      </w:r>
      <w:proofErr w:type="spellStart"/>
      <w:r w:rsidRPr="4FCF45F9">
        <w:t>GoI’s</w:t>
      </w:r>
      <w:proofErr w:type="spellEnd"/>
      <w:r w:rsidRPr="4FCF45F9">
        <w:t xml:space="preserve"> </w:t>
      </w:r>
      <w:r w:rsidRPr="4FCF45F9">
        <w:rPr>
          <w:color w:val="000000"/>
        </w:rPr>
        <w:t>National Action Plan for Health Security Indonesia (NAPHS) 2020-2024</w:t>
      </w:r>
      <w:r w:rsidRPr="4FCF45F9">
        <w:rPr>
          <w:rStyle w:val="FootnoteReference"/>
          <w:color w:val="000000"/>
        </w:rPr>
        <w:footnoteReference w:id="4"/>
      </w:r>
      <w:r w:rsidRPr="4FCF45F9">
        <w:rPr>
          <w:color w:val="000000"/>
        </w:rPr>
        <w:t xml:space="preserve"> and this demonstrated a holistic contribution by Australia to </w:t>
      </w:r>
      <w:r w:rsidR="008A6D60" w:rsidRPr="4FCF45F9">
        <w:rPr>
          <w:color w:val="000000"/>
        </w:rPr>
        <w:t>improving</w:t>
      </w:r>
      <w:r w:rsidRPr="4FCF45F9">
        <w:rPr>
          <w:color w:val="000000"/>
        </w:rPr>
        <w:t xml:space="preserve"> </w:t>
      </w:r>
      <w:r w:rsidR="008A6D60" w:rsidRPr="4FCF45F9">
        <w:rPr>
          <w:color w:val="000000"/>
        </w:rPr>
        <w:t xml:space="preserve">the country’s </w:t>
      </w:r>
      <w:r w:rsidRPr="4FCF45F9">
        <w:rPr>
          <w:color w:val="000000"/>
        </w:rPr>
        <w:t>health security. COVID-19 provided an opportunity to strengthen health systems, such as information systems, and many will be sustained for managing other diseases. However, vaccination rates for the elderly and people with disabilities were lower than expected and results of some pilot activities were limited.</w:t>
      </w:r>
      <w:r w:rsidR="00BC04CE" w:rsidRPr="4FCF45F9">
        <w:rPr>
          <w:color w:val="000000"/>
        </w:rPr>
        <w:t xml:space="preserve"> Australia continued </w:t>
      </w:r>
      <w:r w:rsidR="008B5B24">
        <w:rPr>
          <w:color w:val="000000"/>
        </w:rPr>
        <w:t xml:space="preserve">its </w:t>
      </w:r>
      <w:r w:rsidR="00BC04CE" w:rsidRPr="4FCF45F9">
        <w:rPr>
          <w:color w:val="000000"/>
        </w:rPr>
        <w:t>support during COVID-19 transition</w:t>
      </w:r>
      <w:r w:rsidR="008B5B24">
        <w:rPr>
          <w:color w:val="000000"/>
        </w:rPr>
        <w:t>,</w:t>
      </w:r>
      <w:r w:rsidR="00BC04CE" w:rsidRPr="4FCF45F9">
        <w:rPr>
          <w:color w:val="000000"/>
        </w:rPr>
        <w:t xml:space="preserve"> including </w:t>
      </w:r>
      <w:r w:rsidR="00DA4D48" w:rsidRPr="4FCF45F9">
        <w:rPr>
          <w:color w:val="000000"/>
        </w:rPr>
        <w:t xml:space="preserve">through </w:t>
      </w:r>
      <w:r w:rsidR="00BC04CE" w:rsidRPr="4FCF45F9">
        <w:rPr>
          <w:color w:val="000000"/>
        </w:rPr>
        <w:t>last mile vaccination.</w:t>
      </w:r>
    </w:p>
    <w:p w14:paraId="06DA18C0" w14:textId="35FA2CB8" w:rsidR="00793B00" w:rsidRPr="00871D91" w:rsidRDefault="00871D91" w:rsidP="00871D91">
      <w:pPr>
        <w:pStyle w:val="Heading3"/>
        <w:rPr>
          <w:rFonts w:cstheme="majorHAnsi"/>
        </w:rPr>
      </w:pPr>
      <w:bookmarkStart w:id="21" w:name="_Toc135837382"/>
      <w:r>
        <w:rPr>
          <w:rFonts w:cstheme="majorHAnsi"/>
        </w:rPr>
        <w:t xml:space="preserve">2.2 </w:t>
      </w:r>
      <w:r w:rsidR="00793B00" w:rsidRPr="00871D91">
        <w:rPr>
          <w:rFonts w:cstheme="majorHAnsi"/>
        </w:rPr>
        <w:t xml:space="preserve">Contribution to strengthening health </w:t>
      </w:r>
      <w:proofErr w:type="gramStart"/>
      <w:r w:rsidR="00793B00" w:rsidRPr="00871D91">
        <w:rPr>
          <w:rFonts w:cstheme="majorHAnsi"/>
        </w:rPr>
        <w:t>systems</w:t>
      </w:r>
      <w:bookmarkEnd w:id="21"/>
      <w:proofErr w:type="gramEnd"/>
    </w:p>
    <w:p w14:paraId="77F42CA2" w14:textId="77777777" w:rsidR="00793B00" w:rsidRPr="00D74FC2" w:rsidRDefault="00793B00" w:rsidP="00054837">
      <w:pPr>
        <w:pStyle w:val="NormalWeb"/>
        <w:shd w:val="clear" w:color="auto" w:fill="D9D9D9" w:themeFill="background1" w:themeFillShade="D9"/>
        <w:spacing w:before="0" w:beforeAutospacing="0" w:after="0" w:afterAutospacing="0"/>
        <w:rPr>
          <w:rFonts w:asciiTheme="minorHAnsi" w:hAnsiTheme="minorHAnsi" w:cstheme="minorHAnsi"/>
          <w:sz w:val="22"/>
          <w:szCs w:val="22"/>
        </w:rPr>
      </w:pPr>
      <w:r w:rsidRPr="00D74FC2">
        <w:rPr>
          <w:rFonts w:asciiTheme="minorHAnsi" w:hAnsiTheme="minorHAnsi" w:cstheme="minorHAnsi"/>
          <w:color w:val="000000"/>
          <w:sz w:val="22"/>
          <w:szCs w:val="22"/>
        </w:rPr>
        <w:t>KEQ 2.2: How have the DFAT-funded AIHSP, UNICEF and WHO activities contributed to the strengthening of human and/or animal health systems and response to infectious disease outbreaks in Indonesia?</w:t>
      </w:r>
    </w:p>
    <w:p w14:paraId="1239F4FB" w14:textId="6901D678" w:rsidR="00385FD4" w:rsidRPr="00D74FC2" w:rsidRDefault="00793B00" w:rsidP="48362220">
      <w:pPr>
        <w:pStyle w:val="NormalWeb"/>
        <w:spacing w:before="0" w:beforeAutospacing="0" w:after="120" w:afterAutospacing="0"/>
        <w:rPr>
          <w:rFonts w:asciiTheme="minorHAnsi" w:hAnsiTheme="minorHAnsi" w:cstheme="minorBidi"/>
          <w:color w:val="000000"/>
          <w:sz w:val="22"/>
          <w:szCs w:val="22"/>
        </w:rPr>
      </w:pPr>
      <w:r w:rsidRPr="48362220">
        <w:rPr>
          <w:rFonts w:asciiTheme="minorHAnsi" w:hAnsiTheme="minorHAnsi" w:cstheme="minorBidi"/>
          <w:sz w:val="22"/>
          <w:szCs w:val="22"/>
        </w:rPr>
        <w:t>The MTR Team assessed Australia’s contribution to Indonesia’s health systems using WHO’s health systems strengthening building blocks</w:t>
      </w:r>
      <w:r w:rsidRPr="48362220">
        <w:rPr>
          <w:rStyle w:val="FootnoteReference"/>
          <w:rFonts w:asciiTheme="minorHAnsi" w:hAnsiTheme="minorHAnsi" w:cstheme="minorBidi"/>
          <w:sz w:val="22"/>
          <w:szCs w:val="22"/>
        </w:rPr>
        <w:footnoteReference w:id="5"/>
      </w:r>
      <w:r w:rsidRPr="48362220">
        <w:rPr>
          <w:rFonts w:asciiTheme="minorHAnsi" w:hAnsiTheme="minorHAnsi" w:cstheme="minorBidi"/>
          <w:sz w:val="22"/>
          <w:szCs w:val="22"/>
        </w:rPr>
        <w:t xml:space="preserve"> with the addition of a One Health component. The MTR found that through AIHSP, WHO and UNICEF, Australia made a significant contribution to the building blocks of </w:t>
      </w:r>
      <w:r w:rsidRPr="48362220">
        <w:rPr>
          <w:rFonts w:asciiTheme="minorHAnsi" w:hAnsiTheme="minorHAnsi" w:cstheme="minorBidi"/>
          <w:color w:val="000000"/>
          <w:sz w:val="22"/>
          <w:szCs w:val="22"/>
        </w:rPr>
        <w:t>service delivery, health information systems</w:t>
      </w:r>
      <w:r w:rsidR="00554DF8">
        <w:rPr>
          <w:rFonts w:asciiTheme="minorHAnsi" w:hAnsiTheme="minorHAnsi" w:cstheme="minorBidi"/>
          <w:color w:val="000000"/>
          <w:sz w:val="22"/>
          <w:szCs w:val="22"/>
        </w:rPr>
        <w:t>, health workforce</w:t>
      </w:r>
      <w:r w:rsidRPr="48362220">
        <w:rPr>
          <w:rFonts w:asciiTheme="minorHAnsi" w:hAnsiTheme="minorHAnsi" w:cstheme="minorBidi"/>
          <w:color w:val="000000"/>
          <w:sz w:val="22"/>
          <w:szCs w:val="22"/>
        </w:rPr>
        <w:t xml:space="preserve"> and One Health</w:t>
      </w:r>
      <w:r w:rsidR="00254CCB">
        <w:rPr>
          <w:rFonts w:asciiTheme="minorHAnsi" w:hAnsiTheme="minorHAnsi" w:cstheme="minorBidi"/>
          <w:color w:val="000000"/>
          <w:sz w:val="22"/>
          <w:szCs w:val="22"/>
        </w:rPr>
        <w:t xml:space="preserve">. It made </w:t>
      </w:r>
      <w:r w:rsidRPr="48362220">
        <w:rPr>
          <w:rFonts w:asciiTheme="minorHAnsi" w:hAnsiTheme="minorHAnsi" w:cstheme="minorBidi"/>
          <w:color w:val="000000"/>
          <w:sz w:val="22"/>
          <w:szCs w:val="22"/>
        </w:rPr>
        <w:t xml:space="preserve">less </w:t>
      </w:r>
      <w:r w:rsidR="008A6D60" w:rsidRPr="48362220">
        <w:rPr>
          <w:rFonts w:asciiTheme="minorHAnsi" w:hAnsiTheme="minorHAnsi" w:cstheme="minorBidi"/>
          <w:color w:val="000000"/>
          <w:sz w:val="22"/>
          <w:szCs w:val="22"/>
        </w:rPr>
        <w:t xml:space="preserve">contribution to </w:t>
      </w:r>
      <w:r w:rsidRPr="48362220">
        <w:rPr>
          <w:rFonts w:asciiTheme="minorHAnsi" w:hAnsiTheme="minorHAnsi" w:cstheme="minorBidi"/>
          <w:color w:val="000000"/>
          <w:sz w:val="22"/>
          <w:szCs w:val="22"/>
        </w:rPr>
        <w:t>leadership/governance and access to essential medicines</w:t>
      </w:r>
      <w:r w:rsidR="008A6D60" w:rsidRPr="48362220">
        <w:rPr>
          <w:rFonts w:asciiTheme="minorHAnsi" w:hAnsiTheme="minorHAnsi" w:cstheme="minorBidi"/>
          <w:color w:val="000000"/>
          <w:sz w:val="22"/>
          <w:szCs w:val="22"/>
        </w:rPr>
        <w:t xml:space="preserve"> and no contribution to health financing</w:t>
      </w:r>
      <w:r w:rsidR="008A6D60" w:rsidRPr="48362220">
        <w:rPr>
          <w:rStyle w:val="FootnoteReference"/>
          <w:rFonts w:asciiTheme="minorHAnsi" w:hAnsiTheme="minorHAnsi" w:cstheme="minorBidi"/>
          <w:color w:val="000000"/>
          <w:sz w:val="22"/>
          <w:szCs w:val="22"/>
        </w:rPr>
        <w:footnoteReference w:id="6"/>
      </w:r>
      <w:r w:rsidR="00254CCB">
        <w:rPr>
          <w:rFonts w:asciiTheme="minorHAnsi" w:hAnsiTheme="minorHAnsi" w:cstheme="minorBidi"/>
          <w:color w:val="000000"/>
          <w:sz w:val="22"/>
          <w:szCs w:val="22"/>
        </w:rPr>
        <w:t>, which is consistent with what was planned</w:t>
      </w:r>
      <w:r w:rsidRPr="48362220">
        <w:rPr>
          <w:rFonts w:asciiTheme="minorHAnsi" w:hAnsiTheme="minorHAnsi" w:cstheme="minorBidi"/>
          <w:color w:val="000000"/>
          <w:sz w:val="22"/>
          <w:szCs w:val="22"/>
        </w:rPr>
        <w:t xml:space="preserve">. Under service delivery, the main areas </w:t>
      </w:r>
      <w:r w:rsidR="00D53F79">
        <w:rPr>
          <w:rFonts w:asciiTheme="minorHAnsi" w:hAnsiTheme="minorHAnsi" w:cstheme="minorBidi"/>
          <w:color w:val="000000"/>
          <w:sz w:val="22"/>
          <w:szCs w:val="22"/>
        </w:rPr>
        <w:t xml:space="preserve">that Australia </w:t>
      </w:r>
      <w:r w:rsidRPr="48362220">
        <w:rPr>
          <w:rFonts w:asciiTheme="minorHAnsi" w:hAnsiTheme="minorHAnsi" w:cstheme="minorBidi"/>
          <w:color w:val="000000"/>
          <w:sz w:val="22"/>
          <w:szCs w:val="22"/>
        </w:rPr>
        <w:t xml:space="preserve">supported were human and animal health surveillance and laboratory strengthening. Australia’s support for animal health information management systems centred on continued development of </w:t>
      </w:r>
      <w:proofErr w:type="spellStart"/>
      <w:r w:rsidRPr="48362220">
        <w:rPr>
          <w:rFonts w:asciiTheme="minorHAnsi" w:hAnsiTheme="minorHAnsi" w:cstheme="minorBidi"/>
          <w:color w:val="000000"/>
          <w:sz w:val="22"/>
          <w:szCs w:val="22"/>
        </w:rPr>
        <w:t>iSIKHNAS</w:t>
      </w:r>
      <w:proofErr w:type="spellEnd"/>
      <w:r w:rsidR="00805339" w:rsidRPr="48362220">
        <w:rPr>
          <w:rFonts w:asciiTheme="minorHAnsi" w:hAnsiTheme="minorHAnsi" w:cstheme="minorBidi"/>
          <w:color w:val="000000"/>
          <w:sz w:val="22"/>
          <w:szCs w:val="22"/>
        </w:rPr>
        <w:t>, and in</w:t>
      </w:r>
      <w:r w:rsidRPr="48362220">
        <w:rPr>
          <w:rFonts w:asciiTheme="minorHAnsi" w:hAnsiTheme="minorHAnsi" w:cstheme="minorBidi"/>
          <w:color w:val="000000"/>
          <w:sz w:val="22"/>
          <w:szCs w:val="22"/>
        </w:rPr>
        <w:t xml:space="preserve"> human health information management systems centred on COVID-19, including </w:t>
      </w:r>
      <w:r w:rsidR="00385FD4" w:rsidRPr="48362220">
        <w:rPr>
          <w:rFonts w:asciiTheme="minorHAnsi" w:hAnsiTheme="minorHAnsi" w:cstheme="minorBidi"/>
          <w:color w:val="000000"/>
          <w:sz w:val="22"/>
          <w:szCs w:val="22"/>
        </w:rPr>
        <w:t xml:space="preserve">strengthening real time </w:t>
      </w:r>
      <w:r w:rsidRPr="48362220">
        <w:rPr>
          <w:rFonts w:asciiTheme="minorHAnsi" w:hAnsiTheme="minorHAnsi" w:cstheme="minorBidi"/>
          <w:color w:val="000000"/>
          <w:sz w:val="22"/>
          <w:szCs w:val="22"/>
        </w:rPr>
        <w:t>data collection for vaccination</w:t>
      </w:r>
      <w:r w:rsidR="00385FD4" w:rsidRPr="48362220">
        <w:rPr>
          <w:rFonts w:asciiTheme="minorHAnsi" w:hAnsiTheme="minorHAnsi" w:cstheme="minorBidi"/>
          <w:color w:val="000000"/>
          <w:sz w:val="22"/>
          <w:szCs w:val="22"/>
        </w:rPr>
        <w:t xml:space="preserve">. </w:t>
      </w:r>
      <w:r w:rsidRPr="48362220">
        <w:rPr>
          <w:rFonts w:asciiTheme="minorHAnsi" w:hAnsiTheme="minorHAnsi" w:cstheme="minorBidi"/>
          <w:color w:val="000000"/>
          <w:sz w:val="22"/>
          <w:szCs w:val="22"/>
        </w:rPr>
        <w:t xml:space="preserve">Most </w:t>
      </w:r>
      <w:r w:rsidR="00385FD4" w:rsidRPr="48362220">
        <w:rPr>
          <w:rFonts w:asciiTheme="minorHAnsi" w:hAnsiTheme="minorHAnsi" w:cstheme="minorBidi"/>
          <w:color w:val="000000"/>
          <w:sz w:val="22"/>
          <w:szCs w:val="22"/>
        </w:rPr>
        <w:t xml:space="preserve">Australian-funded </w:t>
      </w:r>
      <w:r w:rsidRPr="48362220">
        <w:rPr>
          <w:rFonts w:asciiTheme="minorHAnsi" w:hAnsiTheme="minorHAnsi" w:cstheme="minorBidi"/>
          <w:color w:val="000000"/>
          <w:sz w:val="22"/>
          <w:szCs w:val="22"/>
        </w:rPr>
        <w:t>activit</w:t>
      </w:r>
      <w:r w:rsidR="00910715" w:rsidRPr="48362220">
        <w:rPr>
          <w:rFonts w:asciiTheme="minorHAnsi" w:hAnsiTheme="minorHAnsi" w:cstheme="minorBidi"/>
          <w:color w:val="000000"/>
          <w:sz w:val="22"/>
          <w:szCs w:val="22"/>
        </w:rPr>
        <w:t>ies</w:t>
      </w:r>
      <w:r w:rsidRPr="48362220">
        <w:rPr>
          <w:rFonts w:asciiTheme="minorHAnsi" w:hAnsiTheme="minorHAnsi" w:cstheme="minorBidi"/>
          <w:color w:val="000000"/>
          <w:sz w:val="22"/>
          <w:szCs w:val="22"/>
        </w:rPr>
        <w:t xml:space="preserve"> under multisectoral One Health Coordination </w:t>
      </w:r>
      <w:r w:rsidR="00127CCF" w:rsidRPr="48362220">
        <w:rPr>
          <w:rFonts w:asciiTheme="minorHAnsi" w:hAnsiTheme="minorHAnsi" w:cstheme="minorBidi"/>
          <w:color w:val="000000"/>
          <w:sz w:val="22"/>
          <w:szCs w:val="22"/>
        </w:rPr>
        <w:t>involved</w:t>
      </w:r>
      <w:r w:rsidRPr="48362220">
        <w:rPr>
          <w:rFonts w:asciiTheme="minorHAnsi" w:hAnsiTheme="minorHAnsi" w:cstheme="minorBidi"/>
          <w:color w:val="000000"/>
          <w:sz w:val="22"/>
          <w:szCs w:val="22"/>
        </w:rPr>
        <w:t xml:space="preserve"> establishing mechanisms for One Health collaboration at </w:t>
      </w:r>
      <w:r w:rsidR="00910715" w:rsidRPr="48362220">
        <w:rPr>
          <w:rFonts w:asciiTheme="minorHAnsi" w:hAnsiTheme="minorHAnsi" w:cstheme="minorBidi"/>
          <w:color w:val="000000"/>
          <w:sz w:val="22"/>
          <w:szCs w:val="22"/>
        </w:rPr>
        <w:t>the</w:t>
      </w:r>
      <w:r w:rsidRPr="48362220">
        <w:rPr>
          <w:rFonts w:asciiTheme="minorHAnsi" w:hAnsiTheme="minorHAnsi" w:cstheme="minorBidi"/>
          <w:color w:val="000000"/>
          <w:sz w:val="22"/>
          <w:szCs w:val="22"/>
        </w:rPr>
        <w:t xml:space="preserve"> </w:t>
      </w:r>
      <w:r w:rsidR="00D53F79">
        <w:rPr>
          <w:rFonts w:asciiTheme="minorHAnsi" w:hAnsiTheme="minorHAnsi" w:cstheme="minorBidi"/>
          <w:color w:val="000000"/>
          <w:sz w:val="22"/>
          <w:szCs w:val="22"/>
        </w:rPr>
        <w:t>sub-national</w:t>
      </w:r>
      <w:r w:rsidRPr="48362220">
        <w:rPr>
          <w:rFonts w:asciiTheme="minorHAnsi" w:hAnsiTheme="minorHAnsi" w:cstheme="minorBidi"/>
          <w:color w:val="000000"/>
          <w:sz w:val="22"/>
          <w:szCs w:val="22"/>
        </w:rPr>
        <w:t xml:space="preserve"> level. </w:t>
      </w:r>
      <w:r w:rsidR="004573CE">
        <w:rPr>
          <w:rFonts w:asciiTheme="minorHAnsi" w:hAnsiTheme="minorHAnsi" w:cstheme="minorBidi"/>
          <w:color w:val="000000"/>
          <w:sz w:val="22"/>
          <w:szCs w:val="22"/>
        </w:rPr>
        <w:t>Each of these building blocks included activities such as training which strengthened the human and animal health workforce.</w:t>
      </w:r>
    </w:p>
    <w:p w14:paraId="5536E93A" w14:textId="083FC864" w:rsidR="00793B00" w:rsidRPr="00D74FC2" w:rsidRDefault="00385FD4" w:rsidP="48362220">
      <w:pPr>
        <w:pStyle w:val="NormalWeb"/>
        <w:spacing w:before="0" w:beforeAutospacing="0" w:after="120" w:afterAutospacing="0"/>
        <w:rPr>
          <w:rFonts w:asciiTheme="minorHAnsi" w:hAnsiTheme="minorHAnsi" w:cstheme="minorBidi"/>
          <w:color w:val="000000"/>
          <w:sz w:val="22"/>
          <w:szCs w:val="22"/>
        </w:rPr>
      </w:pPr>
      <w:r w:rsidRPr="48362220">
        <w:rPr>
          <w:rFonts w:asciiTheme="minorHAnsi" w:hAnsiTheme="minorHAnsi" w:cstheme="minorBidi"/>
          <w:color w:val="000000" w:themeColor="text1"/>
          <w:sz w:val="22"/>
          <w:szCs w:val="22"/>
        </w:rPr>
        <w:t>Many of the short-term health systems improvements for disease outbreak responses now need to be sustained and</w:t>
      </w:r>
      <w:r w:rsidRPr="00265817">
        <w:rPr>
          <w:rFonts w:asciiTheme="minorHAnsi" w:hAnsiTheme="minorHAnsi" w:cstheme="minorHAnsi"/>
          <w:sz w:val="22"/>
          <w:szCs w:val="22"/>
        </w:rPr>
        <w:t xml:space="preserve"> translated to </w:t>
      </w:r>
      <w:r w:rsidR="00265817" w:rsidRPr="00265817">
        <w:rPr>
          <w:rFonts w:asciiTheme="minorHAnsi" w:hAnsiTheme="minorHAnsi" w:cstheme="minorHAnsi"/>
          <w:sz w:val="22"/>
          <w:szCs w:val="22"/>
        </w:rPr>
        <w:t>detecting and responding to other</w:t>
      </w:r>
      <w:r w:rsidRPr="00265817">
        <w:rPr>
          <w:rFonts w:asciiTheme="minorHAnsi" w:hAnsiTheme="minorHAnsi" w:cstheme="minorHAnsi"/>
          <w:sz w:val="22"/>
          <w:szCs w:val="22"/>
        </w:rPr>
        <w:t xml:space="preserve"> </w:t>
      </w:r>
      <w:r w:rsidR="00265817" w:rsidRPr="00265817">
        <w:rPr>
          <w:rFonts w:asciiTheme="minorHAnsi" w:hAnsiTheme="minorHAnsi" w:cstheme="minorHAnsi"/>
          <w:sz w:val="22"/>
          <w:szCs w:val="22"/>
        </w:rPr>
        <w:t xml:space="preserve">infectious </w:t>
      </w:r>
      <w:r w:rsidRPr="00265817">
        <w:rPr>
          <w:rFonts w:asciiTheme="minorHAnsi" w:hAnsiTheme="minorHAnsi" w:cstheme="minorHAnsi"/>
          <w:sz w:val="22"/>
          <w:szCs w:val="22"/>
        </w:rPr>
        <w:t>disease</w:t>
      </w:r>
      <w:r w:rsidR="00265817" w:rsidRPr="00265817">
        <w:rPr>
          <w:rFonts w:asciiTheme="minorHAnsi" w:hAnsiTheme="minorHAnsi" w:cstheme="minorHAnsi"/>
          <w:sz w:val="22"/>
          <w:szCs w:val="22"/>
        </w:rPr>
        <w:t xml:space="preserve"> outbreaks</w:t>
      </w:r>
      <w:r w:rsidRPr="00265817">
        <w:rPr>
          <w:rFonts w:asciiTheme="minorHAnsi" w:hAnsiTheme="minorHAnsi" w:cstheme="minorHAnsi"/>
          <w:sz w:val="22"/>
          <w:szCs w:val="22"/>
        </w:rPr>
        <w:t xml:space="preserve">. </w:t>
      </w:r>
      <w:r w:rsidRPr="48362220">
        <w:rPr>
          <w:rFonts w:asciiTheme="minorHAnsi" w:hAnsiTheme="minorHAnsi" w:cstheme="minorBidi"/>
          <w:color w:val="000000" w:themeColor="text1"/>
          <w:sz w:val="22"/>
          <w:szCs w:val="22"/>
        </w:rPr>
        <w:t xml:space="preserve">Australia should focus on supporting this in its areas of comparative advantage including </w:t>
      </w:r>
      <w:r w:rsidRPr="48362220">
        <w:rPr>
          <w:rFonts w:asciiTheme="minorHAnsi" w:hAnsiTheme="minorHAnsi" w:cstheme="minorBidi"/>
          <w:sz w:val="22"/>
          <w:szCs w:val="22"/>
        </w:rPr>
        <w:t xml:space="preserve">surveillance, animal health laboratories, health information </w:t>
      </w:r>
      <w:proofErr w:type="gramStart"/>
      <w:r w:rsidRPr="48362220">
        <w:rPr>
          <w:rFonts w:asciiTheme="minorHAnsi" w:hAnsiTheme="minorHAnsi" w:cstheme="minorBidi"/>
          <w:sz w:val="22"/>
          <w:szCs w:val="22"/>
        </w:rPr>
        <w:t xml:space="preserve">systems, </w:t>
      </w:r>
      <w:r w:rsidRPr="006E1AB8">
        <w:rPr>
          <w:sz w:val="22"/>
          <w:szCs w:val="22"/>
        </w:rPr>
        <w:t xml:space="preserve"> </w:t>
      </w:r>
      <w:r w:rsidRPr="00A04CFE">
        <w:rPr>
          <w:rFonts w:asciiTheme="minorHAnsi" w:hAnsiTheme="minorHAnsi" w:cstheme="minorHAnsi"/>
          <w:sz w:val="22"/>
          <w:szCs w:val="22"/>
        </w:rPr>
        <w:t>p</w:t>
      </w:r>
      <w:r w:rsidRPr="48362220">
        <w:rPr>
          <w:rFonts w:asciiTheme="minorHAnsi" w:hAnsiTheme="minorHAnsi" w:cstheme="minorBidi"/>
          <w:sz w:val="22"/>
          <w:szCs w:val="22"/>
        </w:rPr>
        <w:t>olicy</w:t>
      </w:r>
      <w:proofErr w:type="gramEnd"/>
      <w:r w:rsidRPr="48362220">
        <w:rPr>
          <w:rFonts w:asciiTheme="minorHAnsi" w:hAnsiTheme="minorHAnsi" w:cstheme="minorBidi"/>
          <w:sz w:val="22"/>
          <w:szCs w:val="22"/>
        </w:rPr>
        <w:t xml:space="preserve"> reform</w:t>
      </w:r>
      <w:r w:rsidR="00A04CFE">
        <w:rPr>
          <w:rFonts w:asciiTheme="minorHAnsi" w:hAnsiTheme="minorHAnsi" w:cstheme="minorBidi"/>
          <w:sz w:val="22"/>
          <w:szCs w:val="22"/>
        </w:rPr>
        <w:t>s</w:t>
      </w:r>
      <w:r w:rsidR="00724089">
        <w:rPr>
          <w:rFonts w:asciiTheme="minorHAnsi" w:hAnsiTheme="minorHAnsi" w:cstheme="minorBidi"/>
          <w:sz w:val="22"/>
          <w:szCs w:val="22"/>
        </w:rPr>
        <w:t xml:space="preserve"> for preparing for and managing infectious disease outbreaks</w:t>
      </w:r>
      <w:r w:rsidRPr="48362220">
        <w:rPr>
          <w:rFonts w:asciiTheme="minorHAnsi" w:hAnsiTheme="minorHAnsi" w:cstheme="minorBidi"/>
          <w:sz w:val="22"/>
          <w:szCs w:val="22"/>
        </w:rPr>
        <w:t xml:space="preserve"> and One Health implementation.</w:t>
      </w:r>
      <w:r w:rsidRPr="48362220">
        <w:rPr>
          <w:rFonts w:asciiTheme="minorHAnsi" w:hAnsiTheme="minorHAnsi" w:cstheme="minorBidi"/>
          <w:color w:val="000000" w:themeColor="text1"/>
          <w:sz w:val="22"/>
          <w:szCs w:val="22"/>
        </w:rPr>
        <w:t xml:space="preserve"> </w:t>
      </w:r>
      <w:r w:rsidR="00793B00" w:rsidRPr="48362220">
        <w:rPr>
          <w:rFonts w:asciiTheme="minorHAnsi" w:hAnsiTheme="minorHAnsi" w:cstheme="minorBidi"/>
          <w:color w:val="000000" w:themeColor="text1"/>
          <w:sz w:val="22"/>
          <w:szCs w:val="22"/>
        </w:rPr>
        <w:t xml:space="preserve"> </w:t>
      </w:r>
    </w:p>
    <w:p w14:paraId="369E31EF" w14:textId="77777777" w:rsidR="00793B00" w:rsidRPr="00871D91" w:rsidRDefault="00793B00" w:rsidP="00425817">
      <w:pPr>
        <w:pStyle w:val="Heading3"/>
        <w:numPr>
          <w:ilvl w:val="0"/>
          <w:numId w:val="9"/>
        </w:numPr>
        <w:ind w:left="426" w:hanging="426"/>
        <w:rPr>
          <w:rFonts w:cstheme="majorHAnsi"/>
        </w:rPr>
      </w:pPr>
      <w:bookmarkStart w:id="22" w:name="_Toc132584526"/>
      <w:bookmarkStart w:id="23" w:name="_Toc135837383"/>
      <w:r w:rsidRPr="00871D91">
        <w:rPr>
          <w:rFonts w:cstheme="majorHAnsi"/>
        </w:rPr>
        <w:t>Efficiency</w:t>
      </w:r>
      <w:bookmarkEnd w:id="22"/>
      <w:bookmarkEnd w:id="23"/>
    </w:p>
    <w:p w14:paraId="6DEE6BD2" w14:textId="77777777" w:rsidR="00793B00" w:rsidRPr="00D74FC2" w:rsidRDefault="00793B00" w:rsidP="00054837">
      <w:pPr>
        <w:shd w:val="clear" w:color="auto" w:fill="D9D9D9" w:themeFill="background1" w:themeFillShade="D9"/>
        <w:spacing w:after="0"/>
        <w:rPr>
          <w:rFonts w:cstheme="minorHAnsi"/>
        </w:rPr>
      </w:pPr>
      <w:r w:rsidRPr="00D74FC2">
        <w:rPr>
          <w:rFonts w:cstheme="minorHAnsi"/>
        </w:rPr>
        <w:t>KEQ 3.1: Did increased funding impact the efficiency of AIHSP?</w:t>
      </w:r>
    </w:p>
    <w:p w14:paraId="6EAB5ADC" w14:textId="24A85055" w:rsidR="00793B00" w:rsidRPr="00D74FC2" w:rsidRDefault="00793B00" w:rsidP="48362220">
      <w:pPr>
        <w:spacing w:after="120" w:line="240" w:lineRule="auto"/>
        <w:rPr>
          <w:color w:val="000000"/>
          <w:shd w:val="clear" w:color="auto" w:fill="FFFFFF"/>
        </w:rPr>
      </w:pPr>
      <w:r w:rsidRPr="48362220">
        <w:t xml:space="preserve">AIHSP performed remarkably in scaling up rapidly to respond to COVID-19 and animal disease outbreaks in Indonesia. According to MTR interviewees, Australia’s </w:t>
      </w:r>
      <w:proofErr w:type="gramStart"/>
      <w:r w:rsidRPr="48362220">
        <w:t>flexibility</w:t>
      </w:r>
      <w:proofErr w:type="gramEnd"/>
      <w:r w:rsidRPr="48362220">
        <w:t xml:space="preserve"> and responsiveness to </w:t>
      </w:r>
      <w:proofErr w:type="spellStart"/>
      <w:r w:rsidRPr="48362220">
        <w:t>GoI</w:t>
      </w:r>
      <w:proofErr w:type="spellEnd"/>
      <w:r w:rsidRPr="48362220">
        <w:t xml:space="preserve"> requests for support as well as to the needs of partners was highly appreciated. However, th</w:t>
      </w:r>
      <w:r w:rsidR="00A04CFE">
        <w:t>is</w:t>
      </w:r>
      <w:r w:rsidRPr="48362220">
        <w:t xml:space="preserve"> rapid scale up</w:t>
      </w:r>
      <w:r w:rsidR="005C33D6" w:rsidRPr="48362220">
        <w:t xml:space="preserve"> </w:t>
      </w:r>
      <w:r w:rsidRPr="48362220">
        <w:t xml:space="preserve">came at a cost, as </w:t>
      </w:r>
      <w:r w:rsidRPr="48362220">
        <w:rPr>
          <w:color w:val="000000"/>
          <w:shd w:val="clear" w:color="auto" w:fill="FFFFFF"/>
        </w:rPr>
        <w:t>AIHSP’s management structure and human resourcing was not designed for programming at the scale it was operating</w:t>
      </w:r>
      <w:r w:rsidRPr="00EA4619">
        <w:rPr>
          <w:color w:val="000000"/>
          <w:shd w:val="clear" w:color="auto" w:fill="FFFFFF"/>
        </w:rPr>
        <w:t>.</w:t>
      </w:r>
      <w:r w:rsidRPr="48362220">
        <w:rPr>
          <w:color w:val="000000"/>
          <w:shd w:val="clear" w:color="auto" w:fill="FFFFFF"/>
        </w:rPr>
        <w:t xml:space="preserve"> </w:t>
      </w:r>
      <w:r w:rsidR="00FF1688" w:rsidRPr="48362220">
        <w:rPr>
          <w:color w:val="000000"/>
          <w:shd w:val="clear" w:color="auto" w:fill="FFFFFF"/>
        </w:rPr>
        <w:t>T</w:t>
      </w:r>
      <w:r w:rsidRPr="48362220">
        <w:rPr>
          <w:color w:val="000000"/>
          <w:shd w:val="clear" w:color="auto" w:fill="FFFFFF"/>
        </w:rPr>
        <w:t xml:space="preserve">his impacted on AIHSP’s communication and coordination with </w:t>
      </w:r>
      <w:proofErr w:type="spellStart"/>
      <w:r w:rsidRPr="48362220">
        <w:rPr>
          <w:color w:val="000000"/>
          <w:shd w:val="clear" w:color="auto" w:fill="FFFFFF"/>
        </w:rPr>
        <w:t>GoI</w:t>
      </w:r>
      <w:proofErr w:type="spellEnd"/>
      <w:r w:rsidRPr="48362220">
        <w:rPr>
          <w:color w:val="000000"/>
          <w:shd w:val="clear" w:color="auto" w:fill="FFFFFF"/>
        </w:rPr>
        <w:t xml:space="preserve">, sub-partners and other actors at a national and sub-national level, resulting in missed opportunities for more efficient implementation of activities, a disconnect between AIHSP’s national planning and subnational implementation and some duplication with other donors/entities. AIHSP’s resourcing was increased in December 2022. </w:t>
      </w:r>
      <w:r w:rsidR="00FF1688" w:rsidRPr="48362220">
        <w:rPr>
          <w:color w:val="000000"/>
          <w:shd w:val="clear" w:color="auto" w:fill="FFFFFF"/>
        </w:rPr>
        <w:t>T</w:t>
      </w:r>
      <w:r w:rsidRPr="48362220">
        <w:rPr>
          <w:color w:val="000000"/>
          <w:shd w:val="clear" w:color="auto" w:fill="FFFFFF"/>
        </w:rPr>
        <w:t xml:space="preserve">he increase in Australian funding to AIHSP, WHO and UNICEF over 2021-2022 </w:t>
      </w:r>
      <w:r w:rsidR="00FF1688" w:rsidRPr="48362220">
        <w:rPr>
          <w:color w:val="000000"/>
          <w:shd w:val="clear" w:color="auto" w:fill="FFFFFF"/>
        </w:rPr>
        <w:t xml:space="preserve">also </w:t>
      </w:r>
      <w:r w:rsidRPr="48362220">
        <w:rPr>
          <w:color w:val="000000"/>
          <w:shd w:val="clear" w:color="auto" w:fill="FFFFFF"/>
        </w:rPr>
        <w:t xml:space="preserve">placed a significant administrative strain on DFAT’s Health Team in Jakarta, decreasing its ability to coordinate and monitor partner activities and engage strategically with relevant </w:t>
      </w:r>
      <w:proofErr w:type="spellStart"/>
      <w:r w:rsidRPr="48362220">
        <w:rPr>
          <w:color w:val="000000"/>
          <w:shd w:val="clear" w:color="auto" w:fill="FFFFFF"/>
        </w:rPr>
        <w:t>GoI</w:t>
      </w:r>
      <w:proofErr w:type="spellEnd"/>
      <w:r w:rsidRPr="48362220">
        <w:rPr>
          <w:color w:val="000000"/>
          <w:shd w:val="clear" w:color="auto" w:fill="FFFFFF"/>
        </w:rPr>
        <w:t xml:space="preserve"> ministries.</w:t>
      </w:r>
    </w:p>
    <w:p w14:paraId="3EC9A8A0" w14:textId="77777777" w:rsidR="00793B00" w:rsidRPr="00D74FC2" w:rsidRDefault="00793B00" w:rsidP="00054837">
      <w:pPr>
        <w:shd w:val="clear" w:color="auto" w:fill="D9D9D9" w:themeFill="background1" w:themeFillShade="D9"/>
        <w:spacing w:after="0" w:line="240" w:lineRule="auto"/>
        <w:rPr>
          <w:rFonts w:cstheme="minorHAnsi"/>
        </w:rPr>
      </w:pPr>
      <w:r w:rsidRPr="00D74FC2">
        <w:rPr>
          <w:rFonts w:cstheme="minorHAnsi"/>
        </w:rPr>
        <w:lastRenderedPageBreak/>
        <w:t>KEQ 3.2: Did mixed modalities impact the efficient delivery of responses to COVID-19 or other health security threats?</w:t>
      </w:r>
    </w:p>
    <w:p w14:paraId="5956E1F5" w14:textId="4E9BA2BD" w:rsidR="00793B00" w:rsidRPr="00D74FC2" w:rsidRDefault="00793B00" w:rsidP="48362220">
      <w:pPr>
        <w:spacing w:after="120" w:line="240" w:lineRule="auto"/>
      </w:pPr>
      <w:r w:rsidRPr="48362220">
        <w:rPr>
          <w:color w:val="000000" w:themeColor="text1"/>
        </w:rPr>
        <w:t>DFAT made a strategic and effective choice of modalities</w:t>
      </w:r>
      <w:r w:rsidR="00A338C1" w:rsidRPr="48362220">
        <w:rPr>
          <w:color w:val="000000" w:themeColor="text1"/>
        </w:rPr>
        <w:t xml:space="preserve"> (</w:t>
      </w:r>
      <w:r w:rsidR="0030310B" w:rsidRPr="48362220">
        <w:rPr>
          <w:color w:val="000000" w:themeColor="text1"/>
        </w:rPr>
        <w:t>AIHSP</w:t>
      </w:r>
      <w:r w:rsidR="00A338C1" w:rsidRPr="48362220">
        <w:rPr>
          <w:color w:val="000000" w:themeColor="text1"/>
        </w:rPr>
        <w:t>, UNICEF and WHO)</w:t>
      </w:r>
      <w:r w:rsidRPr="48362220">
        <w:rPr>
          <w:color w:val="000000" w:themeColor="text1"/>
        </w:rPr>
        <w:t xml:space="preserve"> for the provision of support for COVID-19 and the animal health disease outbreaks from 2020 to 2022. This choice </w:t>
      </w:r>
      <w:r w:rsidR="00A338C1" w:rsidRPr="48362220">
        <w:rPr>
          <w:color w:val="000000" w:themeColor="text1"/>
        </w:rPr>
        <w:t xml:space="preserve">was limited – AIHSP was the main DFAT health investment that could </w:t>
      </w:r>
      <w:r w:rsidR="15B399EC" w:rsidRPr="48362220">
        <w:rPr>
          <w:color w:val="000000" w:themeColor="text1"/>
        </w:rPr>
        <w:t xml:space="preserve">enable a </w:t>
      </w:r>
      <w:r w:rsidR="00A338C1" w:rsidRPr="48362220">
        <w:rPr>
          <w:color w:val="000000" w:themeColor="text1"/>
        </w:rPr>
        <w:t>respon</w:t>
      </w:r>
      <w:r w:rsidR="6FFAE95C" w:rsidRPr="48362220">
        <w:rPr>
          <w:color w:val="000000" w:themeColor="text1"/>
        </w:rPr>
        <w:t>se</w:t>
      </w:r>
      <w:r w:rsidR="00A338C1" w:rsidRPr="48362220">
        <w:rPr>
          <w:color w:val="000000" w:themeColor="text1"/>
        </w:rPr>
        <w:t xml:space="preserve"> to COVID-19 </w:t>
      </w:r>
      <w:r w:rsidR="005309ED">
        <w:rPr>
          <w:color w:val="000000" w:themeColor="text1"/>
        </w:rPr>
        <w:t xml:space="preserve">and animal diseases, </w:t>
      </w:r>
      <w:r w:rsidR="00A338C1" w:rsidRPr="48362220">
        <w:rPr>
          <w:color w:val="000000" w:themeColor="text1"/>
        </w:rPr>
        <w:t xml:space="preserve">and WHO and UNICEF were both playing </w:t>
      </w:r>
      <w:r w:rsidR="005C77F2">
        <w:rPr>
          <w:color w:val="000000" w:themeColor="text1"/>
        </w:rPr>
        <w:t>pre</w:t>
      </w:r>
      <w:r w:rsidRPr="48362220">
        <w:rPr>
          <w:color w:val="000000" w:themeColor="text1"/>
        </w:rPr>
        <w:t>-established and complementary roles in the COVID-19 response</w:t>
      </w:r>
      <w:r w:rsidR="00A338C1" w:rsidRPr="48362220">
        <w:rPr>
          <w:color w:val="000000" w:themeColor="text1"/>
        </w:rPr>
        <w:t xml:space="preserve">. While WHO and UNICEF had a broad scope of work nationally and sub-nationally, </w:t>
      </w:r>
      <w:r w:rsidRPr="48362220">
        <w:rPr>
          <w:color w:val="000000" w:themeColor="text1"/>
        </w:rPr>
        <w:t>AI</w:t>
      </w:r>
      <w:r w:rsidR="59872508" w:rsidRPr="48362220">
        <w:rPr>
          <w:color w:val="000000" w:themeColor="text1"/>
        </w:rPr>
        <w:t>H</w:t>
      </w:r>
      <w:r w:rsidRPr="48362220">
        <w:rPr>
          <w:color w:val="000000" w:themeColor="text1"/>
        </w:rPr>
        <w:t xml:space="preserve">SP addressed </w:t>
      </w:r>
      <w:r w:rsidR="00A338C1" w:rsidRPr="48362220">
        <w:rPr>
          <w:color w:val="000000" w:themeColor="text1"/>
        </w:rPr>
        <w:t xml:space="preserve">specific </w:t>
      </w:r>
      <w:r w:rsidRPr="48362220">
        <w:rPr>
          <w:color w:val="000000" w:themeColor="text1"/>
        </w:rPr>
        <w:t xml:space="preserve">technical needs, enabled clear Australian branding of </w:t>
      </w:r>
      <w:proofErr w:type="gramStart"/>
      <w:r w:rsidRPr="48362220">
        <w:rPr>
          <w:color w:val="000000" w:themeColor="text1"/>
        </w:rPr>
        <w:t>activities</w:t>
      </w:r>
      <w:proofErr w:type="gramEnd"/>
      <w:r w:rsidRPr="48362220">
        <w:rPr>
          <w:color w:val="000000" w:themeColor="text1"/>
        </w:rPr>
        <w:t xml:space="preserve"> and supported capacity gaps at a national level and in the five priority provinces. The MTR found clear instances of efficient collaboration between the partners, as well as with DFAT, </w:t>
      </w:r>
      <w:proofErr w:type="spellStart"/>
      <w:r w:rsidRPr="48362220">
        <w:rPr>
          <w:color w:val="000000" w:themeColor="text1"/>
        </w:rPr>
        <w:t>GoI</w:t>
      </w:r>
      <w:proofErr w:type="spellEnd"/>
      <w:r w:rsidRPr="48362220">
        <w:rPr>
          <w:color w:val="000000" w:themeColor="text1"/>
        </w:rPr>
        <w:t xml:space="preserve"> and other donors/actors. Given the tight time</w:t>
      </w:r>
      <w:r w:rsidR="00DF163B">
        <w:rPr>
          <w:color w:val="000000" w:themeColor="text1"/>
        </w:rPr>
        <w:t xml:space="preserve"> </w:t>
      </w:r>
      <w:r w:rsidRPr="48362220">
        <w:rPr>
          <w:color w:val="000000" w:themeColor="text1"/>
        </w:rPr>
        <w:t xml:space="preserve">frames for </w:t>
      </w:r>
      <w:r w:rsidR="00B13BB1">
        <w:rPr>
          <w:color w:val="000000" w:themeColor="text1"/>
        </w:rPr>
        <w:t>implementing</w:t>
      </w:r>
      <w:r w:rsidR="00A338C1" w:rsidRPr="48362220">
        <w:rPr>
          <w:color w:val="000000" w:themeColor="text1"/>
        </w:rPr>
        <w:t xml:space="preserve"> activities</w:t>
      </w:r>
      <w:r w:rsidRPr="48362220">
        <w:rPr>
          <w:color w:val="000000" w:themeColor="text1"/>
        </w:rPr>
        <w:t>, at times the accountability of sub-partner</w:t>
      </w:r>
      <w:r w:rsidR="00A338C1" w:rsidRPr="48362220">
        <w:rPr>
          <w:color w:val="000000" w:themeColor="text1"/>
        </w:rPr>
        <w:t>s</w:t>
      </w:r>
      <w:r w:rsidRPr="48362220">
        <w:rPr>
          <w:color w:val="000000" w:themeColor="text1"/>
        </w:rPr>
        <w:t xml:space="preserve"> was weak and there was </w:t>
      </w:r>
      <w:r w:rsidR="000E6365" w:rsidRPr="48362220">
        <w:rPr>
          <w:color w:val="000000" w:themeColor="text1"/>
        </w:rPr>
        <w:t xml:space="preserve">limited </w:t>
      </w:r>
      <w:r w:rsidRPr="48362220">
        <w:rPr>
          <w:color w:val="000000" w:themeColor="text1"/>
        </w:rPr>
        <w:t xml:space="preserve">evidence of </w:t>
      </w:r>
      <w:r w:rsidR="00B13BB1">
        <w:rPr>
          <w:color w:val="000000" w:themeColor="text1"/>
        </w:rPr>
        <w:t xml:space="preserve">collaboration between </w:t>
      </w:r>
      <w:r w:rsidRPr="48362220">
        <w:rPr>
          <w:color w:val="000000" w:themeColor="text1"/>
        </w:rPr>
        <w:t>sub-partners working on similar activities to capitalise on each other’s expertise and strengths.</w:t>
      </w:r>
    </w:p>
    <w:p w14:paraId="75275A0E" w14:textId="77777777" w:rsidR="00793B00" w:rsidRPr="00871D91" w:rsidRDefault="00793B00" w:rsidP="00425817">
      <w:pPr>
        <w:pStyle w:val="Heading3"/>
        <w:numPr>
          <w:ilvl w:val="0"/>
          <w:numId w:val="9"/>
        </w:numPr>
        <w:ind w:left="426" w:hanging="426"/>
        <w:rPr>
          <w:rFonts w:cstheme="majorHAnsi"/>
        </w:rPr>
      </w:pPr>
      <w:bookmarkStart w:id="24" w:name="_Toc132584527"/>
      <w:bookmarkStart w:id="25" w:name="_Toc135837384"/>
      <w:r w:rsidRPr="00871D91">
        <w:rPr>
          <w:rFonts w:cstheme="majorHAnsi"/>
        </w:rPr>
        <w:t>Health outcomes for community groups</w:t>
      </w:r>
      <w:bookmarkEnd w:id="24"/>
      <w:bookmarkEnd w:id="25"/>
    </w:p>
    <w:p w14:paraId="01B6B411" w14:textId="532D5B21" w:rsidR="00793B00" w:rsidRPr="00D74FC2" w:rsidRDefault="00793B00" w:rsidP="48362220">
      <w:pPr>
        <w:shd w:val="clear" w:color="auto" w:fill="D9D9D9" w:themeFill="background1" w:themeFillShade="D9"/>
        <w:spacing w:after="0"/>
        <w:rPr>
          <w:color w:val="000000"/>
        </w:rPr>
      </w:pPr>
      <w:r w:rsidRPr="48362220">
        <w:rPr>
          <w:color w:val="000000" w:themeColor="text1"/>
        </w:rPr>
        <w:t>KEQ 4.1: Are the programs contributing to aspects of the health system that will likely result in improved health outcomes for a) women and girls b) people with disabilit</w:t>
      </w:r>
      <w:r w:rsidR="0003555A">
        <w:rPr>
          <w:color w:val="000000" w:themeColor="text1"/>
        </w:rPr>
        <w:t>ies</w:t>
      </w:r>
      <w:r w:rsidRPr="48362220">
        <w:rPr>
          <w:color w:val="000000" w:themeColor="text1"/>
        </w:rPr>
        <w:t xml:space="preserve"> c) the elderly? </w:t>
      </w:r>
      <w:r w:rsidR="6E90131F" w:rsidRPr="48362220">
        <w:rPr>
          <w:color w:val="000000" w:themeColor="text1"/>
        </w:rPr>
        <w:t>d</w:t>
      </w:r>
      <w:r w:rsidRPr="48362220">
        <w:rPr>
          <w:color w:val="000000" w:themeColor="text1"/>
        </w:rPr>
        <w:t>) other at-risk groups? How?</w:t>
      </w:r>
    </w:p>
    <w:p w14:paraId="59268FB8" w14:textId="31E9DB34" w:rsidR="00793B00" w:rsidRPr="00D74FC2" w:rsidRDefault="00793B00" w:rsidP="009E6B74">
      <w:pPr>
        <w:spacing w:after="120" w:line="240" w:lineRule="auto"/>
      </w:pPr>
      <w:r w:rsidRPr="48362220">
        <w:t xml:space="preserve">AIHSP’s work in implementing inclusive service delivery for COVID-19 at </w:t>
      </w:r>
      <w:r w:rsidR="000E6365" w:rsidRPr="48362220">
        <w:t>the</w:t>
      </w:r>
      <w:r w:rsidRPr="48362220">
        <w:t xml:space="preserve"> provincial level was a key strength</w:t>
      </w:r>
      <w:r w:rsidR="003D0DCF" w:rsidRPr="48362220">
        <w:t xml:space="preserve"> and resulted in </w:t>
      </w:r>
      <w:r w:rsidR="00397B44">
        <w:t xml:space="preserve">some </w:t>
      </w:r>
      <w:r w:rsidR="003D0DCF" w:rsidRPr="48362220">
        <w:t>tangible health outcomes</w:t>
      </w:r>
      <w:r w:rsidRPr="48362220">
        <w:t>. UNICEF and WHO also worked to ensure appropriate and accessible service delivery during COVID-1</w:t>
      </w:r>
      <w:r w:rsidRPr="00186E63">
        <w:t>9 for at-risk groups</w:t>
      </w:r>
      <w:r w:rsidR="003D0DCF" w:rsidRPr="00AD4566">
        <w:rPr>
          <w:vertAlign w:val="superscript"/>
        </w:rPr>
        <w:footnoteReference w:id="7"/>
      </w:r>
      <w:r w:rsidRPr="00186E63">
        <w:t xml:space="preserve">. </w:t>
      </w:r>
    </w:p>
    <w:p w14:paraId="376471BE" w14:textId="20DBF5B8" w:rsidR="00793B00" w:rsidRPr="0068020E" w:rsidRDefault="00793B00" w:rsidP="009E6B74">
      <w:pPr>
        <w:spacing w:after="120" w:line="240" w:lineRule="auto"/>
      </w:pPr>
      <w:r>
        <w:t xml:space="preserve">AIHSP’s sub-partners worked systematically with women’s groups and </w:t>
      </w:r>
      <w:r w:rsidR="00395C0F">
        <w:t xml:space="preserve">organisations of </w:t>
      </w:r>
      <w:r w:rsidR="00397B44">
        <w:t>persons</w:t>
      </w:r>
      <w:r w:rsidR="00395C0F">
        <w:t xml:space="preserve"> with </w:t>
      </w:r>
      <w:r w:rsidRPr="48362220">
        <w:rPr>
          <w:color w:val="000000" w:themeColor="text1"/>
        </w:rPr>
        <w:t>disab</w:t>
      </w:r>
      <w:r w:rsidR="00395C0F" w:rsidRPr="48362220">
        <w:rPr>
          <w:color w:val="000000" w:themeColor="text1"/>
        </w:rPr>
        <w:t xml:space="preserve">ilities (OPDs) </w:t>
      </w:r>
      <w:r>
        <w:t xml:space="preserve">to design and implement inclusive COVID-19 vaccination events in the five </w:t>
      </w:r>
      <w:r w:rsidR="000E6365">
        <w:t xml:space="preserve">AIHSP </w:t>
      </w:r>
      <w:r w:rsidR="0030310B">
        <w:t xml:space="preserve">priority </w:t>
      </w:r>
      <w:r>
        <w:t xml:space="preserve">provinces. </w:t>
      </w:r>
      <w:r w:rsidR="0088415F">
        <w:t>I</w:t>
      </w:r>
      <w:r>
        <w:t>nterviewees from these groups</w:t>
      </w:r>
      <w:r w:rsidR="0088415F">
        <w:t xml:space="preserve"> confirmed </w:t>
      </w:r>
      <w:r>
        <w:t xml:space="preserve">the events were effective in enabling target groups to be vaccinated. </w:t>
      </w:r>
      <w:r w:rsidRPr="48362220">
        <w:rPr>
          <w:color w:val="000000" w:themeColor="text1"/>
        </w:rPr>
        <w:t xml:space="preserve">A total of 1,684 people with disabilities were vaccinated against COVID-19 with </w:t>
      </w:r>
      <w:r w:rsidR="004F2A39">
        <w:rPr>
          <w:color w:val="000000" w:themeColor="text1"/>
        </w:rPr>
        <w:t xml:space="preserve">AIHSP </w:t>
      </w:r>
      <w:r w:rsidRPr="48362220">
        <w:rPr>
          <w:color w:val="000000" w:themeColor="text1"/>
        </w:rPr>
        <w:t xml:space="preserve">support (up until March 2023). </w:t>
      </w:r>
      <w:r w:rsidR="003B2B14" w:rsidRPr="48362220">
        <w:rPr>
          <w:color w:val="000000" w:themeColor="text1"/>
        </w:rPr>
        <w:t xml:space="preserve">While the work of AIHSP and UNICEF increased vaccine coverage for at-risk groups, progress fell well short of </w:t>
      </w:r>
      <w:r w:rsidR="007C0936" w:rsidRPr="48362220">
        <w:rPr>
          <w:color w:val="000000" w:themeColor="text1"/>
        </w:rPr>
        <w:t>sub-</w:t>
      </w:r>
      <w:r w:rsidR="003B2B14" w:rsidRPr="48362220">
        <w:rPr>
          <w:color w:val="000000" w:themeColor="text1"/>
        </w:rPr>
        <w:t>partner vaccination targets</w:t>
      </w:r>
      <w:r w:rsidR="00BD0989">
        <w:rPr>
          <w:color w:val="000000" w:themeColor="text1"/>
        </w:rPr>
        <w:t xml:space="preserve">, </w:t>
      </w:r>
      <w:r w:rsidR="004F2A39">
        <w:rPr>
          <w:color w:val="000000" w:themeColor="text1"/>
        </w:rPr>
        <w:t>which</w:t>
      </w:r>
      <w:r w:rsidR="00BD0989">
        <w:rPr>
          <w:color w:val="000000" w:themeColor="text1"/>
        </w:rPr>
        <w:t xml:space="preserve"> may have been </w:t>
      </w:r>
      <w:r w:rsidR="00E17F60">
        <w:rPr>
          <w:color w:val="000000" w:themeColor="text1"/>
        </w:rPr>
        <w:t>overestimated</w:t>
      </w:r>
      <w:r w:rsidR="003B2B14" w:rsidRPr="48362220">
        <w:rPr>
          <w:color w:val="000000" w:themeColor="text1"/>
        </w:rPr>
        <w:t xml:space="preserve">. The </w:t>
      </w:r>
      <w:proofErr w:type="spellStart"/>
      <w:r w:rsidR="003B2B14" w:rsidRPr="48362220">
        <w:rPr>
          <w:color w:val="000000" w:themeColor="text1"/>
        </w:rPr>
        <w:t>GoI</w:t>
      </w:r>
      <w:proofErr w:type="spellEnd"/>
      <w:r w:rsidR="003B2B14" w:rsidRPr="48362220">
        <w:rPr>
          <w:color w:val="000000" w:themeColor="text1"/>
        </w:rPr>
        <w:t xml:space="preserve"> expressed interest in AIHSP sharing its learning in inclusive COVID-19 vaccination.</w:t>
      </w:r>
      <w:r w:rsidR="003B2B14">
        <w:t xml:space="preserve"> </w:t>
      </w:r>
      <w:r w:rsidRPr="48362220">
        <w:rPr>
          <w:color w:val="000000" w:themeColor="text1"/>
        </w:rPr>
        <w:t>UNICEF mitigate</w:t>
      </w:r>
      <w:r w:rsidR="003B2B14" w:rsidRPr="48362220">
        <w:rPr>
          <w:color w:val="000000" w:themeColor="text1"/>
        </w:rPr>
        <w:t>d</w:t>
      </w:r>
      <w:r w:rsidRPr="48362220">
        <w:rPr>
          <w:color w:val="000000" w:themeColor="text1"/>
        </w:rPr>
        <w:t xml:space="preserve"> the negative impacts of COVID-19 on routine service delivery for women and children</w:t>
      </w:r>
      <w:r w:rsidR="00AD4566">
        <w:rPr>
          <w:color w:val="000000" w:themeColor="text1"/>
        </w:rPr>
        <w:t xml:space="preserve"> </w:t>
      </w:r>
      <w:r w:rsidR="003B2B14" w:rsidRPr="48362220">
        <w:rPr>
          <w:color w:val="000000" w:themeColor="text1"/>
        </w:rPr>
        <w:t>through continu</w:t>
      </w:r>
      <w:r w:rsidR="00AD4566">
        <w:rPr>
          <w:color w:val="000000" w:themeColor="text1"/>
        </w:rPr>
        <w:t>ed</w:t>
      </w:r>
      <w:r w:rsidR="003B2B14" w:rsidRPr="48362220">
        <w:rPr>
          <w:color w:val="000000" w:themeColor="text1"/>
        </w:rPr>
        <w:t xml:space="preserve"> </w:t>
      </w:r>
      <w:r w:rsidRPr="48362220">
        <w:rPr>
          <w:color w:val="000000" w:themeColor="text1"/>
        </w:rPr>
        <w:t xml:space="preserve">routine vaccination, </w:t>
      </w:r>
      <w:r w:rsidR="003B2B14" w:rsidRPr="48362220">
        <w:rPr>
          <w:color w:val="000000" w:themeColor="text1"/>
        </w:rPr>
        <w:t xml:space="preserve">training government officials in </w:t>
      </w:r>
      <w:r w:rsidRPr="48362220">
        <w:rPr>
          <w:color w:val="000000" w:themeColor="text1"/>
        </w:rPr>
        <w:t xml:space="preserve">child protection and </w:t>
      </w:r>
      <w:r w:rsidR="003B2B14" w:rsidRPr="48362220">
        <w:rPr>
          <w:color w:val="000000" w:themeColor="text1"/>
        </w:rPr>
        <w:t>frontline volunteers in</w:t>
      </w:r>
      <w:r w:rsidRPr="48362220">
        <w:rPr>
          <w:color w:val="000000" w:themeColor="text1"/>
        </w:rPr>
        <w:t xml:space="preserve"> gender-based violenc</w:t>
      </w:r>
      <w:r w:rsidRPr="0068020E">
        <w:t>e</w:t>
      </w:r>
      <w:r w:rsidR="003B2B14" w:rsidRPr="0068020E">
        <w:t xml:space="preserve">. </w:t>
      </w:r>
      <w:r w:rsidR="00C03FA2" w:rsidRPr="0068020E">
        <w:t xml:space="preserve">However, </w:t>
      </w:r>
      <w:r w:rsidR="009F36D1" w:rsidRPr="0068020E">
        <w:t>available</w:t>
      </w:r>
      <w:r w:rsidR="00C03FA2" w:rsidRPr="0068020E">
        <w:t xml:space="preserve"> evidence o</w:t>
      </w:r>
      <w:r w:rsidR="004F2A39">
        <w:t>n</w:t>
      </w:r>
      <w:r w:rsidR="00B76F49">
        <w:t xml:space="preserve"> </w:t>
      </w:r>
      <w:r w:rsidR="0088415F">
        <w:t xml:space="preserve">how the activities directly contributed to outcomes was limited. </w:t>
      </w:r>
    </w:p>
    <w:p w14:paraId="579276B2" w14:textId="6345D1DD" w:rsidR="00194906" w:rsidRPr="00D74FC2" w:rsidRDefault="00194906" w:rsidP="009E6B74">
      <w:pPr>
        <w:spacing w:after="120" w:line="240" w:lineRule="auto"/>
        <w:rPr>
          <w:rFonts w:cstheme="minorHAnsi"/>
          <w:color w:val="000000"/>
        </w:rPr>
      </w:pPr>
      <w:r w:rsidRPr="00D74FC2">
        <w:rPr>
          <w:rFonts w:cstheme="minorHAnsi"/>
          <w:color w:val="000000"/>
        </w:rPr>
        <w:t>AIHSP</w:t>
      </w:r>
      <w:r w:rsidRPr="00D74FC2">
        <w:rPr>
          <w:rFonts w:cstheme="minorHAnsi"/>
        </w:rPr>
        <w:t xml:space="preserve"> implemented activities that reflected both tracks of its </w:t>
      </w:r>
      <w:r w:rsidR="00974F31">
        <w:rPr>
          <w:rFonts w:cstheme="minorHAnsi"/>
        </w:rPr>
        <w:t>Gender Equality, Disability and Social Inclusion (</w:t>
      </w:r>
      <w:r w:rsidRPr="00D74FC2">
        <w:rPr>
          <w:rFonts w:cstheme="minorHAnsi"/>
        </w:rPr>
        <w:t>GEDSI</w:t>
      </w:r>
      <w:r w:rsidR="00974F31">
        <w:rPr>
          <w:rFonts w:cstheme="minorHAnsi"/>
        </w:rPr>
        <w:t>)</w:t>
      </w:r>
      <w:r w:rsidRPr="00D74FC2">
        <w:rPr>
          <w:rFonts w:cstheme="minorHAnsi"/>
        </w:rPr>
        <w:t xml:space="preserve"> Strategy but some planned activities, such as GEDSI awareness in leadership programs, ha</w:t>
      </w:r>
      <w:r w:rsidR="0030310B">
        <w:rPr>
          <w:rFonts w:cstheme="minorHAnsi"/>
        </w:rPr>
        <w:t>ve</w:t>
      </w:r>
      <w:r w:rsidRPr="00D74FC2">
        <w:rPr>
          <w:rFonts w:cstheme="minorHAnsi"/>
        </w:rPr>
        <w:t xml:space="preserve"> not yet occurred. This is to be expected mid-way through a program.</w:t>
      </w:r>
    </w:p>
    <w:p w14:paraId="1095083A" w14:textId="77777777" w:rsidR="00793B00" w:rsidRPr="00871D91" w:rsidRDefault="00793B00" w:rsidP="00C64D51">
      <w:pPr>
        <w:pStyle w:val="Heading2"/>
        <w:spacing w:before="0" w:line="240" w:lineRule="auto"/>
        <w:rPr>
          <w:rFonts w:cstheme="majorHAnsi"/>
        </w:rPr>
      </w:pPr>
      <w:bookmarkStart w:id="26" w:name="_Toc132584528"/>
      <w:bookmarkStart w:id="27" w:name="_Toc135837385"/>
      <w:r w:rsidRPr="00871D91">
        <w:rPr>
          <w:rFonts w:cstheme="majorHAnsi"/>
        </w:rPr>
        <w:t>Future considerations and recommendations</w:t>
      </w:r>
      <w:bookmarkEnd w:id="26"/>
      <w:bookmarkEnd w:id="27"/>
    </w:p>
    <w:p w14:paraId="40694F52" w14:textId="77777777" w:rsidR="00793B00" w:rsidRPr="00871D91" w:rsidRDefault="00793B00" w:rsidP="00871D91">
      <w:pPr>
        <w:pStyle w:val="Heading3"/>
        <w:rPr>
          <w:rFonts w:cstheme="majorHAnsi"/>
        </w:rPr>
      </w:pPr>
      <w:bookmarkStart w:id="28" w:name="_Toc135837386"/>
      <w:r w:rsidRPr="00871D91">
        <w:rPr>
          <w:rFonts w:cstheme="majorHAnsi"/>
        </w:rPr>
        <w:t>Future considerations</w:t>
      </w:r>
      <w:bookmarkEnd w:id="28"/>
    </w:p>
    <w:p w14:paraId="2314C3C0" w14:textId="11AC72C3" w:rsidR="00793B00" w:rsidRPr="00D74FC2" w:rsidRDefault="00793B00" w:rsidP="009E6B74">
      <w:pPr>
        <w:spacing w:after="120" w:line="240" w:lineRule="auto"/>
        <w:rPr>
          <w:color w:val="000000"/>
        </w:rPr>
      </w:pPr>
      <w:r w:rsidRPr="4FCF45F9">
        <w:t xml:space="preserve">The MTR noted several political, strategic and health developments that </w:t>
      </w:r>
      <w:r w:rsidR="00A1765E" w:rsidRPr="4FCF45F9">
        <w:t>should</w:t>
      </w:r>
      <w:r w:rsidRPr="4FCF45F9">
        <w:t xml:space="preserve"> be considered in Australia’s future support for the health sector in Indonesia. These include the imminent release of Australia’s new Development Policy</w:t>
      </w:r>
      <w:r w:rsidR="00194906" w:rsidRPr="4FCF45F9">
        <w:t xml:space="preserve">, </w:t>
      </w:r>
      <w:r w:rsidRPr="4FCF45F9">
        <w:t>its Partnerships for a Healthy Region</w:t>
      </w:r>
      <w:r w:rsidR="00194906" w:rsidRPr="4FCF45F9">
        <w:t xml:space="preserve"> </w:t>
      </w:r>
      <w:r w:rsidR="0030310B">
        <w:t>initiative</w:t>
      </w:r>
      <w:r w:rsidRPr="4FCF45F9">
        <w:t xml:space="preserve">, the </w:t>
      </w:r>
      <w:r w:rsidR="00194906" w:rsidRPr="4FCF45F9">
        <w:t>Indonesian</w:t>
      </w:r>
      <w:r w:rsidRPr="4FCF45F9">
        <w:t xml:space="preserve"> elections in February 2024 </w:t>
      </w:r>
      <w:r w:rsidR="00194906" w:rsidRPr="4FCF45F9">
        <w:t xml:space="preserve">and </w:t>
      </w:r>
      <w:r w:rsidRPr="4FCF45F9">
        <w:rPr>
          <w:color w:val="000000" w:themeColor="text1"/>
        </w:rPr>
        <w:t xml:space="preserve">Indonesia’s new Medium-Term Development Plan (2024-2029) and Long-Term Development Plan (2025-2050) to be launched in 2023. </w:t>
      </w:r>
    </w:p>
    <w:p w14:paraId="00D741BA" w14:textId="2B8E4FCF" w:rsidR="00793B00" w:rsidRPr="00871D91" w:rsidRDefault="00793B00" w:rsidP="00871D91">
      <w:pPr>
        <w:pStyle w:val="Heading3"/>
        <w:rPr>
          <w:rFonts w:cstheme="majorHAnsi"/>
        </w:rPr>
      </w:pPr>
      <w:bookmarkStart w:id="29" w:name="_Toc135837387"/>
      <w:r w:rsidRPr="00871D91">
        <w:rPr>
          <w:rFonts w:cstheme="majorHAnsi"/>
        </w:rPr>
        <w:t>Recommendations</w:t>
      </w:r>
      <w:bookmarkEnd w:id="29"/>
    </w:p>
    <w:p w14:paraId="2DA9D25E" w14:textId="790B9305" w:rsidR="00B8471A" w:rsidRPr="00D74FC2" w:rsidRDefault="00B8471A" w:rsidP="00D97408">
      <w:pPr>
        <w:shd w:val="clear" w:color="auto" w:fill="D9D9D9" w:themeFill="background1" w:themeFillShade="D9"/>
        <w:spacing w:after="0"/>
        <w:rPr>
          <w:rFonts w:cstheme="minorHAnsi"/>
          <w:color w:val="000000"/>
        </w:rPr>
      </w:pPr>
      <w:r w:rsidRPr="00D74FC2">
        <w:rPr>
          <w:rFonts w:cstheme="minorHAnsi"/>
          <w:color w:val="000000"/>
        </w:rPr>
        <w:t xml:space="preserve">KEQ 5: </w:t>
      </w:r>
      <w:r w:rsidRPr="00D74FC2">
        <w:rPr>
          <w:rFonts w:cstheme="minorHAnsi"/>
        </w:rPr>
        <w:t xml:space="preserve">What does the Mid-Term Review findings suggest for DFAT’s future assistance to the health sector in Indonesia? </w:t>
      </w:r>
    </w:p>
    <w:p w14:paraId="1DA207A4" w14:textId="676FA8BC" w:rsidR="005A7943" w:rsidRPr="00D74FC2" w:rsidRDefault="005A7943" w:rsidP="009E6B74">
      <w:pPr>
        <w:spacing w:after="120" w:line="240" w:lineRule="auto"/>
      </w:pPr>
      <w:bookmarkStart w:id="30" w:name="_Toc135837388"/>
      <w:r w:rsidRPr="48362220">
        <w:t xml:space="preserve">The MTR provides recommendations for existing programming </w:t>
      </w:r>
      <w:r>
        <w:t xml:space="preserve">with a one-year extension </w:t>
      </w:r>
      <w:r w:rsidRPr="48362220">
        <w:t>until January 2026 and for a new, future health investment</w:t>
      </w:r>
      <w:r>
        <w:t xml:space="preserve"> from February 2026</w:t>
      </w:r>
      <w:r w:rsidRPr="48362220">
        <w:t xml:space="preserve">. </w:t>
      </w:r>
      <w:r w:rsidRPr="48362220">
        <w:rPr>
          <w:u w:val="single"/>
        </w:rPr>
        <w:t>Only key recommendations are listed below</w:t>
      </w:r>
      <w:r w:rsidRPr="48362220">
        <w:t xml:space="preserve"> with further recommendations included in section</w:t>
      </w:r>
      <w:r>
        <w:t>s</w:t>
      </w:r>
      <w:r w:rsidRPr="48362220">
        <w:t xml:space="preserve"> 8.2</w:t>
      </w:r>
      <w:r>
        <w:t xml:space="preserve"> and 8.3</w:t>
      </w:r>
      <w:r w:rsidR="009E6B74">
        <w:t>.</w:t>
      </w:r>
    </w:p>
    <w:p w14:paraId="11525166" w14:textId="34F7433C" w:rsidR="00793B00" w:rsidRDefault="006F610D" w:rsidP="48362220">
      <w:pPr>
        <w:pStyle w:val="Heading3"/>
      </w:pPr>
      <w:r w:rsidRPr="00BD0989">
        <w:lastRenderedPageBreak/>
        <w:t>Current program</w:t>
      </w:r>
      <w:r w:rsidR="00793B00" w:rsidRPr="00BD0989">
        <w:t xml:space="preserve"> </w:t>
      </w:r>
      <w:bookmarkEnd w:id="30"/>
    </w:p>
    <w:p w14:paraId="347B4ED8" w14:textId="7EA1F752" w:rsidR="003B2F7E" w:rsidRPr="003B2F7E" w:rsidRDefault="003B2F7E" w:rsidP="009E6B74">
      <w:pPr>
        <w:pStyle w:val="ListParagraph"/>
        <w:numPr>
          <w:ilvl w:val="0"/>
          <w:numId w:val="6"/>
        </w:numPr>
        <w:spacing w:after="0" w:line="240" w:lineRule="auto"/>
        <w:ind w:left="284" w:hanging="284"/>
        <w:textAlignment w:val="baseline"/>
        <w:rPr>
          <w:rFonts w:cstheme="minorHAnsi"/>
          <w:color w:val="000000"/>
        </w:rPr>
      </w:pPr>
      <w:r w:rsidRPr="003B2F7E">
        <w:rPr>
          <w:b/>
          <w:bCs/>
        </w:rPr>
        <w:t>Consolidate and embed project activities:</w:t>
      </w:r>
      <w:r w:rsidRPr="003B2F7E">
        <w:t xml:space="preserve"> AIHSP to continue activities supporting surveillance and information management systems, animal health laboratory strengthening, targeted support for animal health disease outbreaks, inclusive access to health care and a One Health approach. After detailed analysis, AIHSP to consider discontinuing plans and/or activities in public health laboratory strengthening, health emergency operations centres (but continue support to One Health approaches), RCCE, some pilot activities</w:t>
      </w:r>
      <w:r w:rsidR="00566FC9">
        <w:t xml:space="preserve"> and </w:t>
      </w:r>
      <w:r w:rsidR="00566FC9" w:rsidRPr="003B2F7E">
        <w:t>private sector</w:t>
      </w:r>
      <w:r w:rsidR="00566FC9">
        <w:t xml:space="preserve"> collaboration (but continue for emergency response)</w:t>
      </w:r>
      <w:r w:rsidRPr="003B2F7E">
        <w:t>.</w:t>
      </w:r>
      <w:r w:rsidR="00D21E21">
        <w:t xml:space="preserve"> AIHSP to </w:t>
      </w:r>
      <w:r w:rsidR="00D5660B">
        <w:t xml:space="preserve">consider </w:t>
      </w:r>
      <w:r w:rsidR="00D21E21">
        <w:t>limit</w:t>
      </w:r>
      <w:r w:rsidR="00D5660B">
        <w:t>ing</w:t>
      </w:r>
      <w:r w:rsidR="00D21E21">
        <w:t xml:space="preserve"> planned </w:t>
      </w:r>
      <w:proofErr w:type="spellStart"/>
      <w:r w:rsidR="00D21E21">
        <w:t>puskesmas</w:t>
      </w:r>
      <w:proofErr w:type="spellEnd"/>
      <w:r w:rsidR="00D21E21">
        <w:t xml:space="preserve"> strengthening activities.</w:t>
      </w:r>
    </w:p>
    <w:p w14:paraId="62BF968B" w14:textId="07CBE776" w:rsidR="005A7943" w:rsidRPr="00D74FC2" w:rsidRDefault="005A7943" w:rsidP="009E6B74">
      <w:pPr>
        <w:pStyle w:val="ListParagraph"/>
        <w:numPr>
          <w:ilvl w:val="0"/>
          <w:numId w:val="6"/>
        </w:numPr>
        <w:spacing w:after="0" w:line="240" w:lineRule="auto"/>
        <w:ind w:left="284" w:hanging="284"/>
        <w:textAlignment w:val="baseline"/>
        <w:rPr>
          <w:rFonts w:cstheme="minorHAnsi"/>
          <w:color w:val="000000"/>
        </w:rPr>
      </w:pPr>
      <w:r w:rsidRPr="00D74FC2">
        <w:rPr>
          <w:rFonts w:eastAsia="Calibri" w:cstheme="minorHAnsi"/>
          <w:b/>
          <w:color w:val="000000"/>
        </w:rPr>
        <w:t>Share lessons and advocate for systematic use of inclusive service delivery</w:t>
      </w:r>
      <w:r w:rsidRPr="00D74FC2">
        <w:rPr>
          <w:rFonts w:cstheme="minorHAnsi"/>
          <w:b/>
          <w:bCs/>
          <w:color w:val="000000"/>
        </w:rPr>
        <w:t>:</w:t>
      </w:r>
      <w:r w:rsidRPr="00D74FC2">
        <w:rPr>
          <w:rFonts w:cstheme="minorHAnsi"/>
          <w:color w:val="000000"/>
        </w:rPr>
        <w:t xml:space="preserve"> </w:t>
      </w:r>
      <w:r w:rsidRPr="00D74FC2">
        <w:rPr>
          <w:rFonts w:eastAsia="Calibri" w:cstheme="minorHAnsi"/>
          <w:color w:val="000000"/>
        </w:rPr>
        <w:t xml:space="preserve">AIHSP to share lessons learnt on its inclusive COVID-19 vaccination for at-risk populations with the MoH and the </w:t>
      </w:r>
      <w:proofErr w:type="spellStart"/>
      <w:r w:rsidRPr="00D74FC2">
        <w:rPr>
          <w:rFonts w:eastAsia="Calibri" w:cstheme="minorHAnsi"/>
          <w:color w:val="000000"/>
        </w:rPr>
        <w:t>MoHA</w:t>
      </w:r>
      <w:proofErr w:type="spellEnd"/>
      <w:r w:rsidRPr="00D74FC2">
        <w:rPr>
          <w:rFonts w:eastAsia="Calibri" w:cstheme="minorHAnsi"/>
          <w:color w:val="000000"/>
        </w:rPr>
        <w:t xml:space="preserve"> and to advocate for embedding these approaches </w:t>
      </w:r>
      <w:r>
        <w:rPr>
          <w:rFonts w:eastAsia="Calibri" w:cstheme="minorHAnsi"/>
          <w:color w:val="000000"/>
        </w:rPr>
        <w:t>in</w:t>
      </w:r>
      <w:r w:rsidRPr="00D74FC2">
        <w:rPr>
          <w:rFonts w:eastAsia="Calibri" w:cstheme="minorHAnsi"/>
          <w:color w:val="000000"/>
        </w:rPr>
        <w:t xml:space="preserve"> other health service delivery.</w:t>
      </w:r>
    </w:p>
    <w:p w14:paraId="6AFF474F" w14:textId="7670B0A3" w:rsidR="005A7943" w:rsidRPr="00D74FC2" w:rsidRDefault="005A7943" w:rsidP="009E6B74">
      <w:pPr>
        <w:pStyle w:val="ListParagraph"/>
        <w:numPr>
          <w:ilvl w:val="0"/>
          <w:numId w:val="6"/>
        </w:numPr>
        <w:spacing w:after="0" w:line="240" w:lineRule="auto"/>
        <w:ind w:left="284" w:hanging="284"/>
        <w:textAlignment w:val="baseline"/>
        <w:rPr>
          <w:color w:val="000000"/>
        </w:rPr>
      </w:pPr>
      <w:r w:rsidRPr="48362220">
        <w:rPr>
          <w:b/>
          <w:bCs/>
          <w:color w:val="000000" w:themeColor="text1"/>
        </w:rPr>
        <w:t>Continue targeted support for animal health disease outbreaks</w:t>
      </w:r>
      <w:r w:rsidR="00FB14FB">
        <w:rPr>
          <w:b/>
          <w:bCs/>
          <w:color w:val="000000" w:themeColor="text1"/>
        </w:rPr>
        <w:t xml:space="preserve"> </w:t>
      </w:r>
      <w:r w:rsidR="00FB14FB" w:rsidRPr="008475D3">
        <w:rPr>
          <w:color w:val="000000" w:themeColor="text1"/>
        </w:rPr>
        <w:t xml:space="preserve">with </w:t>
      </w:r>
      <w:proofErr w:type="gramStart"/>
      <w:r w:rsidRPr="48362220">
        <w:rPr>
          <w:rFonts w:eastAsia="Calibri"/>
          <w:color w:val="000000" w:themeColor="text1"/>
        </w:rPr>
        <w:t>AIHSP  DFAT</w:t>
      </w:r>
      <w:proofErr w:type="gramEnd"/>
      <w:r w:rsidRPr="48362220">
        <w:rPr>
          <w:rFonts w:eastAsia="Calibri"/>
          <w:color w:val="000000" w:themeColor="text1"/>
        </w:rPr>
        <w:t xml:space="preserve">, in coordination with the Department of Agriculture, Fisheries and Forestry (DAFF) </w:t>
      </w:r>
    </w:p>
    <w:p w14:paraId="5E5F825B" w14:textId="0C17A8CC" w:rsidR="005A7943" w:rsidRPr="00D74FC2" w:rsidRDefault="005A7943" w:rsidP="009E6B74">
      <w:pPr>
        <w:pStyle w:val="NormalWeb"/>
        <w:numPr>
          <w:ilvl w:val="0"/>
          <w:numId w:val="6"/>
        </w:numPr>
        <w:spacing w:before="0" w:beforeAutospacing="0" w:after="0" w:afterAutospacing="0"/>
        <w:ind w:left="284" w:hanging="284"/>
        <w:textAlignment w:val="baseline"/>
        <w:rPr>
          <w:rFonts w:asciiTheme="minorHAnsi" w:hAnsiTheme="minorHAnsi" w:cstheme="minorHAnsi"/>
          <w:sz w:val="22"/>
          <w:szCs w:val="22"/>
        </w:rPr>
      </w:pPr>
      <w:r w:rsidRPr="00D74FC2">
        <w:rPr>
          <w:rFonts w:asciiTheme="minorHAnsi" w:hAnsiTheme="minorHAnsi" w:cstheme="minorHAnsi"/>
          <w:b/>
          <w:bCs/>
          <w:color w:val="000000"/>
          <w:sz w:val="22"/>
          <w:szCs w:val="22"/>
        </w:rPr>
        <w:t xml:space="preserve">Improve </w:t>
      </w:r>
      <w:r w:rsidRPr="00D74FC2">
        <w:rPr>
          <w:rFonts w:asciiTheme="minorHAnsi" w:eastAsia="Calibri" w:hAnsiTheme="minorHAnsi" w:cstheme="minorHAnsi"/>
          <w:b/>
          <w:color w:val="000000"/>
          <w:sz w:val="22"/>
          <w:szCs w:val="22"/>
        </w:rPr>
        <w:t xml:space="preserve">partner processes, capacity, </w:t>
      </w:r>
      <w:proofErr w:type="gramStart"/>
      <w:r w:rsidRPr="00D74FC2">
        <w:rPr>
          <w:rFonts w:asciiTheme="minorHAnsi" w:eastAsia="Calibri" w:hAnsiTheme="minorHAnsi" w:cstheme="minorHAnsi"/>
          <w:b/>
          <w:color w:val="000000"/>
          <w:sz w:val="22"/>
          <w:szCs w:val="22"/>
        </w:rPr>
        <w:t>collaboration</w:t>
      </w:r>
      <w:proofErr w:type="gramEnd"/>
      <w:r w:rsidRPr="00D74FC2">
        <w:rPr>
          <w:rFonts w:asciiTheme="minorHAnsi" w:eastAsia="Calibri" w:hAnsiTheme="minorHAnsi" w:cstheme="minorHAnsi"/>
          <w:b/>
          <w:color w:val="000000"/>
          <w:sz w:val="22"/>
          <w:szCs w:val="22"/>
        </w:rPr>
        <w:t xml:space="preserve"> and monitoring</w:t>
      </w:r>
      <w:r w:rsidRPr="00D74FC2">
        <w:rPr>
          <w:rFonts w:asciiTheme="minorHAnsi" w:hAnsiTheme="minorHAnsi" w:cstheme="minorHAnsi"/>
          <w:b/>
          <w:bCs/>
          <w:color w:val="000000"/>
          <w:sz w:val="22"/>
          <w:szCs w:val="22"/>
        </w:rPr>
        <w:t>:</w:t>
      </w:r>
      <w:r w:rsidRPr="00D74FC2">
        <w:rPr>
          <w:rFonts w:asciiTheme="minorHAnsi" w:hAnsiTheme="minorHAnsi" w:cstheme="minorHAnsi"/>
          <w:color w:val="000000"/>
          <w:sz w:val="22"/>
          <w:szCs w:val="22"/>
        </w:rPr>
        <w:t xml:space="preserve"> AIHSP to improve its regular communication and coordination with </w:t>
      </w:r>
      <w:proofErr w:type="spellStart"/>
      <w:r w:rsidRPr="00D74FC2">
        <w:rPr>
          <w:rFonts w:asciiTheme="minorHAnsi" w:hAnsiTheme="minorHAnsi" w:cstheme="minorHAnsi"/>
          <w:color w:val="000000"/>
          <w:sz w:val="22"/>
          <w:szCs w:val="22"/>
        </w:rPr>
        <w:t>GoI</w:t>
      </w:r>
      <w:proofErr w:type="spellEnd"/>
      <w:r w:rsidRPr="00D74FC2">
        <w:rPr>
          <w:rFonts w:asciiTheme="minorHAnsi" w:hAnsiTheme="minorHAnsi" w:cstheme="minorHAnsi"/>
          <w:color w:val="000000"/>
          <w:sz w:val="22"/>
          <w:szCs w:val="22"/>
        </w:rPr>
        <w:t xml:space="preserve"> and implementing partners and ensure its managerial structures and administrative capacity is sufficient to support the current scale of activities.</w:t>
      </w:r>
    </w:p>
    <w:p w14:paraId="1118C330" w14:textId="6D213F6A" w:rsidR="005A7943" w:rsidRPr="00D74FC2" w:rsidRDefault="005A7943" w:rsidP="009E6B74">
      <w:pPr>
        <w:pStyle w:val="NormalWeb"/>
        <w:numPr>
          <w:ilvl w:val="0"/>
          <w:numId w:val="6"/>
        </w:numPr>
        <w:spacing w:before="0" w:beforeAutospacing="0" w:after="0" w:afterAutospacing="0"/>
        <w:ind w:left="284" w:hanging="284"/>
        <w:textAlignment w:val="baseline"/>
        <w:rPr>
          <w:rFonts w:asciiTheme="minorHAnsi" w:hAnsiTheme="minorHAnsi" w:cstheme="minorHAnsi"/>
          <w:sz w:val="22"/>
          <w:szCs w:val="22"/>
        </w:rPr>
      </w:pPr>
      <w:r w:rsidRPr="00D74FC2">
        <w:rPr>
          <w:rFonts w:asciiTheme="minorHAnsi" w:eastAsia="Calibri" w:hAnsiTheme="minorHAnsi" w:cstheme="minorHAnsi"/>
          <w:b/>
          <w:color w:val="000000"/>
          <w:sz w:val="22"/>
          <w:szCs w:val="22"/>
        </w:rPr>
        <w:t xml:space="preserve">Improve capacity, </w:t>
      </w:r>
      <w:proofErr w:type="gramStart"/>
      <w:r w:rsidRPr="00D74FC2">
        <w:rPr>
          <w:rFonts w:asciiTheme="minorHAnsi" w:eastAsia="Calibri" w:hAnsiTheme="minorHAnsi" w:cstheme="minorHAnsi"/>
          <w:b/>
          <w:color w:val="000000"/>
          <w:sz w:val="22"/>
          <w:szCs w:val="22"/>
        </w:rPr>
        <w:t>collaboration</w:t>
      </w:r>
      <w:proofErr w:type="gramEnd"/>
      <w:r w:rsidRPr="00D74FC2">
        <w:rPr>
          <w:rFonts w:asciiTheme="minorHAnsi" w:eastAsia="Calibri" w:hAnsiTheme="minorHAnsi" w:cstheme="minorHAnsi"/>
          <w:b/>
          <w:color w:val="000000"/>
          <w:sz w:val="22"/>
          <w:szCs w:val="22"/>
        </w:rPr>
        <w:t xml:space="preserve"> and coordination between DFAT and DAFF-funded programs</w:t>
      </w:r>
      <w:r w:rsidRPr="00D74FC2">
        <w:rPr>
          <w:rFonts w:asciiTheme="minorHAnsi" w:hAnsiTheme="minorHAnsi" w:cstheme="minorHAnsi"/>
          <w:b/>
          <w:bCs/>
          <w:color w:val="000000"/>
          <w:sz w:val="22"/>
          <w:szCs w:val="22"/>
        </w:rPr>
        <w:t>:</w:t>
      </w:r>
      <w:r w:rsidRPr="00D74FC2">
        <w:rPr>
          <w:rFonts w:asciiTheme="minorHAnsi" w:hAnsiTheme="minorHAnsi" w:cstheme="minorHAnsi"/>
          <w:color w:val="000000"/>
          <w:sz w:val="22"/>
          <w:szCs w:val="22"/>
        </w:rPr>
        <w:t xml:space="preserve"> DFAT in Jakarta to strengthen its Health Team so that it has the capacity and technical and strategic capability commensurate with the size and complexity of </w:t>
      </w:r>
      <w:r w:rsidR="00FF34E9">
        <w:rPr>
          <w:rFonts w:asciiTheme="minorHAnsi" w:hAnsiTheme="minorHAnsi" w:cstheme="minorHAnsi"/>
          <w:color w:val="000000"/>
          <w:sz w:val="22"/>
          <w:szCs w:val="22"/>
        </w:rPr>
        <w:t>Australia’s</w:t>
      </w:r>
      <w:r w:rsidRPr="00D74FC2">
        <w:rPr>
          <w:rFonts w:asciiTheme="minorHAnsi" w:hAnsiTheme="minorHAnsi" w:cstheme="minorHAnsi"/>
          <w:color w:val="000000"/>
          <w:sz w:val="22"/>
          <w:szCs w:val="22"/>
        </w:rPr>
        <w:t xml:space="preserve"> health investments in Indonesia. DFAT to continue regular meetings </w:t>
      </w:r>
      <w:r>
        <w:rPr>
          <w:rFonts w:asciiTheme="minorHAnsi" w:hAnsiTheme="minorHAnsi" w:cstheme="minorHAnsi"/>
          <w:color w:val="000000"/>
          <w:sz w:val="22"/>
          <w:szCs w:val="22"/>
        </w:rPr>
        <w:t>between</w:t>
      </w:r>
      <w:r w:rsidRPr="00D74FC2">
        <w:rPr>
          <w:rFonts w:asciiTheme="minorHAnsi" w:hAnsiTheme="minorHAnsi" w:cstheme="minorHAnsi"/>
          <w:color w:val="000000"/>
          <w:sz w:val="22"/>
          <w:szCs w:val="22"/>
        </w:rPr>
        <w:t xml:space="preserve"> DFAT and DAFF programs.</w:t>
      </w:r>
    </w:p>
    <w:p w14:paraId="18BE06C1" w14:textId="77777777" w:rsidR="00793B00" w:rsidRPr="00AD4566" w:rsidRDefault="00793B00" w:rsidP="00793B00">
      <w:pPr>
        <w:pStyle w:val="NormalWeb"/>
        <w:spacing w:before="0" w:beforeAutospacing="0" w:after="0" w:afterAutospacing="0"/>
        <w:textAlignment w:val="baseline"/>
        <w:rPr>
          <w:rFonts w:asciiTheme="minorHAnsi" w:hAnsiTheme="minorHAnsi" w:cstheme="minorHAnsi"/>
          <w:color w:val="000000"/>
          <w:sz w:val="16"/>
          <w:szCs w:val="16"/>
        </w:rPr>
      </w:pPr>
    </w:p>
    <w:p w14:paraId="4D15CFB0" w14:textId="3722F235" w:rsidR="00793B00" w:rsidRPr="00871D91" w:rsidRDefault="00FC7399" w:rsidP="009E6B74">
      <w:pPr>
        <w:pStyle w:val="Heading3"/>
        <w:spacing w:before="0"/>
      </w:pPr>
      <w:bookmarkStart w:id="31" w:name="_Toc135837389"/>
      <w:r w:rsidRPr="48362220">
        <w:t>Australia’s f</w:t>
      </w:r>
      <w:r w:rsidR="006F610D" w:rsidRPr="48362220">
        <w:t xml:space="preserve">uture </w:t>
      </w:r>
      <w:r w:rsidRPr="48362220">
        <w:t>health i</w:t>
      </w:r>
      <w:r w:rsidR="006F610D" w:rsidRPr="48362220">
        <w:t>nvestment</w:t>
      </w:r>
      <w:r w:rsidR="00D74FC2" w:rsidRPr="48362220">
        <w:t xml:space="preserve"> </w:t>
      </w:r>
      <w:bookmarkEnd w:id="31"/>
    </w:p>
    <w:p w14:paraId="3232C79D" w14:textId="36F2388E" w:rsidR="005A7943" w:rsidRPr="00D74FC2" w:rsidRDefault="005A7943" w:rsidP="009E6B74">
      <w:pPr>
        <w:spacing w:after="120" w:line="240" w:lineRule="auto"/>
        <w:rPr>
          <w:color w:val="000000"/>
        </w:rPr>
      </w:pPr>
      <w:r w:rsidRPr="48362220">
        <w:rPr>
          <w:rFonts w:eastAsia="Calibri"/>
          <w:color w:val="000000" w:themeColor="text1"/>
        </w:rPr>
        <w:t xml:space="preserve">Given the Indonesian elections in 2024, </w:t>
      </w:r>
      <w:r w:rsidRPr="008A64AA">
        <w:rPr>
          <w:rFonts w:eastAsia="Calibri"/>
          <w:color w:val="000000" w:themeColor="text1"/>
        </w:rPr>
        <w:t>the MTR Team recommends</w:t>
      </w:r>
      <w:r w:rsidRPr="00B01B97">
        <w:rPr>
          <w:rFonts w:eastAsia="Calibri"/>
          <w:b/>
          <w:bCs/>
          <w:color w:val="000000" w:themeColor="text1"/>
        </w:rPr>
        <w:t xml:space="preserve"> </w:t>
      </w:r>
      <w:r w:rsidR="00B01B97">
        <w:rPr>
          <w:rFonts w:eastAsia="Calibri"/>
          <w:color w:val="000000" w:themeColor="text1"/>
        </w:rPr>
        <w:t xml:space="preserve">DFAT consider a possible </w:t>
      </w:r>
      <w:r w:rsidR="004424E7">
        <w:rPr>
          <w:rFonts w:eastAsia="Calibri"/>
          <w:color w:val="000000" w:themeColor="text1"/>
        </w:rPr>
        <w:t>one-year</w:t>
      </w:r>
      <w:r w:rsidR="00B01B97">
        <w:rPr>
          <w:rFonts w:eastAsia="Calibri"/>
          <w:color w:val="000000" w:themeColor="text1"/>
        </w:rPr>
        <w:t xml:space="preserve"> funded extension</w:t>
      </w:r>
      <w:r w:rsidR="004424E7">
        <w:rPr>
          <w:rFonts w:eastAsia="Calibri"/>
          <w:color w:val="000000" w:themeColor="text1"/>
        </w:rPr>
        <w:t xml:space="preserve"> </w:t>
      </w:r>
      <w:r w:rsidR="00B01B97">
        <w:rPr>
          <w:rFonts w:eastAsia="Calibri"/>
          <w:color w:val="000000" w:themeColor="text1"/>
        </w:rPr>
        <w:t>to</w:t>
      </w:r>
      <w:r w:rsidR="004424E7">
        <w:rPr>
          <w:rFonts w:eastAsia="Calibri"/>
          <w:color w:val="000000" w:themeColor="text1"/>
        </w:rPr>
        <w:t xml:space="preserve"> </w:t>
      </w:r>
      <w:r w:rsidRPr="008A64AA">
        <w:rPr>
          <w:rFonts w:eastAsia="Calibri"/>
          <w:color w:val="000000" w:themeColor="text1"/>
        </w:rPr>
        <w:t>January 2026</w:t>
      </w:r>
      <w:r w:rsidRPr="48362220">
        <w:rPr>
          <w:rFonts w:eastAsia="Calibri"/>
          <w:b/>
          <w:bCs/>
          <w:color w:val="000000" w:themeColor="text1"/>
        </w:rPr>
        <w:t>.</w:t>
      </w:r>
      <w:r w:rsidRPr="48362220">
        <w:rPr>
          <w:rFonts w:eastAsia="Calibri"/>
          <w:color w:val="000000" w:themeColor="text1"/>
        </w:rPr>
        <w:t xml:space="preserve"> </w:t>
      </w:r>
      <w:r w:rsidR="00B01B97">
        <w:rPr>
          <w:rFonts w:eastAsia="Calibri"/>
          <w:color w:val="000000" w:themeColor="text1"/>
        </w:rPr>
        <w:t>Following this</w:t>
      </w:r>
      <w:r w:rsidRPr="48362220">
        <w:rPr>
          <w:rFonts w:eastAsia="Calibri"/>
          <w:color w:val="000000" w:themeColor="text1"/>
        </w:rPr>
        <w:t xml:space="preserve">, Australia is to embark on a new phase of consolidated health sector programming, with a reduced scope of activities </w:t>
      </w:r>
      <w:r w:rsidR="00554DF8">
        <w:rPr>
          <w:rFonts w:eastAsia="Calibri"/>
          <w:color w:val="000000" w:themeColor="text1"/>
        </w:rPr>
        <w:t>and</w:t>
      </w:r>
      <w:r w:rsidR="00D83B96">
        <w:rPr>
          <w:rFonts w:eastAsia="Calibri"/>
          <w:color w:val="000000" w:themeColor="text1"/>
        </w:rPr>
        <w:t xml:space="preserve"> </w:t>
      </w:r>
      <w:r w:rsidRPr="008A64AA">
        <w:rPr>
          <w:rFonts w:eastAsia="Calibri"/>
          <w:color w:val="000000" w:themeColor="text1"/>
        </w:rPr>
        <w:t>emphasis on health systems strengthening.</w:t>
      </w:r>
      <w:r w:rsidRPr="48362220">
        <w:rPr>
          <w:rFonts w:eastAsia="Calibri"/>
          <w:color w:val="000000" w:themeColor="text1"/>
        </w:rPr>
        <w:t xml:space="preserve"> DFAT </w:t>
      </w:r>
      <w:r>
        <w:rPr>
          <w:rFonts w:eastAsia="Calibri"/>
          <w:color w:val="000000" w:themeColor="text1"/>
        </w:rPr>
        <w:t>to</w:t>
      </w:r>
      <w:r w:rsidRPr="48362220">
        <w:rPr>
          <w:rFonts w:eastAsia="Calibri"/>
          <w:color w:val="000000" w:themeColor="text1"/>
        </w:rPr>
        <w:t xml:space="preserve"> approach the market to select a managing contractor for this next phase of investment</w:t>
      </w:r>
      <w:r w:rsidR="001356AB">
        <w:rPr>
          <w:rFonts w:eastAsia="Calibri"/>
          <w:color w:val="000000" w:themeColor="text1"/>
        </w:rPr>
        <w:t xml:space="preserve">. WHO and UNICEF will likely </w:t>
      </w:r>
      <w:r w:rsidRPr="48362220">
        <w:rPr>
          <w:rFonts w:eastAsia="Calibri"/>
          <w:color w:val="000000" w:themeColor="text1"/>
        </w:rPr>
        <w:t xml:space="preserve">continue </w:t>
      </w:r>
      <w:r w:rsidR="001356AB">
        <w:rPr>
          <w:rFonts w:eastAsia="Calibri"/>
          <w:color w:val="000000" w:themeColor="text1"/>
        </w:rPr>
        <w:t xml:space="preserve">to be </w:t>
      </w:r>
      <w:r w:rsidRPr="48362220">
        <w:rPr>
          <w:rFonts w:eastAsia="Calibri"/>
          <w:color w:val="000000" w:themeColor="text1"/>
        </w:rPr>
        <w:t>fund</w:t>
      </w:r>
      <w:r w:rsidR="001356AB">
        <w:rPr>
          <w:rFonts w:eastAsia="Calibri"/>
          <w:color w:val="000000" w:themeColor="text1"/>
        </w:rPr>
        <w:t>ed</w:t>
      </w:r>
      <w:r w:rsidRPr="48362220">
        <w:rPr>
          <w:rFonts w:eastAsia="Calibri"/>
          <w:color w:val="000000" w:themeColor="text1"/>
        </w:rPr>
        <w:t xml:space="preserve"> </w:t>
      </w:r>
      <w:r w:rsidR="001356AB">
        <w:rPr>
          <w:rFonts w:eastAsia="Calibri"/>
          <w:color w:val="000000" w:themeColor="text1"/>
        </w:rPr>
        <w:t xml:space="preserve">by DFAT </w:t>
      </w:r>
      <w:r w:rsidRPr="48362220">
        <w:rPr>
          <w:rFonts w:eastAsia="Calibri"/>
          <w:color w:val="000000" w:themeColor="text1"/>
        </w:rPr>
        <w:t xml:space="preserve">through existing regional and global agreements. </w:t>
      </w:r>
    </w:p>
    <w:p w14:paraId="6120A38E" w14:textId="0C8F2119" w:rsidR="005A7943" w:rsidRPr="00D74FC2" w:rsidRDefault="005A7943" w:rsidP="009E6B74">
      <w:pPr>
        <w:pStyle w:val="NormalWeb"/>
        <w:spacing w:before="0" w:beforeAutospacing="0" w:after="120" w:afterAutospacing="0"/>
        <w:rPr>
          <w:rFonts w:asciiTheme="minorHAnsi" w:hAnsiTheme="minorHAnsi" w:cstheme="minorBidi"/>
          <w:color w:val="000000"/>
          <w:sz w:val="22"/>
          <w:szCs w:val="22"/>
        </w:rPr>
      </w:pPr>
      <w:r w:rsidRPr="48362220">
        <w:rPr>
          <w:rFonts w:asciiTheme="minorHAnsi" w:hAnsiTheme="minorHAnsi" w:cstheme="minorBidi"/>
          <w:color w:val="000000" w:themeColor="text1"/>
          <w:sz w:val="22"/>
          <w:szCs w:val="22"/>
          <w:u w:val="single"/>
        </w:rPr>
        <w:t>Key recommendations</w:t>
      </w:r>
      <w:r w:rsidRPr="48362220">
        <w:rPr>
          <w:rFonts w:asciiTheme="minorHAnsi" w:hAnsiTheme="minorHAnsi" w:cstheme="minorBidi"/>
          <w:color w:val="000000" w:themeColor="text1"/>
          <w:sz w:val="22"/>
          <w:szCs w:val="22"/>
        </w:rPr>
        <w:t xml:space="preserve"> for a new Australian investment in the Indonesian health sector from </w:t>
      </w:r>
      <w:r w:rsidR="00B01B97">
        <w:rPr>
          <w:rFonts w:asciiTheme="minorHAnsi" w:hAnsiTheme="minorHAnsi" w:cstheme="minorBidi"/>
          <w:color w:val="000000" w:themeColor="text1"/>
          <w:sz w:val="22"/>
          <w:szCs w:val="22"/>
        </w:rPr>
        <w:t xml:space="preserve">the end of </w:t>
      </w:r>
      <w:r w:rsidR="00F70AF3">
        <w:rPr>
          <w:rFonts w:asciiTheme="minorHAnsi" w:hAnsiTheme="minorHAnsi" w:cstheme="minorBidi"/>
          <w:color w:val="000000" w:themeColor="text1"/>
          <w:sz w:val="22"/>
          <w:szCs w:val="22"/>
        </w:rPr>
        <w:t>the program</w:t>
      </w:r>
      <w:r w:rsidR="00B01B97">
        <w:rPr>
          <w:rFonts w:asciiTheme="minorHAnsi" w:hAnsiTheme="minorHAnsi" w:cstheme="minorBidi"/>
          <w:color w:val="000000" w:themeColor="text1"/>
          <w:sz w:val="22"/>
          <w:szCs w:val="22"/>
        </w:rPr>
        <w:t xml:space="preserve"> period</w:t>
      </w:r>
      <w:r w:rsidRPr="48362220">
        <w:rPr>
          <w:rFonts w:asciiTheme="minorHAnsi" w:hAnsiTheme="minorHAnsi" w:cstheme="minorBidi"/>
          <w:color w:val="000000" w:themeColor="text1"/>
          <w:sz w:val="22"/>
          <w:szCs w:val="22"/>
        </w:rPr>
        <w:t xml:space="preserve"> and how </w:t>
      </w:r>
      <w:r w:rsidR="004F743C">
        <w:rPr>
          <w:rFonts w:asciiTheme="minorHAnsi" w:hAnsiTheme="minorHAnsi" w:cstheme="minorBidi"/>
          <w:color w:val="000000" w:themeColor="text1"/>
          <w:sz w:val="22"/>
          <w:szCs w:val="22"/>
        </w:rPr>
        <w:t xml:space="preserve">this </w:t>
      </w:r>
      <w:r w:rsidRPr="48362220">
        <w:rPr>
          <w:rFonts w:asciiTheme="minorHAnsi" w:hAnsiTheme="minorHAnsi" w:cstheme="minorBidi"/>
          <w:color w:val="000000" w:themeColor="text1"/>
          <w:sz w:val="22"/>
          <w:szCs w:val="22"/>
        </w:rPr>
        <w:t xml:space="preserve">investment could be managed are outlined below. </w:t>
      </w:r>
      <w:r>
        <w:rPr>
          <w:rFonts w:asciiTheme="minorHAnsi" w:hAnsiTheme="minorHAnsi" w:cstheme="minorBidi"/>
          <w:color w:val="000000" w:themeColor="text1"/>
          <w:sz w:val="22"/>
          <w:szCs w:val="22"/>
        </w:rPr>
        <w:t>Additional</w:t>
      </w:r>
      <w:r w:rsidRPr="48362220">
        <w:rPr>
          <w:rFonts w:asciiTheme="minorHAnsi" w:hAnsiTheme="minorHAnsi" w:cstheme="minorBidi"/>
          <w:color w:val="000000" w:themeColor="text1"/>
          <w:sz w:val="22"/>
          <w:szCs w:val="22"/>
        </w:rPr>
        <w:t xml:space="preserve"> recommendations are included in section 8.3.</w:t>
      </w:r>
    </w:p>
    <w:p w14:paraId="3C2F7067" w14:textId="2C674AB8" w:rsidR="005A7943" w:rsidRPr="00D74FC2" w:rsidRDefault="005A7943" w:rsidP="009E6B74">
      <w:pPr>
        <w:pStyle w:val="ListParagraph"/>
        <w:numPr>
          <w:ilvl w:val="0"/>
          <w:numId w:val="7"/>
        </w:numPr>
        <w:spacing w:after="0" w:line="240" w:lineRule="auto"/>
        <w:ind w:left="284" w:hanging="284"/>
        <w:rPr>
          <w:rFonts w:eastAsia="Times New Roman"/>
          <w:lang w:eastAsia="en-AU"/>
        </w:rPr>
      </w:pPr>
      <w:r w:rsidRPr="48362220">
        <w:rPr>
          <w:rFonts w:eastAsia="Times New Roman"/>
          <w:b/>
          <w:bCs/>
          <w:color w:val="000000" w:themeColor="text1"/>
          <w:lang w:eastAsia="en-AU"/>
        </w:rPr>
        <w:t>DFAT health strategy</w:t>
      </w:r>
      <w:r w:rsidRPr="48362220">
        <w:rPr>
          <w:rFonts w:eastAsia="Times New Roman"/>
          <w:color w:val="000000" w:themeColor="text1"/>
          <w:lang w:eastAsia="en-AU"/>
        </w:rPr>
        <w:t xml:space="preserve"> - </w:t>
      </w:r>
      <w:r w:rsidRPr="48362220">
        <w:rPr>
          <w:color w:val="000000" w:themeColor="text1"/>
        </w:rPr>
        <w:t xml:space="preserve">DFAT </w:t>
      </w:r>
      <w:r w:rsidR="004F743C">
        <w:rPr>
          <w:color w:val="000000" w:themeColor="text1"/>
        </w:rPr>
        <w:t>Jakarta</w:t>
      </w:r>
      <w:r w:rsidRPr="48362220">
        <w:rPr>
          <w:color w:val="000000" w:themeColor="text1"/>
        </w:rPr>
        <w:t xml:space="preserve"> to develop a strategy for Australia’s bilateral funding of the health sector in Indonesia, involving both human and animal health, in consultation with </w:t>
      </w:r>
      <w:proofErr w:type="spellStart"/>
      <w:r w:rsidRPr="48362220">
        <w:rPr>
          <w:color w:val="000000" w:themeColor="text1"/>
        </w:rPr>
        <w:t>GoI</w:t>
      </w:r>
      <w:proofErr w:type="spellEnd"/>
      <w:r w:rsidRPr="48362220">
        <w:rPr>
          <w:color w:val="000000" w:themeColor="text1"/>
        </w:rPr>
        <w:t xml:space="preserve">. </w:t>
      </w:r>
    </w:p>
    <w:p w14:paraId="02F7F5E4" w14:textId="057068A5" w:rsidR="005A7943" w:rsidRPr="00D74FC2" w:rsidRDefault="005A7943" w:rsidP="009E6B74">
      <w:pPr>
        <w:pStyle w:val="ListParagraph"/>
        <w:numPr>
          <w:ilvl w:val="0"/>
          <w:numId w:val="7"/>
        </w:numPr>
        <w:spacing w:after="0" w:line="240" w:lineRule="auto"/>
        <w:ind w:left="284" w:hanging="284"/>
      </w:pPr>
      <w:r w:rsidRPr="48362220">
        <w:rPr>
          <w:b/>
          <w:bCs/>
          <w:color w:val="000000" w:themeColor="text1"/>
        </w:rPr>
        <w:t>DFAT emergency response mechanism</w:t>
      </w:r>
      <w:r w:rsidRPr="48362220">
        <w:rPr>
          <w:color w:val="000000" w:themeColor="text1"/>
        </w:rPr>
        <w:t xml:space="preserve"> – DFAT to establish a flexible emergency response mechanism for rapid funding of </w:t>
      </w:r>
      <w:r>
        <w:rPr>
          <w:color w:val="000000" w:themeColor="text1"/>
        </w:rPr>
        <w:t xml:space="preserve">human and animal </w:t>
      </w:r>
      <w:r w:rsidRPr="48362220">
        <w:rPr>
          <w:color w:val="000000" w:themeColor="text1"/>
        </w:rPr>
        <w:t xml:space="preserve">infectious disease outbreaks. This </w:t>
      </w:r>
      <w:r w:rsidR="000F2C09" w:rsidRPr="008475D3">
        <w:rPr>
          <w:color w:val="000000" w:themeColor="text1"/>
        </w:rPr>
        <w:t>c</w:t>
      </w:r>
      <w:r w:rsidRPr="000F2C09">
        <w:rPr>
          <w:color w:val="000000" w:themeColor="text1"/>
        </w:rPr>
        <w:t>ould</w:t>
      </w:r>
      <w:r w:rsidRPr="48362220">
        <w:rPr>
          <w:color w:val="000000" w:themeColor="text1"/>
        </w:rPr>
        <w:t xml:space="preserve"> be separate to the modality for funding health systems strengthening under a new investment.</w:t>
      </w:r>
    </w:p>
    <w:p w14:paraId="7DA0D077" w14:textId="336BF0B5" w:rsidR="005A7943" w:rsidRPr="00D74FC2" w:rsidRDefault="005A7943" w:rsidP="009E6B74">
      <w:pPr>
        <w:pStyle w:val="ListParagraph"/>
        <w:numPr>
          <w:ilvl w:val="0"/>
          <w:numId w:val="7"/>
        </w:numPr>
        <w:spacing w:after="0" w:line="240" w:lineRule="auto"/>
        <w:ind w:left="284" w:hanging="284"/>
      </w:pPr>
      <w:proofErr w:type="spellStart"/>
      <w:r w:rsidRPr="48362220">
        <w:rPr>
          <w:rFonts w:eastAsia="Times New Roman"/>
          <w:b/>
          <w:bCs/>
          <w:color w:val="000000" w:themeColor="text1"/>
          <w:lang w:eastAsia="en-AU"/>
        </w:rPr>
        <w:t>GoI</w:t>
      </w:r>
      <w:proofErr w:type="spellEnd"/>
      <w:r w:rsidRPr="48362220">
        <w:rPr>
          <w:rFonts w:eastAsia="Times New Roman"/>
          <w:b/>
          <w:bCs/>
          <w:color w:val="000000" w:themeColor="text1"/>
          <w:lang w:eastAsia="en-AU"/>
        </w:rPr>
        <w:t xml:space="preserve"> engagement - </w:t>
      </w:r>
      <w:r w:rsidRPr="48362220">
        <w:rPr>
          <w:rFonts w:eastAsia="Calibri"/>
        </w:rPr>
        <w:t xml:space="preserve">Australia to </w:t>
      </w:r>
      <w:r w:rsidRPr="00D2402C">
        <w:t xml:space="preserve">progress partnerships </w:t>
      </w:r>
      <w:r w:rsidRPr="48362220">
        <w:rPr>
          <w:rFonts w:eastAsia="Calibri"/>
        </w:rPr>
        <w:t xml:space="preserve">with MoH and </w:t>
      </w:r>
      <w:proofErr w:type="spellStart"/>
      <w:r w:rsidRPr="48362220">
        <w:rPr>
          <w:rFonts w:eastAsia="Calibri"/>
        </w:rPr>
        <w:t>MoA</w:t>
      </w:r>
      <w:proofErr w:type="spellEnd"/>
      <w:r w:rsidRPr="48362220">
        <w:rPr>
          <w:rFonts w:eastAsia="Calibri"/>
        </w:rPr>
        <w:t xml:space="preserve">. </w:t>
      </w:r>
      <w:r w:rsidRPr="48362220">
        <w:rPr>
          <w:rFonts w:eastAsia="Times New Roman"/>
          <w:color w:val="000000" w:themeColor="text1"/>
          <w:lang w:eastAsia="en-AU"/>
        </w:rPr>
        <w:t xml:space="preserve">Australia to also consider arrangements with </w:t>
      </w:r>
      <w:proofErr w:type="spellStart"/>
      <w:r w:rsidRPr="48362220">
        <w:rPr>
          <w:rFonts w:eastAsia="Times New Roman"/>
          <w:color w:val="000000" w:themeColor="text1"/>
          <w:lang w:eastAsia="en-AU"/>
        </w:rPr>
        <w:t>MoEF</w:t>
      </w:r>
      <w:proofErr w:type="spellEnd"/>
      <w:r w:rsidRPr="48362220">
        <w:rPr>
          <w:rFonts w:eastAsia="Times New Roman"/>
          <w:color w:val="000000" w:themeColor="text1"/>
          <w:lang w:eastAsia="en-AU"/>
        </w:rPr>
        <w:t xml:space="preserve">, </w:t>
      </w:r>
      <w:proofErr w:type="spellStart"/>
      <w:r w:rsidRPr="48362220">
        <w:rPr>
          <w:rFonts w:eastAsia="Times New Roman"/>
          <w:color w:val="000000" w:themeColor="text1"/>
          <w:lang w:eastAsia="en-AU"/>
        </w:rPr>
        <w:t>MoHA</w:t>
      </w:r>
      <w:proofErr w:type="spellEnd"/>
      <w:r w:rsidRPr="48362220">
        <w:rPr>
          <w:rFonts w:eastAsia="Times New Roman"/>
          <w:color w:val="000000" w:themeColor="text1"/>
          <w:lang w:eastAsia="en-AU"/>
        </w:rPr>
        <w:t xml:space="preserve">, </w:t>
      </w:r>
      <w:proofErr w:type="spellStart"/>
      <w:r w:rsidRPr="48362220">
        <w:rPr>
          <w:rFonts w:eastAsia="Times New Roman"/>
          <w:color w:val="000000" w:themeColor="text1"/>
          <w:lang w:eastAsia="en-AU"/>
        </w:rPr>
        <w:t>Kemenko</w:t>
      </w:r>
      <w:proofErr w:type="spellEnd"/>
      <w:r w:rsidRPr="48362220">
        <w:rPr>
          <w:rFonts w:eastAsia="Times New Roman"/>
          <w:color w:val="000000" w:themeColor="text1"/>
          <w:lang w:eastAsia="en-AU"/>
        </w:rPr>
        <w:t xml:space="preserve"> PMK and BAPPENAS, as ministries responsible for areas </w:t>
      </w:r>
      <w:r w:rsidR="004F743C">
        <w:rPr>
          <w:rFonts w:eastAsia="Times New Roman"/>
          <w:color w:val="000000" w:themeColor="text1"/>
          <w:lang w:eastAsia="en-AU"/>
        </w:rPr>
        <w:t>relevant to</w:t>
      </w:r>
      <w:r w:rsidRPr="48362220">
        <w:rPr>
          <w:rFonts w:eastAsia="Times New Roman"/>
          <w:color w:val="000000" w:themeColor="text1"/>
          <w:lang w:eastAsia="en-AU"/>
        </w:rPr>
        <w:t xml:space="preserve"> </w:t>
      </w:r>
      <w:r w:rsidR="004F743C">
        <w:rPr>
          <w:rFonts w:eastAsia="Times New Roman"/>
          <w:color w:val="000000" w:themeColor="text1"/>
          <w:lang w:eastAsia="en-AU"/>
        </w:rPr>
        <w:t>Australia’s</w:t>
      </w:r>
      <w:r w:rsidRPr="48362220">
        <w:rPr>
          <w:rFonts w:eastAsia="Times New Roman"/>
          <w:color w:val="000000" w:themeColor="text1"/>
          <w:lang w:eastAsia="en-AU"/>
        </w:rPr>
        <w:t xml:space="preserve"> new health investment.</w:t>
      </w:r>
    </w:p>
    <w:p w14:paraId="1D6A5E9E" w14:textId="2BD7CADD" w:rsidR="005A7943" w:rsidRPr="00DC62ED" w:rsidRDefault="005A7943" w:rsidP="009E6B74">
      <w:pPr>
        <w:pStyle w:val="NormalWeb"/>
        <w:numPr>
          <w:ilvl w:val="0"/>
          <w:numId w:val="7"/>
        </w:numPr>
        <w:spacing w:before="0" w:beforeAutospacing="0" w:after="0" w:afterAutospacing="0"/>
        <w:ind w:left="284" w:hanging="284"/>
      </w:pPr>
      <w:r w:rsidRPr="48362220">
        <w:rPr>
          <w:rFonts w:asciiTheme="minorHAnsi" w:hAnsiTheme="minorHAnsi" w:cstheme="minorBidi"/>
          <w:b/>
          <w:bCs/>
          <w:color w:val="000000" w:themeColor="text1"/>
          <w:sz w:val="22"/>
          <w:szCs w:val="22"/>
        </w:rPr>
        <w:t xml:space="preserve">One Health - </w:t>
      </w:r>
      <w:r>
        <w:rPr>
          <w:rFonts w:asciiTheme="minorHAnsi" w:hAnsiTheme="minorHAnsi" w:cstheme="minorBidi"/>
          <w:color w:val="000000" w:themeColor="text1"/>
          <w:sz w:val="22"/>
          <w:szCs w:val="22"/>
        </w:rPr>
        <w:t>DFAT</w:t>
      </w:r>
      <w:r w:rsidRPr="48362220">
        <w:rPr>
          <w:rFonts w:asciiTheme="minorHAnsi" w:hAnsiTheme="minorHAnsi" w:cstheme="minorBidi"/>
          <w:color w:val="000000" w:themeColor="text1"/>
          <w:sz w:val="22"/>
          <w:szCs w:val="22"/>
        </w:rPr>
        <w:t xml:space="preserve"> to support practical application of a One Health approach to respond to human or animal health disease outbreaks, encourage </w:t>
      </w:r>
      <w:r w:rsidR="0016676B">
        <w:rPr>
          <w:rFonts w:asciiTheme="minorHAnsi" w:hAnsiTheme="minorHAnsi" w:cstheme="minorBidi"/>
          <w:color w:val="000000" w:themeColor="text1"/>
          <w:sz w:val="22"/>
          <w:szCs w:val="22"/>
        </w:rPr>
        <w:t xml:space="preserve">application of </w:t>
      </w:r>
      <w:r w:rsidRPr="48362220">
        <w:rPr>
          <w:rFonts w:asciiTheme="minorHAnsi" w:hAnsiTheme="minorHAnsi" w:cstheme="minorBidi"/>
          <w:color w:val="000000" w:themeColor="text1"/>
          <w:sz w:val="22"/>
          <w:szCs w:val="22"/>
        </w:rPr>
        <w:t>a One Health lens around future policymaking on preparedness and prevention and continue to support Indonesia’s leadership on One Health in Southeast Asia.</w:t>
      </w:r>
    </w:p>
    <w:p w14:paraId="14BCA7D8" w14:textId="77777777" w:rsidR="005A7943" w:rsidRPr="006A340A" w:rsidRDefault="005A7943" w:rsidP="005A7943">
      <w:pPr>
        <w:pStyle w:val="NormalWeb"/>
        <w:spacing w:before="0" w:beforeAutospacing="0" w:after="0" w:afterAutospacing="0"/>
        <w:rPr>
          <w:sz w:val="20"/>
          <w:szCs w:val="20"/>
        </w:rPr>
      </w:pPr>
    </w:p>
    <w:p w14:paraId="09FF005F" w14:textId="132782A7" w:rsidR="008C0CD0" w:rsidRDefault="005A7943" w:rsidP="009E6B74">
      <w:pPr>
        <w:spacing w:line="240" w:lineRule="auto"/>
        <w:rPr>
          <w:rFonts w:ascii="Times New Roman" w:eastAsia="Times New Roman" w:hAnsi="Times New Roman" w:cs="Times New Roman"/>
          <w:sz w:val="24"/>
          <w:szCs w:val="24"/>
          <w:lang w:eastAsia="en-AU"/>
        </w:rPr>
      </w:pPr>
      <w:r>
        <w:rPr>
          <w:rFonts w:cstheme="minorHAnsi"/>
        </w:rPr>
        <w:t>In addition to One Health, t</w:t>
      </w:r>
      <w:r w:rsidRPr="00DC62ED">
        <w:rPr>
          <w:rFonts w:cstheme="minorHAnsi"/>
        </w:rPr>
        <w:t xml:space="preserve">he </w:t>
      </w:r>
      <w:r>
        <w:rPr>
          <w:rFonts w:cstheme="minorHAnsi"/>
        </w:rPr>
        <w:t xml:space="preserve">MTR recommends that Australia focuses its new health investment on human and animal health surveillance and information management systems, animal health laboratory strengthening and embedding an inclusive service delivery approach across the health system. Further detail on these and </w:t>
      </w:r>
      <w:r w:rsidR="00033F0A">
        <w:rPr>
          <w:rFonts w:cstheme="minorHAnsi"/>
        </w:rPr>
        <w:t>other</w:t>
      </w:r>
      <w:r>
        <w:rPr>
          <w:rFonts w:cstheme="minorHAnsi"/>
        </w:rPr>
        <w:t xml:space="preserve"> recommendations </w:t>
      </w:r>
      <w:r w:rsidR="0016676B">
        <w:rPr>
          <w:rFonts w:cstheme="minorHAnsi"/>
        </w:rPr>
        <w:t>is</w:t>
      </w:r>
      <w:r>
        <w:rPr>
          <w:rFonts w:cstheme="minorHAnsi"/>
        </w:rPr>
        <w:t xml:space="preserve"> in section 8.3.</w:t>
      </w:r>
      <w:r w:rsidRPr="00DC62ED">
        <w:rPr>
          <w:rFonts w:cstheme="minorHAnsi"/>
        </w:rPr>
        <w:br/>
      </w:r>
      <w:r w:rsidR="008C0CD0">
        <w:br w:type="page"/>
      </w:r>
    </w:p>
    <w:p w14:paraId="233AE251" w14:textId="54BDB144" w:rsidR="00332024" w:rsidRPr="001A3A75" w:rsidRDefault="00C56BA1" w:rsidP="00425817">
      <w:pPr>
        <w:pStyle w:val="Heading1"/>
        <w:numPr>
          <w:ilvl w:val="0"/>
          <w:numId w:val="11"/>
        </w:numPr>
      </w:pPr>
      <w:bookmarkStart w:id="32" w:name="_Toc135837390"/>
      <w:r w:rsidRPr="001A3A75">
        <w:lastRenderedPageBreak/>
        <w:t>Introduction</w:t>
      </w:r>
      <w:bookmarkEnd w:id="32"/>
      <w:r w:rsidR="00DC36C6" w:rsidRPr="001A3A75">
        <w:t xml:space="preserve"> </w:t>
      </w:r>
    </w:p>
    <w:p w14:paraId="10D989A5" w14:textId="7EA90BB0" w:rsidR="002C62CE" w:rsidRPr="000B7414" w:rsidRDefault="00A052C8" w:rsidP="008C0CD0">
      <w:pPr>
        <w:spacing w:after="120" w:line="240" w:lineRule="auto"/>
        <w:rPr>
          <w:rFonts w:ascii="Calibri" w:eastAsia="Calibri" w:hAnsi="Calibri" w:cs="Calibri"/>
          <w:color w:val="000000" w:themeColor="text1"/>
        </w:rPr>
      </w:pPr>
      <w:r w:rsidRPr="48362220">
        <w:rPr>
          <w:lang w:val="en-US"/>
        </w:rPr>
        <w:t xml:space="preserve">The Australia Indonesia Health Security Partnership (AIHSP) </w:t>
      </w:r>
      <w:r w:rsidR="002C62CE" w:rsidRPr="48362220">
        <w:rPr>
          <w:lang w:val="en-US"/>
        </w:rPr>
        <w:t xml:space="preserve">was launched as </w:t>
      </w:r>
      <w:r w:rsidRPr="48362220">
        <w:rPr>
          <w:lang w:val="en-US"/>
        </w:rPr>
        <w:t xml:space="preserve">a five-year (2020-2025) </w:t>
      </w:r>
      <w:r w:rsidR="0089340A" w:rsidRPr="48362220">
        <w:rPr>
          <w:lang w:val="en-US"/>
        </w:rPr>
        <w:t>AUD</w:t>
      </w:r>
      <w:r w:rsidR="002C62CE" w:rsidRPr="48362220">
        <w:rPr>
          <w:lang w:val="en-US"/>
        </w:rPr>
        <w:t>14</w:t>
      </w:r>
      <w:r w:rsidR="00BA2E34" w:rsidRPr="48362220">
        <w:rPr>
          <w:lang w:val="en-US"/>
        </w:rPr>
        <w:t xml:space="preserve"> </w:t>
      </w:r>
      <w:r w:rsidR="002C62CE" w:rsidRPr="48362220">
        <w:rPr>
          <w:lang w:val="en-US"/>
        </w:rPr>
        <w:t xml:space="preserve">million </w:t>
      </w:r>
      <w:r w:rsidRPr="48362220">
        <w:rPr>
          <w:lang w:val="en-US"/>
        </w:rPr>
        <w:t xml:space="preserve">bilateral program </w:t>
      </w:r>
      <w:r w:rsidR="002C62CE" w:rsidRPr="48362220">
        <w:rPr>
          <w:lang w:val="en-US"/>
        </w:rPr>
        <w:t xml:space="preserve">funded </w:t>
      </w:r>
      <w:r w:rsidRPr="48362220">
        <w:rPr>
          <w:lang w:val="en-US"/>
        </w:rPr>
        <w:t xml:space="preserve">by the Department of Foreign Affairs and Trade (DFAT) to continue the Australian Government’s support for </w:t>
      </w:r>
      <w:r w:rsidR="002C62CE" w:rsidRPr="48362220">
        <w:rPr>
          <w:lang w:val="en-US"/>
        </w:rPr>
        <w:t xml:space="preserve">the </w:t>
      </w:r>
      <w:r w:rsidR="001D4208" w:rsidRPr="48362220">
        <w:rPr>
          <w:lang w:val="en-US"/>
        </w:rPr>
        <w:t xml:space="preserve">health sector </w:t>
      </w:r>
      <w:r w:rsidRPr="48362220">
        <w:rPr>
          <w:lang w:val="en-US"/>
        </w:rPr>
        <w:t>in Indonesia.</w:t>
      </w:r>
      <w:r w:rsidR="002C62CE" w:rsidRPr="48362220">
        <w:rPr>
          <w:lang w:val="en-US"/>
        </w:rPr>
        <w:t xml:space="preserve"> AIHSP is the successor to previous health support under the </w:t>
      </w:r>
      <w:r w:rsidR="0043758B">
        <w:t>Australia Indonesia Partnership for Emerging Infectious Diseases (AIP</w:t>
      </w:r>
      <w:r w:rsidR="001B2B99">
        <w:t>-</w:t>
      </w:r>
      <w:r w:rsidR="0043758B">
        <w:t>EID, 2010-2018).</w:t>
      </w:r>
      <w:r w:rsidRPr="48362220">
        <w:rPr>
          <w:lang w:val="en-US"/>
        </w:rPr>
        <w:t xml:space="preserve"> </w:t>
      </w:r>
      <w:r w:rsidR="002C62CE" w:rsidRPr="48362220">
        <w:rPr>
          <w:rFonts w:ascii="Calibri" w:eastAsia="Calibri" w:hAnsi="Calibri" w:cs="Calibri"/>
          <w:color w:val="000000" w:themeColor="text1"/>
        </w:rPr>
        <w:t xml:space="preserve">AIHSP has </w:t>
      </w:r>
      <w:r w:rsidR="0089340A" w:rsidRPr="48362220">
        <w:rPr>
          <w:rFonts w:ascii="Calibri" w:eastAsia="Calibri" w:hAnsi="Calibri" w:cs="Calibri"/>
          <w:color w:val="000000" w:themeColor="text1"/>
        </w:rPr>
        <w:t xml:space="preserve">since expanded in scope, with a current budget of </w:t>
      </w:r>
      <w:r w:rsidR="002C62CE" w:rsidRPr="48362220">
        <w:rPr>
          <w:rFonts w:ascii="Calibri" w:eastAsia="Calibri" w:hAnsi="Calibri" w:cs="Calibri"/>
          <w:color w:val="000000" w:themeColor="text1"/>
        </w:rPr>
        <w:t xml:space="preserve">AUD48 million </w:t>
      </w:r>
      <w:proofErr w:type="gramStart"/>
      <w:r w:rsidR="0089340A" w:rsidRPr="48362220">
        <w:rPr>
          <w:rFonts w:ascii="Calibri" w:eastAsia="Calibri" w:hAnsi="Calibri" w:cs="Calibri"/>
          <w:color w:val="000000" w:themeColor="text1"/>
        </w:rPr>
        <w:t>as a result of</w:t>
      </w:r>
      <w:proofErr w:type="gramEnd"/>
      <w:r w:rsidR="002C62CE" w:rsidRPr="48362220">
        <w:rPr>
          <w:rFonts w:ascii="Calibri" w:eastAsia="Calibri" w:hAnsi="Calibri" w:cs="Calibri"/>
          <w:color w:val="000000" w:themeColor="text1"/>
        </w:rPr>
        <w:t xml:space="preserve"> additional </w:t>
      </w:r>
      <w:r w:rsidR="0089340A" w:rsidRPr="48362220">
        <w:rPr>
          <w:rFonts w:ascii="Calibri" w:eastAsia="Calibri" w:hAnsi="Calibri" w:cs="Calibri"/>
          <w:color w:val="000000" w:themeColor="text1"/>
        </w:rPr>
        <w:t>funding</w:t>
      </w:r>
      <w:r w:rsidR="002C62CE" w:rsidRPr="48362220">
        <w:rPr>
          <w:rFonts w:ascii="Calibri" w:eastAsia="Calibri" w:hAnsi="Calibri" w:cs="Calibri"/>
          <w:color w:val="000000" w:themeColor="text1"/>
        </w:rPr>
        <w:t xml:space="preserve"> </w:t>
      </w:r>
      <w:r w:rsidR="00902D5F" w:rsidRPr="48362220">
        <w:rPr>
          <w:rFonts w:ascii="Calibri" w:eastAsia="Calibri" w:hAnsi="Calibri" w:cs="Calibri"/>
          <w:color w:val="000000" w:themeColor="text1"/>
        </w:rPr>
        <w:t>to support the</w:t>
      </w:r>
      <w:r w:rsidR="002C62CE" w:rsidRPr="48362220">
        <w:rPr>
          <w:rFonts w:ascii="Calibri" w:eastAsia="Calibri" w:hAnsi="Calibri" w:cs="Calibri"/>
          <w:color w:val="000000" w:themeColor="text1"/>
        </w:rPr>
        <w:t xml:space="preserve"> COVID-19 </w:t>
      </w:r>
      <w:r w:rsidR="00902D5F" w:rsidRPr="48362220">
        <w:rPr>
          <w:rFonts w:ascii="Calibri" w:eastAsia="Calibri" w:hAnsi="Calibri" w:cs="Calibri"/>
          <w:color w:val="000000" w:themeColor="text1"/>
        </w:rPr>
        <w:t>response in Indonesia</w:t>
      </w:r>
      <w:r w:rsidR="00C900A8" w:rsidRPr="48362220">
        <w:rPr>
          <w:rFonts w:ascii="Calibri" w:eastAsia="Calibri" w:hAnsi="Calibri" w:cs="Calibri"/>
          <w:color w:val="000000" w:themeColor="text1"/>
        </w:rPr>
        <w:t>, AUD810,000 to respond to an outbreak of Lumpy Skin Disease (LSD)</w:t>
      </w:r>
      <w:r w:rsidR="2FB118CC" w:rsidRPr="48362220">
        <w:rPr>
          <w:rFonts w:ascii="Calibri" w:eastAsia="Calibri" w:hAnsi="Calibri" w:cs="Calibri"/>
          <w:color w:val="000000" w:themeColor="text1"/>
        </w:rPr>
        <w:t xml:space="preserve"> </w:t>
      </w:r>
      <w:r w:rsidR="002C62CE" w:rsidRPr="48362220">
        <w:rPr>
          <w:rFonts w:ascii="Calibri" w:eastAsia="Calibri" w:hAnsi="Calibri" w:cs="Calibri"/>
          <w:color w:val="000000" w:themeColor="text1"/>
        </w:rPr>
        <w:t xml:space="preserve">and </w:t>
      </w:r>
      <w:r w:rsidR="0089340A" w:rsidRPr="48362220">
        <w:rPr>
          <w:rFonts w:ascii="Calibri" w:eastAsia="Calibri" w:hAnsi="Calibri" w:cs="Calibri"/>
          <w:color w:val="000000" w:themeColor="text1"/>
        </w:rPr>
        <w:t>a</w:t>
      </w:r>
      <w:r w:rsidR="00C900A8" w:rsidRPr="48362220">
        <w:rPr>
          <w:rFonts w:ascii="Calibri" w:eastAsia="Calibri" w:hAnsi="Calibri" w:cs="Calibri"/>
          <w:color w:val="000000" w:themeColor="text1"/>
        </w:rPr>
        <w:t>n AUD10 million</w:t>
      </w:r>
      <w:r w:rsidR="0089340A" w:rsidRPr="48362220">
        <w:rPr>
          <w:rFonts w:ascii="Calibri" w:eastAsia="Calibri" w:hAnsi="Calibri" w:cs="Calibri"/>
          <w:color w:val="000000" w:themeColor="text1"/>
        </w:rPr>
        <w:t xml:space="preserve"> biosecurity</w:t>
      </w:r>
      <w:r w:rsidR="00D2402C">
        <w:rPr>
          <w:rFonts w:ascii="Calibri" w:eastAsia="Calibri" w:hAnsi="Calibri" w:cs="Calibri"/>
          <w:color w:val="000000" w:themeColor="text1"/>
        </w:rPr>
        <w:t xml:space="preserve"> </w:t>
      </w:r>
      <w:r w:rsidR="0089340A" w:rsidRPr="48362220">
        <w:rPr>
          <w:rFonts w:ascii="Calibri" w:eastAsia="Calibri" w:hAnsi="Calibri" w:cs="Calibri"/>
          <w:color w:val="000000" w:themeColor="text1"/>
        </w:rPr>
        <w:t xml:space="preserve">package </w:t>
      </w:r>
      <w:r w:rsidR="3EB7796D" w:rsidRPr="48362220">
        <w:rPr>
          <w:rFonts w:ascii="Calibri" w:eastAsia="Calibri" w:hAnsi="Calibri" w:cs="Calibri"/>
          <w:color w:val="000000" w:themeColor="text1"/>
        </w:rPr>
        <w:t xml:space="preserve">to support Indonesia’s FMD and LSD response </w:t>
      </w:r>
      <w:r w:rsidR="00C900A8" w:rsidRPr="48362220">
        <w:rPr>
          <w:rFonts w:ascii="Calibri" w:eastAsia="Calibri" w:hAnsi="Calibri" w:cs="Calibri"/>
          <w:color w:val="000000" w:themeColor="text1"/>
        </w:rPr>
        <w:t xml:space="preserve">from </w:t>
      </w:r>
      <w:r w:rsidR="00FB2240">
        <w:rPr>
          <w:rFonts w:ascii="Calibri" w:eastAsia="Calibri" w:hAnsi="Calibri" w:cs="Calibri"/>
          <w:color w:val="000000" w:themeColor="text1"/>
        </w:rPr>
        <w:t xml:space="preserve">DFAT with </w:t>
      </w:r>
      <w:r w:rsidR="00C900A8" w:rsidRPr="48362220">
        <w:rPr>
          <w:rFonts w:ascii="Calibri" w:eastAsia="Calibri" w:hAnsi="Calibri" w:cs="Calibri"/>
          <w:color w:val="000000" w:themeColor="text1"/>
        </w:rPr>
        <w:t>the Department of Agriculture, Fisheries and Forestry (DAFF)</w:t>
      </w:r>
      <w:r w:rsidR="00FB2240">
        <w:rPr>
          <w:rFonts w:ascii="Calibri" w:eastAsia="Calibri" w:hAnsi="Calibri" w:cs="Calibri"/>
          <w:color w:val="000000" w:themeColor="text1"/>
        </w:rPr>
        <w:t>.</w:t>
      </w:r>
      <w:r w:rsidR="00727BA2" w:rsidRPr="48362220">
        <w:rPr>
          <w:rFonts w:ascii="Calibri" w:eastAsia="Calibri" w:hAnsi="Calibri" w:cs="Calibri"/>
          <w:color w:val="000000" w:themeColor="text1"/>
        </w:rPr>
        <w:t xml:space="preserve"> </w:t>
      </w:r>
      <w:r w:rsidR="00902D5F" w:rsidRPr="48362220">
        <w:rPr>
          <w:rFonts w:ascii="Calibri" w:eastAsia="Calibri" w:hAnsi="Calibri" w:cs="Calibri"/>
          <w:color w:val="000000" w:themeColor="text1"/>
        </w:rPr>
        <w:t xml:space="preserve">COVID-19 response funding has included </w:t>
      </w:r>
      <w:r w:rsidR="00173D93" w:rsidRPr="48362220">
        <w:rPr>
          <w:color w:val="000000" w:themeColor="text1"/>
        </w:rPr>
        <w:t xml:space="preserve">the </w:t>
      </w:r>
      <w:r w:rsidR="00902D5F" w:rsidRPr="48362220">
        <w:rPr>
          <w:color w:val="000000" w:themeColor="text1"/>
        </w:rPr>
        <w:t>L</w:t>
      </w:r>
      <w:r w:rsidR="00173D93" w:rsidRPr="48362220">
        <w:rPr>
          <w:color w:val="000000" w:themeColor="text1"/>
        </w:rPr>
        <w:t xml:space="preserve">ast </w:t>
      </w:r>
      <w:r w:rsidR="00902D5F" w:rsidRPr="48362220">
        <w:rPr>
          <w:color w:val="000000" w:themeColor="text1"/>
        </w:rPr>
        <w:t>M</w:t>
      </w:r>
      <w:r w:rsidR="00173D93" w:rsidRPr="48362220">
        <w:rPr>
          <w:color w:val="000000" w:themeColor="text1"/>
        </w:rPr>
        <w:t xml:space="preserve">ile </w:t>
      </w:r>
      <w:r w:rsidR="00902D5F" w:rsidRPr="48362220">
        <w:rPr>
          <w:color w:val="000000" w:themeColor="text1"/>
        </w:rPr>
        <w:t>D</w:t>
      </w:r>
      <w:r w:rsidR="00173D93" w:rsidRPr="48362220">
        <w:rPr>
          <w:color w:val="000000" w:themeColor="text1"/>
        </w:rPr>
        <w:t xml:space="preserve">elivery of COVID-19 </w:t>
      </w:r>
      <w:r w:rsidR="00902D5F" w:rsidRPr="48362220">
        <w:rPr>
          <w:color w:val="000000" w:themeColor="text1"/>
        </w:rPr>
        <w:t>V</w:t>
      </w:r>
      <w:r w:rsidR="00173D93" w:rsidRPr="48362220">
        <w:rPr>
          <w:color w:val="000000" w:themeColor="text1"/>
        </w:rPr>
        <w:t xml:space="preserve">accinations </w:t>
      </w:r>
      <w:r w:rsidR="00902D5F" w:rsidRPr="48362220">
        <w:rPr>
          <w:color w:val="000000" w:themeColor="text1"/>
        </w:rPr>
        <w:t>P</w:t>
      </w:r>
      <w:r w:rsidR="00173D93" w:rsidRPr="48362220">
        <w:rPr>
          <w:color w:val="000000" w:themeColor="text1"/>
        </w:rPr>
        <w:t>rogram (A</w:t>
      </w:r>
      <w:r w:rsidR="00902D5F" w:rsidRPr="48362220">
        <w:rPr>
          <w:color w:val="000000" w:themeColor="text1"/>
        </w:rPr>
        <w:t>UD</w:t>
      </w:r>
      <w:r w:rsidR="00173D93" w:rsidRPr="48362220">
        <w:rPr>
          <w:color w:val="000000" w:themeColor="text1"/>
        </w:rPr>
        <w:t>2.6m</w:t>
      </w:r>
      <w:r w:rsidR="00902D5F" w:rsidRPr="48362220">
        <w:rPr>
          <w:color w:val="000000" w:themeColor="text1"/>
        </w:rPr>
        <w:t>illion</w:t>
      </w:r>
      <w:r w:rsidR="00173D93" w:rsidRPr="48362220">
        <w:rPr>
          <w:color w:val="000000" w:themeColor="text1"/>
        </w:rPr>
        <w:t>)</w:t>
      </w:r>
      <w:r w:rsidR="00902D5F" w:rsidRPr="48362220">
        <w:rPr>
          <w:color w:val="000000" w:themeColor="text1"/>
        </w:rPr>
        <w:t xml:space="preserve"> and</w:t>
      </w:r>
      <w:r w:rsidR="00173D93" w:rsidRPr="48362220">
        <w:rPr>
          <w:color w:val="000000" w:themeColor="text1"/>
        </w:rPr>
        <w:t xml:space="preserve"> </w:t>
      </w:r>
      <w:r w:rsidR="00902D5F" w:rsidRPr="48362220">
        <w:rPr>
          <w:color w:val="000000" w:themeColor="text1"/>
        </w:rPr>
        <w:t xml:space="preserve">DFAT’s </w:t>
      </w:r>
      <w:r w:rsidR="00173D93" w:rsidRPr="48362220">
        <w:rPr>
          <w:color w:val="000000" w:themeColor="text1"/>
        </w:rPr>
        <w:t>V</w:t>
      </w:r>
      <w:r w:rsidR="00902D5F" w:rsidRPr="48362220">
        <w:rPr>
          <w:color w:val="000000" w:themeColor="text1"/>
        </w:rPr>
        <w:t xml:space="preserve">accine Access and Health Security Initiative (VAHSI) funding </w:t>
      </w:r>
      <w:r w:rsidR="00173D93" w:rsidRPr="48362220">
        <w:rPr>
          <w:color w:val="000000" w:themeColor="text1"/>
        </w:rPr>
        <w:t>(A</w:t>
      </w:r>
      <w:r w:rsidR="00902D5F" w:rsidRPr="48362220">
        <w:rPr>
          <w:color w:val="000000" w:themeColor="text1"/>
        </w:rPr>
        <w:t>UD</w:t>
      </w:r>
      <w:r w:rsidR="00173D93" w:rsidRPr="48362220">
        <w:rPr>
          <w:color w:val="000000" w:themeColor="text1"/>
        </w:rPr>
        <w:t>3.3m</w:t>
      </w:r>
      <w:r w:rsidR="00902D5F" w:rsidRPr="48362220">
        <w:rPr>
          <w:color w:val="000000" w:themeColor="text1"/>
        </w:rPr>
        <w:t>illion</w:t>
      </w:r>
      <w:r w:rsidR="00173D93" w:rsidRPr="48362220">
        <w:rPr>
          <w:color w:val="000000" w:themeColor="text1"/>
        </w:rPr>
        <w:t>)</w:t>
      </w:r>
      <w:r w:rsidR="00902D5F" w:rsidRPr="48362220">
        <w:rPr>
          <w:color w:val="000000" w:themeColor="text1"/>
        </w:rPr>
        <w:t xml:space="preserve">. </w:t>
      </w:r>
    </w:p>
    <w:p w14:paraId="0C4EA7B1" w14:textId="47108AD6" w:rsidR="002C62CE" w:rsidRPr="000B7414" w:rsidRDefault="00A22F5F" w:rsidP="008C0CD0">
      <w:pPr>
        <w:spacing w:after="120" w:line="240" w:lineRule="auto"/>
        <w:rPr>
          <w:rFonts w:ascii="Calibri" w:eastAsia="Calibri" w:hAnsi="Calibri" w:cs="Calibri"/>
          <w:color w:val="000000" w:themeColor="text1"/>
        </w:rPr>
      </w:pPr>
      <w:r w:rsidRPr="48362220">
        <w:rPr>
          <w:color w:val="000000" w:themeColor="text1"/>
        </w:rPr>
        <w:t xml:space="preserve">AIHSP’s work has focused on five priority provinces: Bali, Central Java, South Sulawesi, </w:t>
      </w:r>
      <w:proofErr w:type="gramStart"/>
      <w:r w:rsidRPr="48362220">
        <w:rPr>
          <w:color w:val="000000" w:themeColor="text1"/>
        </w:rPr>
        <w:t>Yogyakarta</w:t>
      </w:r>
      <w:proofErr w:type="gramEnd"/>
      <w:r w:rsidR="002137E2" w:rsidRPr="48362220">
        <w:rPr>
          <w:color w:val="000000" w:themeColor="text1"/>
        </w:rPr>
        <w:t xml:space="preserve"> and </w:t>
      </w:r>
      <w:r w:rsidR="20C021A3" w:rsidRPr="48362220">
        <w:rPr>
          <w:color w:val="000000" w:themeColor="text1"/>
        </w:rPr>
        <w:t xml:space="preserve">East </w:t>
      </w:r>
      <w:r w:rsidR="002137E2">
        <w:t xml:space="preserve">Nusa Tenggara </w:t>
      </w:r>
      <w:r w:rsidR="002137E2" w:rsidRPr="48362220">
        <w:rPr>
          <w:color w:val="000000" w:themeColor="text1"/>
        </w:rPr>
        <w:t>(NTT - added in June 22)</w:t>
      </w:r>
      <w:r w:rsidR="007878B9">
        <w:rPr>
          <w:color w:val="000000" w:themeColor="text1"/>
        </w:rPr>
        <w:t>. I</w:t>
      </w:r>
      <w:r w:rsidR="00E7530B" w:rsidRPr="48362220">
        <w:rPr>
          <w:color w:val="000000" w:themeColor="text1"/>
        </w:rPr>
        <w:t xml:space="preserve">t has worked </w:t>
      </w:r>
      <w:r w:rsidR="00E7530B" w:rsidRPr="48362220">
        <w:rPr>
          <w:rFonts w:ascii="Calibri" w:eastAsia="Calibri" w:hAnsi="Calibri" w:cs="Calibri"/>
          <w:color w:val="000000" w:themeColor="text1"/>
        </w:rPr>
        <w:t>primarily in partnership with the Ministry of Health (MoH) and the Ministry of Agriculture (</w:t>
      </w:r>
      <w:proofErr w:type="spellStart"/>
      <w:r w:rsidR="00E7530B" w:rsidRPr="48362220">
        <w:rPr>
          <w:rFonts w:ascii="Calibri" w:eastAsia="Calibri" w:hAnsi="Calibri" w:cs="Calibri"/>
          <w:color w:val="000000" w:themeColor="text1"/>
        </w:rPr>
        <w:t>MoA</w:t>
      </w:r>
      <w:proofErr w:type="spellEnd"/>
      <w:r w:rsidR="00E7530B" w:rsidRPr="48362220">
        <w:rPr>
          <w:rFonts w:ascii="Calibri" w:eastAsia="Calibri" w:hAnsi="Calibri" w:cs="Calibri"/>
          <w:color w:val="000000" w:themeColor="text1"/>
        </w:rPr>
        <w:t xml:space="preserve">). </w:t>
      </w:r>
      <w:r w:rsidR="007878B9">
        <w:rPr>
          <w:rFonts w:ascii="Calibri" w:eastAsia="Calibri" w:hAnsi="Calibri" w:cs="Calibri"/>
          <w:color w:val="000000" w:themeColor="text1"/>
        </w:rPr>
        <w:t>T</w:t>
      </w:r>
      <w:r w:rsidR="003F425B">
        <w:rPr>
          <w:rFonts w:ascii="Calibri" w:eastAsia="Calibri" w:hAnsi="Calibri" w:cs="Calibri"/>
          <w:color w:val="000000" w:themeColor="text1"/>
        </w:rPr>
        <w:t xml:space="preserve">he program is now being implemented in 20 districts across five provinces. </w:t>
      </w:r>
      <w:r w:rsidR="00173D93" w:rsidRPr="48362220">
        <w:rPr>
          <w:rFonts w:ascii="Calibri" w:eastAsia="Calibri" w:hAnsi="Calibri" w:cs="Calibri"/>
          <w:color w:val="000000" w:themeColor="text1"/>
        </w:rPr>
        <w:t xml:space="preserve">Australia also funded </w:t>
      </w:r>
      <w:r w:rsidR="00727BA2" w:rsidRPr="48362220">
        <w:rPr>
          <w:rFonts w:ascii="Calibri" w:eastAsia="Calibri" w:hAnsi="Calibri" w:cs="Calibri"/>
          <w:color w:val="000000" w:themeColor="text1"/>
        </w:rPr>
        <w:t>WHO (AUD1</w:t>
      </w:r>
      <w:r w:rsidR="00077865" w:rsidRPr="48362220">
        <w:rPr>
          <w:rFonts w:ascii="Calibri" w:eastAsia="Calibri" w:hAnsi="Calibri" w:cs="Calibri"/>
          <w:color w:val="000000" w:themeColor="text1"/>
        </w:rPr>
        <w:t>0.7</w:t>
      </w:r>
      <w:r w:rsidR="00727BA2" w:rsidRPr="48362220">
        <w:rPr>
          <w:rFonts w:ascii="Calibri" w:eastAsia="Calibri" w:hAnsi="Calibri" w:cs="Calibri"/>
          <w:color w:val="000000" w:themeColor="text1"/>
        </w:rPr>
        <w:t xml:space="preserve"> million) and UNICEF (AUD</w:t>
      </w:r>
      <w:r w:rsidR="00077865" w:rsidRPr="48362220">
        <w:rPr>
          <w:rFonts w:ascii="Calibri" w:eastAsia="Calibri" w:hAnsi="Calibri" w:cs="Calibri"/>
          <w:color w:val="000000" w:themeColor="text1"/>
        </w:rPr>
        <w:t>15.4</w:t>
      </w:r>
      <w:r w:rsidR="00727BA2" w:rsidRPr="48362220">
        <w:rPr>
          <w:rFonts w:ascii="Calibri" w:eastAsia="Calibri" w:hAnsi="Calibri" w:cs="Calibri"/>
          <w:color w:val="000000" w:themeColor="text1"/>
        </w:rPr>
        <w:t xml:space="preserve"> million) for COVID-19 </w:t>
      </w:r>
      <w:r w:rsidR="007878B9">
        <w:rPr>
          <w:rFonts w:ascii="Calibri" w:eastAsia="Calibri" w:hAnsi="Calibri" w:cs="Calibri"/>
          <w:color w:val="000000" w:themeColor="text1"/>
        </w:rPr>
        <w:t>activities</w:t>
      </w:r>
      <w:r w:rsidR="00727BA2" w:rsidRPr="48362220">
        <w:rPr>
          <w:rFonts w:ascii="Calibri" w:eastAsia="Calibri" w:hAnsi="Calibri" w:cs="Calibri"/>
          <w:color w:val="000000" w:themeColor="text1"/>
        </w:rPr>
        <w:t xml:space="preserve"> </w:t>
      </w:r>
      <w:r w:rsidR="001E78F8" w:rsidRPr="48362220">
        <w:rPr>
          <w:rFonts w:ascii="Calibri" w:eastAsia="Calibri" w:hAnsi="Calibri" w:cs="Calibri"/>
          <w:color w:val="000000" w:themeColor="text1"/>
        </w:rPr>
        <w:t>from</w:t>
      </w:r>
      <w:r w:rsidR="00727BA2" w:rsidRPr="48362220">
        <w:rPr>
          <w:rFonts w:ascii="Calibri" w:eastAsia="Calibri" w:hAnsi="Calibri" w:cs="Calibri"/>
          <w:color w:val="000000" w:themeColor="text1"/>
        </w:rPr>
        <w:t xml:space="preserve"> June 2020</w:t>
      </w:r>
      <w:r w:rsidR="001E78F8" w:rsidRPr="48362220">
        <w:rPr>
          <w:rFonts w:ascii="Calibri" w:eastAsia="Calibri" w:hAnsi="Calibri" w:cs="Calibri"/>
          <w:color w:val="000000" w:themeColor="text1"/>
        </w:rPr>
        <w:t xml:space="preserve"> to June 23/24</w:t>
      </w:r>
      <w:r w:rsidR="00727BA2" w:rsidRPr="48362220">
        <w:rPr>
          <w:rFonts w:ascii="Calibri" w:eastAsia="Calibri" w:hAnsi="Calibri" w:cs="Calibri"/>
          <w:color w:val="000000" w:themeColor="text1"/>
        </w:rPr>
        <w:t xml:space="preserve">. </w:t>
      </w:r>
      <w:r w:rsidR="00E7530B" w:rsidRPr="48362220">
        <w:rPr>
          <w:rFonts w:ascii="Calibri" w:eastAsia="Calibri" w:hAnsi="Calibri" w:cs="Calibri"/>
          <w:color w:val="000000" w:themeColor="text1"/>
        </w:rPr>
        <w:t xml:space="preserve">WHO and UNICEF’s activities and outcomes described in this report were funded by Australia </w:t>
      </w:r>
      <w:r w:rsidR="00040989">
        <w:rPr>
          <w:rFonts w:ascii="Calibri" w:eastAsia="Calibri" w:hAnsi="Calibri" w:cs="Calibri"/>
          <w:color w:val="000000" w:themeColor="text1"/>
        </w:rPr>
        <w:t>as well as</w:t>
      </w:r>
      <w:r w:rsidR="00E7530B" w:rsidRPr="48362220">
        <w:rPr>
          <w:rFonts w:ascii="Calibri" w:eastAsia="Calibri" w:hAnsi="Calibri" w:cs="Calibri"/>
          <w:color w:val="000000" w:themeColor="text1"/>
        </w:rPr>
        <w:t xml:space="preserve"> other donors.</w:t>
      </w:r>
    </w:p>
    <w:p w14:paraId="24067115" w14:textId="7248BD0C" w:rsidR="00A052C8" w:rsidRPr="000B7414" w:rsidRDefault="00A052C8" w:rsidP="008C0CD0">
      <w:pPr>
        <w:spacing w:after="120" w:line="240" w:lineRule="auto"/>
        <w:rPr>
          <w:lang w:val="en-US"/>
        </w:rPr>
      </w:pPr>
      <w:r w:rsidRPr="000B7414">
        <w:rPr>
          <w:lang w:val="en-US"/>
        </w:rPr>
        <w:t xml:space="preserve">DFAT commissioned this Mid-Term Review (MTR) to assess whether AIHSP </w:t>
      </w:r>
      <w:r w:rsidR="00727BA2" w:rsidRPr="000B7414">
        <w:rPr>
          <w:lang w:val="en-US"/>
        </w:rPr>
        <w:t xml:space="preserve">(activities managed by DT Global </w:t>
      </w:r>
      <w:r w:rsidR="00240B95">
        <w:rPr>
          <w:lang w:val="en-US"/>
        </w:rPr>
        <w:t>from</w:t>
      </w:r>
      <w:r w:rsidR="00727BA2" w:rsidRPr="000B7414">
        <w:rPr>
          <w:lang w:val="en-US"/>
        </w:rPr>
        <w:t xml:space="preserve"> February 2020 to March 2023) </w:t>
      </w:r>
      <w:r w:rsidRPr="000B7414">
        <w:rPr>
          <w:lang w:val="en-US"/>
        </w:rPr>
        <w:t xml:space="preserve">is on track to achieve its </w:t>
      </w:r>
      <w:r w:rsidR="001E782C" w:rsidRPr="000B7414">
        <w:rPr>
          <w:lang w:val="en-US"/>
        </w:rPr>
        <w:t>e</w:t>
      </w:r>
      <w:r w:rsidRPr="000B7414">
        <w:rPr>
          <w:lang w:val="en-US"/>
        </w:rPr>
        <w:t xml:space="preserve">nd of </w:t>
      </w:r>
      <w:r w:rsidR="001E782C" w:rsidRPr="000B7414">
        <w:rPr>
          <w:lang w:val="en-US"/>
        </w:rPr>
        <w:t>p</w:t>
      </w:r>
      <w:r w:rsidRPr="000B7414">
        <w:rPr>
          <w:lang w:val="en-US"/>
        </w:rPr>
        <w:t xml:space="preserve">rogram </w:t>
      </w:r>
      <w:r w:rsidR="001E782C" w:rsidRPr="000B7414">
        <w:rPr>
          <w:lang w:val="en-US"/>
        </w:rPr>
        <w:t>o</w:t>
      </w:r>
      <w:r w:rsidRPr="000B7414">
        <w:rPr>
          <w:lang w:val="en-US"/>
        </w:rPr>
        <w:t xml:space="preserve">utcomes </w:t>
      </w:r>
      <w:r w:rsidR="001E782C" w:rsidRPr="000B7414">
        <w:rPr>
          <w:lang w:val="en-US"/>
        </w:rPr>
        <w:t xml:space="preserve">(EOPOs) </w:t>
      </w:r>
      <w:r w:rsidRPr="000B7414">
        <w:rPr>
          <w:lang w:val="en-US"/>
        </w:rPr>
        <w:t xml:space="preserve">and how, along with </w:t>
      </w:r>
      <w:r w:rsidR="001E782C" w:rsidRPr="000B7414">
        <w:rPr>
          <w:lang w:val="en-US"/>
        </w:rPr>
        <w:t>Australian funding to</w:t>
      </w:r>
      <w:r w:rsidRPr="000B7414">
        <w:rPr>
          <w:lang w:val="en-US"/>
        </w:rPr>
        <w:t xml:space="preserve"> WHO and UNICEF, </w:t>
      </w:r>
      <w:r w:rsidR="001E782C" w:rsidRPr="000B7414">
        <w:rPr>
          <w:lang w:val="en-US"/>
        </w:rPr>
        <w:t xml:space="preserve">this funding has </w:t>
      </w:r>
      <w:r w:rsidRPr="000B7414">
        <w:rPr>
          <w:lang w:val="en-US"/>
        </w:rPr>
        <w:t>contribut</w:t>
      </w:r>
      <w:r w:rsidR="001E782C" w:rsidRPr="000B7414">
        <w:rPr>
          <w:lang w:val="en-US"/>
        </w:rPr>
        <w:t>ed</w:t>
      </w:r>
      <w:r w:rsidRPr="000B7414">
        <w:rPr>
          <w:lang w:val="en-US"/>
        </w:rPr>
        <w:t xml:space="preserve"> to the Indonesian COVID-19 response, health system</w:t>
      </w:r>
      <w:r w:rsidR="001E782C" w:rsidRPr="000B7414">
        <w:rPr>
          <w:lang w:val="en-US"/>
        </w:rPr>
        <w:t>s</w:t>
      </w:r>
      <w:r w:rsidRPr="000B7414">
        <w:rPr>
          <w:lang w:val="en-US"/>
        </w:rPr>
        <w:t xml:space="preserve"> strengthening and health outcomes for at-risk groups. </w:t>
      </w:r>
      <w:r w:rsidR="001E782C" w:rsidRPr="000B7414">
        <w:rPr>
          <w:lang w:val="en-US"/>
        </w:rPr>
        <w:t xml:space="preserve">The MTR also examined options for a future Australian investment in the health sector in Indonesia. </w:t>
      </w:r>
      <w:r w:rsidRPr="000B7414">
        <w:rPr>
          <w:lang w:val="en-US"/>
        </w:rPr>
        <w:t xml:space="preserve">The MTR </w:t>
      </w:r>
      <w:r w:rsidR="00092215" w:rsidRPr="000B7414">
        <w:rPr>
          <w:lang w:val="en-US"/>
        </w:rPr>
        <w:t xml:space="preserve">provides </w:t>
      </w:r>
      <w:r w:rsidRPr="000B7414">
        <w:rPr>
          <w:lang w:val="en-US"/>
        </w:rPr>
        <w:t xml:space="preserve">recommendations </w:t>
      </w:r>
      <w:r w:rsidR="00092215" w:rsidRPr="000B7414">
        <w:rPr>
          <w:lang w:val="en-US"/>
        </w:rPr>
        <w:t xml:space="preserve">for </w:t>
      </w:r>
      <w:r w:rsidRPr="000B7414">
        <w:rPr>
          <w:lang w:val="en-US"/>
        </w:rPr>
        <w:t>the remaining period of implementation</w:t>
      </w:r>
      <w:r w:rsidR="00240B95">
        <w:rPr>
          <w:lang w:val="en-US"/>
        </w:rPr>
        <w:t xml:space="preserve"> with an extension</w:t>
      </w:r>
      <w:r w:rsidRPr="000B7414">
        <w:rPr>
          <w:lang w:val="en-US"/>
        </w:rPr>
        <w:t xml:space="preserve"> </w:t>
      </w:r>
      <w:r w:rsidR="001E782C" w:rsidRPr="000B7414">
        <w:rPr>
          <w:lang w:val="en-US"/>
        </w:rPr>
        <w:t xml:space="preserve">(to </w:t>
      </w:r>
      <w:r w:rsidR="00092215" w:rsidRPr="000B7414">
        <w:rPr>
          <w:lang w:val="en-US"/>
        </w:rPr>
        <w:t>January 20</w:t>
      </w:r>
      <w:r w:rsidR="001E782C" w:rsidRPr="000B7414">
        <w:rPr>
          <w:lang w:val="en-US"/>
        </w:rPr>
        <w:t>2</w:t>
      </w:r>
      <w:r w:rsidR="00240B95">
        <w:rPr>
          <w:lang w:val="en-US"/>
        </w:rPr>
        <w:t>6</w:t>
      </w:r>
      <w:r w:rsidR="001E782C" w:rsidRPr="000B7414">
        <w:rPr>
          <w:lang w:val="en-US"/>
        </w:rPr>
        <w:t xml:space="preserve">) </w:t>
      </w:r>
      <w:r w:rsidRPr="000B7414">
        <w:rPr>
          <w:lang w:val="en-US"/>
        </w:rPr>
        <w:t xml:space="preserve">and </w:t>
      </w:r>
      <w:r w:rsidR="001E782C" w:rsidRPr="000B7414">
        <w:rPr>
          <w:lang w:val="en-US"/>
        </w:rPr>
        <w:t>for</w:t>
      </w:r>
      <w:r w:rsidR="00092215" w:rsidRPr="000B7414">
        <w:rPr>
          <w:lang w:val="en-US"/>
        </w:rPr>
        <w:t xml:space="preserve"> </w:t>
      </w:r>
      <w:r w:rsidRPr="000B7414">
        <w:rPr>
          <w:lang w:val="en-US"/>
        </w:rPr>
        <w:t xml:space="preserve">future </w:t>
      </w:r>
      <w:r w:rsidR="00092215" w:rsidRPr="000B7414">
        <w:rPr>
          <w:lang w:val="en-US"/>
        </w:rPr>
        <w:t>Australian investment in the</w:t>
      </w:r>
      <w:r w:rsidR="00240B95">
        <w:rPr>
          <w:lang w:val="en-US"/>
        </w:rPr>
        <w:t xml:space="preserve"> Indonesian</w:t>
      </w:r>
      <w:r w:rsidR="001E782C" w:rsidRPr="000B7414">
        <w:rPr>
          <w:lang w:val="en-US"/>
        </w:rPr>
        <w:t xml:space="preserve"> </w:t>
      </w:r>
      <w:r w:rsidR="001D4208" w:rsidRPr="000B7414">
        <w:rPr>
          <w:lang w:val="en-US"/>
        </w:rPr>
        <w:t xml:space="preserve">health </w:t>
      </w:r>
      <w:r w:rsidR="001E782C" w:rsidRPr="000B7414">
        <w:rPr>
          <w:lang w:val="en-US"/>
        </w:rPr>
        <w:t xml:space="preserve">sector from </w:t>
      </w:r>
      <w:r w:rsidR="00240B95">
        <w:rPr>
          <w:lang w:val="en-US"/>
        </w:rPr>
        <w:t xml:space="preserve">February </w:t>
      </w:r>
      <w:r w:rsidR="001E782C" w:rsidRPr="000B7414">
        <w:rPr>
          <w:lang w:val="en-US"/>
        </w:rPr>
        <w:t>202</w:t>
      </w:r>
      <w:r w:rsidR="00240B95">
        <w:rPr>
          <w:lang w:val="en-US"/>
        </w:rPr>
        <w:t>6</w:t>
      </w:r>
      <w:r w:rsidRPr="000B7414">
        <w:rPr>
          <w:lang w:val="en-US"/>
        </w:rPr>
        <w:t xml:space="preserve">. </w:t>
      </w:r>
      <w:r w:rsidRPr="000B7414">
        <w:t xml:space="preserve">The </w:t>
      </w:r>
      <w:r w:rsidR="00240B95">
        <w:t xml:space="preserve">independent </w:t>
      </w:r>
      <w:r w:rsidRPr="000B7414">
        <w:rPr>
          <w:lang w:val="en-US"/>
        </w:rPr>
        <w:t>MTR</w:t>
      </w:r>
      <w:r w:rsidR="00240B95">
        <w:rPr>
          <w:lang w:val="en-US"/>
        </w:rPr>
        <w:t xml:space="preserve"> Team consisted </w:t>
      </w:r>
      <w:r w:rsidRPr="000B7414">
        <w:rPr>
          <w:lang w:val="en-US"/>
        </w:rPr>
        <w:t xml:space="preserve">of </w:t>
      </w:r>
      <w:r w:rsidR="00C900A8" w:rsidRPr="000B7414">
        <w:rPr>
          <w:lang w:val="en-US"/>
        </w:rPr>
        <w:t>two</w:t>
      </w:r>
      <w:r w:rsidRPr="000B7414">
        <w:rPr>
          <w:lang w:val="en-US"/>
        </w:rPr>
        <w:t xml:space="preserve"> </w:t>
      </w:r>
      <w:r w:rsidR="00A5726C" w:rsidRPr="000B7414">
        <w:rPr>
          <w:lang w:val="en-US"/>
        </w:rPr>
        <w:t xml:space="preserve">Australian and </w:t>
      </w:r>
      <w:r w:rsidR="00C900A8" w:rsidRPr="000B7414">
        <w:rPr>
          <w:lang w:val="en-US"/>
        </w:rPr>
        <w:t xml:space="preserve">two </w:t>
      </w:r>
      <w:r w:rsidR="00A5726C" w:rsidRPr="000B7414">
        <w:rPr>
          <w:lang w:val="en-US"/>
        </w:rPr>
        <w:t xml:space="preserve">Indonesian </w:t>
      </w:r>
      <w:r w:rsidRPr="000B7414">
        <w:rPr>
          <w:lang w:val="en-US"/>
        </w:rPr>
        <w:t>consultants</w:t>
      </w:r>
      <w:r w:rsidR="00A5726C" w:rsidRPr="000B7414">
        <w:rPr>
          <w:lang w:val="en-US"/>
        </w:rPr>
        <w:t xml:space="preserve"> with expertise in health security</w:t>
      </w:r>
      <w:r w:rsidR="00240B95">
        <w:rPr>
          <w:lang w:val="en-US"/>
        </w:rPr>
        <w:t>,</w:t>
      </w:r>
      <w:r w:rsidR="00767AC9" w:rsidRPr="000B7414">
        <w:rPr>
          <w:lang w:val="en-US"/>
        </w:rPr>
        <w:t xml:space="preserve"> health systems strengthening</w:t>
      </w:r>
      <w:r w:rsidR="00A5726C" w:rsidRPr="000B7414">
        <w:rPr>
          <w:lang w:val="en-US"/>
        </w:rPr>
        <w:t xml:space="preserve">, the Indonesian </w:t>
      </w:r>
      <w:r w:rsidR="00767AC9" w:rsidRPr="000B7414">
        <w:rPr>
          <w:lang w:val="en-US"/>
        </w:rPr>
        <w:t xml:space="preserve">human and animal </w:t>
      </w:r>
      <w:r w:rsidR="00A5726C" w:rsidRPr="000B7414">
        <w:rPr>
          <w:lang w:val="en-US"/>
        </w:rPr>
        <w:t>health sector</w:t>
      </w:r>
      <w:r w:rsidR="00767AC9" w:rsidRPr="000B7414">
        <w:rPr>
          <w:lang w:val="en-US"/>
        </w:rPr>
        <w:t>s</w:t>
      </w:r>
      <w:r w:rsidR="00A5726C" w:rsidRPr="000B7414">
        <w:rPr>
          <w:lang w:val="en-US"/>
        </w:rPr>
        <w:t xml:space="preserve">, </w:t>
      </w:r>
      <w:r w:rsidR="00767AC9" w:rsidRPr="000B7414">
        <w:rPr>
          <w:lang w:val="en-US"/>
        </w:rPr>
        <w:t xml:space="preserve">veterinary </w:t>
      </w:r>
      <w:proofErr w:type="gramStart"/>
      <w:r w:rsidR="00767AC9" w:rsidRPr="000B7414">
        <w:rPr>
          <w:lang w:val="en-US"/>
        </w:rPr>
        <w:t>epidemiology</w:t>
      </w:r>
      <w:proofErr w:type="gramEnd"/>
      <w:r w:rsidR="00767AC9" w:rsidRPr="000B7414">
        <w:rPr>
          <w:lang w:val="en-US"/>
        </w:rPr>
        <w:t xml:space="preserve"> and evaluation</w:t>
      </w:r>
      <w:r w:rsidR="002C62CE" w:rsidRPr="000B7414">
        <w:rPr>
          <w:lang w:val="en-US"/>
        </w:rPr>
        <w:t xml:space="preserve">. </w:t>
      </w:r>
    </w:p>
    <w:p w14:paraId="65CE4278" w14:textId="5F9088B0" w:rsidR="00332024" w:rsidRDefault="0032415B" w:rsidP="0032415B">
      <w:pPr>
        <w:pStyle w:val="Heading2"/>
      </w:pPr>
      <w:bookmarkStart w:id="33" w:name="_Toc135837391"/>
      <w:r>
        <w:t>1.1</w:t>
      </w:r>
      <w:r>
        <w:tab/>
      </w:r>
      <w:r w:rsidR="001A52A7">
        <w:t xml:space="preserve">Key Evaluation Questions and </w:t>
      </w:r>
      <w:r w:rsidR="00C56BA1" w:rsidRPr="001A3A75">
        <w:t>Methodology</w:t>
      </w:r>
      <w:bookmarkEnd w:id="33"/>
    </w:p>
    <w:p w14:paraId="705826CF" w14:textId="47CF0F5A" w:rsidR="001A52A7" w:rsidRDefault="0032415B" w:rsidP="001A52A7">
      <w:pPr>
        <w:pStyle w:val="Heading3"/>
      </w:pPr>
      <w:bookmarkStart w:id="34" w:name="_Toc132584532"/>
      <w:bookmarkStart w:id="35" w:name="_Toc135837392"/>
      <w:r>
        <w:t>1.1.1</w:t>
      </w:r>
      <w:r>
        <w:tab/>
      </w:r>
      <w:r w:rsidR="001A52A7" w:rsidRPr="0032415B">
        <w:t xml:space="preserve">Key </w:t>
      </w:r>
      <w:r w:rsidR="00261B56">
        <w:t>e</w:t>
      </w:r>
      <w:r w:rsidR="001A52A7" w:rsidRPr="0032415B">
        <w:t xml:space="preserve">valuation </w:t>
      </w:r>
      <w:r w:rsidR="00261B56">
        <w:t>q</w:t>
      </w:r>
      <w:r w:rsidR="001A52A7" w:rsidRPr="0032415B">
        <w:t>uestions</w:t>
      </w:r>
      <w:bookmarkEnd w:id="34"/>
      <w:bookmarkEnd w:id="35"/>
    </w:p>
    <w:p w14:paraId="529F101C" w14:textId="05608C87" w:rsidR="001A52A7" w:rsidRDefault="001A52A7" w:rsidP="00C157B0">
      <w:pPr>
        <w:spacing w:line="240" w:lineRule="auto"/>
      </w:pPr>
      <w:r>
        <w:t xml:space="preserve">Five key evaluation questions (KEQs) and related sub-questions were identified </w:t>
      </w:r>
      <w:r w:rsidR="00092215">
        <w:t>for the MTR</w:t>
      </w:r>
      <w:r>
        <w:t xml:space="preserve">. The KEQs are listed in </w:t>
      </w:r>
      <w:r w:rsidRPr="00BF15B8">
        <w:t xml:space="preserve">Table </w:t>
      </w:r>
      <w:r w:rsidR="000A0AB5">
        <w:t>2</w:t>
      </w:r>
      <w:r w:rsidRPr="00BF15B8">
        <w:t>.</w:t>
      </w:r>
    </w:p>
    <w:p w14:paraId="356315FE" w14:textId="3DAA67FB" w:rsidR="001A52A7" w:rsidRPr="001A52A7" w:rsidRDefault="001A52A7" w:rsidP="00E737BC">
      <w:pPr>
        <w:pStyle w:val="Heading4"/>
      </w:pPr>
      <w:r w:rsidRPr="001A52A7">
        <w:t xml:space="preserve">Table </w:t>
      </w:r>
      <w:r w:rsidR="000A0AB5">
        <w:t>2</w:t>
      </w:r>
      <w:r w:rsidRPr="001A52A7">
        <w:t>: MTR key evaluation questions and sub-questions</w:t>
      </w:r>
    </w:p>
    <w:tbl>
      <w:tblPr>
        <w:tblStyle w:val="TableGrid"/>
        <w:tblW w:w="9634"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7"/>
        <w:gridCol w:w="5667"/>
      </w:tblGrid>
      <w:tr w:rsidR="001A52A7" w:rsidRPr="00D66A91" w14:paraId="7DD2F324" w14:textId="77777777" w:rsidTr="00D66A91">
        <w:trPr>
          <w:tblHeader/>
        </w:trPr>
        <w:tc>
          <w:tcPr>
            <w:tcW w:w="3967" w:type="dxa"/>
            <w:shd w:val="clear" w:color="auto" w:fill="002060"/>
            <w:hideMark/>
          </w:tcPr>
          <w:p w14:paraId="354F88B7" w14:textId="77777777" w:rsidR="001A52A7" w:rsidRPr="00D66A91" w:rsidRDefault="001A52A7">
            <w:pPr>
              <w:jc w:val="center"/>
              <w:rPr>
                <w:rFonts w:cstheme="minorHAnsi"/>
                <w:b/>
                <w:bCs/>
                <w:sz w:val="20"/>
                <w:szCs w:val="20"/>
              </w:rPr>
            </w:pPr>
            <w:bookmarkStart w:id="36" w:name="_Hlk125385823"/>
            <w:bookmarkStart w:id="37" w:name="_Hlk124861180"/>
            <w:r w:rsidRPr="00D66A91">
              <w:rPr>
                <w:rFonts w:cstheme="minorHAnsi"/>
                <w:b/>
                <w:bCs/>
                <w:sz w:val="20"/>
                <w:szCs w:val="20"/>
              </w:rPr>
              <w:t>Key evaluation questions</w:t>
            </w:r>
          </w:p>
        </w:tc>
        <w:tc>
          <w:tcPr>
            <w:tcW w:w="5667" w:type="dxa"/>
            <w:shd w:val="clear" w:color="auto" w:fill="002060"/>
            <w:hideMark/>
          </w:tcPr>
          <w:p w14:paraId="473CAD58" w14:textId="77777777" w:rsidR="001A52A7" w:rsidRPr="00D66A91" w:rsidRDefault="001A52A7">
            <w:pPr>
              <w:jc w:val="center"/>
              <w:rPr>
                <w:b/>
                <w:bCs/>
                <w:sz w:val="20"/>
                <w:szCs w:val="20"/>
              </w:rPr>
            </w:pPr>
            <w:r w:rsidRPr="00D66A91">
              <w:rPr>
                <w:b/>
                <w:bCs/>
                <w:sz w:val="20"/>
                <w:szCs w:val="20"/>
              </w:rPr>
              <w:t>Evaluation sub-questions</w:t>
            </w:r>
          </w:p>
        </w:tc>
      </w:tr>
      <w:tr w:rsidR="001A52A7" w:rsidRPr="00D66A91" w14:paraId="0118294A" w14:textId="77777777" w:rsidTr="00D66A91">
        <w:tc>
          <w:tcPr>
            <w:tcW w:w="3967" w:type="dxa"/>
            <w:hideMark/>
          </w:tcPr>
          <w:p w14:paraId="20C694AE" w14:textId="77777777" w:rsidR="001A52A7" w:rsidRPr="00D66A91" w:rsidRDefault="001A52A7">
            <w:pPr>
              <w:rPr>
                <w:rFonts w:cstheme="minorHAnsi"/>
                <w:b/>
                <w:bCs/>
                <w:color w:val="000000" w:themeColor="text1"/>
                <w:sz w:val="20"/>
                <w:szCs w:val="20"/>
              </w:rPr>
            </w:pPr>
            <w:r w:rsidRPr="00D66A91">
              <w:rPr>
                <w:rFonts w:cstheme="minorHAnsi"/>
                <w:b/>
                <w:bCs/>
                <w:color w:val="000000" w:themeColor="text1"/>
                <w:sz w:val="20"/>
                <w:szCs w:val="20"/>
              </w:rPr>
              <w:t xml:space="preserve">Effectiveness </w:t>
            </w:r>
          </w:p>
          <w:p w14:paraId="7D42A090" w14:textId="43B84E00" w:rsidR="001A52A7" w:rsidRPr="00D66A91" w:rsidRDefault="001A52A7">
            <w:pPr>
              <w:rPr>
                <w:rFonts w:cstheme="minorHAnsi"/>
                <w:b/>
                <w:bCs/>
                <w:sz w:val="20"/>
                <w:szCs w:val="20"/>
              </w:rPr>
            </w:pPr>
            <w:r w:rsidRPr="00D66A91">
              <w:rPr>
                <w:rFonts w:cstheme="minorHAnsi"/>
                <w:sz w:val="20"/>
                <w:szCs w:val="20"/>
              </w:rPr>
              <w:t>KEQ1:</w:t>
            </w:r>
            <w:r w:rsidR="00D2402C">
              <w:rPr>
                <w:rFonts w:cstheme="minorHAnsi"/>
                <w:sz w:val="20"/>
                <w:szCs w:val="20"/>
              </w:rPr>
              <w:t xml:space="preserve"> </w:t>
            </w:r>
            <w:r w:rsidRPr="00D66A91">
              <w:rPr>
                <w:rFonts w:cstheme="minorHAnsi"/>
                <w:sz w:val="20"/>
                <w:szCs w:val="20"/>
              </w:rPr>
              <w:t>Are programs making progress towards expected outcomes?</w:t>
            </w:r>
          </w:p>
        </w:tc>
        <w:tc>
          <w:tcPr>
            <w:tcW w:w="5667" w:type="dxa"/>
            <w:hideMark/>
          </w:tcPr>
          <w:p w14:paraId="0016ADDA" w14:textId="77777777" w:rsidR="001A52A7" w:rsidRPr="00D66A91" w:rsidRDefault="001A52A7" w:rsidP="00425817">
            <w:pPr>
              <w:pStyle w:val="ListParagraph"/>
              <w:numPr>
                <w:ilvl w:val="0"/>
                <w:numId w:val="8"/>
              </w:numPr>
              <w:ind w:left="247" w:hanging="247"/>
              <w:rPr>
                <w:b/>
                <w:bCs/>
                <w:sz w:val="20"/>
                <w:szCs w:val="20"/>
              </w:rPr>
            </w:pPr>
            <w:r w:rsidRPr="00D66A91">
              <w:rPr>
                <w:sz w:val="20"/>
                <w:szCs w:val="20"/>
              </w:rPr>
              <w:t>KEQ1.1: Are AIHSP intermediate outcomes (IOs) and EOPOs on track?</w:t>
            </w:r>
          </w:p>
        </w:tc>
      </w:tr>
      <w:tr w:rsidR="001A52A7" w:rsidRPr="00D66A91" w14:paraId="39BBF3E8" w14:textId="77777777" w:rsidTr="00D66A91">
        <w:tc>
          <w:tcPr>
            <w:tcW w:w="3967" w:type="dxa"/>
            <w:hideMark/>
          </w:tcPr>
          <w:p w14:paraId="16F4ABFE" w14:textId="77777777" w:rsidR="001A52A7" w:rsidRPr="00D66A91" w:rsidRDefault="001A52A7">
            <w:pPr>
              <w:rPr>
                <w:b/>
                <w:bCs/>
                <w:color w:val="000000" w:themeColor="text1"/>
                <w:sz w:val="20"/>
                <w:szCs w:val="20"/>
              </w:rPr>
            </w:pPr>
            <w:r w:rsidRPr="00D66A91">
              <w:rPr>
                <w:b/>
                <w:bCs/>
                <w:color w:val="000000" w:themeColor="text1"/>
                <w:sz w:val="20"/>
                <w:szCs w:val="20"/>
              </w:rPr>
              <w:t>Effectiveness &amp; relevance (coherence and impact</w:t>
            </w:r>
            <w:r w:rsidRPr="00D66A91">
              <w:rPr>
                <w:rStyle w:val="FootnoteReference"/>
                <w:b/>
                <w:bCs/>
                <w:color w:val="000000" w:themeColor="text1"/>
                <w:sz w:val="20"/>
                <w:szCs w:val="20"/>
              </w:rPr>
              <w:footnoteReference w:id="8"/>
            </w:r>
            <w:r w:rsidRPr="00D66A91">
              <w:rPr>
                <w:b/>
                <w:bCs/>
                <w:color w:val="000000" w:themeColor="text1"/>
                <w:sz w:val="20"/>
                <w:szCs w:val="20"/>
              </w:rPr>
              <w:t>)</w:t>
            </w:r>
          </w:p>
          <w:p w14:paraId="4376E191" w14:textId="45EEC190" w:rsidR="001A52A7" w:rsidRPr="00D66A91" w:rsidRDefault="001A52A7">
            <w:pPr>
              <w:rPr>
                <w:b/>
                <w:bCs/>
                <w:color w:val="5B9BD5" w:themeColor="accent5"/>
                <w:sz w:val="20"/>
                <w:szCs w:val="20"/>
              </w:rPr>
            </w:pPr>
            <w:r w:rsidRPr="00D66A91">
              <w:rPr>
                <w:sz w:val="20"/>
                <w:szCs w:val="20"/>
              </w:rPr>
              <w:t>KEQ2:</w:t>
            </w:r>
            <w:r w:rsidR="00D2402C">
              <w:rPr>
                <w:sz w:val="20"/>
                <w:szCs w:val="20"/>
              </w:rPr>
              <w:t xml:space="preserve"> </w:t>
            </w:r>
            <w:r w:rsidRPr="00D66A91">
              <w:rPr>
                <w:sz w:val="20"/>
                <w:szCs w:val="20"/>
              </w:rPr>
              <w:t xml:space="preserve">How are the programs contributing to the health sector in Indonesia? </w:t>
            </w:r>
          </w:p>
        </w:tc>
        <w:tc>
          <w:tcPr>
            <w:tcW w:w="5667" w:type="dxa"/>
            <w:hideMark/>
          </w:tcPr>
          <w:p w14:paraId="42B85FF5" w14:textId="77777777" w:rsidR="001A52A7" w:rsidRPr="00D66A91" w:rsidRDefault="001A52A7" w:rsidP="00425817">
            <w:pPr>
              <w:pStyle w:val="ListParagraph"/>
              <w:numPr>
                <w:ilvl w:val="0"/>
                <w:numId w:val="8"/>
              </w:numPr>
              <w:ind w:left="247" w:hanging="247"/>
              <w:rPr>
                <w:b/>
                <w:bCs/>
                <w:sz w:val="20"/>
                <w:szCs w:val="20"/>
              </w:rPr>
            </w:pPr>
            <w:r w:rsidRPr="00D66A91">
              <w:rPr>
                <w:sz w:val="20"/>
                <w:szCs w:val="20"/>
              </w:rPr>
              <w:t>KEQ 2.1 How have the DFAT-funded AIHSP, UNICEF and WHO activities contributed to Indonesia’s COVID-19 response?</w:t>
            </w:r>
          </w:p>
          <w:p w14:paraId="364615B8" w14:textId="77777777" w:rsidR="001A52A7" w:rsidRPr="00D66A91" w:rsidRDefault="001A52A7" w:rsidP="00425817">
            <w:pPr>
              <w:pStyle w:val="ListParagraph"/>
              <w:numPr>
                <w:ilvl w:val="0"/>
                <w:numId w:val="8"/>
              </w:numPr>
              <w:ind w:left="247" w:hanging="247"/>
              <w:rPr>
                <w:sz w:val="20"/>
                <w:szCs w:val="20"/>
              </w:rPr>
            </w:pPr>
            <w:r w:rsidRPr="00D66A91">
              <w:rPr>
                <w:sz w:val="20"/>
                <w:szCs w:val="20"/>
              </w:rPr>
              <w:t xml:space="preserve">KEQ 2.2: How have the DFAT-funded AIHSP, UNICEF and WHO activities contributed to the strengthening of human and/or animal health systems; and control of infectious disease outbreaks in Indonesia? </w:t>
            </w:r>
          </w:p>
        </w:tc>
      </w:tr>
      <w:tr w:rsidR="001A52A7" w:rsidRPr="00D66A91" w14:paraId="4B528609" w14:textId="77777777" w:rsidTr="00D66A91">
        <w:tc>
          <w:tcPr>
            <w:tcW w:w="3967" w:type="dxa"/>
            <w:hideMark/>
          </w:tcPr>
          <w:p w14:paraId="7A88F0BB" w14:textId="77777777" w:rsidR="001A52A7" w:rsidRPr="00D66A91" w:rsidRDefault="001A52A7">
            <w:pPr>
              <w:rPr>
                <w:rFonts w:cstheme="minorHAnsi"/>
                <w:color w:val="000000" w:themeColor="text1"/>
                <w:sz w:val="20"/>
                <w:szCs w:val="20"/>
              </w:rPr>
            </w:pPr>
            <w:r w:rsidRPr="00D66A91">
              <w:rPr>
                <w:rFonts w:cstheme="minorHAnsi"/>
                <w:b/>
                <w:bCs/>
                <w:color w:val="000000" w:themeColor="text1"/>
                <w:sz w:val="20"/>
                <w:szCs w:val="20"/>
              </w:rPr>
              <w:t>Efficiency</w:t>
            </w:r>
            <w:r w:rsidRPr="00D66A91">
              <w:rPr>
                <w:rFonts w:cstheme="minorHAnsi"/>
                <w:color w:val="000000" w:themeColor="text1"/>
                <w:sz w:val="20"/>
                <w:szCs w:val="20"/>
              </w:rPr>
              <w:t xml:space="preserve"> </w:t>
            </w:r>
          </w:p>
          <w:p w14:paraId="728833E3" w14:textId="77777777" w:rsidR="001A52A7" w:rsidRPr="00D66A91" w:rsidRDefault="001A52A7">
            <w:pPr>
              <w:rPr>
                <w:b/>
                <w:bCs/>
                <w:sz w:val="20"/>
                <w:szCs w:val="20"/>
              </w:rPr>
            </w:pPr>
            <w:r w:rsidRPr="00D66A91">
              <w:rPr>
                <w:sz w:val="20"/>
                <w:szCs w:val="20"/>
              </w:rPr>
              <w:t>KEQ3: How efficient have the programs been?</w:t>
            </w:r>
          </w:p>
        </w:tc>
        <w:tc>
          <w:tcPr>
            <w:tcW w:w="5667" w:type="dxa"/>
            <w:hideMark/>
          </w:tcPr>
          <w:p w14:paraId="6E3B7257" w14:textId="77777777" w:rsidR="001A52A7" w:rsidRPr="00D66A91" w:rsidRDefault="001A52A7" w:rsidP="00425817">
            <w:pPr>
              <w:pStyle w:val="ListParagraph"/>
              <w:numPr>
                <w:ilvl w:val="0"/>
                <w:numId w:val="8"/>
              </w:numPr>
              <w:ind w:left="247" w:hanging="247"/>
              <w:rPr>
                <w:sz w:val="20"/>
                <w:szCs w:val="20"/>
              </w:rPr>
            </w:pPr>
            <w:r w:rsidRPr="00D66A91">
              <w:rPr>
                <w:sz w:val="20"/>
                <w:szCs w:val="20"/>
              </w:rPr>
              <w:t xml:space="preserve">KEQ 3.1: Did increased funding impact the efficiency of AIHSP? </w:t>
            </w:r>
          </w:p>
          <w:p w14:paraId="799E5C94" w14:textId="77777777" w:rsidR="001A52A7" w:rsidRPr="00D66A91" w:rsidRDefault="001A52A7" w:rsidP="00425817">
            <w:pPr>
              <w:pStyle w:val="ListParagraph"/>
              <w:numPr>
                <w:ilvl w:val="0"/>
                <w:numId w:val="8"/>
              </w:numPr>
              <w:ind w:left="247" w:hanging="247"/>
              <w:rPr>
                <w:sz w:val="20"/>
                <w:szCs w:val="20"/>
              </w:rPr>
            </w:pPr>
            <w:r w:rsidRPr="00D66A91">
              <w:rPr>
                <w:sz w:val="20"/>
                <w:szCs w:val="20"/>
              </w:rPr>
              <w:t>KEQ 3.2: Did mixed modalities impact the efficient delivery of responses to COVID-19 or other health security threats?</w:t>
            </w:r>
          </w:p>
        </w:tc>
      </w:tr>
      <w:tr w:rsidR="001A52A7" w:rsidRPr="00D66A91" w14:paraId="75E35237" w14:textId="77777777" w:rsidTr="00D66A91">
        <w:tc>
          <w:tcPr>
            <w:tcW w:w="3967" w:type="dxa"/>
            <w:hideMark/>
          </w:tcPr>
          <w:p w14:paraId="37ECF33E" w14:textId="77777777" w:rsidR="001A52A7" w:rsidRPr="00D66A91" w:rsidRDefault="001A52A7">
            <w:pPr>
              <w:rPr>
                <w:rFonts w:cstheme="minorHAnsi"/>
                <w:b/>
                <w:bCs/>
                <w:color w:val="5B9BD5" w:themeColor="accent5"/>
                <w:sz w:val="20"/>
                <w:szCs w:val="20"/>
              </w:rPr>
            </w:pPr>
            <w:r w:rsidRPr="00D66A91">
              <w:rPr>
                <w:sz w:val="20"/>
                <w:szCs w:val="20"/>
              </w:rPr>
              <w:br w:type="page"/>
            </w:r>
            <w:r w:rsidRPr="00D66A91">
              <w:rPr>
                <w:rFonts w:cstheme="minorHAnsi"/>
                <w:b/>
                <w:bCs/>
                <w:color w:val="000000" w:themeColor="text1"/>
                <w:sz w:val="20"/>
                <w:szCs w:val="20"/>
              </w:rPr>
              <w:t xml:space="preserve">At-risk groups &amp; relevance </w:t>
            </w:r>
          </w:p>
          <w:p w14:paraId="183C618D" w14:textId="77777777" w:rsidR="001A52A7" w:rsidRPr="00D66A91" w:rsidRDefault="001A52A7">
            <w:pPr>
              <w:rPr>
                <w:sz w:val="20"/>
                <w:szCs w:val="20"/>
              </w:rPr>
            </w:pPr>
            <w:r w:rsidRPr="00D66A91">
              <w:rPr>
                <w:sz w:val="20"/>
                <w:szCs w:val="20"/>
              </w:rPr>
              <w:t>KEQ4: Are the programs implementing activities that will lead to improved health outcomes for at-risk groups in Indonesia?</w:t>
            </w:r>
          </w:p>
        </w:tc>
        <w:tc>
          <w:tcPr>
            <w:tcW w:w="5667" w:type="dxa"/>
            <w:hideMark/>
          </w:tcPr>
          <w:p w14:paraId="5F771166" w14:textId="2D8A3D8B" w:rsidR="001A52A7" w:rsidRPr="00D66A91" w:rsidRDefault="001A52A7" w:rsidP="00425817">
            <w:pPr>
              <w:pStyle w:val="ListParagraph"/>
              <w:numPr>
                <w:ilvl w:val="0"/>
                <w:numId w:val="8"/>
              </w:numPr>
              <w:ind w:left="247" w:hanging="247"/>
              <w:rPr>
                <w:sz w:val="20"/>
                <w:szCs w:val="20"/>
              </w:rPr>
            </w:pPr>
            <w:r w:rsidRPr="00D66A91">
              <w:rPr>
                <w:sz w:val="20"/>
                <w:szCs w:val="20"/>
              </w:rPr>
              <w:t>KEQ 4.1: Are the programs contributing to aspects of the health system that will likely result in improved health outcomes for a) women and girls b) people with disabilit</w:t>
            </w:r>
            <w:r w:rsidR="0003555A">
              <w:rPr>
                <w:sz w:val="20"/>
                <w:szCs w:val="20"/>
              </w:rPr>
              <w:t>ies</w:t>
            </w:r>
            <w:r w:rsidRPr="00D66A91">
              <w:rPr>
                <w:sz w:val="20"/>
                <w:szCs w:val="20"/>
              </w:rPr>
              <w:t xml:space="preserve"> c) the elderly? d) other at-risk groups? How? </w:t>
            </w:r>
          </w:p>
        </w:tc>
      </w:tr>
      <w:tr w:rsidR="005B2538" w:rsidRPr="00D66A91" w14:paraId="139F1658" w14:textId="77777777" w:rsidTr="00D66A91">
        <w:tc>
          <w:tcPr>
            <w:tcW w:w="3967" w:type="dxa"/>
          </w:tcPr>
          <w:p w14:paraId="167B4374" w14:textId="6B167A7C" w:rsidR="005B2538" w:rsidRPr="00D66A91" w:rsidRDefault="005B2538">
            <w:pPr>
              <w:rPr>
                <w:sz w:val="20"/>
                <w:szCs w:val="20"/>
              </w:rPr>
            </w:pPr>
            <w:r w:rsidRPr="00D66A91">
              <w:rPr>
                <w:b/>
                <w:bCs/>
                <w:color w:val="000000" w:themeColor="text1"/>
                <w:sz w:val="20"/>
                <w:szCs w:val="20"/>
              </w:rPr>
              <w:lastRenderedPageBreak/>
              <w:t>Future options</w:t>
            </w:r>
            <w:r w:rsidRPr="00D66A91">
              <w:rPr>
                <w:sz w:val="20"/>
                <w:szCs w:val="20"/>
              </w:rPr>
              <w:br/>
              <w:t>KEQ5: What does the Mid-Term Review findings suggest for DFAT’s future assistance to the health sector in Indonesia?</w:t>
            </w:r>
          </w:p>
        </w:tc>
        <w:tc>
          <w:tcPr>
            <w:tcW w:w="5667" w:type="dxa"/>
          </w:tcPr>
          <w:p w14:paraId="11D781E6" w14:textId="3798006A" w:rsidR="005B2538" w:rsidRPr="005B2538" w:rsidRDefault="005B2538" w:rsidP="005B2538">
            <w:pPr>
              <w:rPr>
                <w:sz w:val="20"/>
                <w:szCs w:val="20"/>
              </w:rPr>
            </w:pPr>
            <w:r>
              <w:rPr>
                <w:sz w:val="20"/>
                <w:szCs w:val="20"/>
              </w:rPr>
              <w:t>N/A</w:t>
            </w:r>
          </w:p>
        </w:tc>
      </w:tr>
      <w:bookmarkEnd w:id="36"/>
      <w:bookmarkEnd w:id="37"/>
    </w:tbl>
    <w:p w14:paraId="3EE0EF9C" w14:textId="77777777" w:rsidR="001A52A7" w:rsidRPr="00952568" w:rsidRDefault="001A52A7" w:rsidP="002B5910">
      <w:pPr>
        <w:pStyle w:val="Heading3"/>
        <w:rPr>
          <w:sz w:val="12"/>
          <w:szCs w:val="12"/>
        </w:rPr>
      </w:pPr>
    </w:p>
    <w:p w14:paraId="258E71ED" w14:textId="5904B5CE" w:rsidR="00EE3050" w:rsidRPr="00521A18" w:rsidRDefault="0032415B" w:rsidP="002B5910">
      <w:pPr>
        <w:pStyle w:val="Heading3"/>
      </w:pPr>
      <w:bookmarkStart w:id="38" w:name="_Toc132584533"/>
      <w:bookmarkStart w:id="39" w:name="_Toc135837393"/>
      <w:r>
        <w:t>1.1.2</w:t>
      </w:r>
      <w:r>
        <w:tab/>
      </w:r>
      <w:r w:rsidR="00EE3050">
        <w:t xml:space="preserve">MTR </w:t>
      </w:r>
      <w:r w:rsidR="00261B56">
        <w:t>a</w:t>
      </w:r>
      <w:r w:rsidR="00EE3050">
        <w:t xml:space="preserve">pproach and </w:t>
      </w:r>
      <w:r w:rsidR="00261B56">
        <w:t>m</w:t>
      </w:r>
      <w:r w:rsidR="00EE3050">
        <w:t>ethods</w:t>
      </w:r>
      <w:bookmarkEnd w:id="38"/>
      <w:bookmarkEnd w:id="39"/>
    </w:p>
    <w:p w14:paraId="6701C5E0" w14:textId="1EF3332C" w:rsidR="00A052C8" w:rsidRDefault="00092215" w:rsidP="008C0CD0">
      <w:pPr>
        <w:spacing w:after="120" w:line="240" w:lineRule="auto"/>
      </w:pPr>
      <w:r>
        <w:t>T</w:t>
      </w:r>
      <w:r w:rsidR="00A052C8">
        <w:t xml:space="preserve">he MTR </w:t>
      </w:r>
      <w:r>
        <w:t xml:space="preserve">involved </w:t>
      </w:r>
      <w:r w:rsidR="00A052C8">
        <w:t xml:space="preserve">a retrospective review of </w:t>
      </w:r>
      <w:r>
        <w:t xml:space="preserve">implementation </w:t>
      </w:r>
      <w:r w:rsidR="004D4589">
        <w:t>from</w:t>
      </w:r>
      <w:r>
        <w:rPr>
          <w:lang w:val="en-US"/>
        </w:rPr>
        <w:t xml:space="preserve"> February 2020 to March 2023</w:t>
      </w:r>
      <w:r w:rsidR="00A052C8">
        <w:t xml:space="preserve">, as well as </w:t>
      </w:r>
      <w:r w:rsidR="00CE3D04">
        <w:t xml:space="preserve">limited </w:t>
      </w:r>
      <w:r w:rsidR="00A052C8">
        <w:t>prospective mapping of issues and options to inform</w:t>
      </w:r>
      <w:r>
        <w:t xml:space="preserve"> future</w:t>
      </w:r>
      <w:r w:rsidR="00A052C8">
        <w:t xml:space="preserve"> Australian investment in the Indonesian health sector. The </w:t>
      </w:r>
      <w:r w:rsidR="001D4208">
        <w:t>MTR Team</w:t>
      </w:r>
      <w:r w:rsidR="00A052C8">
        <w:t xml:space="preserve"> drew on appreciative inquiry and culturally responsive evaluation approaches for the MTR and ensured adherence to </w:t>
      </w:r>
      <w:r w:rsidR="00A052C8">
        <w:rPr>
          <w:rFonts w:ascii="Calibri" w:eastAsia="Calibri" w:hAnsi="Calibri" w:cs="Calibri"/>
        </w:rPr>
        <w:t>DFAT’s Monitoring &amp; Evaluation Standards</w:t>
      </w:r>
      <w:r w:rsidR="00A052C8">
        <w:rPr>
          <w:rStyle w:val="FootnoteReference"/>
          <w:rFonts w:ascii="Calibri" w:eastAsia="Calibri" w:hAnsi="Calibri" w:cs="Calibri"/>
        </w:rPr>
        <w:footnoteReference w:id="9"/>
      </w:r>
      <w:r w:rsidR="00A052C8">
        <w:rPr>
          <w:rFonts w:ascii="Calibri" w:eastAsia="Calibri" w:hAnsi="Calibri" w:cs="Calibri"/>
        </w:rPr>
        <w:t xml:space="preserve"> as well as DFAT’s strategies for gender equality</w:t>
      </w:r>
      <w:r w:rsidR="00A052C8">
        <w:rPr>
          <w:rStyle w:val="FootnoteReference"/>
          <w:rFonts w:ascii="Calibri" w:eastAsia="Calibri" w:hAnsi="Calibri" w:cs="Calibri"/>
        </w:rPr>
        <w:footnoteReference w:id="10"/>
      </w:r>
      <w:r w:rsidR="00A052C8">
        <w:rPr>
          <w:rFonts w:ascii="Calibri" w:eastAsia="Calibri" w:hAnsi="Calibri" w:cs="Calibri"/>
        </w:rPr>
        <w:t xml:space="preserve"> and disability inclusiveness</w:t>
      </w:r>
      <w:r w:rsidR="00A052C8">
        <w:rPr>
          <w:rStyle w:val="FootnoteReference"/>
          <w:rFonts w:ascii="Calibri" w:eastAsia="Calibri" w:hAnsi="Calibri" w:cs="Calibri"/>
        </w:rPr>
        <w:footnoteReference w:id="11"/>
      </w:r>
      <w:r w:rsidR="00030589">
        <w:rPr>
          <w:rFonts w:ascii="Calibri" w:eastAsia="Calibri" w:hAnsi="Calibri" w:cs="Calibri"/>
        </w:rPr>
        <w:t>.</w:t>
      </w:r>
    </w:p>
    <w:p w14:paraId="24C3B933" w14:textId="2BBBC1CD" w:rsidR="00F54807" w:rsidRDefault="00A052C8" w:rsidP="008C0CD0">
      <w:pPr>
        <w:spacing w:after="120" w:line="240" w:lineRule="auto"/>
      </w:pPr>
      <w:r>
        <w:t xml:space="preserve">A mixed methods approach for data collection was used. This included reviewing </w:t>
      </w:r>
      <w:r w:rsidR="00A93B8A">
        <w:t>112</w:t>
      </w:r>
      <w:r w:rsidR="00F54807">
        <w:t xml:space="preserve"> </w:t>
      </w:r>
      <w:r>
        <w:t>documents, mainly partner and DFAT designs, plans and reports</w:t>
      </w:r>
      <w:r w:rsidRPr="48362220">
        <w:rPr>
          <w:i/>
          <w:iCs/>
        </w:rPr>
        <w:t xml:space="preserve"> (see </w:t>
      </w:r>
      <w:r w:rsidR="00A93B8A" w:rsidRPr="48362220">
        <w:rPr>
          <w:i/>
          <w:iCs/>
        </w:rPr>
        <w:t>a</w:t>
      </w:r>
      <w:r w:rsidRPr="48362220">
        <w:rPr>
          <w:i/>
          <w:iCs/>
        </w:rPr>
        <w:t xml:space="preserve">nnex </w:t>
      </w:r>
      <w:r w:rsidR="0057732B" w:rsidRPr="48362220">
        <w:rPr>
          <w:i/>
          <w:iCs/>
        </w:rPr>
        <w:t>9.</w:t>
      </w:r>
      <w:r w:rsidR="00923C33" w:rsidRPr="48362220">
        <w:rPr>
          <w:i/>
          <w:iCs/>
        </w:rPr>
        <w:t>2</w:t>
      </w:r>
      <w:r w:rsidR="00030589">
        <w:rPr>
          <w:i/>
          <w:iCs/>
        </w:rPr>
        <w:t>)</w:t>
      </w:r>
      <w:r w:rsidRPr="48362220">
        <w:rPr>
          <w:i/>
          <w:iCs/>
        </w:rPr>
        <w:t xml:space="preserve"> </w:t>
      </w:r>
      <w:r w:rsidR="007E1E71">
        <w:t>as well as</w:t>
      </w:r>
      <w:r>
        <w:t xml:space="preserve"> additional quantitative and qualitative data from partners. It also included face-to-face and online semi-structured interviews and focus groups with a purposive sample of </w:t>
      </w:r>
      <w:r w:rsidR="00042766">
        <w:t>19</w:t>
      </w:r>
      <w:r w:rsidR="002126A0">
        <w:t>4</w:t>
      </w:r>
      <w:r w:rsidR="00042766">
        <w:t xml:space="preserve"> people </w:t>
      </w:r>
      <w:r>
        <w:t>working in and linked to the activities of AIHSP, WHO and UNICEF. Selection criteria were used to choose interviewees</w:t>
      </w:r>
      <w:r w:rsidR="00F13872">
        <w:t>,</w:t>
      </w:r>
      <w:r>
        <w:t xml:space="preserve"> to ensure that diverse perspectives would be captured. Interviewees included staff from: AIHSP, UNICEF and WHO at a national and sub-national level, DFAT, </w:t>
      </w:r>
      <w:r w:rsidR="00F13872">
        <w:t xml:space="preserve">DAFF, </w:t>
      </w:r>
      <w:proofErr w:type="spellStart"/>
      <w:r>
        <w:t>GoI</w:t>
      </w:r>
      <w:proofErr w:type="spellEnd"/>
      <w:r>
        <w:t xml:space="preserve"> at a national</w:t>
      </w:r>
      <w:r w:rsidR="00F13872">
        <w:t>,</w:t>
      </w:r>
      <w:r>
        <w:t xml:space="preserve"> provincial, district,</w:t>
      </w:r>
      <w:r w:rsidR="00F13872">
        <w:t xml:space="preserve"> and </w:t>
      </w:r>
      <w:r>
        <w:t>village</w:t>
      </w:r>
      <w:r w:rsidR="00F13872">
        <w:t xml:space="preserve"> level</w:t>
      </w:r>
      <w:r>
        <w:t xml:space="preserve">, other Australian government departments and programs in Indonesia, sub-partners, </w:t>
      </w:r>
      <w:r w:rsidR="00092215">
        <w:t xml:space="preserve">disabled </w:t>
      </w:r>
      <w:r w:rsidR="00A93B8A">
        <w:t xml:space="preserve">people’s </w:t>
      </w:r>
      <w:r>
        <w:t>organisations</w:t>
      </w:r>
      <w:r w:rsidR="00092215">
        <w:t xml:space="preserve">, </w:t>
      </w:r>
      <w:r>
        <w:t xml:space="preserve">women’s </w:t>
      </w:r>
      <w:proofErr w:type="gramStart"/>
      <w:r>
        <w:t>organisations</w:t>
      </w:r>
      <w:proofErr w:type="gramEnd"/>
      <w:r>
        <w:t xml:space="preserve"> and other donors </w:t>
      </w:r>
      <w:r w:rsidR="00923C33" w:rsidRPr="48362220">
        <w:rPr>
          <w:i/>
          <w:iCs/>
        </w:rPr>
        <w:t>(see annex 9.3</w:t>
      </w:r>
      <w:r w:rsidR="00030589">
        <w:rPr>
          <w:i/>
          <w:iCs/>
        </w:rPr>
        <w:t>)</w:t>
      </w:r>
      <w:r w:rsidR="00923C33" w:rsidRPr="48362220">
        <w:rPr>
          <w:i/>
          <w:iCs/>
        </w:rPr>
        <w:t>.</w:t>
      </w:r>
    </w:p>
    <w:p w14:paraId="0A82E651" w14:textId="6C90775B" w:rsidR="00A052C8" w:rsidRDefault="00A052C8" w:rsidP="008C0CD0">
      <w:pPr>
        <w:spacing w:after="120" w:line="240" w:lineRule="auto"/>
      </w:pPr>
      <w:r>
        <w:t xml:space="preserve">Tailored interview guides were developed based upon initial findings and identified gaps from the document review. </w:t>
      </w:r>
      <w:r w:rsidR="00D40942">
        <w:t xml:space="preserve">The interviews and focus groups </w:t>
      </w:r>
      <w:r>
        <w:t xml:space="preserve">were conducted </w:t>
      </w:r>
      <w:r w:rsidR="00F13872">
        <w:t xml:space="preserve">in English and </w:t>
      </w:r>
      <w:r w:rsidR="0030310B">
        <w:t xml:space="preserve">Indonesian </w:t>
      </w:r>
      <w:r>
        <w:t xml:space="preserve">by members of the MTR Team either face-to-face in Jakarta, South Sulawesi (Makassar and Maros) and Bali (Denpasar, </w:t>
      </w:r>
      <w:proofErr w:type="spellStart"/>
      <w:r>
        <w:t>Bulel</w:t>
      </w:r>
      <w:r w:rsidR="00CD6793">
        <w:t>e</w:t>
      </w:r>
      <w:r>
        <w:t>ng</w:t>
      </w:r>
      <w:proofErr w:type="spellEnd"/>
      <w:r>
        <w:t xml:space="preserve">) or remotely in Australia </w:t>
      </w:r>
      <w:r w:rsidR="00092215">
        <w:t xml:space="preserve">between </w:t>
      </w:r>
      <w:r>
        <w:t xml:space="preserve">20 February </w:t>
      </w:r>
      <w:r w:rsidR="00341F17">
        <w:t>and</w:t>
      </w:r>
      <w:r>
        <w:t xml:space="preserve"> 8 March. Simultaneous translation and sign language interpreters were used to ensure the interviews were accessible. </w:t>
      </w:r>
      <w:r w:rsidR="00713864">
        <w:t>At the end of the Indonesian visit, a</w:t>
      </w:r>
      <w:r>
        <w:t xml:space="preserve">n aide memoire with preliminary findings and recommendations from the interviews was </w:t>
      </w:r>
      <w:r w:rsidR="00666D5E">
        <w:t xml:space="preserve">developed and discussed </w:t>
      </w:r>
      <w:r>
        <w:t>with the DFAT Health Team</w:t>
      </w:r>
      <w:r w:rsidR="00666D5E">
        <w:t xml:space="preserve"> </w:t>
      </w:r>
      <w:r w:rsidR="007878B9">
        <w:t>Jakarta</w:t>
      </w:r>
      <w:r>
        <w:t xml:space="preserve">. </w:t>
      </w:r>
    </w:p>
    <w:p w14:paraId="34264BF8" w14:textId="3D290D79" w:rsidR="00A052C8" w:rsidRDefault="00A052C8" w:rsidP="008C0CD0">
      <w:pPr>
        <w:spacing w:after="120" w:line="240" w:lineRule="auto"/>
      </w:pPr>
      <w:r>
        <w:t>Different frameworks were used to analyse the data for KEQs 1.1, 2.1, 2.2 and 3.1</w:t>
      </w:r>
      <w:r w:rsidR="00BF1B33">
        <w:t xml:space="preserve"> </w:t>
      </w:r>
      <w:r w:rsidR="00666D5E" w:rsidRPr="0067200E">
        <w:rPr>
          <w:i/>
          <w:iCs/>
        </w:rPr>
        <w:t>(</w:t>
      </w:r>
      <w:r w:rsidR="00341F17">
        <w:rPr>
          <w:i/>
          <w:iCs/>
        </w:rPr>
        <w:t>see</w:t>
      </w:r>
      <w:r w:rsidRPr="0067200E">
        <w:rPr>
          <w:i/>
          <w:iCs/>
        </w:rPr>
        <w:t xml:space="preserve"> </w:t>
      </w:r>
      <w:r w:rsidR="0067200E">
        <w:rPr>
          <w:i/>
          <w:iCs/>
        </w:rPr>
        <w:t>a</w:t>
      </w:r>
      <w:r w:rsidR="00F54807" w:rsidRPr="0067200E">
        <w:rPr>
          <w:i/>
          <w:iCs/>
        </w:rPr>
        <w:t xml:space="preserve">nnex </w:t>
      </w:r>
      <w:r w:rsidR="0057732B" w:rsidRPr="0067200E">
        <w:rPr>
          <w:i/>
          <w:iCs/>
        </w:rPr>
        <w:t>9.</w:t>
      </w:r>
      <w:r w:rsidR="0067200E" w:rsidRPr="0067200E">
        <w:rPr>
          <w:i/>
          <w:iCs/>
        </w:rPr>
        <w:t>4</w:t>
      </w:r>
      <w:r w:rsidR="00666D5E" w:rsidRPr="0067200E">
        <w:rPr>
          <w:i/>
          <w:iCs/>
        </w:rPr>
        <w:t>)</w:t>
      </w:r>
      <w:r w:rsidRPr="0067200E">
        <w:rPr>
          <w:i/>
          <w:iCs/>
        </w:rPr>
        <w:t xml:space="preserve">. </w:t>
      </w:r>
      <w:r>
        <w:t xml:space="preserve">KEQs 3.2 and 4.1 were analysed to assess the DAC criteria of efficiency and relevance. The MTR Team used the findings from KEQs 1-4 to inform the recommendations in KEQ5. A sense-making workshop was conducted with the DFAT Health Team Jakarta to clarify </w:t>
      </w:r>
      <w:r w:rsidR="00666D5E">
        <w:t xml:space="preserve">information </w:t>
      </w:r>
      <w:r>
        <w:t xml:space="preserve">and to ensure the recommendations were fit for purpose. </w:t>
      </w:r>
    </w:p>
    <w:p w14:paraId="3C3D4016" w14:textId="102529AC" w:rsidR="00A052C8" w:rsidRPr="00C56BA1" w:rsidRDefault="0032415B" w:rsidP="00851B9E">
      <w:pPr>
        <w:pStyle w:val="Heading3"/>
      </w:pPr>
      <w:bookmarkStart w:id="40" w:name="_Toc132584534"/>
      <w:bookmarkStart w:id="41" w:name="_Toc135837394"/>
      <w:r>
        <w:t>1.1.3</w:t>
      </w:r>
      <w:r>
        <w:tab/>
      </w:r>
      <w:r w:rsidR="00A052C8" w:rsidRPr="00C56BA1">
        <w:t>Limitations</w:t>
      </w:r>
      <w:bookmarkEnd w:id="40"/>
      <w:bookmarkEnd w:id="41"/>
    </w:p>
    <w:p w14:paraId="7BA69E9A" w14:textId="2A394D21" w:rsidR="00871D91" w:rsidRDefault="00666D5E" w:rsidP="00C157B0">
      <w:pPr>
        <w:spacing w:line="240" w:lineRule="auto"/>
      </w:pPr>
      <w:r>
        <w:t>The MTR time</w:t>
      </w:r>
      <w:r w:rsidR="00DF163B">
        <w:t xml:space="preserve"> </w:t>
      </w:r>
      <w:r>
        <w:t xml:space="preserve">frame </w:t>
      </w:r>
      <w:r w:rsidR="00A404F5">
        <w:t xml:space="preserve">and resourcing </w:t>
      </w:r>
      <w:r>
        <w:t xml:space="preserve">limited the number of documents the MTR </w:t>
      </w:r>
      <w:r w:rsidR="00A404F5">
        <w:t xml:space="preserve">Team </w:t>
      </w:r>
      <w:r w:rsidR="00167B0D">
        <w:t>was</w:t>
      </w:r>
      <w:r>
        <w:t xml:space="preserve"> able to review. </w:t>
      </w:r>
      <w:r w:rsidR="00A404F5">
        <w:t xml:space="preserve">As this was primarily a review rather than a scoping exercise, the </w:t>
      </w:r>
      <w:r w:rsidR="00A6545B">
        <w:t>MTR</w:t>
      </w:r>
      <w:r w:rsidR="00A404F5">
        <w:t xml:space="preserve"> prioritised documents from AIHSP, UNICEF, WHO and some from </w:t>
      </w:r>
      <w:r w:rsidR="000F0643">
        <w:t xml:space="preserve">the </w:t>
      </w:r>
      <w:proofErr w:type="spellStart"/>
      <w:r w:rsidR="00A404F5">
        <w:t>GoI</w:t>
      </w:r>
      <w:proofErr w:type="spellEnd"/>
      <w:r w:rsidR="00A404F5">
        <w:t>. D</w:t>
      </w:r>
      <w:r w:rsidR="00A052C8">
        <w:t xml:space="preserve">ocuments </w:t>
      </w:r>
      <w:r>
        <w:t>related to</w:t>
      </w:r>
      <w:r w:rsidR="00A052C8">
        <w:t xml:space="preserve"> </w:t>
      </w:r>
      <w:r w:rsidR="00A404F5">
        <w:t xml:space="preserve">the work of </w:t>
      </w:r>
      <w:r w:rsidR="00A052C8">
        <w:t>other donors/partners were excluded, and inquiry on th</w:t>
      </w:r>
      <w:r w:rsidR="00A6545B">
        <w:t>eir work</w:t>
      </w:r>
      <w:r w:rsidR="00A052C8">
        <w:t xml:space="preserve"> during interviews was necessarily limited. </w:t>
      </w:r>
      <w:r>
        <w:t xml:space="preserve">As a result, </w:t>
      </w:r>
      <w:r w:rsidR="00A052C8">
        <w:t>the</w:t>
      </w:r>
      <w:r>
        <w:t xml:space="preserve">re was </w:t>
      </w:r>
      <w:r w:rsidR="00A052C8">
        <w:t xml:space="preserve">insufficient evidence </w:t>
      </w:r>
      <w:r w:rsidR="00167B0D">
        <w:t>to</w:t>
      </w:r>
      <w:r>
        <w:t xml:space="preserve"> assess</w:t>
      </w:r>
      <w:r w:rsidR="00A81CF6">
        <w:t>:</w:t>
      </w:r>
      <w:r>
        <w:t xml:space="preserve"> </w:t>
      </w:r>
      <w:r w:rsidR="00A052C8">
        <w:t>Australia’s relative contribution to Indonesia’s COVID-19 response</w:t>
      </w:r>
      <w:r w:rsidR="00A81CF6">
        <w:t xml:space="preserve"> and</w:t>
      </w:r>
      <w:r w:rsidR="00A6545B">
        <w:t xml:space="preserve"> h</w:t>
      </w:r>
      <w:r>
        <w:t xml:space="preserve">ealth </w:t>
      </w:r>
      <w:r w:rsidR="00A6545B">
        <w:t>s</w:t>
      </w:r>
      <w:r>
        <w:t>ystem</w:t>
      </w:r>
      <w:r w:rsidR="00A6545B">
        <w:t>s</w:t>
      </w:r>
      <w:r>
        <w:t xml:space="preserve"> </w:t>
      </w:r>
      <w:r w:rsidR="00A6545B">
        <w:t>s</w:t>
      </w:r>
      <w:r>
        <w:t>trengthening</w:t>
      </w:r>
      <w:r w:rsidR="00A81CF6">
        <w:t xml:space="preserve">; </w:t>
      </w:r>
      <w:r w:rsidR="00167B0D">
        <w:t>duplication</w:t>
      </w:r>
      <w:r w:rsidR="00A6545B">
        <w:t xml:space="preserve"> of effort</w:t>
      </w:r>
      <w:r w:rsidR="000F0643">
        <w:t>;</w:t>
      </w:r>
      <w:r w:rsidR="00A81CF6">
        <w:t xml:space="preserve"> or</w:t>
      </w:r>
      <w:r w:rsidR="00A6545B">
        <w:t xml:space="preserve"> </w:t>
      </w:r>
      <w:r w:rsidR="00A81CF6">
        <w:t>alternative modalities that could have been used for delivery of Australian-funded activities.</w:t>
      </w:r>
      <w:r w:rsidR="00585B66">
        <w:rPr>
          <w:rStyle w:val="FootnoteReference"/>
        </w:rPr>
        <w:footnoteReference w:id="12"/>
      </w:r>
      <w:r w:rsidR="00A052C8">
        <w:t xml:space="preserve"> </w:t>
      </w:r>
      <w:r w:rsidR="00A81CF6">
        <w:t>W</w:t>
      </w:r>
      <w:r w:rsidR="008C280B">
        <w:t>hile</w:t>
      </w:r>
      <w:r w:rsidR="00A052C8">
        <w:t xml:space="preserve"> the MTR </w:t>
      </w:r>
      <w:r w:rsidR="008C280B">
        <w:t xml:space="preserve">did </w:t>
      </w:r>
      <w:r w:rsidR="00A052C8">
        <w:t>recommend activities</w:t>
      </w:r>
      <w:r w:rsidR="008C280B">
        <w:t xml:space="preserve"> to continue and discontinue based upon available information, </w:t>
      </w:r>
      <w:r w:rsidR="00A81CF6">
        <w:t>it</w:t>
      </w:r>
      <w:r w:rsidR="008C280B">
        <w:t xml:space="preserve"> noted that further analysis of the work of other donors and </w:t>
      </w:r>
      <w:proofErr w:type="spellStart"/>
      <w:r w:rsidR="008C280B">
        <w:t>GoI</w:t>
      </w:r>
      <w:proofErr w:type="spellEnd"/>
      <w:r w:rsidR="008C280B">
        <w:t xml:space="preserve"> should be undertaken before </w:t>
      </w:r>
      <w:r w:rsidR="00A81CF6">
        <w:t>such</w:t>
      </w:r>
      <w:r w:rsidR="008C280B">
        <w:t xml:space="preserve"> decisions</w:t>
      </w:r>
      <w:r w:rsidR="00A81CF6">
        <w:t xml:space="preserve">. </w:t>
      </w:r>
    </w:p>
    <w:p w14:paraId="6C4BAF3E" w14:textId="656B27C7" w:rsidR="00055538" w:rsidRPr="00C56BA1" w:rsidRDefault="00055538" w:rsidP="00425817">
      <w:pPr>
        <w:pStyle w:val="Heading1"/>
        <w:numPr>
          <w:ilvl w:val="0"/>
          <w:numId w:val="11"/>
        </w:numPr>
      </w:pPr>
      <w:bookmarkStart w:id="42" w:name="_Toc135837395"/>
      <w:r w:rsidRPr="00C56BA1">
        <w:lastRenderedPageBreak/>
        <w:t>Overall context</w:t>
      </w:r>
      <w:bookmarkEnd w:id="42"/>
    </w:p>
    <w:p w14:paraId="6D9FCA1F" w14:textId="5CC1A12C" w:rsidR="00113E50" w:rsidRDefault="00113E50" w:rsidP="00113E50">
      <w:pPr>
        <w:pStyle w:val="Heading2"/>
      </w:pPr>
      <w:bookmarkStart w:id="43" w:name="_Toc135837396"/>
      <w:r>
        <w:t>2.1</w:t>
      </w:r>
      <w:r>
        <w:tab/>
        <w:t xml:space="preserve">Relevance of </w:t>
      </w:r>
      <w:r w:rsidR="009F79D9">
        <w:t>AIHSP</w:t>
      </w:r>
      <w:bookmarkEnd w:id="43"/>
    </w:p>
    <w:p w14:paraId="2E8EC527" w14:textId="17C35F6B" w:rsidR="00055538" w:rsidRDefault="00055538" w:rsidP="008C0CD0">
      <w:pPr>
        <w:spacing w:after="120" w:line="240" w:lineRule="auto"/>
      </w:pPr>
      <w:r>
        <w:t>Indonesia is among the most vulnerable countries</w:t>
      </w:r>
      <w:r w:rsidR="00666D5E">
        <w:t xml:space="preserve"> in the world</w:t>
      </w:r>
      <w:r>
        <w:t xml:space="preserve"> to the impacts of emerging infectious diseases (EIDs) and zoonoses</w:t>
      </w:r>
      <w:r w:rsidR="00B34A41">
        <w:t>,</w:t>
      </w:r>
      <w:r>
        <w:t xml:space="preserve"> with many of the risk factors </w:t>
      </w:r>
      <w:r w:rsidR="00B34A41">
        <w:t>that drive</w:t>
      </w:r>
      <w:r>
        <w:t xml:space="preserve"> disease emergence and rapid spread</w:t>
      </w:r>
      <w:r w:rsidR="00B34A41">
        <w:t>.</w:t>
      </w:r>
      <w:r>
        <w:t xml:space="preserve"> In 2017, the </w:t>
      </w:r>
      <w:proofErr w:type="spellStart"/>
      <w:r>
        <w:t>GoI</w:t>
      </w:r>
      <w:proofErr w:type="spellEnd"/>
      <w:r>
        <w:t xml:space="preserve"> undertook the WHO-supported Joint External Evaluation (JEE) of their capacity to implement the International Health Regulations (IHR), resulting in the development of </w:t>
      </w:r>
      <w:r w:rsidR="00214D6B">
        <w:t>the</w:t>
      </w:r>
      <w:r>
        <w:t xml:space="preserve"> National Action Plan for Health Security</w:t>
      </w:r>
      <w:r w:rsidR="00877287">
        <w:t xml:space="preserve"> Indonesia</w:t>
      </w:r>
      <w:r w:rsidR="00214D6B">
        <w:t xml:space="preserve"> </w:t>
      </w:r>
      <w:r w:rsidR="00214D6B">
        <w:rPr>
          <w:rStyle w:val="normaltextrun"/>
          <w:rFonts w:ascii="Calibri" w:hAnsi="Calibri" w:cs="Calibri"/>
          <w:color w:val="000000"/>
          <w:shd w:val="clear" w:color="auto" w:fill="FFFFFF"/>
        </w:rPr>
        <w:t>2020-2024</w:t>
      </w:r>
      <w:r>
        <w:t xml:space="preserve"> (NAPHS). </w:t>
      </w:r>
    </w:p>
    <w:p w14:paraId="362E24BD" w14:textId="5029DB59" w:rsidR="00055538" w:rsidRDefault="00055538" w:rsidP="008C0CD0">
      <w:pPr>
        <w:spacing w:after="120" w:line="240" w:lineRule="auto"/>
      </w:pPr>
      <w:r>
        <w:t xml:space="preserve">Given its location and </w:t>
      </w:r>
      <w:r w:rsidR="00B34A41">
        <w:t xml:space="preserve">high </w:t>
      </w:r>
      <w:r>
        <w:t xml:space="preserve">level of international travel and trade, infectious diseases in Indonesia pose a </w:t>
      </w:r>
      <w:r w:rsidR="00666D5E">
        <w:t xml:space="preserve">significant </w:t>
      </w:r>
      <w:r>
        <w:t xml:space="preserve">threat to other countries in the Asia-Pacific region, including Australia. </w:t>
      </w:r>
      <w:r w:rsidR="00B34A41">
        <w:t>T</w:t>
      </w:r>
      <w:r>
        <w:t xml:space="preserve">he Australian Government has </w:t>
      </w:r>
      <w:r w:rsidR="00D40942">
        <w:t xml:space="preserve">developed </w:t>
      </w:r>
      <w:r>
        <w:t xml:space="preserve">strong </w:t>
      </w:r>
      <w:r w:rsidR="00D40942">
        <w:t>partnership</w:t>
      </w:r>
      <w:r w:rsidR="00262DF8">
        <w:t>s</w:t>
      </w:r>
      <w:r w:rsidR="00D40942">
        <w:t xml:space="preserve"> </w:t>
      </w:r>
      <w:r>
        <w:t>in the region</w:t>
      </w:r>
      <w:r w:rsidR="00B34A41">
        <w:t xml:space="preserve"> </w:t>
      </w:r>
      <w:r w:rsidR="6F66F823">
        <w:t xml:space="preserve">to </w:t>
      </w:r>
      <w:r w:rsidR="00B34A41">
        <w:t>strengthen health security capability to prepare for, detect and respond to disease outbreaks.</w:t>
      </w:r>
      <w:r>
        <w:t xml:space="preserve"> </w:t>
      </w:r>
    </w:p>
    <w:p w14:paraId="35C2617D" w14:textId="3CFDD547" w:rsidR="00147B3F" w:rsidRDefault="00147B3F" w:rsidP="008C0CD0">
      <w:pPr>
        <w:spacing w:after="120" w:line="240" w:lineRule="auto"/>
      </w:pPr>
      <w:r>
        <w:t xml:space="preserve">The AIHSP design states that it will assist Indonesia to address the JEE recommendations and </w:t>
      </w:r>
      <w:r w:rsidR="00214D6B">
        <w:t xml:space="preserve">that its </w:t>
      </w:r>
      <w:r>
        <w:t>activities will align with the NAPHS. AIHSP’s goal is to increase health security in Indonesia and reduce the impacts of EIDs and zoonoses.</w:t>
      </w:r>
    </w:p>
    <w:p w14:paraId="0156CDA6" w14:textId="4C5DB419" w:rsidR="00635A47" w:rsidRDefault="00635A47" w:rsidP="00635A47">
      <w:pPr>
        <w:pStyle w:val="Heading2"/>
      </w:pPr>
      <w:bookmarkStart w:id="44" w:name="_Toc135837397"/>
      <w:r>
        <w:t>2.2</w:t>
      </w:r>
      <w:r>
        <w:tab/>
        <w:t>COVID-19</w:t>
      </w:r>
      <w:bookmarkEnd w:id="44"/>
      <w:r>
        <w:t xml:space="preserve"> </w:t>
      </w:r>
    </w:p>
    <w:p w14:paraId="324E22B4" w14:textId="495C3FBE" w:rsidR="00113E50" w:rsidRDefault="00055538" w:rsidP="008C0CD0">
      <w:pPr>
        <w:spacing w:after="120" w:line="240" w:lineRule="auto"/>
        <w:rPr>
          <w:color w:val="000000" w:themeColor="text1"/>
        </w:rPr>
      </w:pPr>
      <w:r>
        <w:rPr>
          <w:color w:val="000000" w:themeColor="text1"/>
        </w:rPr>
        <w:t>AIHSP</w:t>
      </w:r>
      <w:r w:rsidR="00B34A41">
        <w:rPr>
          <w:color w:val="000000" w:themeColor="text1"/>
        </w:rPr>
        <w:t>, originally designed as a health security program,</w:t>
      </w:r>
      <w:r>
        <w:rPr>
          <w:color w:val="000000" w:themeColor="text1"/>
        </w:rPr>
        <w:t xml:space="preserve"> ha</w:t>
      </w:r>
      <w:r w:rsidR="00B34A41">
        <w:rPr>
          <w:color w:val="000000" w:themeColor="text1"/>
        </w:rPr>
        <w:t>d</w:t>
      </w:r>
      <w:r>
        <w:rPr>
          <w:color w:val="000000" w:themeColor="text1"/>
        </w:rPr>
        <w:t xml:space="preserve"> only commenced</w:t>
      </w:r>
      <w:r>
        <w:t xml:space="preserve"> </w:t>
      </w:r>
      <w:r w:rsidR="00B34A41">
        <w:t xml:space="preserve">in </w:t>
      </w:r>
      <w:r>
        <w:rPr>
          <w:color w:val="000000" w:themeColor="text1"/>
        </w:rPr>
        <w:t xml:space="preserve">February 2020 when </w:t>
      </w:r>
      <w:r>
        <w:t xml:space="preserve">the </w:t>
      </w:r>
      <w:r>
        <w:rPr>
          <w:color w:val="000000" w:themeColor="text1"/>
        </w:rPr>
        <w:t xml:space="preserve">first two positive </w:t>
      </w:r>
      <w:r w:rsidR="00B34A41">
        <w:t>COVID-19</w:t>
      </w:r>
      <w:r w:rsidR="00B34A41">
        <w:rPr>
          <w:color w:val="000000" w:themeColor="text1"/>
        </w:rPr>
        <w:t xml:space="preserve"> </w:t>
      </w:r>
      <w:r>
        <w:rPr>
          <w:color w:val="000000" w:themeColor="text1"/>
        </w:rPr>
        <w:t>cases were confirmed in Indonesia on March 2, 2020. Within a month, Indonesia’s official count of COVID-19 cases had reached 1,790 with 170 fatalities, among the highest mortality rate in the world at 9.4%.</w:t>
      </w:r>
      <w:r>
        <w:rPr>
          <w:rStyle w:val="FootnoteReference"/>
          <w:color w:val="000000" w:themeColor="text1"/>
        </w:rPr>
        <w:footnoteReference w:id="13"/>
      </w:r>
      <w:r>
        <w:rPr>
          <w:color w:val="000000" w:themeColor="text1"/>
        </w:rPr>
        <w:t xml:space="preserve"> It took less than nine month</w:t>
      </w:r>
      <w:r w:rsidR="00B34A41">
        <w:rPr>
          <w:color w:val="000000" w:themeColor="text1"/>
        </w:rPr>
        <w:t>s</w:t>
      </w:r>
      <w:r>
        <w:rPr>
          <w:color w:val="000000" w:themeColor="text1"/>
        </w:rPr>
        <w:t xml:space="preserve"> for the country to surpass half a million COVID-19 cases in November 2020.</w:t>
      </w:r>
      <w:r>
        <w:rPr>
          <w:rStyle w:val="FootnoteReference"/>
          <w:color w:val="000000" w:themeColor="text1"/>
        </w:rPr>
        <w:footnoteReference w:id="14"/>
      </w:r>
      <w:r>
        <w:rPr>
          <w:color w:val="000000" w:themeColor="text1"/>
        </w:rPr>
        <w:t xml:space="preserve"> On December 22, 2020, President Joko Widodo replaced the Health Minister as COVID-19 deaths continued to </w:t>
      </w:r>
      <w:r w:rsidR="00666D5E">
        <w:rPr>
          <w:color w:val="000000" w:themeColor="text1"/>
        </w:rPr>
        <w:t>increase</w:t>
      </w:r>
      <w:r>
        <w:rPr>
          <w:color w:val="000000" w:themeColor="text1"/>
        </w:rPr>
        <w:t xml:space="preserve">. New Minister Budi Gunadi </w:t>
      </w:r>
      <w:proofErr w:type="spellStart"/>
      <w:r>
        <w:rPr>
          <w:color w:val="000000" w:themeColor="text1"/>
        </w:rPr>
        <w:t>Sadikin</w:t>
      </w:r>
      <w:proofErr w:type="spellEnd"/>
      <w:r>
        <w:rPr>
          <w:color w:val="000000" w:themeColor="text1"/>
        </w:rPr>
        <w:t xml:space="preserve"> was assigned to bolster government efforts against the outbreak and </w:t>
      </w:r>
      <w:r w:rsidR="00D32B17">
        <w:rPr>
          <w:color w:val="000000" w:themeColor="text1"/>
        </w:rPr>
        <w:t>has since</w:t>
      </w:r>
      <w:r>
        <w:rPr>
          <w:color w:val="000000" w:themeColor="text1"/>
        </w:rPr>
        <w:t xml:space="preserve"> </w:t>
      </w:r>
      <w:r w:rsidR="00B34A41">
        <w:rPr>
          <w:color w:val="000000" w:themeColor="text1"/>
        </w:rPr>
        <w:t>instigated a transformation of the Indonesian health system</w:t>
      </w:r>
      <w:r w:rsidR="001F0A6F" w:rsidRPr="00485044">
        <w:t xml:space="preserve"> (202</w:t>
      </w:r>
      <w:r w:rsidRPr="00485044">
        <w:t>1</w:t>
      </w:r>
      <w:r w:rsidR="001F0A6F" w:rsidRPr="00485044">
        <w:t>-2024),</w:t>
      </w:r>
      <w:r w:rsidR="001F0A6F">
        <w:rPr>
          <w:color w:val="000000" w:themeColor="text1"/>
        </w:rPr>
        <w:t xml:space="preserve"> </w:t>
      </w:r>
      <w:r w:rsidR="00666D5E">
        <w:rPr>
          <w:color w:val="000000" w:themeColor="text1"/>
        </w:rPr>
        <w:t xml:space="preserve">requesting support from other </w:t>
      </w:r>
      <w:r w:rsidR="001F0A6F">
        <w:rPr>
          <w:color w:val="000000" w:themeColor="text1"/>
        </w:rPr>
        <w:t>countries including Australia</w:t>
      </w:r>
      <w:r w:rsidR="00B34A41">
        <w:rPr>
          <w:color w:val="000000" w:themeColor="text1"/>
        </w:rPr>
        <w:t>.</w:t>
      </w:r>
      <w:r>
        <w:rPr>
          <w:color w:val="000000" w:themeColor="text1"/>
        </w:rPr>
        <w:t xml:space="preserve"> </w:t>
      </w:r>
    </w:p>
    <w:p w14:paraId="234429A6" w14:textId="02D7B7E6" w:rsidR="00055538" w:rsidRDefault="001F0A6F" w:rsidP="008C0CD0">
      <w:pPr>
        <w:spacing w:after="120" w:line="240" w:lineRule="auto"/>
        <w:rPr>
          <w:color w:val="000000" w:themeColor="text1"/>
        </w:rPr>
      </w:pPr>
      <w:r w:rsidRPr="48362220">
        <w:rPr>
          <w:color w:val="000000" w:themeColor="text1"/>
        </w:rPr>
        <w:t xml:space="preserve">Last mile vaccination efforts </w:t>
      </w:r>
      <w:r w:rsidR="42707016" w:rsidRPr="48362220">
        <w:rPr>
          <w:color w:val="000000" w:themeColor="text1"/>
        </w:rPr>
        <w:t xml:space="preserve">in 2022 </w:t>
      </w:r>
      <w:r w:rsidRPr="48362220">
        <w:rPr>
          <w:color w:val="000000" w:themeColor="text1"/>
        </w:rPr>
        <w:t>have focused on reaching at-risk groups including the elderly and people with disabilities, as vaccination rates for these groups remain significantly lower than</w:t>
      </w:r>
      <w:r w:rsidR="00956310" w:rsidRPr="48362220">
        <w:rPr>
          <w:color w:val="000000" w:themeColor="text1"/>
        </w:rPr>
        <w:t xml:space="preserve"> for</w:t>
      </w:r>
      <w:r w:rsidRPr="48362220">
        <w:rPr>
          <w:color w:val="000000" w:themeColor="text1"/>
        </w:rPr>
        <w:t xml:space="preserve"> the general population. While last mile activities have had some success, </w:t>
      </w:r>
      <w:r w:rsidR="002C62CE" w:rsidRPr="48362220">
        <w:rPr>
          <w:color w:val="000000" w:themeColor="text1"/>
        </w:rPr>
        <w:t xml:space="preserve">barriers such as </w:t>
      </w:r>
      <w:r w:rsidRPr="48362220">
        <w:rPr>
          <w:color w:val="000000" w:themeColor="text1"/>
        </w:rPr>
        <w:t xml:space="preserve">beliefs that COVID-19 is no longer an issue or that further vaccination is unnecessary have hampered efforts. </w:t>
      </w:r>
      <w:r w:rsidR="00956310" w:rsidRPr="48362220">
        <w:rPr>
          <w:color w:val="000000" w:themeColor="text1"/>
        </w:rPr>
        <w:t>Limited disaggregated data collection for COVID-19 vaccination of at-risk groups</w:t>
      </w:r>
      <w:r w:rsidR="002C62CE" w:rsidRPr="48362220">
        <w:rPr>
          <w:color w:val="000000" w:themeColor="text1"/>
        </w:rPr>
        <w:t xml:space="preserve"> has </w:t>
      </w:r>
      <w:r w:rsidR="007852D3" w:rsidRPr="48362220">
        <w:rPr>
          <w:color w:val="000000" w:themeColor="text1"/>
        </w:rPr>
        <w:t xml:space="preserve">restricted </w:t>
      </w:r>
      <w:r w:rsidR="002C62CE" w:rsidRPr="48362220">
        <w:rPr>
          <w:color w:val="000000" w:themeColor="text1"/>
        </w:rPr>
        <w:t xml:space="preserve">the ability to </w:t>
      </w:r>
      <w:r w:rsidR="00147B3F" w:rsidRPr="48362220">
        <w:rPr>
          <w:color w:val="000000" w:themeColor="text1"/>
        </w:rPr>
        <w:t xml:space="preserve">identify and </w:t>
      </w:r>
      <w:r w:rsidR="002C62CE" w:rsidRPr="48362220">
        <w:rPr>
          <w:color w:val="000000" w:themeColor="text1"/>
        </w:rPr>
        <w:t xml:space="preserve">follow up individual cases to ensure </w:t>
      </w:r>
      <w:r w:rsidR="00D32B17" w:rsidRPr="48362220">
        <w:rPr>
          <w:color w:val="000000" w:themeColor="text1"/>
        </w:rPr>
        <w:t xml:space="preserve">they complete </w:t>
      </w:r>
      <w:r w:rsidR="002C62CE" w:rsidRPr="48362220">
        <w:rPr>
          <w:color w:val="000000" w:themeColor="text1"/>
        </w:rPr>
        <w:t>a full course of vaccination</w:t>
      </w:r>
      <w:r w:rsidR="00D32B17" w:rsidRPr="48362220">
        <w:rPr>
          <w:color w:val="000000" w:themeColor="text1"/>
        </w:rPr>
        <w:t>.</w:t>
      </w:r>
      <w:r w:rsidR="00C04EF9" w:rsidRPr="48362220">
        <w:rPr>
          <w:color w:val="000000" w:themeColor="text1"/>
        </w:rPr>
        <w:t xml:space="preserve"> Meanwhile, UNICEF reported routine vaccination coverage dropped from </w:t>
      </w:r>
      <w:r w:rsidR="00783A3F" w:rsidRPr="48362220">
        <w:rPr>
          <w:color w:val="000000" w:themeColor="text1"/>
        </w:rPr>
        <w:t xml:space="preserve">80% in 2020 to 50% in </w:t>
      </w:r>
      <w:r w:rsidR="00D32B17" w:rsidRPr="48362220">
        <w:rPr>
          <w:color w:val="000000" w:themeColor="text1"/>
        </w:rPr>
        <w:t xml:space="preserve">Indonesia in </w:t>
      </w:r>
      <w:r w:rsidR="00783A3F" w:rsidRPr="48362220">
        <w:rPr>
          <w:color w:val="000000" w:themeColor="text1"/>
        </w:rPr>
        <w:t>2021 due to COVID-19.</w:t>
      </w:r>
    </w:p>
    <w:p w14:paraId="53E81C0A" w14:textId="0B7985C2" w:rsidR="00635A47" w:rsidRPr="009F79D9" w:rsidRDefault="00635A47" w:rsidP="00635A47">
      <w:pPr>
        <w:pStyle w:val="Heading2"/>
        <w:rPr>
          <w:color w:val="1F4E79" w:themeColor="accent5" w:themeShade="80"/>
        </w:rPr>
      </w:pPr>
      <w:bookmarkStart w:id="45" w:name="_Toc135837398"/>
      <w:r w:rsidRPr="009F79D9">
        <w:rPr>
          <w:color w:val="1F4E79" w:themeColor="accent5" w:themeShade="80"/>
        </w:rPr>
        <w:t>2.3</w:t>
      </w:r>
      <w:r w:rsidRPr="009F79D9">
        <w:rPr>
          <w:color w:val="1F4E79" w:themeColor="accent5" w:themeShade="80"/>
        </w:rPr>
        <w:tab/>
        <w:t>MoH transformation agenda and restructure</w:t>
      </w:r>
      <w:bookmarkEnd w:id="45"/>
    </w:p>
    <w:p w14:paraId="147AF042" w14:textId="164F5AFA" w:rsidR="00055538" w:rsidRPr="007A3FA6" w:rsidRDefault="00055538" w:rsidP="48362220">
      <w:pPr>
        <w:spacing w:after="120" w:line="240" w:lineRule="auto"/>
        <w:rPr>
          <w:rFonts w:eastAsia="Calibri"/>
        </w:rPr>
      </w:pPr>
      <w:r w:rsidRPr="48362220">
        <w:rPr>
          <w:rFonts w:eastAsia="Calibri"/>
        </w:rPr>
        <w:t xml:space="preserve">In </w:t>
      </w:r>
      <w:r w:rsidR="001F0A6F" w:rsidRPr="48362220">
        <w:rPr>
          <w:rFonts w:eastAsia="Calibri"/>
        </w:rPr>
        <w:t>2021</w:t>
      </w:r>
      <w:r w:rsidRPr="48362220">
        <w:rPr>
          <w:rFonts w:eastAsia="Calibri"/>
        </w:rPr>
        <w:t xml:space="preserve">, MoH established the Digital Transformation Office (DTO) to transform healthcare in Indonesia through data and technology. </w:t>
      </w:r>
      <w:r w:rsidRPr="48362220">
        <w:rPr>
          <w:rStyle w:val="normaltextrun"/>
          <w:color w:val="000000"/>
          <w:shd w:val="clear" w:color="auto" w:fill="FFFFFF"/>
          <w:lang w:val="en-US"/>
        </w:rPr>
        <w:t xml:space="preserve">In the MoH there are more than 450 health information </w:t>
      </w:r>
      <w:r w:rsidR="00D40942">
        <w:rPr>
          <w:rStyle w:val="normaltextrun"/>
          <w:color w:val="000000"/>
          <w:shd w:val="clear" w:color="auto" w:fill="FFFFFF"/>
          <w:lang w:val="en-US"/>
        </w:rPr>
        <w:t>applications</w:t>
      </w:r>
      <w:r w:rsidRPr="48362220">
        <w:rPr>
          <w:rStyle w:val="normaltextrun"/>
          <w:color w:val="000000"/>
          <w:shd w:val="clear" w:color="auto" w:fill="FFFFFF"/>
          <w:lang w:val="en-US"/>
        </w:rPr>
        <w:t xml:space="preserve">. At </w:t>
      </w:r>
      <w:r w:rsidR="007852D3" w:rsidRPr="48362220">
        <w:rPr>
          <w:rStyle w:val="normaltextrun"/>
          <w:color w:val="000000"/>
          <w:shd w:val="clear" w:color="auto" w:fill="FFFFFF"/>
          <w:lang w:val="en-US"/>
        </w:rPr>
        <w:t>the</w:t>
      </w:r>
      <w:r w:rsidRPr="48362220">
        <w:rPr>
          <w:rStyle w:val="normaltextrun"/>
          <w:color w:val="000000"/>
          <w:shd w:val="clear" w:color="auto" w:fill="FFFFFF"/>
          <w:lang w:val="en-US"/>
        </w:rPr>
        <w:t xml:space="preserve"> </w:t>
      </w:r>
      <w:proofErr w:type="spellStart"/>
      <w:r w:rsidRPr="48362220">
        <w:rPr>
          <w:rStyle w:val="normaltextrun"/>
          <w:color w:val="000000"/>
          <w:shd w:val="clear" w:color="auto" w:fill="FFFFFF"/>
          <w:lang w:val="en-US"/>
        </w:rPr>
        <w:t>puskesmas</w:t>
      </w:r>
      <w:proofErr w:type="spellEnd"/>
      <w:r w:rsidR="004D4E5A" w:rsidRPr="48362220">
        <w:rPr>
          <w:rStyle w:val="normaltextrun"/>
          <w:color w:val="000000"/>
          <w:shd w:val="clear" w:color="auto" w:fill="FFFFFF"/>
          <w:lang w:val="en-US"/>
        </w:rPr>
        <w:t xml:space="preserve"> (community health </w:t>
      </w:r>
      <w:proofErr w:type="spellStart"/>
      <w:r w:rsidR="004D4E5A" w:rsidRPr="48362220">
        <w:rPr>
          <w:rStyle w:val="normaltextrun"/>
          <w:color w:val="000000"/>
          <w:shd w:val="clear" w:color="auto" w:fill="FFFFFF"/>
          <w:lang w:val="en-US"/>
        </w:rPr>
        <w:t>centre</w:t>
      </w:r>
      <w:proofErr w:type="spellEnd"/>
      <w:r w:rsidR="004D4E5A" w:rsidRPr="48362220">
        <w:rPr>
          <w:rStyle w:val="normaltextrun"/>
          <w:color w:val="000000"/>
          <w:shd w:val="clear" w:color="auto" w:fill="FFFFFF"/>
          <w:lang w:val="en-US"/>
        </w:rPr>
        <w:t>)</w:t>
      </w:r>
      <w:r w:rsidRPr="48362220">
        <w:rPr>
          <w:rStyle w:val="normaltextrun"/>
          <w:color w:val="000000"/>
          <w:shd w:val="clear" w:color="auto" w:fill="FFFFFF"/>
          <w:lang w:val="en-US"/>
        </w:rPr>
        <w:t xml:space="preserve"> level, staff </w:t>
      </w:r>
      <w:r w:rsidR="007852D3" w:rsidRPr="48362220">
        <w:rPr>
          <w:rStyle w:val="normaltextrun"/>
          <w:color w:val="000000"/>
          <w:shd w:val="clear" w:color="auto" w:fill="FFFFFF"/>
          <w:lang w:val="en-US"/>
        </w:rPr>
        <w:t xml:space="preserve">are required </w:t>
      </w:r>
      <w:r w:rsidRPr="48362220">
        <w:rPr>
          <w:rStyle w:val="normaltextrun"/>
          <w:color w:val="000000"/>
          <w:shd w:val="clear" w:color="auto" w:fill="FFFFFF"/>
          <w:lang w:val="en-US"/>
        </w:rPr>
        <w:t>to input data in</w:t>
      </w:r>
      <w:r w:rsidR="004A35DD" w:rsidRPr="48362220">
        <w:rPr>
          <w:rStyle w:val="normaltextrun"/>
          <w:color w:val="000000"/>
          <w:shd w:val="clear" w:color="auto" w:fill="FFFFFF"/>
          <w:lang w:val="en-US"/>
        </w:rPr>
        <w:t>to</w:t>
      </w:r>
      <w:r w:rsidRPr="48362220">
        <w:rPr>
          <w:rStyle w:val="normaltextrun"/>
          <w:color w:val="000000"/>
          <w:shd w:val="clear" w:color="auto" w:fill="FFFFFF"/>
          <w:lang w:val="en-US"/>
        </w:rPr>
        <w:t xml:space="preserve"> </w:t>
      </w:r>
      <w:r w:rsidR="00AA78D4" w:rsidRPr="48362220">
        <w:rPr>
          <w:rStyle w:val="normaltextrun"/>
          <w:color w:val="000000"/>
          <w:shd w:val="clear" w:color="auto" w:fill="FFFFFF"/>
          <w:lang w:val="en-US"/>
        </w:rPr>
        <w:t>more than</w:t>
      </w:r>
      <w:r w:rsidRPr="48362220">
        <w:rPr>
          <w:rStyle w:val="normaltextrun"/>
          <w:color w:val="000000"/>
          <w:shd w:val="clear" w:color="auto" w:fill="FFFFFF"/>
          <w:lang w:val="en-US"/>
        </w:rPr>
        <w:t xml:space="preserve"> 70 different health information </w:t>
      </w:r>
      <w:r w:rsidR="00D40942">
        <w:rPr>
          <w:rStyle w:val="normaltextrun"/>
          <w:color w:val="000000"/>
          <w:shd w:val="clear" w:color="auto" w:fill="FFFFFF"/>
          <w:lang w:val="en-US"/>
        </w:rPr>
        <w:t>applications</w:t>
      </w:r>
      <w:r w:rsidR="001F0A6F" w:rsidRPr="48362220">
        <w:rPr>
          <w:rStyle w:val="normaltextrun"/>
          <w:color w:val="000000"/>
          <w:shd w:val="clear" w:color="auto" w:fill="FFFFFF"/>
          <w:lang w:val="en-US"/>
        </w:rPr>
        <w:t xml:space="preserve">. </w:t>
      </w:r>
      <w:proofErr w:type="spellStart"/>
      <w:r w:rsidRPr="48362220">
        <w:rPr>
          <w:rFonts w:eastAsia="Calibri"/>
          <w:lang w:val="en-US"/>
        </w:rPr>
        <w:t>Digitisation</w:t>
      </w:r>
      <w:proofErr w:type="spellEnd"/>
      <w:r w:rsidRPr="48362220">
        <w:rPr>
          <w:rFonts w:eastAsia="Calibri"/>
          <w:lang w:val="en-US"/>
        </w:rPr>
        <w:t xml:space="preserve"> presents novel challenges for effective implementation, as </w:t>
      </w:r>
      <w:proofErr w:type="spellStart"/>
      <w:r w:rsidR="00C419AB" w:rsidRPr="48362220">
        <w:rPr>
          <w:rFonts w:eastAsia="Calibri"/>
          <w:lang w:val="en-US"/>
        </w:rPr>
        <w:t>p</w:t>
      </w:r>
      <w:r w:rsidRPr="48362220">
        <w:rPr>
          <w:rFonts w:eastAsia="Calibri"/>
          <w:lang w:val="en-US"/>
        </w:rPr>
        <w:t>uskesmas</w:t>
      </w:r>
      <w:proofErr w:type="spellEnd"/>
      <w:r w:rsidRPr="48362220">
        <w:rPr>
          <w:rFonts w:eastAsia="Calibri"/>
          <w:lang w:val="en-US"/>
        </w:rPr>
        <w:t xml:space="preserve"> and health workers across the country have different levels of digital literacy</w:t>
      </w:r>
      <w:r w:rsidR="00040D4D" w:rsidRPr="48362220">
        <w:rPr>
          <w:rFonts w:eastAsia="Calibri"/>
          <w:lang w:val="en-US"/>
        </w:rPr>
        <w:t xml:space="preserve"> and access to </w:t>
      </w:r>
      <w:r w:rsidR="00EF2AF0" w:rsidRPr="48362220">
        <w:rPr>
          <w:rFonts w:eastAsia="Calibri"/>
          <w:lang w:val="en-US"/>
        </w:rPr>
        <w:t>the internet</w:t>
      </w:r>
      <w:r w:rsidRPr="48362220">
        <w:rPr>
          <w:rFonts w:eastAsia="Calibri"/>
          <w:lang w:val="en-US"/>
        </w:rPr>
        <w:t xml:space="preserve">. Currently, 700 </w:t>
      </w:r>
      <w:proofErr w:type="spellStart"/>
      <w:r w:rsidR="00C419AB" w:rsidRPr="48362220">
        <w:rPr>
          <w:rFonts w:eastAsia="Calibri"/>
          <w:lang w:val="en-US"/>
        </w:rPr>
        <w:t>p</w:t>
      </w:r>
      <w:r w:rsidRPr="48362220">
        <w:rPr>
          <w:rFonts w:eastAsia="Calibri"/>
          <w:lang w:val="en-US"/>
        </w:rPr>
        <w:t>uskesmas</w:t>
      </w:r>
      <w:proofErr w:type="spellEnd"/>
      <w:r w:rsidRPr="48362220">
        <w:rPr>
          <w:rFonts w:eastAsia="Calibri"/>
          <w:lang w:val="en-US"/>
        </w:rPr>
        <w:t xml:space="preserve"> have no access to </w:t>
      </w:r>
      <w:r w:rsidR="00147B3F" w:rsidRPr="48362220">
        <w:rPr>
          <w:rFonts w:eastAsia="Calibri"/>
          <w:lang w:val="en-US"/>
        </w:rPr>
        <w:t>the internet</w:t>
      </w:r>
      <w:r w:rsidRPr="48362220">
        <w:rPr>
          <w:rFonts w:eastAsia="Calibri"/>
          <w:lang w:val="en-US"/>
        </w:rPr>
        <w:t xml:space="preserve">, </w:t>
      </w:r>
      <w:r w:rsidR="007852D3" w:rsidRPr="48362220">
        <w:rPr>
          <w:rFonts w:eastAsia="Calibri"/>
          <w:lang w:val="en-US"/>
        </w:rPr>
        <w:t xml:space="preserve">and </w:t>
      </w:r>
      <w:r w:rsidRPr="48362220">
        <w:rPr>
          <w:rFonts w:eastAsia="Calibri"/>
          <w:lang w:val="en-US"/>
        </w:rPr>
        <w:t xml:space="preserve">1,400 insufficient access. </w:t>
      </w:r>
      <w:r w:rsidRPr="48362220">
        <w:t>I</w:t>
      </w:r>
      <w:r w:rsidRPr="48362220">
        <w:rPr>
          <w:rFonts w:eastAsia="Calibri"/>
        </w:rPr>
        <w:t>n February 2022, MoH undertook a major organisational restructur</w:t>
      </w:r>
      <w:r w:rsidR="001F0A6F" w:rsidRPr="48362220">
        <w:rPr>
          <w:rFonts w:eastAsia="Calibri"/>
        </w:rPr>
        <w:t>e</w:t>
      </w:r>
      <w:r w:rsidRPr="48362220">
        <w:rPr>
          <w:rFonts w:eastAsia="Calibri"/>
        </w:rPr>
        <w:t xml:space="preserve">, including changes to some of the key departments </w:t>
      </w:r>
      <w:r w:rsidR="001F0A6F" w:rsidRPr="48362220">
        <w:rPr>
          <w:rFonts w:eastAsia="Calibri"/>
        </w:rPr>
        <w:t xml:space="preserve">that </w:t>
      </w:r>
      <w:r w:rsidRPr="48362220">
        <w:rPr>
          <w:rFonts w:eastAsia="Calibri"/>
        </w:rPr>
        <w:t>AIHSP work</w:t>
      </w:r>
      <w:r w:rsidR="001F0A6F" w:rsidRPr="48362220">
        <w:rPr>
          <w:rFonts w:eastAsia="Calibri"/>
        </w:rPr>
        <w:t>s</w:t>
      </w:r>
      <w:r w:rsidRPr="48362220">
        <w:rPr>
          <w:rFonts w:eastAsia="Calibri"/>
        </w:rPr>
        <w:t xml:space="preserve"> with. The restructure </w:t>
      </w:r>
      <w:r w:rsidR="001F0A6F" w:rsidRPr="48362220">
        <w:rPr>
          <w:rFonts w:eastAsia="Calibri"/>
        </w:rPr>
        <w:t xml:space="preserve">resulted in delays to </w:t>
      </w:r>
      <w:r w:rsidRPr="48362220">
        <w:rPr>
          <w:rFonts w:eastAsia="Calibri"/>
        </w:rPr>
        <w:t>some AIHSP activities, including</w:t>
      </w:r>
      <w:r w:rsidR="001F0A6F" w:rsidRPr="48362220">
        <w:rPr>
          <w:rFonts w:eastAsia="Calibri"/>
        </w:rPr>
        <w:t xml:space="preserve"> work with</w:t>
      </w:r>
      <w:r w:rsidRPr="48362220">
        <w:rPr>
          <w:rFonts w:eastAsia="Calibri"/>
        </w:rPr>
        <w:t xml:space="preserve"> </w:t>
      </w:r>
      <w:r w:rsidR="001F0A6F" w:rsidRPr="48362220">
        <w:rPr>
          <w:rFonts w:eastAsia="Calibri"/>
        </w:rPr>
        <w:t xml:space="preserve">public health </w:t>
      </w:r>
      <w:r w:rsidRPr="48362220">
        <w:rPr>
          <w:rFonts w:eastAsia="Calibri"/>
        </w:rPr>
        <w:t>laborator</w:t>
      </w:r>
      <w:r w:rsidR="001F0A6F" w:rsidRPr="48362220">
        <w:rPr>
          <w:rFonts w:eastAsia="Calibri"/>
        </w:rPr>
        <w:t xml:space="preserve">ies </w:t>
      </w:r>
      <w:r w:rsidRPr="48362220">
        <w:rPr>
          <w:rFonts w:eastAsia="Calibri"/>
        </w:rPr>
        <w:t xml:space="preserve">and </w:t>
      </w:r>
      <w:r w:rsidR="001F0A6F" w:rsidRPr="48362220">
        <w:rPr>
          <w:rFonts w:eastAsia="Calibri"/>
        </w:rPr>
        <w:t>e</w:t>
      </w:r>
      <w:r w:rsidRPr="48362220">
        <w:rPr>
          <w:rFonts w:eastAsia="Calibri"/>
        </w:rPr>
        <w:t xml:space="preserve">mergency </w:t>
      </w:r>
      <w:r w:rsidR="001F0A6F" w:rsidRPr="48362220">
        <w:rPr>
          <w:rFonts w:eastAsia="Calibri"/>
        </w:rPr>
        <w:t>o</w:t>
      </w:r>
      <w:r w:rsidRPr="48362220">
        <w:rPr>
          <w:rFonts w:eastAsia="Calibri"/>
        </w:rPr>
        <w:t>peration</w:t>
      </w:r>
      <w:r w:rsidR="001F0A6F" w:rsidRPr="48362220">
        <w:rPr>
          <w:rFonts w:eastAsia="Calibri"/>
        </w:rPr>
        <w:t>s</w:t>
      </w:r>
      <w:r w:rsidRPr="48362220">
        <w:rPr>
          <w:rFonts w:eastAsia="Calibri"/>
        </w:rPr>
        <w:t xml:space="preserve"> </w:t>
      </w:r>
      <w:r w:rsidR="001F0A6F" w:rsidRPr="48362220">
        <w:rPr>
          <w:rFonts w:eastAsia="Calibri"/>
        </w:rPr>
        <w:t>c</w:t>
      </w:r>
      <w:r w:rsidRPr="48362220">
        <w:rPr>
          <w:rFonts w:eastAsia="Calibri"/>
        </w:rPr>
        <w:t>entre</w:t>
      </w:r>
      <w:r w:rsidR="001F0A6F" w:rsidRPr="48362220">
        <w:rPr>
          <w:rFonts w:eastAsia="Calibri"/>
        </w:rPr>
        <w:t>s</w:t>
      </w:r>
      <w:r w:rsidRPr="48362220">
        <w:rPr>
          <w:rFonts w:eastAsia="Calibri"/>
        </w:rPr>
        <w:t>.</w:t>
      </w:r>
    </w:p>
    <w:p w14:paraId="31888C55" w14:textId="039FFF27" w:rsidR="00635A47" w:rsidRPr="00635A47" w:rsidRDefault="00635A47" w:rsidP="00635A47">
      <w:pPr>
        <w:pStyle w:val="Heading2"/>
        <w:rPr>
          <w:rFonts w:eastAsia="Calibri" w:cstheme="majorHAnsi"/>
        </w:rPr>
      </w:pPr>
      <w:bookmarkStart w:id="46" w:name="_Toc135837399"/>
      <w:r w:rsidRPr="00635A47">
        <w:rPr>
          <w:rFonts w:eastAsia="Calibri" w:cstheme="majorHAnsi"/>
        </w:rPr>
        <w:t>2.4</w:t>
      </w:r>
      <w:r>
        <w:rPr>
          <w:rFonts w:ascii="Calibri" w:eastAsia="Calibri" w:hAnsi="Calibri" w:cs="Calibri"/>
        </w:rPr>
        <w:tab/>
      </w:r>
      <w:r w:rsidRPr="00635A47">
        <w:rPr>
          <w:rFonts w:eastAsia="Calibri" w:cstheme="majorHAnsi"/>
        </w:rPr>
        <w:t>Transboundary animal disease outbreak</w:t>
      </w:r>
      <w:r w:rsidR="009F79D9">
        <w:rPr>
          <w:rFonts w:eastAsia="Calibri" w:cstheme="majorHAnsi"/>
        </w:rPr>
        <w:t>s</w:t>
      </w:r>
      <w:bookmarkEnd w:id="46"/>
    </w:p>
    <w:p w14:paraId="7E4B1197" w14:textId="607FB4F2" w:rsidR="00635A47" w:rsidRPr="007A3FA6" w:rsidRDefault="00055538" w:rsidP="48362220">
      <w:pPr>
        <w:spacing w:after="120" w:line="240" w:lineRule="auto"/>
        <w:rPr>
          <w:rFonts w:eastAsia="Calibri"/>
          <w:color w:val="000000" w:themeColor="text1"/>
          <w:lang w:val="en-US"/>
        </w:rPr>
      </w:pPr>
      <w:r w:rsidRPr="48362220">
        <w:rPr>
          <w:rFonts w:eastAsia="Calibri"/>
          <w:color w:val="000000" w:themeColor="text1"/>
        </w:rPr>
        <w:t>The implementation of AIHSP has been affected by major transboundary animal disease (TAD)</w:t>
      </w:r>
      <w:r w:rsidR="00F00F0C" w:rsidRPr="48362220">
        <w:rPr>
          <w:rFonts w:eastAsia="Calibri"/>
          <w:color w:val="000000" w:themeColor="text1"/>
        </w:rPr>
        <w:t xml:space="preserve"> outbreaks in Indonesia.</w:t>
      </w:r>
      <w:r w:rsidRPr="48362220">
        <w:rPr>
          <w:rFonts w:eastAsia="Calibri"/>
          <w:color w:val="000000" w:themeColor="text1"/>
        </w:rPr>
        <w:t xml:space="preserve"> </w:t>
      </w:r>
      <w:r w:rsidR="7170B0AE" w:rsidRPr="48362220">
        <w:rPr>
          <w:rFonts w:eastAsia="Calibri"/>
          <w:color w:val="000000" w:themeColor="text1"/>
        </w:rPr>
        <w:t>First c</w:t>
      </w:r>
      <w:r w:rsidRPr="48362220">
        <w:rPr>
          <w:rFonts w:eastAsia="Calibri"/>
          <w:color w:val="000000" w:themeColor="text1"/>
        </w:rPr>
        <w:t xml:space="preserve">ases of lumpy skin disease (LSD) occurred </w:t>
      </w:r>
      <w:r w:rsidR="00AA78D4" w:rsidRPr="48362220">
        <w:rPr>
          <w:rFonts w:eastAsia="Calibri"/>
          <w:color w:val="000000" w:themeColor="text1"/>
        </w:rPr>
        <w:t xml:space="preserve">in January 2022 </w:t>
      </w:r>
      <w:r w:rsidRPr="48362220">
        <w:rPr>
          <w:rFonts w:eastAsia="Calibri"/>
          <w:color w:val="000000" w:themeColor="text1"/>
        </w:rPr>
        <w:t xml:space="preserve">and foot and mouth disease (FMD) in April 2022. This meant </w:t>
      </w:r>
      <w:r w:rsidR="00F00F0C" w:rsidRPr="48362220">
        <w:rPr>
          <w:rFonts w:eastAsia="Calibri"/>
          <w:color w:val="000000" w:themeColor="text1"/>
        </w:rPr>
        <w:t>that</w:t>
      </w:r>
      <w:r w:rsidRPr="48362220">
        <w:rPr>
          <w:rFonts w:eastAsia="Calibri"/>
          <w:color w:val="000000" w:themeColor="text1"/>
        </w:rPr>
        <w:t xml:space="preserve"> government partners</w:t>
      </w:r>
      <w:r w:rsidR="00F00F0C" w:rsidRPr="48362220">
        <w:rPr>
          <w:rFonts w:eastAsia="Calibri"/>
          <w:color w:val="000000" w:themeColor="text1"/>
        </w:rPr>
        <w:t>, such</w:t>
      </w:r>
      <w:r w:rsidRPr="48362220">
        <w:rPr>
          <w:rFonts w:eastAsia="Calibri"/>
          <w:color w:val="000000" w:themeColor="text1"/>
        </w:rPr>
        <w:t xml:space="preserve"> </w:t>
      </w:r>
      <w:r w:rsidR="00F00F0C" w:rsidRPr="48362220">
        <w:rPr>
          <w:rFonts w:eastAsia="Calibri"/>
          <w:color w:val="000000" w:themeColor="text1"/>
        </w:rPr>
        <w:t>as</w:t>
      </w:r>
      <w:r w:rsidRPr="48362220">
        <w:rPr>
          <w:rFonts w:eastAsia="Calibri"/>
          <w:color w:val="000000" w:themeColor="text1"/>
        </w:rPr>
        <w:t xml:space="preserve"> the </w:t>
      </w:r>
      <w:proofErr w:type="spellStart"/>
      <w:r w:rsidRPr="48362220">
        <w:rPr>
          <w:rFonts w:eastAsia="Calibri"/>
          <w:color w:val="000000" w:themeColor="text1"/>
        </w:rPr>
        <w:t>MoA</w:t>
      </w:r>
      <w:proofErr w:type="spellEnd"/>
      <w:r w:rsidR="00F00F0C" w:rsidRPr="48362220">
        <w:rPr>
          <w:rFonts w:eastAsia="Calibri"/>
          <w:color w:val="000000" w:themeColor="text1"/>
        </w:rPr>
        <w:t>,</w:t>
      </w:r>
      <w:r w:rsidRPr="48362220">
        <w:rPr>
          <w:rFonts w:eastAsia="Calibri"/>
          <w:color w:val="000000" w:themeColor="text1"/>
        </w:rPr>
        <w:t xml:space="preserve"> shifted</w:t>
      </w:r>
      <w:r w:rsidR="00F00F0C" w:rsidRPr="48362220">
        <w:rPr>
          <w:rFonts w:eastAsia="Calibri"/>
          <w:color w:val="000000" w:themeColor="text1"/>
        </w:rPr>
        <w:t xml:space="preserve"> priority</w:t>
      </w:r>
      <w:r w:rsidRPr="48362220">
        <w:rPr>
          <w:rFonts w:eastAsia="Calibri"/>
          <w:color w:val="000000" w:themeColor="text1"/>
        </w:rPr>
        <w:t xml:space="preserve"> to outbreak response </w:t>
      </w:r>
      <w:r w:rsidR="00F00F0C" w:rsidRPr="48362220">
        <w:rPr>
          <w:rFonts w:eastAsia="Calibri"/>
          <w:color w:val="000000" w:themeColor="text1"/>
        </w:rPr>
        <w:t>over</w:t>
      </w:r>
      <w:r w:rsidRPr="48362220">
        <w:rPr>
          <w:rFonts w:eastAsia="Calibri"/>
          <w:color w:val="000000" w:themeColor="text1"/>
        </w:rPr>
        <w:t xml:space="preserve"> </w:t>
      </w:r>
      <w:r w:rsidR="006D28EC" w:rsidRPr="48362220">
        <w:rPr>
          <w:rFonts w:eastAsia="Calibri"/>
          <w:color w:val="000000" w:themeColor="text1"/>
        </w:rPr>
        <w:t>health system strengthening</w:t>
      </w:r>
      <w:r w:rsidR="00AA78D4" w:rsidRPr="48362220">
        <w:rPr>
          <w:rFonts w:eastAsia="Calibri"/>
          <w:color w:val="000000" w:themeColor="text1"/>
        </w:rPr>
        <w:t xml:space="preserve"> (HSS)</w:t>
      </w:r>
      <w:r w:rsidR="00F00F0C" w:rsidRPr="48362220">
        <w:rPr>
          <w:rFonts w:eastAsia="Calibri"/>
          <w:color w:val="000000" w:themeColor="text1"/>
        </w:rPr>
        <w:t xml:space="preserve">. </w:t>
      </w:r>
      <w:r w:rsidR="00743087" w:rsidRPr="48362220">
        <w:rPr>
          <w:rFonts w:eastAsia="Calibri"/>
          <w:color w:val="000000" w:themeColor="text1"/>
        </w:rPr>
        <w:t xml:space="preserve">A national emergency was </w:t>
      </w:r>
      <w:r w:rsidR="00743087" w:rsidRPr="48362220">
        <w:rPr>
          <w:rFonts w:eastAsia="Calibri"/>
          <w:color w:val="000000" w:themeColor="text1"/>
        </w:rPr>
        <w:lastRenderedPageBreak/>
        <w:t>announced for the FMD outbreak in June</w:t>
      </w:r>
      <w:r w:rsidR="00925F71" w:rsidRPr="48362220">
        <w:rPr>
          <w:rFonts w:eastAsia="Calibri"/>
          <w:color w:val="000000" w:themeColor="text1"/>
        </w:rPr>
        <w:t xml:space="preserve"> </w:t>
      </w:r>
      <w:r w:rsidR="334E4D63" w:rsidRPr="48362220">
        <w:rPr>
          <w:rFonts w:eastAsia="Calibri"/>
          <w:color w:val="000000" w:themeColor="text1"/>
        </w:rPr>
        <w:t>20</w:t>
      </w:r>
      <w:r w:rsidR="00925F71" w:rsidRPr="48362220">
        <w:rPr>
          <w:rFonts w:eastAsia="Calibri"/>
          <w:color w:val="000000" w:themeColor="text1"/>
        </w:rPr>
        <w:t>22</w:t>
      </w:r>
      <w:r w:rsidR="00743087" w:rsidRPr="48362220">
        <w:rPr>
          <w:rFonts w:eastAsia="Calibri"/>
          <w:color w:val="000000" w:themeColor="text1"/>
        </w:rPr>
        <w:t xml:space="preserve"> and a </w:t>
      </w:r>
      <w:r w:rsidRPr="48362220">
        <w:rPr>
          <w:rFonts w:eastAsia="Calibri"/>
          <w:color w:val="000000" w:themeColor="text1"/>
        </w:rPr>
        <w:t>National Task Force under BNPB</w:t>
      </w:r>
      <w:r w:rsidR="00086E40" w:rsidRPr="48362220">
        <w:rPr>
          <w:rFonts w:eastAsia="Calibri"/>
          <w:color w:val="000000" w:themeColor="text1"/>
        </w:rPr>
        <w:t xml:space="preserve"> (National Disaster </w:t>
      </w:r>
      <w:r w:rsidR="005B293D" w:rsidRPr="48362220">
        <w:rPr>
          <w:rFonts w:eastAsia="Calibri"/>
          <w:color w:val="000000" w:themeColor="text1"/>
        </w:rPr>
        <w:t>Management Agency</w:t>
      </w:r>
      <w:r w:rsidR="00086E40" w:rsidRPr="48362220">
        <w:rPr>
          <w:rFonts w:eastAsia="Calibri"/>
          <w:color w:val="000000" w:themeColor="text1"/>
        </w:rPr>
        <w:t>)</w:t>
      </w:r>
      <w:r w:rsidRPr="48362220">
        <w:rPr>
          <w:rFonts w:eastAsia="Calibri"/>
          <w:color w:val="000000" w:themeColor="text1"/>
        </w:rPr>
        <w:t xml:space="preserve"> was established to </w:t>
      </w:r>
      <w:r w:rsidR="00743087" w:rsidRPr="48362220">
        <w:rPr>
          <w:rFonts w:eastAsia="Calibri"/>
          <w:color w:val="000000" w:themeColor="text1"/>
        </w:rPr>
        <w:t xml:space="preserve">coordinate the response. </w:t>
      </w:r>
      <w:r w:rsidR="00EB7E8C" w:rsidRPr="48362220">
        <w:rPr>
          <w:rFonts w:eastAsia="Calibri"/>
          <w:color w:val="000000" w:themeColor="text1"/>
        </w:rPr>
        <w:t xml:space="preserve">The </w:t>
      </w:r>
      <w:proofErr w:type="spellStart"/>
      <w:r w:rsidR="00EB7E8C" w:rsidRPr="48362220">
        <w:rPr>
          <w:rFonts w:eastAsia="Calibri"/>
          <w:color w:val="000000" w:themeColor="text1"/>
        </w:rPr>
        <w:t>GoI</w:t>
      </w:r>
      <w:proofErr w:type="spellEnd"/>
      <w:r w:rsidR="00EB7E8C" w:rsidRPr="48362220">
        <w:rPr>
          <w:rFonts w:eastAsia="Calibri"/>
          <w:color w:val="000000" w:themeColor="text1"/>
        </w:rPr>
        <w:t xml:space="preserve"> did not declare a national emergency for LSD</w:t>
      </w:r>
      <w:r w:rsidR="00EB7E8C" w:rsidRPr="48362220">
        <w:rPr>
          <w:rFonts w:eastAsia="Calibri"/>
          <w:color w:val="000000" w:themeColor="text1"/>
          <w:lang w:val="en-US"/>
        </w:rPr>
        <w:t>,</w:t>
      </w:r>
      <w:r w:rsidR="00EB7E8C" w:rsidRPr="48362220">
        <w:rPr>
          <w:rFonts w:eastAsia="Calibri"/>
          <w:color w:val="000000" w:themeColor="text1"/>
        </w:rPr>
        <w:t xml:space="preserve"> </w:t>
      </w:r>
      <w:r w:rsidR="00EB7E8C" w:rsidRPr="48362220">
        <w:rPr>
          <w:rFonts w:eastAsia="Calibri"/>
          <w:color w:val="000000" w:themeColor="text1"/>
          <w:lang w:val="en-US"/>
        </w:rPr>
        <w:t xml:space="preserve">but </w:t>
      </w:r>
      <w:r w:rsidR="00EB7E8C" w:rsidRPr="48362220">
        <w:rPr>
          <w:rFonts w:eastAsia="Calibri"/>
          <w:color w:val="000000" w:themeColor="text1"/>
        </w:rPr>
        <w:t xml:space="preserve">the </w:t>
      </w:r>
      <w:proofErr w:type="spellStart"/>
      <w:r w:rsidR="00EB7E8C" w:rsidRPr="48362220">
        <w:rPr>
          <w:rFonts w:eastAsia="Calibri"/>
          <w:color w:val="000000" w:themeColor="text1"/>
        </w:rPr>
        <w:t>MoA</w:t>
      </w:r>
      <w:proofErr w:type="spellEnd"/>
      <w:r w:rsidR="00EB7E8C" w:rsidRPr="48362220">
        <w:rPr>
          <w:rFonts w:eastAsia="Calibri"/>
          <w:color w:val="000000" w:themeColor="text1"/>
        </w:rPr>
        <w:t xml:space="preserve"> did declare an outbreak of LSD which </w:t>
      </w:r>
      <w:r w:rsidR="005C1852">
        <w:rPr>
          <w:rFonts w:eastAsia="Calibri"/>
          <w:color w:val="000000" w:themeColor="text1"/>
        </w:rPr>
        <w:t>enabled</w:t>
      </w:r>
      <w:r w:rsidR="005C1852" w:rsidRPr="48362220">
        <w:rPr>
          <w:rFonts w:eastAsia="Calibri"/>
          <w:color w:val="000000" w:themeColor="text1"/>
        </w:rPr>
        <w:t xml:space="preserve"> </w:t>
      </w:r>
      <w:r w:rsidR="00EB7E8C" w:rsidRPr="48362220">
        <w:rPr>
          <w:rFonts w:eastAsia="Calibri"/>
          <w:color w:val="000000" w:themeColor="text1"/>
        </w:rPr>
        <w:t xml:space="preserve">the release of funds from their existing budget for an emergency response. </w:t>
      </w:r>
      <w:r w:rsidR="00A00A2E" w:rsidRPr="48362220">
        <w:rPr>
          <w:rFonts w:eastAsia="Calibri"/>
        </w:rPr>
        <w:t>Current legislation restricts provinces from receiving and storing vaccines until an outbreak has occurred</w:t>
      </w:r>
      <w:r w:rsidR="00887521">
        <w:rPr>
          <w:rFonts w:eastAsia="Calibri"/>
        </w:rPr>
        <w:t>.</w:t>
      </w:r>
      <w:r w:rsidR="00A00A2E" w:rsidRPr="48362220">
        <w:rPr>
          <w:rFonts w:eastAsia="Calibri"/>
        </w:rPr>
        <w:t xml:space="preserve"> </w:t>
      </w:r>
    </w:p>
    <w:p w14:paraId="4B5FDFA7" w14:textId="4DB11992" w:rsidR="00055538" w:rsidRDefault="00E0785B" w:rsidP="008C0CD0">
      <w:pPr>
        <w:spacing w:after="120" w:line="240" w:lineRule="auto"/>
        <w:rPr>
          <w:rFonts w:ascii="Calibri" w:eastAsia="Calibri" w:hAnsi="Calibri" w:cs="Calibri"/>
          <w:color w:val="000000" w:themeColor="text1"/>
        </w:rPr>
      </w:pPr>
      <w:r w:rsidRPr="48362220">
        <w:rPr>
          <w:rFonts w:eastAsia="Calibri"/>
          <w:lang w:val="en-US"/>
        </w:rPr>
        <w:t xml:space="preserve">On April 3, 2023, </w:t>
      </w:r>
      <w:r w:rsidRPr="48362220">
        <w:rPr>
          <w:rFonts w:eastAsia="Calibri"/>
          <w:color w:val="000000" w:themeColor="text1"/>
        </w:rPr>
        <w:t xml:space="preserve">the government </w:t>
      </w:r>
      <w:r w:rsidR="006D28EC" w:rsidRPr="48362220">
        <w:rPr>
          <w:rFonts w:eastAsia="Calibri"/>
          <w:color w:val="000000" w:themeColor="text1"/>
        </w:rPr>
        <w:t>revoked</w:t>
      </w:r>
      <w:r w:rsidRPr="48362220">
        <w:rPr>
          <w:rFonts w:eastAsia="Calibri"/>
          <w:color w:val="000000" w:themeColor="text1"/>
        </w:rPr>
        <w:t xml:space="preserve"> the declared emergency status for FMD</w:t>
      </w:r>
      <w:r w:rsidR="006D28EC" w:rsidRPr="48362220">
        <w:rPr>
          <w:rFonts w:eastAsia="Calibri"/>
          <w:color w:val="000000" w:themeColor="text1"/>
        </w:rPr>
        <w:t xml:space="preserve"> and</w:t>
      </w:r>
      <w:r w:rsidRPr="48362220">
        <w:rPr>
          <w:rFonts w:eastAsia="Calibri"/>
          <w:color w:val="000000" w:themeColor="text1"/>
        </w:rPr>
        <w:t xml:space="preserve"> announced the pandemic (epizootic) was over. The government also declared a joint task force of FMD and COVID-19 </w:t>
      </w:r>
      <w:r w:rsidR="006D28EC" w:rsidRPr="48362220">
        <w:rPr>
          <w:rFonts w:eastAsia="Calibri"/>
          <w:color w:val="000000" w:themeColor="text1"/>
        </w:rPr>
        <w:t xml:space="preserve">that will operate </w:t>
      </w:r>
      <w:r w:rsidRPr="48362220">
        <w:rPr>
          <w:rFonts w:eastAsia="Calibri"/>
          <w:color w:val="000000" w:themeColor="text1"/>
        </w:rPr>
        <w:t>until June 2023.</w:t>
      </w:r>
      <w:r w:rsidRPr="48362220">
        <w:rPr>
          <w:rStyle w:val="FootnoteReference"/>
          <w:rFonts w:eastAsia="Calibri"/>
          <w:color w:val="000000" w:themeColor="text1"/>
        </w:rPr>
        <w:footnoteReference w:id="15"/>
      </w:r>
      <w:r w:rsidRPr="48362220">
        <w:rPr>
          <w:rFonts w:eastAsia="Calibri"/>
          <w:color w:val="000000" w:themeColor="text1"/>
        </w:rPr>
        <w:t xml:space="preserve"> It is too early to </w:t>
      </w:r>
      <w:r w:rsidR="006D28EC" w:rsidRPr="48362220">
        <w:rPr>
          <w:rFonts w:eastAsia="Calibri"/>
          <w:color w:val="000000" w:themeColor="text1"/>
        </w:rPr>
        <w:t xml:space="preserve">determine </w:t>
      </w:r>
      <w:r w:rsidRPr="48362220">
        <w:rPr>
          <w:rFonts w:eastAsia="Calibri"/>
          <w:color w:val="000000" w:themeColor="text1"/>
        </w:rPr>
        <w:t xml:space="preserve">how this will impact implementation of the FMD response. </w:t>
      </w:r>
      <w:r w:rsidR="006D28EC" w:rsidRPr="48362220">
        <w:rPr>
          <w:rFonts w:eastAsia="Calibri"/>
          <w:color w:val="000000" w:themeColor="text1"/>
        </w:rPr>
        <w:t>In 2022, there were c</w:t>
      </w:r>
      <w:r w:rsidR="00055538" w:rsidRPr="48362220">
        <w:rPr>
          <w:rFonts w:eastAsia="Calibri"/>
          <w:color w:val="000000" w:themeColor="text1"/>
        </w:rPr>
        <w:t>onfirmed</w:t>
      </w:r>
      <w:r w:rsidRPr="48362220">
        <w:rPr>
          <w:rFonts w:eastAsia="Calibri"/>
          <w:color w:val="000000" w:themeColor="text1"/>
        </w:rPr>
        <w:t xml:space="preserve"> </w:t>
      </w:r>
      <w:r w:rsidR="00055538" w:rsidRPr="48362220">
        <w:rPr>
          <w:rFonts w:eastAsia="Calibri"/>
          <w:color w:val="000000" w:themeColor="text1"/>
        </w:rPr>
        <w:t>cases of rabies disease with cases</w:t>
      </w:r>
      <w:r w:rsidR="00F00F0C" w:rsidRPr="48362220">
        <w:rPr>
          <w:rFonts w:eastAsia="Calibri"/>
          <w:color w:val="000000" w:themeColor="text1"/>
        </w:rPr>
        <w:t xml:space="preserve"> of other diseases</w:t>
      </w:r>
      <w:r w:rsidR="00055538" w:rsidRPr="48362220">
        <w:rPr>
          <w:rFonts w:eastAsia="Calibri"/>
          <w:color w:val="000000" w:themeColor="text1"/>
        </w:rPr>
        <w:t xml:space="preserve"> </w:t>
      </w:r>
      <w:r w:rsidR="00F00F0C" w:rsidRPr="48362220">
        <w:rPr>
          <w:rFonts w:eastAsia="Calibri"/>
          <w:color w:val="000000" w:themeColor="text1"/>
        </w:rPr>
        <w:t xml:space="preserve">also </w:t>
      </w:r>
      <w:r w:rsidR="00055538" w:rsidRPr="48362220">
        <w:rPr>
          <w:rFonts w:eastAsia="Calibri"/>
          <w:color w:val="000000" w:themeColor="text1"/>
        </w:rPr>
        <w:t>reported including</w:t>
      </w:r>
      <w:r w:rsidR="00164C84" w:rsidRPr="48362220">
        <w:rPr>
          <w:rFonts w:eastAsia="Calibri"/>
          <w:color w:val="000000" w:themeColor="text1"/>
        </w:rPr>
        <w:t xml:space="preserve"> African </w:t>
      </w:r>
      <w:r w:rsidRPr="48362220">
        <w:rPr>
          <w:rFonts w:eastAsia="Calibri"/>
          <w:color w:val="000000" w:themeColor="text1"/>
        </w:rPr>
        <w:t>s</w:t>
      </w:r>
      <w:r w:rsidR="00164C84" w:rsidRPr="48362220">
        <w:rPr>
          <w:rFonts w:eastAsia="Calibri"/>
          <w:color w:val="000000" w:themeColor="text1"/>
        </w:rPr>
        <w:t xml:space="preserve">wine </w:t>
      </w:r>
      <w:r w:rsidRPr="48362220">
        <w:rPr>
          <w:rFonts w:eastAsia="Calibri"/>
          <w:color w:val="000000" w:themeColor="text1"/>
        </w:rPr>
        <w:t>f</w:t>
      </w:r>
      <w:r w:rsidR="00164C84" w:rsidRPr="48362220">
        <w:rPr>
          <w:rFonts w:eastAsia="Calibri"/>
          <w:color w:val="000000" w:themeColor="text1"/>
        </w:rPr>
        <w:t>ever</w:t>
      </w:r>
      <w:r w:rsidR="00055538" w:rsidRPr="48362220">
        <w:rPr>
          <w:rFonts w:eastAsia="Calibri"/>
          <w:color w:val="000000" w:themeColor="text1"/>
        </w:rPr>
        <w:t xml:space="preserve"> </w:t>
      </w:r>
      <w:r w:rsidR="00164C84" w:rsidRPr="48362220">
        <w:rPr>
          <w:rFonts w:eastAsia="Calibri"/>
          <w:color w:val="000000" w:themeColor="text1"/>
        </w:rPr>
        <w:t>(</w:t>
      </w:r>
      <w:r w:rsidR="00055538" w:rsidRPr="48362220">
        <w:rPr>
          <w:rFonts w:eastAsia="Calibri"/>
          <w:color w:val="000000" w:themeColor="text1"/>
        </w:rPr>
        <w:t>ASF</w:t>
      </w:r>
      <w:r w:rsidR="00164C84" w:rsidRPr="48362220">
        <w:rPr>
          <w:rFonts w:eastAsia="Calibri"/>
          <w:color w:val="000000" w:themeColor="text1"/>
        </w:rPr>
        <w:t>)</w:t>
      </w:r>
      <w:r w:rsidR="00055538" w:rsidRPr="48362220">
        <w:rPr>
          <w:rFonts w:eastAsia="Calibri"/>
          <w:color w:val="000000" w:themeColor="text1"/>
        </w:rPr>
        <w:t>, Brucellosis, Anthrax, Avian Influenza and Leptospirosis.</w:t>
      </w:r>
      <w:r w:rsidR="00F00F0C" w:rsidRPr="48362220">
        <w:rPr>
          <w:rFonts w:eastAsia="Calibri"/>
          <w:color w:val="000000" w:themeColor="text1"/>
        </w:rPr>
        <w:t xml:space="preserve"> </w:t>
      </w:r>
    </w:p>
    <w:p w14:paraId="0327B56D" w14:textId="307FACB6" w:rsidR="00635A47" w:rsidRPr="009F79D9" w:rsidRDefault="00635A47" w:rsidP="00635A47">
      <w:pPr>
        <w:pStyle w:val="Heading2"/>
        <w:rPr>
          <w:rFonts w:eastAsia="Calibri" w:cstheme="majorHAnsi"/>
          <w:color w:val="1F4E79" w:themeColor="accent5" w:themeShade="80"/>
        </w:rPr>
      </w:pPr>
      <w:bookmarkStart w:id="47" w:name="_Toc135837400"/>
      <w:r w:rsidRPr="009F79D9">
        <w:rPr>
          <w:rFonts w:eastAsia="Calibri" w:cstheme="majorHAnsi"/>
          <w:color w:val="1F4E79" w:themeColor="accent5" w:themeShade="80"/>
        </w:rPr>
        <w:t>2.5</w:t>
      </w:r>
      <w:r w:rsidRPr="009F79D9">
        <w:rPr>
          <w:rFonts w:eastAsia="Calibri" w:cstheme="majorHAnsi"/>
          <w:color w:val="1F4E79" w:themeColor="accent5" w:themeShade="80"/>
        </w:rPr>
        <w:tab/>
        <w:t xml:space="preserve">Visibility of </w:t>
      </w:r>
      <w:r w:rsidR="009F79D9">
        <w:rPr>
          <w:rFonts w:eastAsia="Calibri" w:cstheme="majorHAnsi"/>
          <w:color w:val="1F4E79" w:themeColor="accent5" w:themeShade="80"/>
        </w:rPr>
        <w:t xml:space="preserve">a </w:t>
      </w:r>
      <w:r w:rsidRPr="009F79D9">
        <w:rPr>
          <w:rFonts w:eastAsia="Calibri" w:cstheme="majorHAnsi"/>
          <w:color w:val="1F4E79" w:themeColor="accent5" w:themeShade="80"/>
        </w:rPr>
        <w:t xml:space="preserve">One Health </w:t>
      </w:r>
      <w:r w:rsidR="00EB7E8C">
        <w:rPr>
          <w:rFonts w:eastAsia="Calibri" w:cstheme="majorHAnsi"/>
          <w:color w:val="1F4E79" w:themeColor="accent5" w:themeShade="80"/>
        </w:rPr>
        <w:t>a</w:t>
      </w:r>
      <w:r w:rsidRPr="009F79D9">
        <w:rPr>
          <w:rFonts w:eastAsia="Calibri" w:cstheme="majorHAnsi"/>
          <w:color w:val="1F4E79" w:themeColor="accent5" w:themeShade="80"/>
        </w:rPr>
        <w:t>pproach</w:t>
      </w:r>
      <w:bookmarkEnd w:id="47"/>
    </w:p>
    <w:p w14:paraId="4ADC218A" w14:textId="40BB4FFF" w:rsidR="00E0785B" w:rsidRPr="007A3FA6" w:rsidRDefault="0059619C" w:rsidP="48362220">
      <w:pPr>
        <w:spacing w:after="120" w:line="240" w:lineRule="auto"/>
        <w:rPr>
          <w:rFonts w:eastAsia="Calibri"/>
          <w:color w:val="000000" w:themeColor="text1"/>
        </w:rPr>
      </w:pPr>
      <w:r w:rsidRPr="48362220">
        <w:rPr>
          <w:rFonts w:eastAsia="Calibri"/>
          <w:color w:val="000000" w:themeColor="text1"/>
        </w:rPr>
        <w:t>Indonesia demonstrated its leadership and commitment to health security at a global and regional level</w:t>
      </w:r>
      <w:r w:rsidR="006D28EC" w:rsidRPr="48362220">
        <w:rPr>
          <w:rFonts w:eastAsia="Calibri"/>
          <w:color w:val="000000" w:themeColor="text1"/>
        </w:rPr>
        <w:t xml:space="preserve"> through promotion of </w:t>
      </w:r>
      <w:r w:rsidRPr="48362220">
        <w:rPr>
          <w:rFonts w:eastAsia="Calibri"/>
          <w:color w:val="000000" w:themeColor="text1"/>
        </w:rPr>
        <w:t xml:space="preserve">a One Health </w:t>
      </w:r>
      <w:r w:rsidR="00782869">
        <w:rPr>
          <w:rFonts w:eastAsia="Calibri"/>
          <w:color w:val="000000" w:themeColor="text1"/>
        </w:rPr>
        <w:t xml:space="preserve">(OH) </w:t>
      </w:r>
      <w:r w:rsidRPr="48362220">
        <w:rPr>
          <w:rFonts w:eastAsia="Calibri"/>
          <w:color w:val="000000" w:themeColor="text1"/>
        </w:rPr>
        <w:t>approach</w:t>
      </w:r>
      <w:r w:rsidR="00055538" w:rsidRPr="48362220">
        <w:rPr>
          <w:rFonts w:eastAsia="Calibri"/>
          <w:color w:val="000000" w:themeColor="text1"/>
        </w:rPr>
        <w:t xml:space="preserve"> </w:t>
      </w:r>
      <w:r w:rsidRPr="48362220">
        <w:rPr>
          <w:rFonts w:eastAsia="Calibri"/>
          <w:color w:val="000000" w:themeColor="text1"/>
        </w:rPr>
        <w:t xml:space="preserve">during its </w:t>
      </w:r>
      <w:r w:rsidR="327EFE5D" w:rsidRPr="48362220">
        <w:rPr>
          <w:rFonts w:eastAsia="Calibri"/>
          <w:color w:val="000000" w:themeColor="text1"/>
        </w:rPr>
        <w:t>P</w:t>
      </w:r>
      <w:r w:rsidRPr="48362220">
        <w:rPr>
          <w:rFonts w:eastAsia="Calibri"/>
          <w:color w:val="000000" w:themeColor="text1"/>
        </w:rPr>
        <w:t>residency of the G20</w:t>
      </w:r>
      <w:r w:rsidR="006D28EC" w:rsidRPr="48362220">
        <w:rPr>
          <w:rFonts w:eastAsia="Calibri"/>
          <w:color w:val="000000" w:themeColor="text1"/>
        </w:rPr>
        <w:t xml:space="preserve"> </w:t>
      </w:r>
      <w:r w:rsidRPr="48362220">
        <w:rPr>
          <w:rFonts w:eastAsia="Calibri"/>
          <w:color w:val="000000" w:themeColor="text1"/>
        </w:rPr>
        <w:t>and</w:t>
      </w:r>
      <w:r w:rsidR="00055538" w:rsidRPr="48362220">
        <w:rPr>
          <w:rFonts w:eastAsia="Calibri"/>
          <w:color w:val="000000" w:themeColor="text1"/>
        </w:rPr>
        <w:t xml:space="preserve"> </w:t>
      </w:r>
      <w:r w:rsidR="00925F71" w:rsidRPr="48362220">
        <w:rPr>
          <w:rFonts w:eastAsia="Calibri"/>
          <w:color w:val="000000" w:themeColor="text1"/>
        </w:rPr>
        <w:t xml:space="preserve">has </w:t>
      </w:r>
      <w:r w:rsidR="00DF3269" w:rsidRPr="48362220">
        <w:rPr>
          <w:rFonts w:eastAsia="Calibri"/>
          <w:color w:val="000000" w:themeColor="text1"/>
        </w:rPr>
        <w:t>continue</w:t>
      </w:r>
      <w:r w:rsidR="00925F71" w:rsidRPr="48362220">
        <w:rPr>
          <w:rFonts w:eastAsia="Calibri"/>
          <w:color w:val="000000" w:themeColor="text1"/>
        </w:rPr>
        <w:t>d</w:t>
      </w:r>
      <w:r w:rsidR="00DF3269" w:rsidRPr="48362220">
        <w:rPr>
          <w:rFonts w:eastAsia="Calibri"/>
          <w:color w:val="000000" w:themeColor="text1"/>
        </w:rPr>
        <w:t xml:space="preserve"> this </w:t>
      </w:r>
      <w:r w:rsidR="00B34679" w:rsidRPr="48362220">
        <w:rPr>
          <w:rFonts w:eastAsia="Calibri"/>
          <w:color w:val="000000" w:themeColor="text1"/>
        </w:rPr>
        <w:t>during</w:t>
      </w:r>
      <w:r w:rsidR="00055538" w:rsidRPr="48362220">
        <w:rPr>
          <w:rFonts w:eastAsia="Calibri"/>
          <w:color w:val="000000" w:themeColor="text1"/>
        </w:rPr>
        <w:t xml:space="preserve"> </w:t>
      </w:r>
      <w:r w:rsidR="00DF3269" w:rsidRPr="48362220">
        <w:rPr>
          <w:rFonts w:eastAsia="Calibri"/>
          <w:color w:val="000000" w:themeColor="text1"/>
        </w:rPr>
        <w:t xml:space="preserve">its </w:t>
      </w:r>
      <w:r w:rsidR="00055538" w:rsidRPr="48362220">
        <w:rPr>
          <w:rFonts w:eastAsia="Calibri"/>
          <w:color w:val="000000" w:themeColor="text1"/>
        </w:rPr>
        <w:t>Chairmanship of ASEAN in 2023.</w:t>
      </w:r>
    </w:p>
    <w:p w14:paraId="3517CD8C" w14:textId="2033CA83" w:rsidR="00925F71" w:rsidRPr="00925F71" w:rsidRDefault="00925F71" w:rsidP="00425817">
      <w:pPr>
        <w:pStyle w:val="Heading2"/>
        <w:numPr>
          <w:ilvl w:val="0"/>
          <w:numId w:val="23"/>
        </w:numPr>
        <w:ind w:hanging="720"/>
      </w:pPr>
      <w:bookmarkStart w:id="48" w:name="_Toc135837401"/>
      <w:r>
        <w:t xml:space="preserve">Continued Australia-Indonesia health </w:t>
      </w:r>
      <w:proofErr w:type="gramStart"/>
      <w:r>
        <w:t>cooperation</w:t>
      </w:r>
      <w:bookmarkEnd w:id="48"/>
      <w:proofErr w:type="gramEnd"/>
    </w:p>
    <w:p w14:paraId="70AC65A2" w14:textId="41576F27" w:rsidR="00055538" w:rsidRDefault="006D28EC" w:rsidP="008C0CD0">
      <w:pPr>
        <w:spacing w:after="120" w:line="240" w:lineRule="auto"/>
        <w:rPr>
          <w:rFonts w:ascii="Calibri" w:eastAsia="Calibri" w:hAnsi="Calibri" w:cs="Calibri"/>
          <w:color w:val="000000" w:themeColor="text1"/>
        </w:rPr>
      </w:pPr>
      <w:r w:rsidRPr="48362220">
        <w:rPr>
          <w:rFonts w:eastAsia="Calibri"/>
          <w:color w:val="000000" w:themeColor="text1"/>
        </w:rPr>
        <w:t>In June 2022, Australia-Indonesia h</w:t>
      </w:r>
      <w:r w:rsidR="0019472B" w:rsidRPr="48362220">
        <w:rPr>
          <w:rFonts w:eastAsia="Calibri"/>
          <w:color w:val="000000" w:themeColor="text1"/>
        </w:rPr>
        <w:t>ealth cooperation and p</w:t>
      </w:r>
      <w:r w:rsidR="00055538" w:rsidRPr="48362220">
        <w:rPr>
          <w:rFonts w:eastAsia="Calibri"/>
          <w:color w:val="000000" w:themeColor="text1"/>
        </w:rPr>
        <w:t>ost COVID</w:t>
      </w:r>
      <w:r w:rsidR="00B34679" w:rsidRPr="48362220">
        <w:rPr>
          <w:rFonts w:eastAsia="Calibri"/>
          <w:color w:val="000000" w:themeColor="text1"/>
        </w:rPr>
        <w:t>-</w:t>
      </w:r>
      <w:r w:rsidR="00055538" w:rsidRPr="48362220">
        <w:rPr>
          <w:rFonts w:eastAsia="Calibri"/>
          <w:color w:val="000000" w:themeColor="text1"/>
        </w:rPr>
        <w:t xml:space="preserve">19 support was </w:t>
      </w:r>
      <w:r w:rsidR="0019472B" w:rsidRPr="48362220">
        <w:rPr>
          <w:rFonts w:eastAsia="Calibri"/>
          <w:color w:val="000000" w:themeColor="text1"/>
        </w:rPr>
        <w:t xml:space="preserve">reinforced </w:t>
      </w:r>
      <w:r w:rsidR="00055538" w:rsidRPr="48362220">
        <w:rPr>
          <w:rFonts w:eastAsia="Calibri"/>
          <w:color w:val="000000" w:themeColor="text1"/>
        </w:rPr>
        <w:t xml:space="preserve">by Prime Minister Albanese to Indonesian President Jokowi in </w:t>
      </w:r>
      <w:r w:rsidR="00E0785B" w:rsidRPr="48362220">
        <w:rPr>
          <w:rFonts w:eastAsia="Calibri"/>
          <w:color w:val="000000" w:themeColor="text1"/>
        </w:rPr>
        <w:t>the</w:t>
      </w:r>
      <w:r w:rsidR="00B34679" w:rsidRPr="48362220">
        <w:rPr>
          <w:rFonts w:eastAsia="Calibri"/>
          <w:color w:val="000000" w:themeColor="text1"/>
        </w:rPr>
        <w:t xml:space="preserve"> </w:t>
      </w:r>
      <w:r w:rsidR="00055538" w:rsidRPr="48362220">
        <w:rPr>
          <w:rFonts w:eastAsia="Calibri"/>
          <w:color w:val="000000" w:themeColor="text1"/>
        </w:rPr>
        <w:t>Indonesia-Australia Annual Leaders meeting</w:t>
      </w:r>
      <w:r w:rsidR="00B34679" w:rsidRPr="48362220">
        <w:rPr>
          <w:rFonts w:eastAsia="Calibri"/>
          <w:color w:val="000000" w:themeColor="text1"/>
        </w:rPr>
        <w:t>.</w:t>
      </w:r>
      <w:r w:rsidR="0019472B" w:rsidRPr="48362220">
        <w:rPr>
          <w:rFonts w:eastAsia="Calibri"/>
          <w:color w:val="000000" w:themeColor="text1"/>
        </w:rPr>
        <w:t xml:space="preserve"> A </w:t>
      </w:r>
      <w:r w:rsidR="0019472B" w:rsidRPr="48362220">
        <w:t>Memorandum of Understanding on Health Cooperation between Australia and Indonesia was signed in 2022</w:t>
      </w:r>
      <w:r w:rsidR="00055538" w:rsidRPr="005C3A03">
        <w:rPr>
          <w:rStyle w:val="FootnoteReference"/>
          <w:rFonts w:ascii="Calibri" w:eastAsia="Calibri" w:hAnsi="Calibri" w:cs="Calibri"/>
          <w:color w:val="000000" w:themeColor="text1"/>
        </w:rPr>
        <w:footnoteReference w:id="16"/>
      </w:r>
      <w:r w:rsidR="783A33EA">
        <w:rPr>
          <w:rFonts w:ascii="Calibri" w:eastAsia="Calibri" w:hAnsi="Calibri" w:cs="Calibri"/>
          <w:color w:val="000000" w:themeColor="text1"/>
        </w:rPr>
        <w:t>, and a Joint Plan of Action is in development.</w:t>
      </w:r>
    </w:p>
    <w:p w14:paraId="1B2154EE" w14:textId="7FB04666" w:rsidR="00113E50" w:rsidRDefault="00B34679" w:rsidP="008C0CD0">
      <w:pPr>
        <w:spacing w:after="120" w:line="240" w:lineRule="auto"/>
        <w:rPr>
          <w:rFonts w:ascii="Calibri" w:eastAsia="Calibri" w:hAnsi="Calibri" w:cs="Calibri"/>
          <w:i/>
          <w:iCs/>
          <w:color w:val="000000" w:themeColor="text1"/>
        </w:rPr>
      </w:pPr>
      <w:r w:rsidRPr="005C3A03">
        <w:rPr>
          <w:rFonts w:ascii="Calibri" w:eastAsia="Calibri" w:hAnsi="Calibri" w:cs="Calibri"/>
          <w:i/>
          <w:iCs/>
          <w:color w:val="000000" w:themeColor="text1"/>
        </w:rPr>
        <w:t xml:space="preserve">See also </w:t>
      </w:r>
      <w:r w:rsidR="004C0121">
        <w:rPr>
          <w:rFonts w:ascii="Calibri" w:eastAsia="Calibri" w:hAnsi="Calibri" w:cs="Calibri"/>
          <w:i/>
          <w:iCs/>
          <w:color w:val="000000" w:themeColor="text1"/>
        </w:rPr>
        <w:t>8</w:t>
      </w:r>
      <w:r w:rsidR="005C3A03" w:rsidRPr="005C3A03">
        <w:rPr>
          <w:rFonts w:ascii="Calibri" w:eastAsia="Calibri" w:hAnsi="Calibri" w:cs="Calibri"/>
          <w:i/>
          <w:iCs/>
          <w:color w:val="000000" w:themeColor="text1"/>
        </w:rPr>
        <w:t>.1</w:t>
      </w:r>
      <w:r w:rsidRPr="005C3A03">
        <w:rPr>
          <w:rFonts w:ascii="Calibri" w:eastAsia="Calibri" w:hAnsi="Calibri" w:cs="Calibri"/>
          <w:i/>
          <w:iCs/>
          <w:color w:val="000000" w:themeColor="text1"/>
        </w:rPr>
        <w:t xml:space="preserve"> Future Considerations for future trends and developments that will impact on Australia’s</w:t>
      </w:r>
      <w:r w:rsidRPr="00E0785B">
        <w:rPr>
          <w:rFonts w:ascii="Calibri" w:eastAsia="Calibri" w:hAnsi="Calibri" w:cs="Calibri"/>
          <w:i/>
          <w:iCs/>
          <w:color w:val="000000" w:themeColor="text1"/>
        </w:rPr>
        <w:t xml:space="preserve"> support for the Indonesian health sector.</w:t>
      </w:r>
    </w:p>
    <w:p w14:paraId="072E0850" w14:textId="0C0186B5" w:rsidR="00871D91" w:rsidRDefault="00871D91">
      <w:pPr>
        <w:rPr>
          <w:rFonts w:ascii="Calibri" w:eastAsia="Calibri" w:hAnsi="Calibri" w:cs="Calibri"/>
          <w:color w:val="000000" w:themeColor="text1"/>
        </w:rPr>
      </w:pPr>
      <w:r>
        <w:rPr>
          <w:rFonts w:ascii="Calibri" w:eastAsia="Calibri" w:hAnsi="Calibri" w:cs="Calibri"/>
          <w:color w:val="000000" w:themeColor="text1"/>
        </w:rPr>
        <w:br w:type="page"/>
      </w:r>
    </w:p>
    <w:p w14:paraId="6F0B1999" w14:textId="53C7C02B" w:rsidR="00D426B3" w:rsidRPr="00055538" w:rsidRDefault="00C56BA1" w:rsidP="00425817">
      <w:pPr>
        <w:pStyle w:val="Heading1"/>
        <w:numPr>
          <w:ilvl w:val="0"/>
          <w:numId w:val="11"/>
        </w:numPr>
      </w:pPr>
      <w:bookmarkStart w:id="49" w:name="_Toc135837402"/>
      <w:r w:rsidRPr="00055538">
        <w:lastRenderedPageBreak/>
        <w:t>Mid-Term Review Findings</w:t>
      </w:r>
      <w:bookmarkEnd w:id="49"/>
      <w:r w:rsidR="00911743" w:rsidRPr="00055538">
        <w:t xml:space="preserve"> </w:t>
      </w:r>
    </w:p>
    <w:p w14:paraId="06E71C44" w14:textId="3DE33E1E" w:rsidR="00675EAA" w:rsidRDefault="00635A47" w:rsidP="00635A47">
      <w:pPr>
        <w:pStyle w:val="Heading2"/>
        <w:rPr>
          <w:color w:val="002060"/>
        </w:rPr>
      </w:pPr>
      <w:bookmarkStart w:id="50" w:name="_Toc135837403"/>
      <w:r>
        <w:rPr>
          <w:color w:val="002060"/>
        </w:rPr>
        <w:t>3.1</w:t>
      </w:r>
      <w:r>
        <w:rPr>
          <w:color w:val="002060"/>
        </w:rPr>
        <w:tab/>
      </w:r>
      <w:r w:rsidR="00675EAA">
        <w:rPr>
          <w:color w:val="002060"/>
        </w:rPr>
        <w:t>Progress against outcomes</w:t>
      </w:r>
      <w:bookmarkEnd w:id="50"/>
    </w:p>
    <w:p w14:paraId="4E550C39" w14:textId="419C2357" w:rsidR="00D426B3" w:rsidRPr="00CF0126" w:rsidRDefault="00C56BA1" w:rsidP="00675EAA">
      <w:pPr>
        <w:pStyle w:val="Heading2"/>
        <w:shd w:val="clear" w:color="auto" w:fill="D0CECE" w:themeFill="background2" w:themeFillShade="E6"/>
        <w:rPr>
          <w:color w:val="000000" w:themeColor="text1"/>
          <w:sz w:val="24"/>
          <w:szCs w:val="24"/>
        </w:rPr>
      </w:pPr>
      <w:bookmarkStart w:id="51" w:name="_Toc132584543"/>
      <w:bookmarkStart w:id="52" w:name="_Toc135837404"/>
      <w:r w:rsidRPr="00CF0126">
        <w:rPr>
          <w:color w:val="000000" w:themeColor="text1"/>
          <w:sz w:val="24"/>
          <w:szCs w:val="24"/>
        </w:rPr>
        <w:t>KEQ 1.1</w:t>
      </w:r>
      <w:r w:rsidR="00892420" w:rsidRPr="00CF0126">
        <w:rPr>
          <w:color w:val="000000" w:themeColor="text1"/>
          <w:sz w:val="24"/>
          <w:szCs w:val="24"/>
        </w:rPr>
        <w:t>: Are AIHSP intermediate outcomes (IOs) and EOPOs on track?</w:t>
      </w:r>
      <w:bookmarkEnd w:id="51"/>
      <w:bookmarkEnd w:id="52"/>
    </w:p>
    <w:p w14:paraId="74027F00" w14:textId="0FCAEDF5" w:rsidR="0031499A" w:rsidRDefault="0031499A" w:rsidP="008C0CD0">
      <w:pPr>
        <w:spacing w:after="120" w:line="240" w:lineRule="auto"/>
        <w:rPr>
          <w:lang w:val="en-US"/>
        </w:rPr>
      </w:pPr>
      <w:bookmarkStart w:id="53" w:name="_Hlk132536544"/>
      <w:r>
        <w:t>This section assesses AIHSP’s</w:t>
      </w:r>
      <w:r>
        <w:rPr>
          <w:lang w:val="en-US"/>
        </w:rPr>
        <w:t xml:space="preserve"> progress towards its planned outcomes. The MTR Team used the AIHSP’s Monitoring, Evaluation, Research, Learning and Adaptation Framework (MERLA) to assess this progress, noting that this </w:t>
      </w:r>
      <w:r w:rsidR="00CE5D02">
        <w:rPr>
          <w:lang w:val="en-US"/>
        </w:rPr>
        <w:t>might</w:t>
      </w:r>
      <w:r>
        <w:rPr>
          <w:lang w:val="en-US"/>
        </w:rPr>
        <w:t xml:space="preserve"> be </w:t>
      </w:r>
      <w:r w:rsidRPr="00394FEB">
        <w:rPr>
          <w:lang w:val="en-US"/>
        </w:rPr>
        <w:t>revised</w:t>
      </w:r>
      <w:r>
        <w:rPr>
          <w:lang w:val="en-US"/>
        </w:rPr>
        <w:t>.</w:t>
      </w:r>
      <w:r w:rsidRPr="00954645">
        <w:t xml:space="preserve"> </w:t>
      </w:r>
      <w:r>
        <w:rPr>
          <w:lang w:val="en-US"/>
        </w:rPr>
        <w:t xml:space="preserve">As </w:t>
      </w:r>
      <w:r w:rsidRPr="00394FEB">
        <w:rPr>
          <w:lang w:val="en-US"/>
        </w:rPr>
        <w:t>UNICEF and WHO</w:t>
      </w:r>
      <w:r>
        <w:rPr>
          <w:lang w:val="en-US"/>
        </w:rPr>
        <w:t>’s</w:t>
      </w:r>
      <w:r w:rsidRPr="00394FEB">
        <w:rPr>
          <w:lang w:val="en-US"/>
        </w:rPr>
        <w:t xml:space="preserve"> activities are not part of this MERLA</w:t>
      </w:r>
      <w:r>
        <w:rPr>
          <w:lang w:val="en-US"/>
        </w:rPr>
        <w:t xml:space="preserve">, </w:t>
      </w:r>
      <w:r w:rsidRPr="00394FEB">
        <w:rPr>
          <w:lang w:val="en-US"/>
        </w:rPr>
        <w:t xml:space="preserve">their progress </w:t>
      </w:r>
      <w:r>
        <w:rPr>
          <w:lang w:val="en-US"/>
        </w:rPr>
        <w:t>wa</w:t>
      </w:r>
      <w:r w:rsidRPr="00394FEB">
        <w:rPr>
          <w:lang w:val="en-US"/>
        </w:rPr>
        <w:t>s</w:t>
      </w:r>
      <w:r>
        <w:rPr>
          <w:lang w:val="en-US"/>
        </w:rPr>
        <w:t xml:space="preserve"> described separately </w:t>
      </w:r>
      <w:r w:rsidRPr="00394FEB">
        <w:rPr>
          <w:lang w:val="en-US"/>
        </w:rPr>
        <w:t xml:space="preserve">under each </w:t>
      </w:r>
      <w:r>
        <w:rPr>
          <w:lang w:val="en-US"/>
        </w:rPr>
        <w:t>end of program outcome (</w:t>
      </w:r>
      <w:r w:rsidRPr="00394FEB">
        <w:rPr>
          <w:lang w:val="en-US"/>
        </w:rPr>
        <w:t>EOPO</w:t>
      </w:r>
      <w:r>
        <w:rPr>
          <w:lang w:val="en-US"/>
        </w:rPr>
        <w:t>)</w:t>
      </w:r>
      <w:r w:rsidRPr="00394FEB">
        <w:rPr>
          <w:lang w:val="en-US"/>
        </w:rPr>
        <w:t xml:space="preserve"> </w:t>
      </w:r>
      <w:r>
        <w:rPr>
          <w:lang w:val="en-US"/>
        </w:rPr>
        <w:t xml:space="preserve">and were not included in the ratings, which were for AIHSP activities only. </w:t>
      </w:r>
    </w:p>
    <w:p w14:paraId="1ECF1797" w14:textId="53A66DBD" w:rsidR="0031499A" w:rsidRDefault="0031499A" w:rsidP="48362220">
      <w:pPr>
        <w:spacing w:after="120" w:line="240" w:lineRule="auto"/>
        <w:rPr>
          <w:color w:val="000000" w:themeColor="text1"/>
          <w:lang w:val="en-US"/>
        </w:rPr>
      </w:pPr>
      <w:r w:rsidRPr="48362220">
        <w:rPr>
          <w:color w:val="000000" w:themeColor="text1"/>
          <w:lang w:val="en-US"/>
        </w:rPr>
        <w:t xml:space="preserve">The MTR Team assessed the overall progress of AIHSP as </w:t>
      </w:r>
      <w:r w:rsidRPr="48362220">
        <w:rPr>
          <w:b/>
          <w:bCs/>
          <w:color w:val="000000" w:themeColor="text1"/>
          <w:lang w:val="en-US"/>
        </w:rPr>
        <w:t>good</w:t>
      </w:r>
      <w:r w:rsidRPr="48362220">
        <w:rPr>
          <w:color w:val="000000" w:themeColor="text1"/>
          <w:lang w:val="en-US"/>
        </w:rPr>
        <w:t xml:space="preserve"> for EOPOs 1.1 (health systems, community </w:t>
      </w:r>
      <w:proofErr w:type="spellStart"/>
      <w:r w:rsidRPr="48362220">
        <w:rPr>
          <w:color w:val="000000" w:themeColor="text1"/>
          <w:lang w:val="en-US"/>
        </w:rPr>
        <w:t>behaviours</w:t>
      </w:r>
      <w:proofErr w:type="spellEnd"/>
      <w:r w:rsidRPr="48362220">
        <w:rPr>
          <w:color w:val="000000" w:themeColor="text1"/>
          <w:lang w:val="en-US"/>
        </w:rPr>
        <w:t xml:space="preserve">), 1.2 (surveillance) and 1.3 (emergency response) and </w:t>
      </w:r>
      <w:r w:rsidRPr="48362220">
        <w:rPr>
          <w:b/>
          <w:bCs/>
          <w:color w:val="000000" w:themeColor="text1"/>
          <w:lang w:val="en-US"/>
        </w:rPr>
        <w:t>acceptable</w:t>
      </w:r>
      <w:r w:rsidRPr="48362220">
        <w:rPr>
          <w:color w:val="000000" w:themeColor="text1"/>
          <w:lang w:val="en-US"/>
        </w:rPr>
        <w:t xml:space="preserve"> for EOPO 2.1 (government coordination and One Health). </w:t>
      </w:r>
      <w:r w:rsidR="00040D4D" w:rsidRPr="48362220">
        <w:rPr>
          <w:color w:val="000000" w:themeColor="text1"/>
          <w:lang w:val="en-US"/>
        </w:rPr>
        <w:t>T</w:t>
      </w:r>
      <w:r w:rsidRPr="48362220">
        <w:rPr>
          <w:color w:val="000000" w:themeColor="text1"/>
          <w:lang w:val="en-US"/>
        </w:rPr>
        <w:t xml:space="preserve">he strength of evidence available to the MTR Team was strong for EOPOs </w:t>
      </w:r>
      <w:r w:rsidR="00686CC8">
        <w:rPr>
          <w:color w:val="000000" w:themeColor="text1"/>
          <w:lang w:val="en-US"/>
        </w:rPr>
        <w:t xml:space="preserve">1.1, </w:t>
      </w:r>
      <w:r w:rsidRPr="48362220">
        <w:rPr>
          <w:color w:val="000000" w:themeColor="text1"/>
          <w:lang w:val="en-US"/>
        </w:rPr>
        <w:t>1.2 and 1.3 and more inconsistent for</w:t>
      </w:r>
      <w:r w:rsidRPr="00485044">
        <w:t xml:space="preserve"> 2.1. </w:t>
      </w:r>
      <w:r w:rsidRPr="00F30C0E">
        <w:rPr>
          <w:b/>
          <w:bCs/>
          <w:color w:val="000000" w:themeColor="text1"/>
          <w:lang w:val="en-US"/>
        </w:rPr>
        <w:t>AIHSP’s progress against its intermediate outcomes and EOPOs is generally on track.</w:t>
      </w:r>
      <w:r w:rsidRPr="48362220">
        <w:rPr>
          <w:color w:val="000000" w:themeColor="text1"/>
          <w:lang w:val="en-US"/>
        </w:rPr>
        <w:t xml:space="preserve"> There has been demonstrable progress against 23 of AIHSP’s 38 indicators (61 percent). Most of the </w:t>
      </w:r>
      <w:r w:rsidR="00F30C0E">
        <w:rPr>
          <w:color w:val="000000" w:themeColor="text1"/>
          <w:lang w:val="en-US"/>
        </w:rPr>
        <w:t>progress is</w:t>
      </w:r>
      <w:r w:rsidRPr="48362220">
        <w:rPr>
          <w:color w:val="000000" w:themeColor="text1"/>
          <w:lang w:val="en-US"/>
        </w:rPr>
        <w:t xml:space="preserve"> related to EOPOs 1.2 and 1.3 </w:t>
      </w:r>
      <w:r w:rsidR="00F30C0E">
        <w:rPr>
          <w:color w:val="000000" w:themeColor="text1"/>
          <w:lang w:val="en-US"/>
        </w:rPr>
        <w:t>in the areas of</w:t>
      </w:r>
      <w:r w:rsidRPr="48362220">
        <w:rPr>
          <w:color w:val="000000" w:themeColor="text1"/>
          <w:lang w:val="en-US"/>
        </w:rPr>
        <w:t xml:space="preserve"> surveillance, laboratory </w:t>
      </w:r>
      <w:r w:rsidR="00F30C0E">
        <w:rPr>
          <w:color w:val="000000" w:themeColor="text1"/>
          <w:lang w:val="en-US"/>
        </w:rPr>
        <w:t xml:space="preserve">strengthening </w:t>
      </w:r>
      <w:r w:rsidRPr="48362220">
        <w:rPr>
          <w:color w:val="000000" w:themeColor="text1"/>
          <w:lang w:val="en-US"/>
        </w:rPr>
        <w:t xml:space="preserve">and </w:t>
      </w:r>
      <w:r w:rsidR="00F30C0E">
        <w:rPr>
          <w:color w:val="000000" w:themeColor="text1"/>
          <w:lang w:val="en-US"/>
        </w:rPr>
        <w:t xml:space="preserve">disease outbreak </w:t>
      </w:r>
      <w:r w:rsidRPr="48362220">
        <w:rPr>
          <w:color w:val="000000" w:themeColor="text1"/>
          <w:lang w:val="en-US"/>
        </w:rPr>
        <w:t xml:space="preserve">response. The program used significant resources to respond to COVID-19 and the FMD and LSD outbreaks, and as such, its intended progress in strengthening health systems has understandably been mixed. </w:t>
      </w:r>
    </w:p>
    <w:p w14:paraId="769E77A5" w14:textId="5F7025E6" w:rsidR="0031499A" w:rsidRPr="005040B9" w:rsidRDefault="0031499A" w:rsidP="48362220">
      <w:pPr>
        <w:spacing w:after="120" w:line="240" w:lineRule="auto"/>
        <w:rPr>
          <w:color w:val="000000" w:themeColor="text1"/>
          <w:lang w:val="en-US"/>
        </w:rPr>
      </w:pPr>
      <w:r w:rsidRPr="48362220">
        <w:rPr>
          <w:color w:val="000000" w:themeColor="text1"/>
          <w:lang w:val="en-US"/>
        </w:rPr>
        <w:t xml:space="preserve">The MTR Team found that there </w:t>
      </w:r>
      <w:r w:rsidR="00BA1B8E">
        <w:rPr>
          <w:color w:val="000000" w:themeColor="text1"/>
          <w:lang w:val="en-US"/>
        </w:rPr>
        <w:t>wa</w:t>
      </w:r>
      <w:r w:rsidRPr="48362220">
        <w:rPr>
          <w:color w:val="000000" w:themeColor="text1"/>
          <w:lang w:val="en-US"/>
        </w:rPr>
        <w:t xml:space="preserve">s ample scope to </w:t>
      </w:r>
      <w:r w:rsidR="0F2A4843" w:rsidRPr="48362220">
        <w:rPr>
          <w:color w:val="000000" w:themeColor="text1"/>
          <w:lang w:val="en-US"/>
        </w:rPr>
        <w:t>elevate the</w:t>
      </w:r>
      <w:r w:rsidR="0F2A4843" w:rsidRPr="003F09EF">
        <w:t xml:space="preserve"> </w:t>
      </w:r>
      <w:r w:rsidRPr="003F09EF">
        <w:t>focus</w:t>
      </w:r>
      <w:r w:rsidRPr="48362220">
        <w:rPr>
          <w:color w:val="000000" w:themeColor="text1"/>
          <w:lang w:val="en-US"/>
        </w:rPr>
        <w:t xml:space="preserve"> on strengthening health systems in line with the original design for the remaining period of implementation. Accelerated implementation would be helpful.</w:t>
      </w:r>
      <w:r>
        <w:t xml:space="preserve"> </w:t>
      </w:r>
      <w:r w:rsidRPr="48362220">
        <w:rPr>
          <w:color w:val="000000" w:themeColor="text1"/>
          <w:lang w:val="en-US"/>
        </w:rPr>
        <w:t xml:space="preserve">It is significant that in interviews, staff of the participating government agencies and partners of AIHSP frequently </w:t>
      </w:r>
      <w:r w:rsidR="00265E07">
        <w:rPr>
          <w:color w:val="000000" w:themeColor="text1"/>
          <w:lang w:val="en-US"/>
        </w:rPr>
        <w:t>said</w:t>
      </w:r>
      <w:r w:rsidRPr="48362220">
        <w:rPr>
          <w:color w:val="000000" w:themeColor="text1"/>
          <w:lang w:val="en-US"/>
        </w:rPr>
        <w:t xml:space="preserve"> that they expected AIHSP to expedite its implementation. </w:t>
      </w:r>
      <w:r w:rsidR="00265E07">
        <w:rPr>
          <w:color w:val="000000" w:themeColor="text1"/>
          <w:lang w:val="en-US"/>
        </w:rPr>
        <w:t xml:space="preserve">There </w:t>
      </w:r>
      <w:r w:rsidR="00BA1B8E">
        <w:rPr>
          <w:color w:val="000000" w:themeColor="text1"/>
          <w:lang w:val="en-US"/>
        </w:rPr>
        <w:t>wa</w:t>
      </w:r>
      <w:r w:rsidR="00265E07">
        <w:rPr>
          <w:color w:val="000000" w:themeColor="text1"/>
          <w:lang w:val="en-US"/>
        </w:rPr>
        <w:t xml:space="preserve">s evidence of a high level of trust between </w:t>
      </w:r>
      <w:r w:rsidRPr="48362220">
        <w:rPr>
          <w:color w:val="000000" w:themeColor="text1"/>
          <w:lang w:val="en-US"/>
        </w:rPr>
        <w:t xml:space="preserve">AIHSP </w:t>
      </w:r>
      <w:r w:rsidR="00265E07">
        <w:rPr>
          <w:color w:val="000000" w:themeColor="text1"/>
          <w:lang w:val="en-US"/>
        </w:rPr>
        <w:t>and</w:t>
      </w:r>
      <w:r w:rsidRPr="48362220">
        <w:rPr>
          <w:color w:val="000000" w:themeColor="text1"/>
          <w:lang w:val="en-US"/>
        </w:rPr>
        <w:t xml:space="preserve"> </w:t>
      </w:r>
      <w:proofErr w:type="spellStart"/>
      <w:r w:rsidRPr="48362220">
        <w:rPr>
          <w:color w:val="000000" w:themeColor="text1"/>
          <w:lang w:val="en-US"/>
        </w:rPr>
        <w:t>GoI</w:t>
      </w:r>
      <w:proofErr w:type="spellEnd"/>
      <w:r w:rsidRPr="48362220">
        <w:rPr>
          <w:color w:val="000000" w:themeColor="text1"/>
          <w:lang w:val="en-US"/>
        </w:rPr>
        <w:t xml:space="preserve"> partners. The maintenance of </w:t>
      </w:r>
      <w:r w:rsidR="00265E07">
        <w:rPr>
          <w:color w:val="000000" w:themeColor="text1"/>
          <w:lang w:val="en-US"/>
        </w:rPr>
        <w:t xml:space="preserve">this </w:t>
      </w:r>
      <w:r w:rsidRPr="48362220">
        <w:rPr>
          <w:color w:val="000000" w:themeColor="text1"/>
          <w:lang w:val="en-US"/>
        </w:rPr>
        <w:t xml:space="preserve">trust depends </w:t>
      </w:r>
      <w:r w:rsidR="00F30C0E">
        <w:rPr>
          <w:color w:val="000000" w:themeColor="text1"/>
          <w:lang w:val="en-US"/>
        </w:rPr>
        <w:t>up</w:t>
      </w:r>
      <w:r w:rsidRPr="48362220">
        <w:rPr>
          <w:color w:val="000000" w:themeColor="text1"/>
          <w:lang w:val="en-US"/>
        </w:rPr>
        <w:t xml:space="preserve">on </w:t>
      </w:r>
      <w:r w:rsidR="00F30C0E">
        <w:rPr>
          <w:color w:val="000000" w:themeColor="text1"/>
          <w:lang w:val="en-US"/>
        </w:rPr>
        <w:t xml:space="preserve">several factors, including </w:t>
      </w:r>
      <w:r w:rsidRPr="48362220">
        <w:rPr>
          <w:color w:val="000000" w:themeColor="text1"/>
          <w:lang w:val="en-US"/>
        </w:rPr>
        <w:t xml:space="preserve">how comprehensively </w:t>
      </w:r>
      <w:r w:rsidR="00265E07">
        <w:rPr>
          <w:color w:val="000000" w:themeColor="text1"/>
          <w:lang w:val="en-US"/>
        </w:rPr>
        <w:t>activities</w:t>
      </w:r>
      <w:r w:rsidRPr="48362220">
        <w:rPr>
          <w:color w:val="000000" w:themeColor="text1"/>
          <w:lang w:val="en-US"/>
        </w:rPr>
        <w:t xml:space="preserve"> can be implemented</w:t>
      </w:r>
      <w:r w:rsidR="00265E07">
        <w:rPr>
          <w:color w:val="000000" w:themeColor="text1"/>
          <w:lang w:val="en-US"/>
        </w:rPr>
        <w:t xml:space="preserve"> according to plan</w:t>
      </w:r>
      <w:r w:rsidRPr="48362220">
        <w:rPr>
          <w:color w:val="000000" w:themeColor="text1"/>
          <w:lang w:val="en-US"/>
        </w:rPr>
        <w:t xml:space="preserve">, </w:t>
      </w:r>
      <w:r w:rsidR="00F30C0E">
        <w:rPr>
          <w:color w:val="000000" w:themeColor="text1"/>
          <w:lang w:val="en-US"/>
        </w:rPr>
        <w:t>such as</w:t>
      </w:r>
      <w:r w:rsidRPr="48362220">
        <w:rPr>
          <w:color w:val="000000" w:themeColor="text1"/>
          <w:lang w:val="en-US"/>
        </w:rPr>
        <w:t xml:space="preserve"> those </w:t>
      </w:r>
      <w:r w:rsidR="00265E07">
        <w:rPr>
          <w:color w:val="000000" w:themeColor="text1"/>
          <w:lang w:val="en-US"/>
        </w:rPr>
        <w:t>activities</w:t>
      </w:r>
      <w:r w:rsidRPr="48362220">
        <w:rPr>
          <w:color w:val="000000" w:themeColor="text1"/>
          <w:lang w:val="en-US"/>
        </w:rPr>
        <w:t xml:space="preserve"> that may have come to a standstill due to COVID-19 and </w:t>
      </w:r>
      <w:r w:rsidR="00265E07">
        <w:rPr>
          <w:color w:val="000000" w:themeColor="text1"/>
          <w:lang w:val="en-US"/>
        </w:rPr>
        <w:t xml:space="preserve">responses to </w:t>
      </w:r>
      <w:r w:rsidRPr="48362220">
        <w:rPr>
          <w:color w:val="000000" w:themeColor="text1"/>
          <w:lang w:val="en-US"/>
        </w:rPr>
        <w:t xml:space="preserve">animal disease </w:t>
      </w:r>
      <w:r w:rsidR="00265E07">
        <w:rPr>
          <w:color w:val="000000" w:themeColor="text1"/>
          <w:lang w:val="en-US"/>
        </w:rPr>
        <w:t>outbreaks</w:t>
      </w:r>
      <w:r w:rsidRPr="48362220">
        <w:rPr>
          <w:color w:val="000000" w:themeColor="text1"/>
          <w:lang w:val="en-US"/>
        </w:rPr>
        <w:t>.</w:t>
      </w:r>
      <w:r w:rsidR="00D66A91" w:rsidRPr="48362220">
        <w:rPr>
          <w:color w:val="000000" w:themeColor="text1"/>
          <w:lang w:val="en-US"/>
        </w:rPr>
        <w:t xml:space="preserve"> </w:t>
      </w:r>
      <w:r w:rsidRPr="48362220">
        <w:rPr>
          <w:color w:val="000000" w:themeColor="text1"/>
          <w:lang w:val="en-US"/>
        </w:rPr>
        <w:t xml:space="preserve">The rating key and </w:t>
      </w:r>
      <w:r w:rsidR="00F30C0E">
        <w:rPr>
          <w:color w:val="000000" w:themeColor="text1"/>
          <w:lang w:val="en-US"/>
        </w:rPr>
        <w:t>progress</w:t>
      </w:r>
      <w:r w:rsidRPr="48362220">
        <w:rPr>
          <w:color w:val="000000" w:themeColor="text1"/>
          <w:lang w:val="en-US"/>
        </w:rPr>
        <w:t xml:space="preserve"> summary are provided in Table</w:t>
      </w:r>
      <w:r w:rsidR="00F30C0E">
        <w:rPr>
          <w:color w:val="000000" w:themeColor="text1"/>
          <w:lang w:val="en-US"/>
        </w:rPr>
        <w:t>s</w:t>
      </w:r>
      <w:r w:rsidRPr="48362220">
        <w:rPr>
          <w:color w:val="000000" w:themeColor="text1"/>
          <w:lang w:val="en-US"/>
        </w:rPr>
        <w:t xml:space="preserve"> 3A and 3B respectively. </w:t>
      </w:r>
    </w:p>
    <w:p w14:paraId="3860FC30" w14:textId="51AA09E5" w:rsidR="0031499A" w:rsidRPr="004C0121" w:rsidRDefault="0031499A" w:rsidP="0031499A">
      <w:pPr>
        <w:pStyle w:val="Heading3"/>
        <w:spacing w:line="240" w:lineRule="auto"/>
        <w:rPr>
          <w:rFonts w:cstheme="majorHAnsi"/>
          <w:i/>
          <w:iCs/>
          <w:color w:val="2F5496" w:themeColor="accent1" w:themeShade="BF"/>
          <w:sz w:val="22"/>
          <w:szCs w:val="22"/>
        </w:rPr>
      </w:pPr>
      <w:bookmarkStart w:id="54" w:name="_Toc132584544"/>
      <w:bookmarkStart w:id="55" w:name="_Toc135830123"/>
      <w:bookmarkStart w:id="56" w:name="_Toc135837405"/>
      <w:r w:rsidRPr="004C0121">
        <w:rPr>
          <w:rFonts w:cstheme="majorHAnsi"/>
          <w:i/>
          <w:iCs/>
          <w:color w:val="2F5496" w:themeColor="accent1" w:themeShade="BF"/>
          <w:sz w:val="22"/>
          <w:szCs w:val="22"/>
        </w:rPr>
        <w:t xml:space="preserve">Table 3A: Rating key </w:t>
      </w:r>
      <w:r w:rsidR="00226FD5" w:rsidRPr="004C0121">
        <w:rPr>
          <w:rFonts w:cstheme="majorHAnsi"/>
          <w:i/>
          <w:iCs/>
          <w:color w:val="2F5496" w:themeColor="accent1" w:themeShade="BF"/>
          <w:sz w:val="22"/>
          <w:szCs w:val="22"/>
        </w:rPr>
        <w:t>for the assessment of</w:t>
      </w:r>
      <w:r w:rsidRPr="004C0121">
        <w:rPr>
          <w:rFonts w:cstheme="majorHAnsi"/>
          <w:i/>
          <w:iCs/>
          <w:color w:val="2F5496" w:themeColor="accent1" w:themeShade="BF"/>
          <w:sz w:val="22"/>
          <w:szCs w:val="22"/>
        </w:rPr>
        <w:t xml:space="preserve"> progress </w:t>
      </w:r>
      <w:bookmarkEnd w:id="54"/>
      <w:bookmarkEnd w:id="55"/>
      <w:bookmarkEnd w:id="56"/>
    </w:p>
    <w:tbl>
      <w:tblPr>
        <w:tblStyle w:val="PlainTable2"/>
        <w:tblW w:w="9026" w:type="dxa"/>
        <w:tblBorders>
          <w:top w:val="single" w:sz="6" w:space="0" w:color="7F7F7F" w:themeColor="text1" w:themeTint="80"/>
          <w:bottom w:val="single" w:sz="6" w:space="0" w:color="7F7F7F" w:themeColor="text1" w:themeTint="80"/>
          <w:insideH w:val="single" w:sz="6" w:space="0" w:color="7F7F7F" w:themeColor="text1" w:themeTint="80"/>
        </w:tblBorders>
        <w:tblLayout w:type="fixed"/>
        <w:tblLook w:val="04A0" w:firstRow="1" w:lastRow="0" w:firstColumn="1" w:lastColumn="0" w:noHBand="0" w:noVBand="1"/>
      </w:tblPr>
      <w:tblGrid>
        <w:gridCol w:w="1560"/>
        <w:gridCol w:w="1559"/>
        <w:gridCol w:w="1595"/>
        <w:gridCol w:w="1616"/>
        <w:gridCol w:w="1348"/>
        <w:gridCol w:w="1348"/>
      </w:tblGrid>
      <w:tr w:rsidR="00C65560" w:rsidRPr="00D66A91" w14:paraId="46B6DA49" w14:textId="66EE8D29" w:rsidTr="00C65560">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560" w:type="dxa"/>
            <w:shd w:val="clear" w:color="auto" w:fill="70AD47" w:themeFill="accent6"/>
            <w:hideMark/>
          </w:tcPr>
          <w:p w14:paraId="7BB79207" w14:textId="6DC5D5C6" w:rsidR="00C65560" w:rsidRPr="00D66A91" w:rsidRDefault="00C65560" w:rsidP="009A52CC">
            <w:pPr>
              <w:pStyle w:val="TableText0"/>
              <w:rPr>
                <w:rFonts w:cstheme="minorHAnsi"/>
                <w:sz w:val="20"/>
                <w:szCs w:val="20"/>
              </w:rPr>
            </w:pPr>
            <w:r w:rsidRPr="00D66A91">
              <w:rPr>
                <w:rFonts w:eastAsia="Webdings" w:cstheme="minorHAnsi"/>
                <w:color w:val="000000" w:themeColor="text1"/>
                <w:sz w:val="20"/>
                <w:szCs w:val="20"/>
              </w:rPr>
              <w:t>Excellent</w:t>
            </w:r>
          </w:p>
        </w:tc>
        <w:tc>
          <w:tcPr>
            <w:tcW w:w="1559" w:type="dxa"/>
            <w:shd w:val="clear" w:color="auto" w:fill="FFC000"/>
            <w:hideMark/>
          </w:tcPr>
          <w:p w14:paraId="4C6A1984" w14:textId="462EC213" w:rsidR="00C65560" w:rsidRPr="00D66A91" w:rsidRDefault="00C65560" w:rsidP="009A52CC">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Webdings" w:cstheme="minorHAnsi"/>
                <w:color w:val="000000" w:themeColor="text1"/>
                <w:sz w:val="20"/>
                <w:szCs w:val="20"/>
              </w:rPr>
              <w:t>G</w:t>
            </w:r>
            <w:r w:rsidRPr="00D66A91">
              <w:rPr>
                <w:rFonts w:eastAsia="Webdings" w:cstheme="minorHAnsi"/>
                <w:color w:val="000000" w:themeColor="text1"/>
                <w:sz w:val="20"/>
                <w:szCs w:val="20"/>
              </w:rPr>
              <w:t>ood</w:t>
            </w:r>
          </w:p>
        </w:tc>
        <w:tc>
          <w:tcPr>
            <w:tcW w:w="1595" w:type="dxa"/>
            <w:shd w:val="clear" w:color="auto" w:fill="00B0F0"/>
            <w:hideMark/>
          </w:tcPr>
          <w:p w14:paraId="1D61CA47" w14:textId="59D25558" w:rsidR="00C65560" w:rsidRPr="00D66A91" w:rsidRDefault="00C65560" w:rsidP="009A52CC">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66A91">
              <w:rPr>
                <w:rFonts w:eastAsia="Webdings" w:cstheme="minorHAnsi"/>
                <w:color w:val="000000" w:themeColor="text1"/>
                <w:sz w:val="20"/>
                <w:szCs w:val="20"/>
              </w:rPr>
              <w:t>Acceptable</w:t>
            </w:r>
          </w:p>
        </w:tc>
        <w:tc>
          <w:tcPr>
            <w:tcW w:w="1616" w:type="dxa"/>
            <w:shd w:val="clear" w:color="auto" w:fill="FF0000"/>
            <w:hideMark/>
          </w:tcPr>
          <w:p w14:paraId="4B99B9CB" w14:textId="29D28DE3" w:rsidR="00C65560" w:rsidRPr="00D66A91" w:rsidRDefault="00C65560" w:rsidP="009A52CC">
            <w:pPr>
              <w:pStyle w:val="TableText0"/>
              <w:cnfStyle w:val="100000000000" w:firstRow="1" w:lastRow="0" w:firstColumn="0" w:lastColumn="0" w:oddVBand="0" w:evenVBand="0" w:oddHBand="0" w:evenHBand="0" w:firstRowFirstColumn="0" w:firstRowLastColumn="0" w:lastRowFirstColumn="0" w:lastRowLastColumn="0"/>
              <w:rPr>
                <w:rFonts w:cstheme="minorHAnsi"/>
                <w:b w:val="0"/>
                <w:bCs w:val="0"/>
                <w:color w:val="FF0000"/>
                <w:sz w:val="20"/>
                <w:szCs w:val="20"/>
              </w:rPr>
            </w:pPr>
            <w:r w:rsidRPr="00D66A91">
              <w:rPr>
                <w:rFonts w:eastAsia="Webdings" w:cstheme="minorHAnsi"/>
                <w:color w:val="000000" w:themeColor="text1"/>
                <w:sz w:val="20"/>
                <w:szCs w:val="20"/>
              </w:rPr>
              <w:t xml:space="preserve">Poor </w:t>
            </w:r>
          </w:p>
        </w:tc>
        <w:tc>
          <w:tcPr>
            <w:tcW w:w="1348" w:type="dxa"/>
            <w:shd w:val="clear" w:color="auto" w:fill="FFFF00"/>
            <w:hideMark/>
          </w:tcPr>
          <w:p w14:paraId="63797CD5" w14:textId="0B7174A7" w:rsidR="00C65560" w:rsidRPr="00C65560" w:rsidRDefault="00C65560" w:rsidP="009A52CC">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5560">
              <w:rPr>
                <w:rFonts w:cstheme="minorHAnsi"/>
                <w:sz w:val="20"/>
                <w:szCs w:val="20"/>
              </w:rPr>
              <w:t>Insufficient evidence</w:t>
            </w:r>
          </w:p>
        </w:tc>
        <w:tc>
          <w:tcPr>
            <w:tcW w:w="1348" w:type="dxa"/>
            <w:shd w:val="clear" w:color="auto" w:fill="A5A5A5" w:themeFill="accent3"/>
          </w:tcPr>
          <w:p w14:paraId="68AA528E" w14:textId="576D7AD4" w:rsidR="00C65560" w:rsidRPr="00D66A91" w:rsidRDefault="00C65560" w:rsidP="009A52CC">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Too early to assess</w:t>
            </w:r>
          </w:p>
        </w:tc>
      </w:tr>
      <w:tr w:rsidR="00C65560" w:rsidRPr="00D66A91" w14:paraId="2DC7DB87" w14:textId="39B75ADD" w:rsidTr="00C65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2D2A096F" w14:textId="77777777" w:rsidR="00C65560" w:rsidRPr="00D66A91" w:rsidRDefault="00C65560" w:rsidP="00C65560">
            <w:pPr>
              <w:pStyle w:val="TABLETEXT"/>
              <w:rPr>
                <w:rFonts w:cstheme="minorHAnsi"/>
                <w:b w:val="0"/>
                <w:bCs w:val="0"/>
                <w:sz w:val="20"/>
                <w:szCs w:val="20"/>
              </w:rPr>
            </w:pPr>
            <w:r w:rsidRPr="00D66A91">
              <w:rPr>
                <w:rFonts w:cstheme="minorHAnsi"/>
                <w:b w:val="0"/>
                <w:bCs w:val="0"/>
                <w:sz w:val="20"/>
                <w:szCs w:val="20"/>
              </w:rPr>
              <w:t>Progress is evident on all indicators in thematic area </w:t>
            </w:r>
          </w:p>
        </w:tc>
        <w:tc>
          <w:tcPr>
            <w:tcW w:w="1559" w:type="dxa"/>
            <w:hideMark/>
          </w:tcPr>
          <w:p w14:paraId="40B8BBFE" w14:textId="7ACC3EA8" w:rsidR="00C65560" w:rsidRPr="00D66A91" w:rsidRDefault="00C65560" w:rsidP="00C65560">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6A91">
              <w:rPr>
                <w:rFonts w:cstheme="minorHAnsi"/>
                <w:sz w:val="20"/>
                <w:szCs w:val="20"/>
              </w:rPr>
              <w:t xml:space="preserve">Progress is evident on at least 2 indicators </w:t>
            </w:r>
          </w:p>
        </w:tc>
        <w:tc>
          <w:tcPr>
            <w:tcW w:w="1595" w:type="dxa"/>
            <w:hideMark/>
          </w:tcPr>
          <w:p w14:paraId="0A10E2DB" w14:textId="16A8DB8D" w:rsidR="00C65560" w:rsidRPr="00D66A91" w:rsidRDefault="00C65560" w:rsidP="00C65560">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6A91">
              <w:rPr>
                <w:rFonts w:cstheme="minorHAnsi"/>
                <w:sz w:val="20"/>
                <w:szCs w:val="20"/>
              </w:rPr>
              <w:t>Progress evident on 1 indicator </w:t>
            </w:r>
          </w:p>
        </w:tc>
        <w:tc>
          <w:tcPr>
            <w:tcW w:w="1616" w:type="dxa"/>
            <w:hideMark/>
          </w:tcPr>
          <w:p w14:paraId="44DBAE65" w14:textId="28908A68" w:rsidR="00C65560" w:rsidRPr="00D66A91" w:rsidRDefault="00C65560" w:rsidP="00C65560">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6A91">
              <w:rPr>
                <w:rFonts w:cstheme="minorHAnsi"/>
                <w:sz w:val="20"/>
                <w:szCs w:val="20"/>
              </w:rPr>
              <w:t>No progress on any indicator</w:t>
            </w:r>
          </w:p>
        </w:tc>
        <w:tc>
          <w:tcPr>
            <w:tcW w:w="1348" w:type="dxa"/>
            <w:hideMark/>
          </w:tcPr>
          <w:p w14:paraId="3ABE336E" w14:textId="1E8D29FD" w:rsidR="00C65560" w:rsidRPr="00D66A91" w:rsidRDefault="00C65560" w:rsidP="00C65560">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r w:rsidRPr="00D66A91">
              <w:rPr>
                <w:rFonts w:cstheme="minorHAnsi"/>
                <w:sz w:val="20"/>
                <w:szCs w:val="20"/>
              </w:rPr>
              <w:t>nsufficient evidence to assess </w:t>
            </w:r>
          </w:p>
        </w:tc>
        <w:tc>
          <w:tcPr>
            <w:tcW w:w="1348" w:type="dxa"/>
          </w:tcPr>
          <w:p w14:paraId="4A25A148" w14:textId="41B810D6" w:rsidR="00C65560" w:rsidRPr="00D66A91" w:rsidRDefault="00C65560" w:rsidP="00C65560">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66A91">
              <w:rPr>
                <w:rFonts w:cstheme="minorHAnsi"/>
                <w:sz w:val="20"/>
                <w:szCs w:val="20"/>
              </w:rPr>
              <w:t xml:space="preserve">Too early to assess </w:t>
            </w:r>
            <w:r w:rsidR="00226FD5">
              <w:rPr>
                <w:rFonts w:cstheme="minorHAnsi"/>
                <w:sz w:val="20"/>
                <w:szCs w:val="20"/>
              </w:rPr>
              <w:t>progress</w:t>
            </w:r>
            <w:r w:rsidRPr="00D66A91">
              <w:rPr>
                <w:rFonts w:cstheme="minorHAnsi"/>
                <w:sz w:val="20"/>
                <w:szCs w:val="20"/>
              </w:rPr>
              <w:t> </w:t>
            </w:r>
          </w:p>
        </w:tc>
      </w:tr>
    </w:tbl>
    <w:p w14:paraId="410A3AB1" w14:textId="3F5A2F8E" w:rsidR="0031499A" w:rsidRPr="006D7474" w:rsidRDefault="00592E3E" w:rsidP="0031499A">
      <w:pPr>
        <w:pStyle w:val="Heading3"/>
        <w:rPr>
          <w:sz w:val="22"/>
          <w:szCs w:val="22"/>
          <w:lang w:val="en-US"/>
        </w:rPr>
      </w:pPr>
      <w:r>
        <w:rPr>
          <w:i/>
          <w:iCs/>
          <w:sz w:val="22"/>
          <w:szCs w:val="22"/>
        </w:rPr>
        <w:br/>
      </w:r>
      <w:bookmarkStart w:id="57" w:name="_Toc135830124"/>
      <w:bookmarkStart w:id="58" w:name="_Toc135837406"/>
      <w:r w:rsidR="0031499A" w:rsidRPr="006D7474">
        <w:rPr>
          <w:i/>
          <w:iCs/>
          <w:sz w:val="22"/>
          <w:szCs w:val="22"/>
        </w:rPr>
        <w:t xml:space="preserve">Table </w:t>
      </w:r>
      <w:r w:rsidR="0031499A">
        <w:rPr>
          <w:i/>
          <w:iCs/>
          <w:sz w:val="22"/>
          <w:szCs w:val="22"/>
        </w:rPr>
        <w:t>3B</w:t>
      </w:r>
      <w:r w:rsidR="0031499A" w:rsidRPr="006D7474">
        <w:rPr>
          <w:i/>
          <w:iCs/>
          <w:sz w:val="22"/>
          <w:szCs w:val="22"/>
        </w:rPr>
        <w:t xml:space="preserve">: </w:t>
      </w:r>
      <w:r w:rsidR="0031499A">
        <w:rPr>
          <w:i/>
          <w:iCs/>
          <w:sz w:val="22"/>
          <w:szCs w:val="22"/>
          <w:lang w:val="en-US"/>
        </w:rPr>
        <w:t xml:space="preserve">AIHSP’s </w:t>
      </w:r>
      <w:r w:rsidR="0031499A" w:rsidRPr="006D7474">
        <w:rPr>
          <w:i/>
          <w:iCs/>
          <w:sz w:val="22"/>
          <w:szCs w:val="22"/>
          <w:lang w:val="en-US"/>
        </w:rPr>
        <w:t xml:space="preserve">progress </w:t>
      </w:r>
      <w:r w:rsidR="0031499A">
        <w:rPr>
          <w:i/>
          <w:iCs/>
          <w:sz w:val="22"/>
          <w:szCs w:val="22"/>
          <w:lang w:val="en-US"/>
        </w:rPr>
        <w:t>ratings for the EOPOs in the MERLA</w:t>
      </w:r>
      <w:bookmarkEnd w:id="57"/>
      <w:bookmarkEnd w:id="58"/>
    </w:p>
    <w:tbl>
      <w:tblPr>
        <w:tblStyle w:val="TableGrid"/>
        <w:tblW w:w="9214" w:type="dxa"/>
        <w:tblBorders>
          <w:left w:val="none" w:sz="0" w:space="0" w:color="auto"/>
          <w:right w:val="none" w:sz="0" w:space="0" w:color="auto"/>
        </w:tblBorders>
        <w:tblLayout w:type="fixed"/>
        <w:tblLook w:val="04A0" w:firstRow="1" w:lastRow="0" w:firstColumn="1" w:lastColumn="0" w:noHBand="0" w:noVBand="1"/>
      </w:tblPr>
      <w:tblGrid>
        <w:gridCol w:w="7655"/>
        <w:gridCol w:w="1559"/>
      </w:tblGrid>
      <w:tr w:rsidR="00592E3E" w:rsidRPr="003A6BF2" w14:paraId="6DDE65A3" w14:textId="77777777" w:rsidTr="00D66A91">
        <w:trPr>
          <w:tblHeader/>
        </w:trPr>
        <w:tc>
          <w:tcPr>
            <w:tcW w:w="7655" w:type="dxa"/>
            <w:shd w:val="clear" w:color="auto" w:fill="002060"/>
          </w:tcPr>
          <w:p w14:paraId="407A6028" w14:textId="77777777" w:rsidR="00592E3E" w:rsidRPr="00D66A91" w:rsidRDefault="00592E3E" w:rsidP="009A52CC">
            <w:pPr>
              <w:spacing w:line="257" w:lineRule="auto"/>
              <w:jc w:val="center"/>
              <w:rPr>
                <w:rFonts w:ascii="Calibri" w:eastAsia="Calibri" w:hAnsi="Calibri" w:cs="Calibri"/>
                <w:sz w:val="20"/>
                <w:szCs w:val="20"/>
                <w:lang w:val="en-US"/>
              </w:rPr>
            </w:pPr>
            <w:r w:rsidRPr="00D66A91">
              <w:rPr>
                <w:rFonts w:ascii="Calibri" w:eastAsia="Calibri" w:hAnsi="Calibri" w:cs="Calibri"/>
                <w:sz w:val="20"/>
                <w:szCs w:val="20"/>
                <w:lang w:val="en-US"/>
              </w:rPr>
              <w:t>Outcome</w:t>
            </w:r>
          </w:p>
        </w:tc>
        <w:tc>
          <w:tcPr>
            <w:tcW w:w="1559" w:type="dxa"/>
            <w:shd w:val="clear" w:color="auto" w:fill="002060"/>
          </w:tcPr>
          <w:p w14:paraId="31C7BFCA" w14:textId="77777777" w:rsidR="00592E3E" w:rsidRPr="00D66A91" w:rsidRDefault="00592E3E" w:rsidP="009A52CC">
            <w:pPr>
              <w:spacing w:line="257" w:lineRule="auto"/>
              <w:jc w:val="center"/>
              <w:rPr>
                <w:rFonts w:ascii="Calibri" w:eastAsia="Calibri" w:hAnsi="Calibri" w:cs="Calibri"/>
                <w:sz w:val="20"/>
                <w:szCs w:val="20"/>
                <w:lang w:val="en-US"/>
              </w:rPr>
            </w:pPr>
            <w:r w:rsidRPr="00D66A91">
              <w:rPr>
                <w:rFonts w:ascii="Calibri" w:eastAsia="Calibri" w:hAnsi="Calibri" w:cs="Calibri"/>
                <w:sz w:val="20"/>
                <w:szCs w:val="20"/>
                <w:lang w:val="en-US"/>
              </w:rPr>
              <w:t>Progress Rating</w:t>
            </w:r>
          </w:p>
        </w:tc>
      </w:tr>
      <w:tr w:rsidR="00592E3E" w:rsidRPr="003A6BF2" w14:paraId="4CCA9586" w14:textId="77777777" w:rsidTr="00C65560">
        <w:tc>
          <w:tcPr>
            <w:tcW w:w="7655" w:type="dxa"/>
          </w:tcPr>
          <w:p w14:paraId="07EE1189" w14:textId="77777777" w:rsidR="00592E3E" w:rsidRPr="00592E3E" w:rsidRDefault="00592E3E" w:rsidP="009A52CC">
            <w:pPr>
              <w:spacing w:line="257" w:lineRule="auto"/>
              <w:rPr>
                <w:rFonts w:ascii="Calibri" w:eastAsia="Calibri" w:hAnsi="Calibri" w:cs="Calibri"/>
                <w:sz w:val="20"/>
                <w:szCs w:val="20"/>
                <w:lang w:val="en-US"/>
              </w:rPr>
            </w:pPr>
            <w:r w:rsidRPr="00592E3E">
              <w:rPr>
                <w:rFonts w:ascii="Calibri" w:eastAsia="Calibri" w:hAnsi="Calibri" w:cs="Calibri"/>
                <w:b/>
                <w:bCs/>
                <w:sz w:val="20"/>
                <w:szCs w:val="20"/>
                <w:lang w:val="en-US"/>
              </w:rPr>
              <w:t>EOPO 1.1:</w:t>
            </w:r>
            <w:r w:rsidRPr="00592E3E">
              <w:rPr>
                <w:rFonts w:ascii="Calibri" w:eastAsia="Calibri" w:hAnsi="Calibri" w:cs="Calibri"/>
                <w:sz w:val="20"/>
                <w:szCs w:val="20"/>
                <w:lang w:val="en-US"/>
              </w:rPr>
              <w:t xml:space="preserve"> Government regulations, systems and procedures, community behaviors and private sector practices are modified to reduce the incidence and impact of disease on animals and people. Human resources, health systems and public communications systems are in place.</w:t>
            </w:r>
          </w:p>
        </w:tc>
        <w:tc>
          <w:tcPr>
            <w:tcW w:w="1559" w:type="dxa"/>
            <w:shd w:val="clear" w:color="auto" w:fill="FFC000"/>
          </w:tcPr>
          <w:p w14:paraId="532356DC" w14:textId="54040785" w:rsidR="00592E3E" w:rsidRPr="00C65560" w:rsidRDefault="00592E3E" w:rsidP="009A52CC">
            <w:pPr>
              <w:spacing w:line="257" w:lineRule="auto"/>
              <w:rPr>
                <w:rFonts w:eastAsia="Webdings" w:cstheme="minorHAnsi"/>
                <w:b/>
                <w:bCs/>
                <w:color w:val="000000" w:themeColor="text1"/>
                <w:sz w:val="20"/>
                <w:szCs w:val="20"/>
                <w:lang w:val="en-US"/>
              </w:rPr>
            </w:pPr>
            <w:r w:rsidRPr="00C65560">
              <w:rPr>
                <w:rFonts w:eastAsia="Webdings" w:cstheme="minorHAnsi"/>
                <w:b/>
                <w:bCs/>
                <w:color w:val="000000" w:themeColor="text1"/>
                <w:sz w:val="20"/>
                <w:szCs w:val="20"/>
                <w:lang w:val="en-US"/>
              </w:rPr>
              <w:t>Good</w:t>
            </w:r>
          </w:p>
          <w:p w14:paraId="0DC82891" w14:textId="77777777" w:rsidR="00592E3E" w:rsidRDefault="00592E3E" w:rsidP="009A52CC">
            <w:pPr>
              <w:spacing w:line="257" w:lineRule="auto"/>
              <w:rPr>
                <w:rFonts w:eastAsia="Calibri" w:cstheme="minorHAnsi"/>
                <w:lang w:val="en-US"/>
              </w:rPr>
            </w:pPr>
          </w:p>
          <w:p w14:paraId="52C8F2B4" w14:textId="77777777" w:rsidR="00592E3E" w:rsidRPr="003A6BF2" w:rsidRDefault="00592E3E" w:rsidP="009A52CC">
            <w:pPr>
              <w:spacing w:line="257" w:lineRule="auto"/>
              <w:rPr>
                <w:rFonts w:eastAsia="Calibri" w:cstheme="minorHAnsi"/>
                <w:lang w:val="en-US"/>
              </w:rPr>
            </w:pPr>
          </w:p>
        </w:tc>
      </w:tr>
      <w:tr w:rsidR="00592E3E" w:rsidRPr="003A6BF2" w14:paraId="206C3763" w14:textId="77777777" w:rsidTr="00C65560">
        <w:tc>
          <w:tcPr>
            <w:tcW w:w="7655" w:type="dxa"/>
          </w:tcPr>
          <w:p w14:paraId="12D7190A" w14:textId="77777777" w:rsidR="00592E3E" w:rsidRPr="00592E3E" w:rsidRDefault="00592E3E" w:rsidP="009A52CC">
            <w:pPr>
              <w:spacing w:line="257" w:lineRule="auto"/>
              <w:rPr>
                <w:rFonts w:ascii="Calibri" w:eastAsia="Calibri" w:hAnsi="Calibri" w:cs="Calibri"/>
                <w:sz w:val="20"/>
                <w:szCs w:val="20"/>
                <w:lang w:val="en-US"/>
              </w:rPr>
            </w:pPr>
            <w:r w:rsidRPr="00592E3E">
              <w:rPr>
                <w:rFonts w:ascii="Calibri" w:eastAsia="Calibri" w:hAnsi="Calibri" w:cs="Calibri"/>
                <w:b/>
                <w:bCs/>
                <w:sz w:val="20"/>
                <w:szCs w:val="20"/>
                <w:lang w:val="en-US"/>
              </w:rPr>
              <w:t>EOPO 1.2:</w:t>
            </w:r>
            <w:r w:rsidRPr="00592E3E">
              <w:rPr>
                <w:rFonts w:ascii="Calibri" w:eastAsia="Calibri" w:hAnsi="Calibri" w:cs="Calibri"/>
                <w:sz w:val="20"/>
                <w:szCs w:val="20"/>
                <w:lang w:val="en-US"/>
              </w:rPr>
              <w:t xml:space="preserve"> Government decision makers are using reliable, representative, real-time information from a surveillance system that tracks targeted animal and human diseases and syndromes of concern and can detect emerging health threats.</w:t>
            </w:r>
          </w:p>
        </w:tc>
        <w:tc>
          <w:tcPr>
            <w:tcW w:w="1559" w:type="dxa"/>
            <w:shd w:val="clear" w:color="auto" w:fill="FFC000"/>
          </w:tcPr>
          <w:p w14:paraId="60E85991" w14:textId="39A16AFC" w:rsidR="00592E3E" w:rsidRPr="00C65560" w:rsidRDefault="00592E3E" w:rsidP="009A52CC">
            <w:pPr>
              <w:spacing w:line="257" w:lineRule="auto"/>
              <w:rPr>
                <w:rFonts w:ascii="Webdings" w:eastAsia="Webdings" w:hAnsi="Webdings" w:cs="Calibri"/>
                <w:b/>
                <w:bCs/>
                <w:color w:val="FFC000"/>
              </w:rPr>
            </w:pPr>
            <w:r w:rsidRPr="00C65560">
              <w:rPr>
                <w:rFonts w:eastAsia="Webdings" w:cstheme="minorHAnsi"/>
                <w:b/>
                <w:bCs/>
                <w:color w:val="000000" w:themeColor="text1"/>
                <w:sz w:val="20"/>
                <w:szCs w:val="20"/>
                <w:lang w:val="en-US"/>
              </w:rPr>
              <w:t>Good</w:t>
            </w:r>
          </w:p>
        </w:tc>
      </w:tr>
      <w:tr w:rsidR="00592E3E" w:rsidRPr="003A6BF2" w14:paraId="2987B70C" w14:textId="77777777" w:rsidTr="00C65560">
        <w:tc>
          <w:tcPr>
            <w:tcW w:w="7655" w:type="dxa"/>
          </w:tcPr>
          <w:p w14:paraId="72958364" w14:textId="77777777" w:rsidR="00592E3E" w:rsidRPr="00592E3E" w:rsidRDefault="00592E3E" w:rsidP="009A52CC">
            <w:pPr>
              <w:spacing w:line="257" w:lineRule="auto"/>
              <w:rPr>
                <w:rFonts w:ascii="Calibri" w:eastAsia="Calibri" w:hAnsi="Calibri" w:cs="Calibri"/>
                <w:sz w:val="20"/>
                <w:szCs w:val="20"/>
                <w:lang w:val="en-US"/>
              </w:rPr>
            </w:pPr>
            <w:r w:rsidRPr="00592E3E">
              <w:rPr>
                <w:rFonts w:ascii="Calibri" w:eastAsia="Calibri" w:hAnsi="Calibri" w:cs="Calibri"/>
                <w:b/>
                <w:bCs/>
                <w:sz w:val="20"/>
                <w:szCs w:val="20"/>
                <w:lang w:val="en-US"/>
              </w:rPr>
              <w:t>EOPO 1.3:</w:t>
            </w:r>
            <w:r w:rsidRPr="00592E3E">
              <w:rPr>
                <w:rFonts w:ascii="Calibri" w:eastAsia="Calibri" w:hAnsi="Calibri" w:cs="Calibri"/>
                <w:sz w:val="20"/>
                <w:szCs w:val="20"/>
                <w:lang w:val="en-US"/>
              </w:rPr>
              <w:t xml:space="preserve"> Government, communities, and the private sector </w:t>
            </w:r>
            <w:proofErr w:type="gramStart"/>
            <w:r w:rsidRPr="00592E3E">
              <w:rPr>
                <w:rFonts w:ascii="Calibri" w:eastAsia="Calibri" w:hAnsi="Calibri" w:cs="Calibri"/>
                <w:sz w:val="20"/>
                <w:szCs w:val="20"/>
                <w:lang w:val="en-US"/>
              </w:rPr>
              <w:t>are able to</w:t>
            </w:r>
            <w:proofErr w:type="gramEnd"/>
            <w:r w:rsidRPr="00592E3E">
              <w:rPr>
                <w:rFonts w:ascii="Calibri" w:eastAsia="Calibri" w:hAnsi="Calibri" w:cs="Calibri"/>
                <w:sz w:val="20"/>
                <w:szCs w:val="20"/>
                <w:lang w:val="en-US"/>
              </w:rPr>
              <w:t xml:space="preserve"> mount an effective, proportionate, timely and well-coordinated response to detected and verified health threats. They jointly conduct after-action reviews and other learning activities, using the results for policy and planning.</w:t>
            </w:r>
          </w:p>
        </w:tc>
        <w:tc>
          <w:tcPr>
            <w:tcW w:w="1559" w:type="dxa"/>
            <w:shd w:val="clear" w:color="auto" w:fill="FFC000"/>
          </w:tcPr>
          <w:p w14:paraId="6CDE7688" w14:textId="00920E15" w:rsidR="00592E3E" w:rsidRPr="00C65560" w:rsidRDefault="00592E3E" w:rsidP="009A52CC">
            <w:pPr>
              <w:spacing w:line="257" w:lineRule="auto"/>
              <w:rPr>
                <w:rFonts w:ascii="Webdings" w:eastAsia="Webdings" w:hAnsi="Webdings" w:cs="Calibri"/>
                <w:b/>
                <w:bCs/>
                <w:color w:val="00B050"/>
              </w:rPr>
            </w:pPr>
            <w:r w:rsidRPr="00C65560">
              <w:rPr>
                <w:rFonts w:eastAsia="Webdings" w:cstheme="minorHAnsi"/>
                <w:b/>
                <w:bCs/>
                <w:color w:val="000000" w:themeColor="text1"/>
                <w:sz w:val="20"/>
                <w:szCs w:val="20"/>
                <w:lang w:val="en-US"/>
              </w:rPr>
              <w:t>Good</w:t>
            </w:r>
          </w:p>
        </w:tc>
      </w:tr>
      <w:tr w:rsidR="00592E3E" w:rsidRPr="003A6BF2" w14:paraId="21584C20" w14:textId="77777777" w:rsidTr="00C65560">
        <w:tc>
          <w:tcPr>
            <w:tcW w:w="7655" w:type="dxa"/>
          </w:tcPr>
          <w:p w14:paraId="5685FEA8" w14:textId="77777777" w:rsidR="00592E3E" w:rsidRPr="00592E3E" w:rsidRDefault="00592E3E" w:rsidP="009A52CC">
            <w:pPr>
              <w:spacing w:line="257" w:lineRule="auto"/>
              <w:rPr>
                <w:rFonts w:ascii="Calibri" w:eastAsia="Calibri" w:hAnsi="Calibri" w:cs="Calibri"/>
                <w:sz w:val="20"/>
                <w:szCs w:val="20"/>
                <w:lang w:val="en-US"/>
              </w:rPr>
            </w:pPr>
            <w:r w:rsidRPr="00592E3E">
              <w:rPr>
                <w:rFonts w:ascii="Calibri" w:eastAsia="Calibri" w:hAnsi="Calibri" w:cs="Calibri"/>
                <w:b/>
                <w:bCs/>
                <w:sz w:val="20"/>
                <w:szCs w:val="20"/>
                <w:lang w:val="en-US"/>
              </w:rPr>
              <w:t>EOPO 2.1:</w:t>
            </w:r>
            <w:r w:rsidRPr="00592E3E">
              <w:rPr>
                <w:rFonts w:ascii="Calibri" w:eastAsia="Calibri" w:hAnsi="Calibri" w:cs="Calibri"/>
                <w:sz w:val="20"/>
                <w:szCs w:val="20"/>
                <w:lang w:val="en-US"/>
              </w:rPr>
              <w:t xml:space="preserve"> All relevant government bodies to </w:t>
            </w:r>
            <w:proofErr w:type="spellStart"/>
            <w:r w:rsidRPr="00592E3E">
              <w:rPr>
                <w:rFonts w:ascii="Calibri" w:eastAsia="Calibri" w:hAnsi="Calibri" w:cs="Calibri"/>
                <w:sz w:val="20"/>
                <w:szCs w:val="20"/>
                <w:lang w:val="en-US"/>
              </w:rPr>
              <w:t>harmonise</w:t>
            </w:r>
            <w:proofErr w:type="spellEnd"/>
            <w:r w:rsidRPr="00592E3E">
              <w:rPr>
                <w:rFonts w:ascii="Calibri" w:eastAsia="Calibri" w:hAnsi="Calibri" w:cs="Calibri"/>
                <w:sz w:val="20"/>
                <w:szCs w:val="20"/>
                <w:lang w:val="en-US"/>
              </w:rPr>
              <w:t xml:space="preserve"> Prevent, Detect and Respond across sectors, between levels of government and with relevant non-governmental entities in a One Health approach, routinely using formal and informal means of information sharing and collaborative working.</w:t>
            </w:r>
          </w:p>
        </w:tc>
        <w:tc>
          <w:tcPr>
            <w:tcW w:w="1559" w:type="dxa"/>
            <w:shd w:val="clear" w:color="auto" w:fill="00B0F0"/>
          </w:tcPr>
          <w:p w14:paraId="6D874ED1" w14:textId="7CA04A62" w:rsidR="00592E3E" w:rsidRPr="00C65560" w:rsidRDefault="00592E3E" w:rsidP="009A52CC">
            <w:pPr>
              <w:spacing w:line="257" w:lineRule="auto"/>
              <w:rPr>
                <w:rFonts w:ascii="Webdings" w:eastAsia="Webdings" w:hAnsi="Webdings" w:cs="Calibri"/>
                <w:b/>
                <w:bCs/>
                <w:color w:val="00B050"/>
              </w:rPr>
            </w:pPr>
            <w:r w:rsidRPr="00C65560">
              <w:rPr>
                <w:rFonts w:eastAsia="Webdings" w:cstheme="minorHAnsi"/>
                <w:b/>
                <w:bCs/>
                <w:color w:val="000000" w:themeColor="text1"/>
                <w:sz w:val="20"/>
                <w:szCs w:val="20"/>
                <w:lang w:val="en-US"/>
              </w:rPr>
              <w:t>Acceptable</w:t>
            </w:r>
          </w:p>
        </w:tc>
      </w:tr>
    </w:tbl>
    <w:p w14:paraId="1B708939" w14:textId="75646C47" w:rsidR="0031499A" w:rsidRDefault="0031499A" w:rsidP="0031499A">
      <w:pPr>
        <w:pStyle w:val="Heading3"/>
        <w:rPr>
          <w:rFonts w:eastAsia="Calibri Light" w:cstheme="majorHAnsi"/>
          <w:color w:val="1F3763"/>
          <w:lang w:val="en-US"/>
        </w:rPr>
      </w:pPr>
      <w:bookmarkStart w:id="59" w:name="_Hlk130816225"/>
      <w:bookmarkStart w:id="60" w:name="_Hlk130816246"/>
      <w:bookmarkStart w:id="61" w:name="_Hlk130816437"/>
      <w:bookmarkStart w:id="62" w:name="_Toc135837407"/>
      <w:bookmarkEnd w:id="59"/>
      <w:bookmarkEnd w:id="60"/>
      <w:bookmarkEnd w:id="61"/>
      <w:r w:rsidRPr="00635A47">
        <w:rPr>
          <w:rFonts w:eastAsia="Calibri Light" w:cstheme="majorHAnsi"/>
          <w:color w:val="1F3763"/>
          <w:lang w:val="en-US"/>
        </w:rPr>
        <w:lastRenderedPageBreak/>
        <w:t>3.</w:t>
      </w:r>
      <w:r>
        <w:rPr>
          <w:rFonts w:eastAsia="Calibri Light" w:cstheme="majorHAnsi"/>
          <w:color w:val="1F3763"/>
          <w:lang w:val="en-US"/>
        </w:rPr>
        <w:t>1</w:t>
      </w:r>
      <w:r w:rsidRPr="00635A47">
        <w:rPr>
          <w:rFonts w:eastAsia="Calibri Light" w:cstheme="majorHAnsi"/>
          <w:color w:val="1F3763"/>
          <w:lang w:val="en-US"/>
        </w:rPr>
        <w:t>.1</w:t>
      </w:r>
      <w:r w:rsidRPr="00635A47">
        <w:rPr>
          <w:rFonts w:eastAsia="Calibri Light" w:cstheme="majorHAnsi"/>
          <w:color w:val="1F3763"/>
          <w:lang w:val="en-US"/>
        </w:rPr>
        <w:tab/>
        <w:t>Progress towards EOPO</w:t>
      </w:r>
      <w:r w:rsidR="004C0121">
        <w:rPr>
          <w:rFonts w:eastAsia="Calibri Light" w:cstheme="majorHAnsi"/>
          <w:color w:val="1F3763"/>
          <w:lang w:val="en-US"/>
        </w:rPr>
        <w:t xml:space="preserve"> </w:t>
      </w:r>
      <w:r w:rsidRPr="00635A47">
        <w:rPr>
          <w:rFonts w:eastAsia="Calibri Light" w:cstheme="majorHAnsi"/>
          <w:color w:val="1F3763"/>
          <w:lang w:val="en-US"/>
        </w:rPr>
        <w:t>1.1</w:t>
      </w:r>
      <w:r>
        <w:rPr>
          <w:rFonts w:eastAsia="Calibri Light" w:cstheme="majorHAnsi"/>
          <w:color w:val="1F3763"/>
          <w:lang w:val="en-US"/>
        </w:rPr>
        <w:t>:</w:t>
      </w:r>
      <w:r w:rsidRPr="00635A47">
        <w:rPr>
          <w:rFonts w:eastAsia="Calibri Light" w:cstheme="majorHAnsi"/>
          <w:color w:val="1F3763"/>
          <w:lang w:val="en-US"/>
        </w:rPr>
        <w:t xml:space="preserve"> </w:t>
      </w:r>
      <w:bookmarkStart w:id="63" w:name="_Hlk132286217"/>
      <w:r>
        <w:rPr>
          <w:rFonts w:eastAsia="Calibri Light" w:cstheme="majorHAnsi"/>
          <w:color w:val="1F3763"/>
          <w:lang w:val="en-US"/>
        </w:rPr>
        <w:t>Prepare and Prevent</w:t>
      </w:r>
      <w:bookmarkEnd w:id="62"/>
      <w:r>
        <w:rPr>
          <w:rFonts w:eastAsia="Calibri Light" w:cstheme="majorHAnsi"/>
          <w:color w:val="1F3763"/>
          <w:lang w:val="en-US"/>
        </w:rPr>
        <w:t xml:space="preserve"> </w:t>
      </w:r>
    </w:p>
    <w:p w14:paraId="474D18E9" w14:textId="77777777" w:rsidR="0031499A" w:rsidRPr="00FE5114" w:rsidRDefault="0031499A" w:rsidP="0031499A">
      <w:pPr>
        <w:pStyle w:val="Heading3"/>
      </w:pPr>
      <w:bookmarkStart w:id="64" w:name="_Toc135837408"/>
      <w:r>
        <w:t>AIHSP</w:t>
      </w:r>
      <w:bookmarkEnd w:id="64"/>
    </w:p>
    <w:bookmarkEnd w:id="63"/>
    <w:p w14:paraId="73C18E3D" w14:textId="65DEC69A" w:rsidR="0031499A" w:rsidRDefault="0031499A" w:rsidP="00460D76">
      <w:pPr>
        <w:spacing w:after="12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EOPO 1.1. has two thematic outcomes, i.e.</w:t>
      </w:r>
      <w:r w:rsidR="00C35236">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T.1 </w:t>
      </w:r>
      <w:proofErr w:type="spellStart"/>
      <w:r>
        <w:rPr>
          <w:rFonts w:ascii="Calibri" w:eastAsia="Calibri" w:hAnsi="Calibri" w:cs="Calibri"/>
          <w:color w:val="000000" w:themeColor="text1"/>
          <w:lang w:val="en-US"/>
        </w:rPr>
        <w:t>Puskesmas</w:t>
      </w:r>
      <w:proofErr w:type="spellEnd"/>
      <w:r>
        <w:rPr>
          <w:rFonts w:ascii="Calibri" w:eastAsia="Calibri" w:hAnsi="Calibri" w:cs="Calibri"/>
          <w:color w:val="000000" w:themeColor="text1"/>
          <w:lang w:val="en-US"/>
        </w:rPr>
        <w:t xml:space="preserve"> Strengthening and T.2 Control of Priority Animal Disease, as well as two cross-cutting outcomes related to (1) human resources capacity development </w:t>
      </w:r>
      <w:r w:rsidRPr="006A7E4E">
        <w:rPr>
          <w:rFonts w:ascii="Calibri" w:eastAsia="Calibri" w:hAnsi="Calibri" w:cs="Calibri"/>
          <w:color w:val="000000" w:themeColor="text1"/>
          <w:lang w:val="en-US"/>
        </w:rPr>
        <w:t xml:space="preserve">in </w:t>
      </w:r>
      <w:proofErr w:type="spellStart"/>
      <w:r>
        <w:rPr>
          <w:rFonts w:ascii="Calibri" w:eastAsia="Calibri" w:hAnsi="Calibri" w:cs="Calibri"/>
          <w:color w:val="000000" w:themeColor="text1"/>
          <w:lang w:val="en-US"/>
        </w:rPr>
        <w:t>p</w:t>
      </w:r>
      <w:r w:rsidRPr="006A7E4E">
        <w:rPr>
          <w:rFonts w:ascii="Calibri" w:eastAsia="Calibri" w:hAnsi="Calibri" w:cs="Calibri"/>
          <w:color w:val="000000" w:themeColor="text1"/>
          <w:lang w:val="en-US"/>
        </w:rPr>
        <w:t>uskesmas</w:t>
      </w:r>
      <w:proofErr w:type="spellEnd"/>
      <w:r w:rsidRPr="006A7E4E">
        <w:rPr>
          <w:rFonts w:ascii="Calibri" w:eastAsia="Calibri" w:hAnsi="Calibri" w:cs="Calibri"/>
          <w:color w:val="000000" w:themeColor="text1"/>
          <w:lang w:val="en-US"/>
        </w:rPr>
        <w:t xml:space="preserve"> and control of priority animal diseases</w:t>
      </w:r>
      <w:r>
        <w:rPr>
          <w:rFonts w:ascii="Calibri" w:eastAsia="Calibri" w:hAnsi="Calibri" w:cs="Calibri"/>
          <w:color w:val="000000" w:themeColor="text1"/>
          <w:lang w:val="en-US"/>
        </w:rPr>
        <w:t>; and (2) improvement</w:t>
      </w:r>
      <w:r w:rsidR="007D124D">
        <w:rPr>
          <w:rFonts w:ascii="Calibri" w:eastAsia="Calibri" w:hAnsi="Calibri" w:cs="Calibri"/>
          <w:color w:val="000000" w:themeColor="text1"/>
          <w:lang w:val="en-US"/>
        </w:rPr>
        <w:t>s</w:t>
      </w:r>
      <w:r>
        <w:rPr>
          <w:rFonts w:ascii="Calibri" w:eastAsia="Calibri" w:hAnsi="Calibri" w:cs="Calibri"/>
          <w:color w:val="000000" w:themeColor="text1"/>
          <w:lang w:val="en-US"/>
        </w:rPr>
        <w:t xml:space="preserve"> in government communication, community engagement and public messaging related to T1 and T2. Under this EOPO, greatest progress was made in </w:t>
      </w:r>
      <w:r w:rsidR="007D124D">
        <w:rPr>
          <w:rFonts w:ascii="Calibri" w:eastAsia="Calibri" w:hAnsi="Calibri" w:cs="Calibri"/>
          <w:color w:val="000000" w:themeColor="text1"/>
          <w:lang w:val="en-US"/>
        </w:rPr>
        <w:t xml:space="preserve">supporting </w:t>
      </w:r>
      <w:r>
        <w:rPr>
          <w:rFonts w:ascii="Calibri" w:eastAsia="Calibri" w:hAnsi="Calibri" w:cs="Calibri"/>
          <w:color w:val="000000" w:themeColor="text1"/>
          <w:lang w:val="en-US"/>
        </w:rPr>
        <w:t xml:space="preserve">the development and/or modification of government regulations or policy documents and </w:t>
      </w:r>
      <w:r w:rsidRPr="38839A5B">
        <w:rPr>
          <w:rFonts w:ascii="Calibri" w:eastAsia="Calibri" w:hAnsi="Calibri" w:cs="Calibri"/>
          <w:color w:val="000000" w:themeColor="text1"/>
          <w:lang w:val="en-US"/>
        </w:rPr>
        <w:t xml:space="preserve">control of </w:t>
      </w:r>
      <w:r>
        <w:rPr>
          <w:rFonts w:ascii="Calibri" w:eastAsia="Calibri" w:hAnsi="Calibri" w:cs="Calibri"/>
          <w:color w:val="000000" w:themeColor="text1"/>
          <w:lang w:val="en-US"/>
        </w:rPr>
        <w:t xml:space="preserve">priority animal diseases. </w:t>
      </w:r>
      <w:r w:rsidR="00D944F4" w:rsidRPr="00D944F4">
        <w:rPr>
          <w:rFonts w:ascii="Calibri" w:eastAsia="Calibri" w:hAnsi="Calibri" w:cs="Calibri"/>
          <w:color w:val="000000" w:themeColor="text1"/>
          <w:lang w:val="en-US"/>
        </w:rPr>
        <w:t xml:space="preserve">Community </w:t>
      </w:r>
      <w:proofErr w:type="spellStart"/>
      <w:r w:rsidR="00D944F4" w:rsidRPr="00D944F4">
        <w:rPr>
          <w:rFonts w:ascii="Calibri" w:eastAsia="Calibri" w:hAnsi="Calibri" w:cs="Calibri"/>
          <w:color w:val="000000" w:themeColor="text1"/>
          <w:lang w:val="en-US"/>
        </w:rPr>
        <w:t>behaviour</w:t>
      </w:r>
      <w:proofErr w:type="spellEnd"/>
      <w:r w:rsidR="00D944F4" w:rsidRPr="00D944F4">
        <w:rPr>
          <w:rFonts w:ascii="Calibri" w:eastAsia="Calibri" w:hAnsi="Calibri" w:cs="Calibri"/>
          <w:color w:val="000000" w:themeColor="text1"/>
          <w:lang w:val="en-US"/>
        </w:rPr>
        <w:t xml:space="preserve"> change activities were ongoing, but activities under T.1 had not yet started and private sector activities were still </w:t>
      </w:r>
      <w:r w:rsidR="00D944F4">
        <w:rPr>
          <w:rFonts w:ascii="Calibri" w:eastAsia="Calibri" w:hAnsi="Calibri" w:cs="Calibri"/>
          <w:color w:val="000000" w:themeColor="text1"/>
          <w:lang w:val="en-US"/>
        </w:rPr>
        <w:t>at an</w:t>
      </w:r>
      <w:r w:rsidR="00D944F4" w:rsidRPr="00D944F4">
        <w:rPr>
          <w:rFonts w:ascii="Calibri" w:eastAsia="Calibri" w:hAnsi="Calibri" w:cs="Calibri"/>
          <w:color w:val="000000" w:themeColor="text1"/>
          <w:lang w:val="en-US"/>
        </w:rPr>
        <w:t xml:space="preserve"> early stage of delivery. Under the cross-cutting themes for EOPO 1.1, no learning events for </w:t>
      </w:r>
      <w:proofErr w:type="spellStart"/>
      <w:r w:rsidR="00D944F4" w:rsidRPr="00D944F4">
        <w:rPr>
          <w:rFonts w:ascii="Calibri" w:eastAsia="Calibri" w:hAnsi="Calibri" w:cs="Calibri"/>
          <w:color w:val="000000" w:themeColor="text1"/>
          <w:lang w:val="en-US"/>
        </w:rPr>
        <w:t>puskesmas</w:t>
      </w:r>
      <w:proofErr w:type="spellEnd"/>
      <w:r w:rsidR="00D944F4" w:rsidRPr="00D944F4">
        <w:rPr>
          <w:rFonts w:ascii="Calibri" w:eastAsia="Calibri" w:hAnsi="Calibri" w:cs="Calibri"/>
          <w:color w:val="000000" w:themeColor="text1"/>
          <w:lang w:val="en-US"/>
        </w:rPr>
        <w:t xml:space="preserve"> strengthening </w:t>
      </w:r>
      <w:r w:rsidR="00D944F4">
        <w:rPr>
          <w:rFonts w:ascii="Calibri" w:eastAsia="Calibri" w:hAnsi="Calibri" w:cs="Calibri"/>
          <w:color w:val="000000" w:themeColor="text1"/>
          <w:lang w:val="en-US"/>
        </w:rPr>
        <w:t xml:space="preserve">had yet been </w:t>
      </w:r>
      <w:r w:rsidR="00D944F4" w:rsidRPr="00D944F4">
        <w:rPr>
          <w:rFonts w:ascii="Calibri" w:eastAsia="Calibri" w:hAnsi="Calibri" w:cs="Calibri"/>
          <w:color w:val="000000" w:themeColor="text1"/>
          <w:lang w:val="en-US"/>
        </w:rPr>
        <w:t xml:space="preserve">conducted, </w:t>
      </w:r>
      <w:r w:rsidR="00D944F4">
        <w:rPr>
          <w:rFonts w:ascii="Calibri" w:eastAsia="Calibri" w:hAnsi="Calibri" w:cs="Calibri"/>
          <w:color w:val="000000" w:themeColor="text1"/>
          <w:lang w:val="en-US"/>
        </w:rPr>
        <w:t xml:space="preserve">but there were </w:t>
      </w:r>
      <w:r w:rsidR="00D944F4" w:rsidRPr="00D944F4">
        <w:rPr>
          <w:rFonts w:ascii="Calibri" w:eastAsia="Calibri" w:hAnsi="Calibri" w:cs="Calibri"/>
          <w:color w:val="000000" w:themeColor="text1"/>
          <w:lang w:val="en-US"/>
        </w:rPr>
        <w:t xml:space="preserve">training activities </w:t>
      </w:r>
      <w:r w:rsidR="00782869">
        <w:rPr>
          <w:rFonts w:ascii="Calibri" w:eastAsia="Calibri" w:hAnsi="Calibri" w:cs="Calibri"/>
          <w:color w:val="000000" w:themeColor="text1"/>
          <w:lang w:val="en-US"/>
        </w:rPr>
        <w:t>i</w:t>
      </w:r>
      <w:r w:rsidR="00D944F4">
        <w:rPr>
          <w:rFonts w:ascii="Calibri" w:eastAsia="Calibri" w:hAnsi="Calibri" w:cs="Calibri"/>
          <w:color w:val="000000" w:themeColor="text1"/>
          <w:lang w:val="en-US"/>
        </w:rPr>
        <w:t>n</w:t>
      </w:r>
      <w:r w:rsidR="00D944F4" w:rsidRPr="00D944F4">
        <w:rPr>
          <w:rFonts w:ascii="Calibri" w:eastAsia="Calibri" w:hAnsi="Calibri" w:cs="Calibri"/>
          <w:color w:val="000000" w:themeColor="text1"/>
          <w:lang w:val="en-US"/>
        </w:rPr>
        <w:t xml:space="preserve"> </w:t>
      </w:r>
      <w:r w:rsidR="00782869">
        <w:rPr>
          <w:rFonts w:ascii="Calibri" w:eastAsia="Calibri" w:hAnsi="Calibri" w:cs="Calibri"/>
          <w:color w:val="000000" w:themeColor="text1"/>
          <w:lang w:val="en-US"/>
        </w:rPr>
        <w:t>One Health</w:t>
      </w:r>
      <w:r w:rsidR="00D944F4" w:rsidRPr="00D944F4">
        <w:rPr>
          <w:rFonts w:ascii="Calibri" w:eastAsia="Calibri" w:hAnsi="Calibri" w:cs="Calibri"/>
          <w:color w:val="000000" w:themeColor="text1"/>
          <w:lang w:val="en-US"/>
        </w:rPr>
        <w:t xml:space="preserve"> and risk communications held in some of the AIHSP pilot provinces and districts.</w:t>
      </w:r>
      <w:r w:rsidR="00D944F4">
        <w:rPr>
          <w:rFonts w:ascii="Calibri" w:eastAsia="Calibri" w:hAnsi="Calibri" w:cs="Calibri"/>
          <w:color w:val="000000" w:themeColor="text1"/>
          <w:lang w:val="en-US"/>
        </w:rPr>
        <w:t xml:space="preserve"> </w:t>
      </w:r>
      <w:r w:rsidR="00CE5D02">
        <w:rPr>
          <w:rFonts w:ascii="Calibri" w:eastAsia="Calibri" w:hAnsi="Calibri" w:cs="Calibri"/>
          <w:color w:val="000000" w:themeColor="text1"/>
          <w:lang w:val="en-US"/>
        </w:rPr>
        <w:t xml:space="preserve">While the </w:t>
      </w:r>
      <w:r w:rsidR="00463CCD">
        <w:rPr>
          <w:rFonts w:ascii="Calibri" w:eastAsia="Calibri" w:hAnsi="Calibri" w:cs="Calibri"/>
          <w:color w:val="000000" w:themeColor="text1"/>
          <w:lang w:val="en-US"/>
        </w:rPr>
        <w:t xml:space="preserve">evidence for this EOPO was </w:t>
      </w:r>
      <w:r w:rsidR="00FA79DA">
        <w:rPr>
          <w:rFonts w:ascii="Calibri" w:eastAsia="Calibri" w:hAnsi="Calibri" w:cs="Calibri"/>
          <w:color w:val="000000" w:themeColor="text1"/>
          <w:lang w:val="en-US"/>
        </w:rPr>
        <w:t>generally strong</w:t>
      </w:r>
      <w:r w:rsidR="00CE5D02">
        <w:rPr>
          <w:rFonts w:ascii="Calibri" w:eastAsia="Calibri" w:hAnsi="Calibri" w:cs="Calibri"/>
          <w:color w:val="000000" w:themeColor="text1"/>
          <w:lang w:val="en-US"/>
        </w:rPr>
        <w:t>,</w:t>
      </w:r>
      <w:r w:rsidR="00463CCD">
        <w:rPr>
          <w:rFonts w:ascii="Calibri" w:eastAsia="Calibri" w:hAnsi="Calibri" w:cs="Calibri"/>
          <w:color w:val="000000" w:themeColor="text1"/>
          <w:lang w:val="en-US"/>
        </w:rPr>
        <w:t xml:space="preserve"> t</w:t>
      </w:r>
      <w:r>
        <w:rPr>
          <w:rFonts w:ascii="Calibri" w:eastAsia="Calibri" w:hAnsi="Calibri" w:cs="Calibri"/>
          <w:color w:val="000000" w:themeColor="text1"/>
          <w:lang w:val="en-US"/>
        </w:rPr>
        <w:t xml:space="preserve">he </w:t>
      </w:r>
      <w:r w:rsidR="00CE5D02">
        <w:rPr>
          <w:rFonts w:ascii="Calibri" w:eastAsia="Calibri" w:hAnsi="Calibri" w:cs="Calibri"/>
          <w:color w:val="000000" w:themeColor="text1"/>
          <w:lang w:val="en-US"/>
        </w:rPr>
        <w:t xml:space="preserve">degree of </w:t>
      </w:r>
      <w:r>
        <w:rPr>
          <w:rFonts w:ascii="Calibri" w:eastAsia="Calibri" w:hAnsi="Calibri" w:cs="Calibri"/>
          <w:color w:val="000000" w:themeColor="text1"/>
          <w:lang w:val="en-US"/>
        </w:rPr>
        <w:t xml:space="preserve">progress to date resulted in </w:t>
      </w:r>
      <w:r w:rsidR="0036512A">
        <w:rPr>
          <w:rFonts w:ascii="Calibri" w:eastAsia="Calibri" w:hAnsi="Calibri" w:cs="Calibri"/>
          <w:color w:val="000000" w:themeColor="text1"/>
          <w:lang w:val="en-US"/>
        </w:rPr>
        <w:t>an</w:t>
      </w:r>
      <w:r>
        <w:rPr>
          <w:rFonts w:ascii="Calibri" w:eastAsia="Calibri" w:hAnsi="Calibri" w:cs="Calibri"/>
          <w:color w:val="000000" w:themeColor="text1"/>
          <w:lang w:val="en-US"/>
        </w:rPr>
        <w:t xml:space="preserve"> overall </w:t>
      </w:r>
      <w:proofErr w:type="gramStart"/>
      <w:r w:rsidRPr="0073799C">
        <w:rPr>
          <w:rFonts w:ascii="Calibri" w:eastAsia="Calibri" w:hAnsi="Calibri" w:cs="Calibri"/>
          <w:b/>
          <w:bCs/>
          <w:lang w:val="en-US"/>
        </w:rPr>
        <w:t>Good</w:t>
      </w:r>
      <w:proofErr w:type="gramEnd"/>
      <w:r w:rsidRPr="0073799C">
        <w:rPr>
          <w:rFonts w:ascii="Calibri" w:eastAsia="Calibri" w:hAnsi="Calibri" w:cs="Calibri"/>
          <w:b/>
          <w:bCs/>
          <w:lang w:val="en-US"/>
        </w:rPr>
        <w:t xml:space="preserve"> rating </w:t>
      </w:r>
      <w:r w:rsidRPr="002D198F">
        <w:rPr>
          <w:rFonts w:ascii="Calibri" w:eastAsia="Calibri" w:hAnsi="Calibri" w:cs="Calibri"/>
          <w:lang w:val="en-US"/>
        </w:rPr>
        <w:t xml:space="preserve">for </w:t>
      </w:r>
      <w:r w:rsidRPr="0073799C">
        <w:rPr>
          <w:rFonts w:ascii="Calibri" w:eastAsia="Calibri" w:hAnsi="Calibri" w:cs="Calibri"/>
          <w:b/>
          <w:bCs/>
          <w:lang w:val="en-US"/>
        </w:rPr>
        <w:t xml:space="preserve">EOPO 1.1. </w:t>
      </w:r>
      <w:r w:rsidR="002D198F" w:rsidRPr="002D198F">
        <w:rPr>
          <w:rFonts w:ascii="Calibri" w:eastAsia="Calibri" w:hAnsi="Calibri" w:cs="Calibri"/>
          <w:i/>
          <w:iCs/>
          <w:lang w:val="en-US"/>
        </w:rPr>
        <w:t>(</w:t>
      </w:r>
      <w:proofErr w:type="gramStart"/>
      <w:r w:rsidRPr="00613070">
        <w:rPr>
          <w:rFonts w:ascii="Calibri" w:eastAsia="Calibri" w:hAnsi="Calibri" w:cs="Calibri"/>
          <w:i/>
          <w:iCs/>
          <w:color w:val="000000" w:themeColor="text1"/>
          <w:lang w:val="en-US"/>
        </w:rPr>
        <w:t>see</w:t>
      </w:r>
      <w:proofErr w:type="gramEnd"/>
      <w:r w:rsidR="00C35236">
        <w:rPr>
          <w:rFonts w:ascii="Calibri" w:eastAsia="Calibri" w:hAnsi="Calibri" w:cs="Calibri"/>
          <w:i/>
          <w:iCs/>
          <w:color w:val="000000" w:themeColor="text1"/>
          <w:lang w:val="en-US"/>
        </w:rPr>
        <w:t xml:space="preserve"> </w:t>
      </w:r>
      <w:r w:rsidRPr="00613070">
        <w:rPr>
          <w:rFonts w:ascii="Calibri" w:eastAsia="Calibri" w:hAnsi="Calibri" w:cs="Calibri"/>
          <w:i/>
          <w:iCs/>
          <w:color w:val="000000" w:themeColor="text1"/>
          <w:lang w:val="en-US"/>
        </w:rPr>
        <w:t xml:space="preserve">EOPO 1.3 for AIHSP’s contribution to </w:t>
      </w:r>
      <w:r w:rsidR="002D198F">
        <w:rPr>
          <w:rFonts w:ascii="Calibri" w:eastAsia="Calibri" w:hAnsi="Calibri" w:cs="Calibri"/>
          <w:i/>
          <w:iCs/>
          <w:color w:val="000000" w:themeColor="text1"/>
          <w:lang w:val="en-US"/>
        </w:rPr>
        <w:t xml:space="preserve">the </w:t>
      </w:r>
      <w:r w:rsidRPr="00613070">
        <w:rPr>
          <w:rFonts w:ascii="Calibri" w:eastAsia="Calibri" w:hAnsi="Calibri" w:cs="Calibri"/>
          <w:i/>
          <w:iCs/>
          <w:color w:val="000000" w:themeColor="text1"/>
          <w:lang w:val="en-US"/>
        </w:rPr>
        <w:t xml:space="preserve">FMD and LSD responses and EOPO 1.2 </w:t>
      </w:r>
      <w:r w:rsidR="009F1F65">
        <w:rPr>
          <w:rFonts w:ascii="Calibri" w:eastAsia="Calibri" w:hAnsi="Calibri" w:cs="Calibri"/>
          <w:i/>
          <w:iCs/>
          <w:color w:val="000000" w:themeColor="text1"/>
          <w:lang w:val="en-US"/>
        </w:rPr>
        <w:t>for</w:t>
      </w:r>
      <w:r w:rsidRPr="00613070">
        <w:rPr>
          <w:rFonts w:ascii="Calibri" w:eastAsia="Calibri" w:hAnsi="Calibri" w:cs="Calibri"/>
          <w:i/>
          <w:iCs/>
          <w:color w:val="000000" w:themeColor="text1"/>
          <w:lang w:val="en-US"/>
        </w:rPr>
        <w:t xml:space="preserve"> progress o</w:t>
      </w:r>
      <w:r w:rsidR="009F1F65">
        <w:rPr>
          <w:rFonts w:ascii="Calibri" w:eastAsia="Calibri" w:hAnsi="Calibri" w:cs="Calibri"/>
          <w:i/>
          <w:iCs/>
          <w:color w:val="000000" w:themeColor="text1"/>
          <w:lang w:val="en-US"/>
        </w:rPr>
        <w:t>n</w:t>
      </w:r>
      <w:r w:rsidRPr="00613070">
        <w:rPr>
          <w:rFonts w:ascii="Calibri" w:eastAsia="Calibri" w:hAnsi="Calibri" w:cs="Calibri"/>
          <w:i/>
          <w:iCs/>
          <w:color w:val="000000" w:themeColor="text1"/>
          <w:lang w:val="en-US"/>
        </w:rPr>
        <w:t xml:space="preserve"> </w:t>
      </w:r>
      <w:proofErr w:type="spellStart"/>
      <w:r w:rsidRPr="00613070">
        <w:rPr>
          <w:rFonts w:ascii="Calibri" w:eastAsia="Calibri" w:hAnsi="Calibri" w:cs="Calibri"/>
          <w:i/>
          <w:iCs/>
          <w:color w:val="000000" w:themeColor="text1"/>
          <w:lang w:val="en-US"/>
        </w:rPr>
        <w:t>iSIKHNAS</w:t>
      </w:r>
      <w:proofErr w:type="spellEnd"/>
      <w:r w:rsidR="002D198F">
        <w:rPr>
          <w:rFonts w:ascii="Calibri" w:eastAsia="Calibri" w:hAnsi="Calibri" w:cs="Calibri"/>
          <w:i/>
          <w:iCs/>
          <w:color w:val="000000" w:themeColor="text1"/>
          <w:lang w:val="en-US"/>
        </w:rPr>
        <w:t>)</w:t>
      </w:r>
      <w:r w:rsidRPr="00613070">
        <w:rPr>
          <w:rFonts w:ascii="Calibri" w:eastAsia="Calibri" w:hAnsi="Calibri" w:cs="Calibri"/>
          <w:i/>
          <w:iCs/>
          <w:color w:val="000000" w:themeColor="text1"/>
          <w:lang w:val="en-US"/>
        </w:rPr>
        <w:t xml:space="preserve">. </w:t>
      </w:r>
    </w:p>
    <w:p w14:paraId="637AB411" w14:textId="68EF503C" w:rsidR="0031499A" w:rsidRDefault="0031499A" w:rsidP="00460D76">
      <w:pPr>
        <w:spacing w:after="120" w:line="240" w:lineRule="auto"/>
        <w:rPr>
          <w:rFonts w:ascii="Calibri" w:eastAsia="Calibri" w:hAnsi="Calibri" w:cs="Calibri"/>
          <w:lang w:val="en-US"/>
        </w:rPr>
      </w:pPr>
      <w:r>
        <w:rPr>
          <w:rFonts w:ascii="Calibri" w:eastAsia="Calibri" w:hAnsi="Calibri" w:cs="Calibri"/>
          <w:lang w:val="en-US"/>
        </w:rPr>
        <w:t xml:space="preserve">AIHSP supported at least 13 regulatory and </w:t>
      </w:r>
      <w:r w:rsidRPr="00C35236">
        <w:rPr>
          <w:rFonts w:ascii="Calibri" w:eastAsia="Calibri" w:hAnsi="Calibri" w:cs="Calibri"/>
        </w:rPr>
        <w:t>policy</w:t>
      </w:r>
      <w:r>
        <w:rPr>
          <w:rFonts w:ascii="Calibri" w:eastAsia="Calibri" w:hAnsi="Calibri" w:cs="Calibri"/>
          <w:lang w:val="en-US"/>
        </w:rPr>
        <w:t xml:space="preserve"> activities </w:t>
      </w:r>
      <w:r w:rsidR="00DE29A8">
        <w:rPr>
          <w:rFonts w:ascii="Calibri" w:eastAsia="Calibri" w:hAnsi="Calibri" w:cs="Calibri"/>
          <w:lang w:val="en-US"/>
        </w:rPr>
        <w:t>related to the</w:t>
      </w:r>
      <w:r>
        <w:rPr>
          <w:rFonts w:ascii="Calibri" w:eastAsia="Calibri" w:hAnsi="Calibri" w:cs="Calibri"/>
          <w:lang w:val="en-US"/>
        </w:rPr>
        <w:t xml:space="preserve"> improve</w:t>
      </w:r>
      <w:r w:rsidR="00DE29A8">
        <w:rPr>
          <w:rFonts w:ascii="Calibri" w:eastAsia="Calibri" w:hAnsi="Calibri" w:cs="Calibri"/>
          <w:lang w:val="en-US"/>
        </w:rPr>
        <w:t>ment of</w:t>
      </w:r>
      <w:r>
        <w:rPr>
          <w:rFonts w:ascii="Calibri" w:eastAsia="Calibri" w:hAnsi="Calibri" w:cs="Calibri"/>
          <w:lang w:val="en-US"/>
        </w:rPr>
        <w:t xml:space="preserve"> health security in Indonesia. These included a contingency plan for LSD, the FMD </w:t>
      </w:r>
      <w:r w:rsidR="00E26B63">
        <w:rPr>
          <w:rFonts w:ascii="Calibri" w:eastAsia="Calibri" w:hAnsi="Calibri" w:cs="Calibri"/>
          <w:lang w:val="en-US"/>
        </w:rPr>
        <w:t>Roadmap</w:t>
      </w:r>
      <w:r>
        <w:rPr>
          <w:rFonts w:ascii="Calibri" w:eastAsia="Calibri" w:hAnsi="Calibri" w:cs="Calibri"/>
          <w:lang w:val="en-US"/>
        </w:rPr>
        <w:t xml:space="preserve">, </w:t>
      </w:r>
      <w:r w:rsidRPr="009E72BE">
        <w:rPr>
          <w:rFonts w:ascii="Calibri" w:eastAsia="Calibri" w:hAnsi="Calibri" w:cs="Calibri"/>
          <w:lang w:val="en-US"/>
        </w:rPr>
        <w:t>National Animal Health Surveillance Guidelines</w:t>
      </w:r>
      <w:r>
        <w:rPr>
          <w:rFonts w:ascii="Calibri" w:eastAsia="Calibri" w:hAnsi="Calibri" w:cs="Calibri"/>
          <w:lang w:val="en-US"/>
        </w:rPr>
        <w:t xml:space="preserve"> (draft pending final approval), the </w:t>
      </w:r>
      <w:r w:rsidRPr="009E72BE">
        <w:rPr>
          <w:rFonts w:ascii="Calibri" w:eastAsia="Calibri" w:hAnsi="Calibri" w:cs="Calibri"/>
          <w:lang w:val="en-US"/>
        </w:rPr>
        <w:t xml:space="preserve">National Action Plan for </w:t>
      </w:r>
      <w:r w:rsidR="00DE29A8">
        <w:rPr>
          <w:rFonts w:ascii="Calibri" w:eastAsia="Calibri" w:hAnsi="Calibri" w:cs="Calibri"/>
          <w:lang w:val="en-US"/>
        </w:rPr>
        <w:t>I</w:t>
      </w:r>
      <w:r w:rsidRPr="009E72BE">
        <w:rPr>
          <w:rFonts w:ascii="Calibri" w:eastAsia="Calibri" w:hAnsi="Calibri" w:cs="Calibri"/>
          <w:lang w:val="en-US"/>
        </w:rPr>
        <w:t xml:space="preserve">mproving </w:t>
      </w:r>
      <w:r w:rsidR="00DE29A8">
        <w:rPr>
          <w:rFonts w:ascii="Calibri" w:eastAsia="Calibri" w:hAnsi="Calibri" w:cs="Calibri"/>
          <w:lang w:val="en-US"/>
        </w:rPr>
        <w:t>L</w:t>
      </w:r>
      <w:r w:rsidRPr="009E72BE">
        <w:rPr>
          <w:rFonts w:ascii="Calibri" w:eastAsia="Calibri" w:hAnsi="Calibri" w:cs="Calibri"/>
          <w:lang w:val="en-US"/>
        </w:rPr>
        <w:t xml:space="preserve">aboratory </w:t>
      </w:r>
      <w:r w:rsidR="00DE29A8">
        <w:rPr>
          <w:rFonts w:ascii="Calibri" w:eastAsia="Calibri" w:hAnsi="Calibri" w:cs="Calibri"/>
          <w:lang w:val="en-US"/>
        </w:rPr>
        <w:t>C</w:t>
      </w:r>
      <w:r w:rsidRPr="009E72BE">
        <w:rPr>
          <w:rFonts w:ascii="Calibri" w:eastAsia="Calibri" w:hAnsi="Calibri" w:cs="Calibri"/>
          <w:lang w:val="en-US"/>
        </w:rPr>
        <w:t>apacity</w:t>
      </w:r>
      <w:r>
        <w:rPr>
          <w:rFonts w:ascii="Calibri" w:eastAsia="Calibri" w:hAnsi="Calibri" w:cs="Calibri"/>
          <w:lang w:val="en-US"/>
        </w:rPr>
        <w:t xml:space="preserve"> (in progress), </w:t>
      </w:r>
      <w:r w:rsidRPr="00B2321E">
        <w:rPr>
          <w:rFonts w:ascii="Calibri" w:eastAsia="Calibri" w:hAnsi="Calibri" w:cs="Calibri"/>
          <w:lang w:val="en-US"/>
        </w:rPr>
        <w:t>Guidelines/SOPs for zoonotic diseases</w:t>
      </w:r>
      <w:r>
        <w:rPr>
          <w:rFonts w:ascii="Calibri" w:eastAsia="Calibri" w:hAnsi="Calibri" w:cs="Calibri"/>
          <w:lang w:val="en-US"/>
        </w:rPr>
        <w:t xml:space="preserve">, and the </w:t>
      </w:r>
      <w:r w:rsidRPr="009E72BE">
        <w:rPr>
          <w:rFonts w:ascii="Calibri" w:eastAsia="Calibri" w:hAnsi="Calibri" w:cs="Calibri"/>
          <w:lang w:val="en-US"/>
        </w:rPr>
        <w:t>Lombok G20 One Health Policy Brief</w:t>
      </w:r>
      <w:r>
        <w:rPr>
          <w:rFonts w:ascii="Calibri" w:eastAsia="Calibri" w:hAnsi="Calibri" w:cs="Calibri"/>
          <w:lang w:val="en-US"/>
        </w:rPr>
        <w:t xml:space="preserve">. </w:t>
      </w:r>
      <w:r>
        <w:rPr>
          <w:rFonts w:ascii="Calibri" w:eastAsia="Calibri" w:hAnsi="Calibri" w:cs="Calibri"/>
          <w:color w:val="000000" w:themeColor="text1"/>
          <w:lang w:val="en-US"/>
        </w:rPr>
        <w:t>M</w:t>
      </w:r>
      <w:r w:rsidRPr="34F20BA4">
        <w:rPr>
          <w:rFonts w:ascii="Calibri" w:eastAsia="Calibri" w:hAnsi="Calibri" w:cs="Calibri"/>
          <w:color w:val="000000" w:themeColor="text1"/>
          <w:lang w:val="en-US"/>
        </w:rPr>
        <w:t xml:space="preserve">ost of these </w:t>
      </w:r>
      <w:r>
        <w:rPr>
          <w:rFonts w:ascii="Calibri" w:eastAsia="Calibri" w:hAnsi="Calibri" w:cs="Calibri"/>
          <w:color w:val="000000" w:themeColor="text1"/>
          <w:lang w:val="en-US"/>
        </w:rPr>
        <w:t xml:space="preserve">have yet to be implemented. </w:t>
      </w:r>
      <w:r>
        <w:rPr>
          <w:rFonts w:ascii="Calibri" w:eastAsia="Calibri" w:hAnsi="Calibri" w:cs="Calibri"/>
          <w:lang w:val="en-US"/>
        </w:rPr>
        <w:t>At the sub-national and d</w:t>
      </w:r>
      <w:r w:rsidRPr="009E72BE">
        <w:rPr>
          <w:rFonts w:ascii="Calibri" w:eastAsia="Calibri" w:hAnsi="Calibri" w:cs="Calibri"/>
          <w:lang w:val="en-US"/>
        </w:rPr>
        <w:t>istrict level</w:t>
      </w:r>
      <w:r>
        <w:rPr>
          <w:rFonts w:ascii="Calibri" w:eastAsia="Calibri" w:hAnsi="Calibri" w:cs="Calibri"/>
          <w:lang w:val="en-US"/>
        </w:rPr>
        <w:t>,</w:t>
      </w:r>
      <w:r w:rsidRPr="009E72BE">
        <w:rPr>
          <w:rFonts w:ascii="Calibri" w:eastAsia="Calibri" w:hAnsi="Calibri" w:cs="Calibri"/>
          <w:lang w:val="en-US"/>
        </w:rPr>
        <w:t xml:space="preserve"> COVID-19 </w:t>
      </w:r>
      <w:proofErr w:type="spellStart"/>
      <w:r w:rsidRPr="009E72BE">
        <w:rPr>
          <w:rFonts w:ascii="Calibri" w:eastAsia="Calibri" w:hAnsi="Calibri" w:cs="Calibri"/>
          <w:lang w:val="en-US"/>
        </w:rPr>
        <w:t>behaviour</w:t>
      </w:r>
      <w:proofErr w:type="spellEnd"/>
      <w:r w:rsidRPr="009E72BE">
        <w:rPr>
          <w:rFonts w:ascii="Calibri" w:eastAsia="Calibri" w:hAnsi="Calibri" w:cs="Calibri"/>
          <w:lang w:val="en-US"/>
        </w:rPr>
        <w:t xml:space="preserve"> change communication strategies</w:t>
      </w:r>
      <w:r>
        <w:rPr>
          <w:rFonts w:ascii="Calibri" w:eastAsia="Calibri" w:hAnsi="Calibri" w:cs="Calibri"/>
          <w:lang w:val="en-US"/>
        </w:rPr>
        <w:t xml:space="preserve"> were developed with AIHSP support. </w:t>
      </w:r>
    </w:p>
    <w:p w14:paraId="755ADE64" w14:textId="0378310C" w:rsidR="0031499A" w:rsidRDefault="0031499A" w:rsidP="00460D76">
      <w:pPr>
        <w:spacing w:after="120" w:line="240" w:lineRule="auto"/>
        <w:rPr>
          <w:rFonts w:ascii="Calibri" w:eastAsia="Calibri" w:hAnsi="Calibri" w:cs="Calibri"/>
          <w:color w:val="000000"/>
          <w:lang w:val="en-US"/>
        </w:rPr>
      </w:pPr>
      <w:r w:rsidRPr="48362220">
        <w:rPr>
          <w:rFonts w:ascii="Calibri" w:eastAsia="Calibri" w:hAnsi="Calibri" w:cs="Calibri"/>
          <w:color w:val="000000" w:themeColor="text1"/>
        </w:rPr>
        <w:t>AIHSP</w:t>
      </w:r>
      <w:r w:rsidRPr="48362220">
        <w:rPr>
          <w:rFonts w:ascii="Calibri" w:eastAsia="Calibri" w:hAnsi="Calibri" w:cs="Calibri"/>
          <w:color w:val="000000" w:themeColor="text1"/>
          <w:lang w:val="en-US"/>
        </w:rPr>
        <w:t xml:space="preserve"> </w:t>
      </w:r>
      <w:r w:rsidRPr="48362220">
        <w:rPr>
          <w:rFonts w:ascii="Calibri" w:eastAsia="Calibri" w:hAnsi="Calibri" w:cs="Calibri"/>
          <w:color w:val="000000" w:themeColor="text1"/>
        </w:rPr>
        <w:t xml:space="preserve">funded the National Health System Review (completed in March 2023) jointly in partnership with BAPPENAS </w:t>
      </w:r>
      <w:r w:rsidRPr="48362220">
        <w:rPr>
          <w:rFonts w:ascii="Calibri" w:eastAsia="Calibri" w:hAnsi="Calibri" w:cs="Calibri"/>
          <w:color w:val="000000" w:themeColor="text1"/>
          <w:lang w:val="en-US"/>
        </w:rPr>
        <w:t xml:space="preserve">to </w:t>
      </w:r>
      <w:r w:rsidRPr="48362220">
        <w:rPr>
          <w:rFonts w:ascii="Calibri" w:eastAsia="Calibri" w:hAnsi="Calibri" w:cs="Calibri"/>
          <w:color w:val="000000" w:themeColor="text1"/>
        </w:rPr>
        <w:t xml:space="preserve">inform the formulation of the National Medium Term Development Plan (RPJMN 2025-2029) </w:t>
      </w:r>
      <w:r w:rsidR="0041767F" w:rsidRPr="48362220">
        <w:rPr>
          <w:rFonts w:ascii="Calibri" w:eastAsia="Calibri" w:hAnsi="Calibri" w:cs="Calibri"/>
          <w:color w:val="000000" w:themeColor="text1"/>
        </w:rPr>
        <w:t>to be</w:t>
      </w:r>
      <w:r w:rsidRPr="48362220">
        <w:rPr>
          <w:rFonts w:ascii="Calibri" w:eastAsia="Calibri" w:hAnsi="Calibri" w:cs="Calibri"/>
          <w:color w:val="000000" w:themeColor="text1"/>
        </w:rPr>
        <w:t xml:space="preserve"> completed in 2024 and the National Long-Term Development Plan (RPJPN 2025-2045) </w:t>
      </w:r>
      <w:r w:rsidR="0041767F" w:rsidRPr="48362220">
        <w:rPr>
          <w:rFonts w:ascii="Calibri" w:eastAsia="Calibri" w:hAnsi="Calibri" w:cs="Calibri"/>
          <w:color w:val="000000" w:themeColor="text1"/>
        </w:rPr>
        <w:t>to</w:t>
      </w:r>
      <w:r w:rsidRPr="48362220">
        <w:rPr>
          <w:rFonts w:ascii="Calibri" w:eastAsia="Calibri" w:hAnsi="Calibri" w:cs="Calibri"/>
          <w:color w:val="000000" w:themeColor="text1"/>
        </w:rPr>
        <w:t xml:space="preserve"> be completed in 2023 (Sept/Oct). This review </w:t>
      </w:r>
      <w:r w:rsidR="00363BBD">
        <w:rPr>
          <w:rFonts w:ascii="Calibri" w:eastAsia="Calibri" w:hAnsi="Calibri" w:cs="Calibri"/>
          <w:color w:val="000000" w:themeColor="text1"/>
        </w:rPr>
        <w:t>considered</w:t>
      </w:r>
      <w:r w:rsidRPr="48362220">
        <w:rPr>
          <w:rFonts w:ascii="Calibri" w:eastAsia="Calibri" w:hAnsi="Calibri" w:cs="Calibri"/>
          <w:color w:val="000000" w:themeColor="text1"/>
        </w:rPr>
        <w:t xml:space="preserve"> whether to revise the </w:t>
      </w:r>
      <w:proofErr w:type="spellStart"/>
      <w:r w:rsidRPr="48362220">
        <w:rPr>
          <w:rFonts w:ascii="Calibri" w:eastAsia="Calibri" w:hAnsi="Calibri" w:cs="Calibri"/>
          <w:color w:val="000000" w:themeColor="text1"/>
        </w:rPr>
        <w:t>Perpres</w:t>
      </w:r>
      <w:proofErr w:type="spellEnd"/>
      <w:r w:rsidRPr="48362220">
        <w:rPr>
          <w:rFonts w:ascii="Calibri" w:eastAsia="Calibri" w:hAnsi="Calibri" w:cs="Calibri"/>
          <w:color w:val="000000" w:themeColor="text1"/>
        </w:rPr>
        <w:t xml:space="preserve"> 72/2012 regarding the National Health System (SKN).</w:t>
      </w:r>
      <w:r w:rsidR="0041767F" w:rsidRPr="48362220">
        <w:rPr>
          <w:rFonts w:ascii="Calibri" w:eastAsia="Calibri" w:hAnsi="Calibri" w:cs="Calibri"/>
          <w:color w:val="000000" w:themeColor="text1"/>
          <w:lang w:val="en-US"/>
        </w:rPr>
        <w:t xml:space="preserve"> </w:t>
      </w:r>
    </w:p>
    <w:p w14:paraId="3A12A9F3" w14:textId="55F0514A" w:rsidR="0031499A" w:rsidRDefault="0031499A" w:rsidP="00460D76">
      <w:pPr>
        <w:spacing w:after="120" w:line="240" w:lineRule="auto"/>
        <w:rPr>
          <w:rFonts w:ascii="Calibri" w:eastAsia="Calibri" w:hAnsi="Calibri" w:cs="Calibri"/>
          <w:color w:val="000000" w:themeColor="text1"/>
        </w:rPr>
      </w:pPr>
      <w:r w:rsidRPr="4FCF45F9">
        <w:rPr>
          <w:rFonts w:ascii="Calibri" w:eastAsia="Calibri" w:hAnsi="Calibri" w:cs="Calibri"/>
          <w:color w:val="000000" w:themeColor="text1"/>
        </w:rPr>
        <w:t>AIHSP</w:t>
      </w:r>
      <w:r w:rsidR="005E6AE6" w:rsidRPr="4FCF45F9">
        <w:rPr>
          <w:rFonts w:ascii="Calibri" w:eastAsia="Calibri" w:hAnsi="Calibri" w:cs="Calibri"/>
          <w:color w:val="000000" w:themeColor="text1"/>
        </w:rPr>
        <w:t>’s</w:t>
      </w:r>
      <w:r w:rsidRPr="4FCF45F9">
        <w:rPr>
          <w:rFonts w:ascii="Calibri" w:eastAsia="Calibri" w:hAnsi="Calibri" w:cs="Calibri"/>
          <w:color w:val="000000" w:themeColor="text1"/>
        </w:rPr>
        <w:t xml:space="preserve"> contribution to the development of important policy documents represents a significant role in supporting the </w:t>
      </w:r>
      <w:proofErr w:type="spellStart"/>
      <w:r w:rsidRPr="4FCF45F9">
        <w:rPr>
          <w:rFonts w:ascii="Calibri" w:eastAsia="Calibri" w:hAnsi="Calibri" w:cs="Calibri"/>
          <w:color w:val="000000" w:themeColor="text1"/>
        </w:rPr>
        <w:t>GoI’s</w:t>
      </w:r>
      <w:proofErr w:type="spellEnd"/>
      <w:r w:rsidRPr="4FCF45F9">
        <w:rPr>
          <w:rFonts w:ascii="Calibri" w:eastAsia="Calibri" w:hAnsi="Calibri" w:cs="Calibri"/>
          <w:color w:val="000000" w:themeColor="text1"/>
        </w:rPr>
        <w:t xml:space="preserve"> planning for future disease </w:t>
      </w:r>
      <w:proofErr w:type="gramStart"/>
      <w:r w:rsidRPr="4FCF45F9">
        <w:rPr>
          <w:rFonts w:ascii="Calibri" w:eastAsia="Calibri" w:hAnsi="Calibri" w:cs="Calibri"/>
          <w:color w:val="000000" w:themeColor="text1"/>
        </w:rPr>
        <w:t>outbreaks, and</w:t>
      </w:r>
      <w:proofErr w:type="gramEnd"/>
      <w:r w:rsidRPr="4FCF45F9">
        <w:rPr>
          <w:rFonts w:ascii="Calibri" w:eastAsia="Calibri" w:hAnsi="Calibri" w:cs="Calibri"/>
          <w:color w:val="000000" w:themeColor="text1"/>
        </w:rPr>
        <w:t xml:space="preserve"> reflects Australia</w:t>
      </w:r>
      <w:r w:rsidR="005E6AE6" w:rsidRPr="4FCF45F9">
        <w:rPr>
          <w:rFonts w:ascii="Calibri" w:eastAsia="Calibri" w:hAnsi="Calibri" w:cs="Calibri"/>
          <w:color w:val="000000" w:themeColor="text1"/>
        </w:rPr>
        <w:t>’s standing</w:t>
      </w:r>
      <w:r w:rsidRPr="4FCF45F9">
        <w:rPr>
          <w:rFonts w:ascii="Calibri" w:eastAsia="Calibri" w:hAnsi="Calibri" w:cs="Calibri"/>
          <w:color w:val="000000" w:themeColor="text1"/>
        </w:rPr>
        <w:t xml:space="preserve"> as a trusted partner. AIHSP could mak</w:t>
      </w:r>
      <w:r w:rsidR="00836A3D" w:rsidRPr="4FCF45F9">
        <w:rPr>
          <w:rFonts w:ascii="Calibri" w:eastAsia="Calibri" w:hAnsi="Calibri" w:cs="Calibri"/>
          <w:color w:val="000000" w:themeColor="text1"/>
        </w:rPr>
        <w:t>e</w:t>
      </w:r>
      <w:r w:rsidRPr="4FCF45F9">
        <w:rPr>
          <w:rFonts w:ascii="Calibri" w:eastAsia="Calibri" w:hAnsi="Calibri" w:cs="Calibri"/>
          <w:color w:val="000000" w:themeColor="text1"/>
        </w:rPr>
        <w:t xml:space="preserve"> a strategic choice on which policie</w:t>
      </w:r>
      <w:r w:rsidR="00836A3D" w:rsidRPr="4FCF45F9">
        <w:rPr>
          <w:rFonts w:ascii="Calibri" w:eastAsia="Calibri" w:hAnsi="Calibri" w:cs="Calibri"/>
          <w:color w:val="000000" w:themeColor="text1"/>
        </w:rPr>
        <w:t>s</w:t>
      </w:r>
      <w:r w:rsidRPr="4FCF45F9">
        <w:rPr>
          <w:rFonts w:ascii="Calibri" w:eastAsia="Calibri" w:hAnsi="Calibri" w:cs="Calibri"/>
          <w:color w:val="000000" w:themeColor="text1"/>
        </w:rPr>
        <w:t xml:space="preserve"> it </w:t>
      </w:r>
      <w:r w:rsidR="00040D4D">
        <w:rPr>
          <w:rFonts w:ascii="Calibri" w:eastAsia="Calibri" w:hAnsi="Calibri" w:cs="Calibri"/>
          <w:color w:val="000000" w:themeColor="text1"/>
        </w:rPr>
        <w:t>will</w:t>
      </w:r>
      <w:r w:rsidR="00040D4D" w:rsidRPr="4FCF45F9">
        <w:rPr>
          <w:rFonts w:ascii="Calibri" w:eastAsia="Calibri" w:hAnsi="Calibri" w:cs="Calibri"/>
          <w:color w:val="000000" w:themeColor="text1"/>
        </w:rPr>
        <w:t xml:space="preserve"> </w:t>
      </w:r>
      <w:r w:rsidRPr="4FCF45F9">
        <w:rPr>
          <w:rFonts w:ascii="Calibri" w:eastAsia="Calibri" w:hAnsi="Calibri" w:cs="Calibri"/>
          <w:color w:val="000000" w:themeColor="text1"/>
        </w:rPr>
        <w:t>continue to advocate for or support through to implementation</w:t>
      </w:r>
      <w:r w:rsidR="006514CC" w:rsidRPr="4FCF45F9">
        <w:rPr>
          <w:rFonts w:ascii="Calibri" w:eastAsia="Calibri" w:hAnsi="Calibri" w:cs="Calibri"/>
          <w:color w:val="000000" w:themeColor="text1"/>
        </w:rPr>
        <w:t>, such as the FMD Roadmap</w:t>
      </w:r>
      <w:r w:rsidRPr="002A305D">
        <w:rPr>
          <w:rFonts w:ascii="Calibri" w:eastAsia="Calibri" w:hAnsi="Calibri" w:cs="Calibri"/>
          <w:color w:val="000000" w:themeColor="text1"/>
        </w:rPr>
        <w:t xml:space="preserve">. </w:t>
      </w:r>
      <w:bookmarkStart w:id="65" w:name="_Hlk144822453"/>
      <w:r w:rsidR="0032280C" w:rsidRPr="002A305D">
        <w:rPr>
          <w:rFonts w:ascii="Calibri" w:eastAsia="Calibri" w:hAnsi="Calibri" w:cs="Calibri"/>
          <w:color w:val="000000" w:themeColor="text1"/>
        </w:rPr>
        <w:t>Consideration could be given to</w:t>
      </w:r>
      <w:r w:rsidRPr="002A305D">
        <w:rPr>
          <w:rFonts w:ascii="Calibri" w:eastAsia="Calibri" w:hAnsi="Calibri" w:cs="Calibri"/>
          <w:color w:val="000000" w:themeColor="text1"/>
        </w:rPr>
        <w:t xml:space="preserve"> outbreak response </w:t>
      </w:r>
      <w:r w:rsidR="00696F58" w:rsidRPr="008475D3">
        <w:rPr>
          <w:rFonts w:ascii="Calibri" w:eastAsia="Calibri" w:hAnsi="Calibri" w:cs="Calibri"/>
          <w:color w:val="000000" w:themeColor="text1"/>
        </w:rPr>
        <w:t>for partnering to</w:t>
      </w:r>
      <w:r w:rsidRPr="002A305D">
        <w:rPr>
          <w:rFonts w:ascii="Calibri" w:eastAsia="Calibri" w:hAnsi="Calibri" w:cs="Calibri"/>
          <w:color w:val="000000" w:themeColor="text1"/>
        </w:rPr>
        <w:t xml:space="preserve"> </w:t>
      </w:r>
      <w:proofErr w:type="spellStart"/>
      <w:r w:rsidRPr="002A305D">
        <w:rPr>
          <w:rFonts w:ascii="Calibri" w:eastAsia="Calibri" w:hAnsi="Calibri" w:cs="Calibri"/>
          <w:color w:val="000000" w:themeColor="text1"/>
        </w:rPr>
        <w:t>strengthensystems</w:t>
      </w:r>
      <w:proofErr w:type="spellEnd"/>
      <w:r w:rsidRPr="002A305D">
        <w:rPr>
          <w:rFonts w:ascii="Calibri" w:eastAsia="Calibri" w:hAnsi="Calibri" w:cs="Calibri"/>
          <w:color w:val="000000" w:themeColor="text1"/>
        </w:rPr>
        <w:t xml:space="preserve"> t</w:t>
      </w:r>
      <w:r w:rsidR="00696F58" w:rsidRPr="008475D3">
        <w:rPr>
          <w:rFonts w:ascii="Calibri" w:eastAsia="Calibri" w:hAnsi="Calibri" w:cs="Calibri"/>
          <w:color w:val="000000" w:themeColor="text1"/>
        </w:rPr>
        <w:t>hat</w:t>
      </w:r>
      <w:r w:rsidRPr="002A305D">
        <w:rPr>
          <w:rFonts w:ascii="Calibri" w:eastAsia="Calibri" w:hAnsi="Calibri" w:cs="Calibri"/>
          <w:color w:val="000000" w:themeColor="text1"/>
        </w:rPr>
        <w:t xml:space="preserve"> support disease prevention and control.</w:t>
      </w:r>
      <w:r w:rsidRPr="4FCF45F9">
        <w:rPr>
          <w:rFonts w:ascii="Calibri" w:eastAsia="Calibri" w:hAnsi="Calibri" w:cs="Calibri"/>
          <w:color w:val="000000" w:themeColor="text1"/>
        </w:rPr>
        <w:t xml:space="preserve"> </w:t>
      </w:r>
      <w:bookmarkEnd w:id="65"/>
    </w:p>
    <w:p w14:paraId="412D4493" w14:textId="289AE804" w:rsidR="0031499A" w:rsidRPr="00BA1688" w:rsidRDefault="00747DBB" w:rsidP="00460D76">
      <w:pPr>
        <w:spacing w:after="120" w:line="240" w:lineRule="auto"/>
        <w:rPr>
          <w:rFonts w:ascii="Calibri" w:eastAsia="Calibri" w:hAnsi="Calibri" w:cs="Calibri"/>
          <w:color w:val="000000"/>
        </w:rPr>
      </w:pPr>
      <w:r>
        <w:rPr>
          <w:rFonts w:ascii="Calibri" w:eastAsia="Calibri" w:hAnsi="Calibri" w:cs="Calibri"/>
          <w:color w:val="000000" w:themeColor="text1"/>
        </w:rPr>
        <w:t>S</w:t>
      </w:r>
      <w:r w:rsidR="0031499A" w:rsidRPr="48362220">
        <w:rPr>
          <w:rFonts w:ascii="Calibri" w:eastAsia="Calibri" w:hAnsi="Calibri" w:cs="Calibri"/>
          <w:color w:val="000000" w:themeColor="text1"/>
        </w:rPr>
        <w:t xml:space="preserve">ignificant activity to strengthen capacity at a </w:t>
      </w:r>
      <w:proofErr w:type="spellStart"/>
      <w:r w:rsidR="0031499A" w:rsidRPr="48362220">
        <w:rPr>
          <w:rFonts w:ascii="Calibri" w:eastAsia="Calibri" w:hAnsi="Calibri" w:cs="Calibri"/>
          <w:color w:val="000000" w:themeColor="text1"/>
        </w:rPr>
        <w:t>puskesmas</w:t>
      </w:r>
      <w:proofErr w:type="spellEnd"/>
      <w:r w:rsidR="0031499A" w:rsidRPr="48362220">
        <w:rPr>
          <w:rFonts w:ascii="Calibri" w:eastAsia="Calibri" w:hAnsi="Calibri" w:cs="Calibri"/>
          <w:color w:val="000000" w:themeColor="text1"/>
        </w:rPr>
        <w:t xml:space="preserve"> level </w:t>
      </w:r>
      <w:r>
        <w:rPr>
          <w:rFonts w:ascii="Calibri" w:eastAsia="Calibri" w:hAnsi="Calibri" w:cs="Calibri"/>
          <w:color w:val="000000" w:themeColor="text1"/>
        </w:rPr>
        <w:t>ha</w:t>
      </w:r>
      <w:r w:rsidR="000C650E">
        <w:rPr>
          <w:rFonts w:ascii="Calibri" w:eastAsia="Calibri" w:hAnsi="Calibri" w:cs="Calibri"/>
          <w:color w:val="000000" w:themeColor="text1"/>
        </w:rPr>
        <w:t>d</w:t>
      </w:r>
      <w:r>
        <w:rPr>
          <w:rFonts w:ascii="Calibri" w:eastAsia="Calibri" w:hAnsi="Calibri" w:cs="Calibri"/>
          <w:color w:val="000000" w:themeColor="text1"/>
        </w:rPr>
        <w:t xml:space="preserve"> been</w:t>
      </w:r>
      <w:r w:rsidR="0031499A" w:rsidRPr="48362220">
        <w:rPr>
          <w:rFonts w:ascii="Calibri" w:eastAsia="Calibri" w:hAnsi="Calibri" w:cs="Calibri"/>
          <w:color w:val="000000" w:themeColor="text1"/>
        </w:rPr>
        <w:t xml:space="preserve"> planned by AIHSP</w:t>
      </w:r>
      <w:r>
        <w:rPr>
          <w:rFonts w:ascii="Calibri" w:eastAsia="Calibri" w:hAnsi="Calibri" w:cs="Calibri"/>
          <w:color w:val="000000" w:themeColor="text1"/>
        </w:rPr>
        <w:t>, i</w:t>
      </w:r>
      <w:r w:rsidR="00D21E21">
        <w:rPr>
          <w:rFonts w:ascii="Calibri" w:eastAsia="Calibri" w:hAnsi="Calibri" w:cs="Calibri"/>
          <w:color w:val="000000" w:themeColor="text1"/>
        </w:rPr>
        <w:t>ncluding revised roles for primary health care and systems for referrals and planning</w:t>
      </w:r>
      <w:r w:rsidR="004561F4">
        <w:rPr>
          <w:rFonts w:ascii="Calibri" w:eastAsia="Calibri" w:hAnsi="Calibri" w:cs="Calibri"/>
          <w:color w:val="000000" w:themeColor="text1"/>
        </w:rPr>
        <w:t>, but few activities had commenced</w:t>
      </w:r>
      <w:r>
        <w:rPr>
          <w:rFonts w:ascii="Calibri" w:eastAsia="Calibri" w:hAnsi="Calibri" w:cs="Calibri"/>
          <w:color w:val="000000" w:themeColor="text1"/>
        </w:rPr>
        <w:t>.</w:t>
      </w:r>
      <w:r w:rsidR="00B357FB">
        <w:rPr>
          <w:rFonts w:ascii="Calibri" w:eastAsia="Calibri" w:hAnsi="Calibri" w:cs="Calibri"/>
          <w:color w:val="000000" w:themeColor="text1"/>
        </w:rPr>
        <w:t xml:space="preserve"> G</w:t>
      </w:r>
      <w:r w:rsidR="0031499A" w:rsidRPr="48362220">
        <w:rPr>
          <w:rFonts w:ascii="Calibri" w:eastAsia="Calibri" w:hAnsi="Calibri" w:cs="Calibri"/>
          <w:color w:val="000000" w:themeColor="text1"/>
        </w:rPr>
        <w:t xml:space="preserve">iven there is a need to scale back, this could be an area where proposed activities are not progressed or are limited. It is noted that given the scale of the </w:t>
      </w:r>
      <w:proofErr w:type="spellStart"/>
      <w:r w:rsidR="0031499A" w:rsidRPr="48362220">
        <w:rPr>
          <w:rFonts w:ascii="Calibri" w:eastAsia="Calibri" w:hAnsi="Calibri" w:cs="Calibri"/>
          <w:color w:val="000000" w:themeColor="text1"/>
        </w:rPr>
        <w:t>puskesmas</w:t>
      </w:r>
      <w:proofErr w:type="spellEnd"/>
      <w:r w:rsidR="0031499A" w:rsidRPr="48362220">
        <w:rPr>
          <w:rFonts w:ascii="Calibri" w:eastAsia="Calibri" w:hAnsi="Calibri" w:cs="Calibri"/>
          <w:color w:val="000000" w:themeColor="text1"/>
        </w:rPr>
        <w:t xml:space="preserve"> workforce in Indonesia, the work of AIHSP would still need to be limited to pilot provinces with a view to being scaled up by the </w:t>
      </w:r>
      <w:proofErr w:type="spellStart"/>
      <w:r w:rsidR="0031499A" w:rsidRPr="48362220">
        <w:rPr>
          <w:rFonts w:ascii="Calibri" w:eastAsia="Calibri" w:hAnsi="Calibri" w:cs="Calibri"/>
          <w:color w:val="000000" w:themeColor="text1"/>
        </w:rPr>
        <w:t>GoI</w:t>
      </w:r>
      <w:proofErr w:type="spellEnd"/>
      <w:r w:rsidR="0031499A" w:rsidRPr="48362220">
        <w:rPr>
          <w:rFonts w:ascii="Calibri" w:eastAsia="Calibri" w:hAnsi="Calibri" w:cs="Calibri"/>
          <w:color w:val="000000" w:themeColor="text1"/>
        </w:rPr>
        <w:t xml:space="preserve">. </w:t>
      </w:r>
      <w:r w:rsidR="000C650E">
        <w:rPr>
          <w:rFonts w:ascii="Calibri" w:eastAsia="Calibri" w:hAnsi="Calibri" w:cs="Calibri"/>
          <w:color w:val="000000" w:themeColor="text1"/>
        </w:rPr>
        <w:t xml:space="preserve">Planned </w:t>
      </w:r>
      <w:r w:rsidR="001933C2">
        <w:rPr>
          <w:rFonts w:ascii="Calibri" w:eastAsia="Calibri" w:hAnsi="Calibri" w:cs="Calibri"/>
          <w:color w:val="000000" w:themeColor="text1"/>
        </w:rPr>
        <w:t xml:space="preserve">AIHSP </w:t>
      </w:r>
      <w:r w:rsidR="000C650E">
        <w:rPr>
          <w:rFonts w:ascii="Calibri" w:eastAsia="Calibri" w:hAnsi="Calibri" w:cs="Calibri"/>
          <w:color w:val="000000" w:themeColor="text1"/>
        </w:rPr>
        <w:t xml:space="preserve">private sector activities </w:t>
      </w:r>
      <w:r w:rsidR="0032280C">
        <w:rPr>
          <w:rFonts w:ascii="Calibri" w:eastAsia="Calibri" w:hAnsi="Calibri" w:cs="Calibri"/>
          <w:color w:val="000000" w:themeColor="text1"/>
        </w:rPr>
        <w:t xml:space="preserve">were also at early stages. </w:t>
      </w:r>
    </w:p>
    <w:p w14:paraId="00AC8044" w14:textId="77777777" w:rsidR="0031499A" w:rsidRDefault="0031499A" w:rsidP="0031499A">
      <w:pPr>
        <w:pStyle w:val="Heading3"/>
      </w:pPr>
      <w:bookmarkStart w:id="66" w:name="_Toc135837409"/>
      <w:r>
        <w:t>WHO and UNICEF</w:t>
      </w:r>
      <w:bookmarkEnd w:id="66"/>
    </w:p>
    <w:p w14:paraId="74C16167" w14:textId="7BDDD789" w:rsidR="0031499A" w:rsidRDefault="00C73860" w:rsidP="00460D76">
      <w:pPr>
        <w:spacing w:after="120" w:line="240" w:lineRule="auto"/>
        <w:rPr>
          <w:rFonts w:ascii="Calibri" w:eastAsia="Calibri" w:hAnsi="Calibri" w:cs="Calibri"/>
          <w:color w:val="000000" w:themeColor="text1"/>
          <w:lang w:val="en-US"/>
        </w:rPr>
      </w:pPr>
      <w:r>
        <w:rPr>
          <w:rFonts w:ascii="Calibri" w:eastAsia="Calibri" w:hAnsi="Calibri" w:cs="Calibri"/>
          <w:lang w:val="en-US"/>
        </w:rPr>
        <w:t>WHO</w:t>
      </w:r>
      <w:r w:rsidR="0031499A">
        <w:rPr>
          <w:rFonts w:ascii="Calibri" w:eastAsia="Calibri" w:hAnsi="Calibri" w:cs="Calibri"/>
          <w:lang w:val="en-US"/>
        </w:rPr>
        <w:t xml:space="preserve"> contribut</w:t>
      </w:r>
      <w:r>
        <w:rPr>
          <w:rFonts w:ascii="Calibri" w:eastAsia="Calibri" w:hAnsi="Calibri" w:cs="Calibri"/>
          <w:lang w:val="en-US"/>
        </w:rPr>
        <w:t>ed</w:t>
      </w:r>
      <w:r w:rsidR="0031499A">
        <w:rPr>
          <w:rFonts w:ascii="Calibri" w:eastAsia="Calibri" w:hAnsi="Calibri" w:cs="Calibri"/>
          <w:lang w:val="en-US"/>
        </w:rPr>
        <w:t xml:space="preserve"> to </w:t>
      </w:r>
      <w:proofErr w:type="spellStart"/>
      <w:r w:rsidR="00F03974">
        <w:rPr>
          <w:rFonts w:ascii="Calibri" w:eastAsia="Calibri" w:hAnsi="Calibri" w:cs="Calibri"/>
          <w:lang w:val="en-US"/>
        </w:rPr>
        <w:t>puskesmas</w:t>
      </w:r>
      <w:proofErr w:type="spellEnd"/>
      <w:r w:rsidR="0031499A">
        <w:rPr>
          <w:rFonts w:ascii="Calibri" w:eastAsia="Calibri" w:hAnsi="Calibri" w:cs="Calibri"/>
          <w:lang w:val="en-US"/>
        </w:rPr>
        <w:t xml:space="preserve"> </w:t>
      </w:r>
      <w:r w:rsidR="00A67C51">
        <w:rPr>
          <w:rFonts w:ascii="Calibri" w:eastAsia="Calibri" w:hAnsi="Calibri" w:cs="Calibri"/>
          <w:lang w:val="en-US"/>
        </w:rPr>
        <w:t>capacity</w:t>
      </w:r>
      <w:r w:rsidR="0031499A">
        <w:rPr>
          <w:rFonts w:ascii="Calibri" w:eastAsia="Calibri" w:hAnsi="Calibri" w:cs="Calibri"/>
          <w:lang w:val="en-US"/>
        </w:rPr>
        <w:t xml:space="preserve"> and </w:t>
      </w:r>
      <w:r w:rsidR="00A67C51">
        <w:rPr>
          <w:rFonts w:ascii="Calibri" w:eastAsia="Calibri" w:hAnsi="Calibri" w:cs="Calibri"/>
          <w:lang w:val="en-US"/>
        </w:rPr>
        <w:t>guidance</w:t>
      </w:r>
      <w:r>
        <w:rPr>
          <w:rFonts w:ascii="Calibri" w:eastAsia="Calibri" w:hAnsi="Calibri" w:cs="Calibri"/>
          <w:lang w:val="en-US"/>
        </w:rPr>
        <w:t xml:space="preserve">. </w:t>
      </w:r>
      <w:r w:rsidR="00F03974">
        <w:rPr>
          <w:rFonts w:ascii="Calibri" w:eastAsia="Calibri" w:hAnsi="Calibri" w:cs="Calibri"/>
          <w:lang w:val="en-US"/>
        </w:rPr>
        <w:t xml:space="preserve">In 2020-2021, </w:t>
      </w:r>
      <w:r w:rsidR="0031499A" w:rsidRPr="34F20BA4">
        <w:rPr>
          <w:rFonts w:ascii="Calibri" w:eastAsia="Calibri" w:hAnsi="Calibri" w:cs="Calibri"/>
          <w:color w:val="000000" w:themeColor="text1"/>
          <w:lang w:val="en-US"/>
        </w:rPr>
        <w:t xml:space="preserve">WHO </w:t>
      </w:r>
      <w:r w:rsidR="006B1226">
        <w:rPr>
          <w:rFonts w:ascii="Calibri" w:eastAsia="Calibri" w:hAnsi="Calibri" w:cs="Calibri"/>
          <w:color w:val="000000" w:themeColor="text1"/>
          <w:lang w:val="en-US"/>
        </w:rPr>
        <w:t>supported</w:t>
      </w:r>
      <w:r w:rsidR="0031499A" w:rsidRPr="34F20BA4">
        <w:rPr>
          <w:rFonts w:ascii="Calibri" w:eastAsia="Calibri" w:hAnsi="Calibri" w:cs="Calibri"/>
          <w:color w:val="000000" w:themeColor="text1"/>
          <w:lang w:val="en-US"/>
        </w:rPr>
        <w:t xml:space="preserve"> the development of 10 guidelines and built the capacity of primary health workers to deliver essential health </w:t>
      </w:r>
      <w:r w:rsidR="0031499A">
        <w:rPr>
          <w:rFonts w:ascii="Calibri" w:eastAsia="Calibri" w:hAnsi="Calibri" w:cs="Calibri"/>
          <w:color w:val="000000" w:themeColor="text1"/>
          <w:lang w:val="en-US"/>
        </w:rPr>
        <w:t>care</w:t>
      </w:r>
      <w:r w:rsidR="0031499A" w:rsidRPr="34F20BA4">
        <w:rPr>
          <w:rFonts w:ascii="Calibri" w:eastAsia="Calibri" w:hAnsi="Calibri" w:cs="Calibri"/>
          <w:color w:val="000000" w:themeColor="text1"/>
          <w:lang w:val="en-US"/>
        </w:rPr>
        <w:t xml:space="preserve">. WHO assisted MoH with </w:t>
      </w:r>
      <w:r w:rsidR="0031499A">
        <w:rPr>
          <w:rFonts w:ascii="Calibri" w:eastAsia="Calibri" w:hAnsi="Calibri" w:cs="Calibri"/>
          <w:color w:val="000000" w:themeColor="text1"/>
          <w:lang w:val="en-US"/>
        </w:rPr>
        <w:t xml:space="preserve">a </w:t>
      </w:r>
      <w:r w:rsidR="0031499A" w:rsidRPr="34F20BA4">
        <w:rPr>
          <w:rFonts w:ascii="Calibri" w:eastAsia="Calibri" w:hAnsi="Calibri" w:cs="Calibri"/>
          <w:color w:val="000000" w:themeColor="text1"/>
          <w:lang w:val="en-US"/>
        </w:rPr>
        <w:t xml:space="preserve">training curriculum to perform </w:t>
      </w:r>
      <w:r w:rsidR="0031499A">
        <w:rPr>
          <w:rFonts w:ascii="Calibri" w:eastAsia="Calibri" w:hAnsi="Calibri" w:cs="Calibri"/>
          <w:color w:val="000000" w:themeColor="text1"/>
          <w:lang w:val="en-US"/>
        </w:rPr>
        <w:t>rapid diagnostic tests (</w:t>
      </w:r>
      <w:r w:rsidR="0031499A" w:rsidRPr="34F20BA4">
        <w:rPr>
          <w:rFonts w:ascii="Calibri" w:eastAsia="Calibri" w:hAnsi="Calibri" w:cs="Calibri"/>
          <w:color w:val="000000" w:themeColor="text1"/>
          <w:lang w:val="en-US"/>
        </w:rPr>
        <w:t>RDT</w:t>
      </w:r>
      <w:r w:rsidR="0031499A">
        <w:rPr>
          <w:rFonts w:ascii="Calibri" w:eastAsia="Calibri" w:hAnsi="Calibri" w:cs="Calibri"/>
          <w:color w:val="000000" w:themeColor="text1"/>
          <w:lang w:val="en-US"/>
        </w:rPr>
        <w:t>s)</w:t>
      </w:r>
      <w:r w:rsidR="0031499A" w:rsidRPr="34F20BA4">
        <w:rPr>
          <w:rFonts w:ascii="Calibri" w:eastAsia="Calibri" w:hAnsi="Calibri" w:cs="Calibri"/>
          <w:color w:val="000000" w:themeColor="text1"/>
          <w:lang w:val="en-US"/>
        </w:rPr>
        <w:t xml:space="preserve">. In 2022, UNICEF supported training for routine </w:t>
      </w:r>
      <w:proofErr w:type="spellStart"/>
      <w:r w:rsidR="0031499A" w:rsidRPr="34F20BA4">
        <w:rPr>
          <w:rFonts w:ascii="Calibri" w:eastAsia="Calibri" w:hAnsi="Calibri" w:cs="Calibri"/>
          <w:color w:val="000000" w:themeColor="text1"/>
          <w:lang w:val="en-US"/>
        </w:rPr>
        <w:t>immunisations</w:t>
      </w:r>
      <w:proofErr w:type="spellEnd"/>
      <w:r w:rsidR="0031499A" w:rsidRPr="34F20BA4">
        <w:rPr>
          <w:rFonts w:ascii="Calibri" w:eastAsia="Calibri" w:hAnsi="Calibri" w:cs="Calibri"/>
          <w:color w:val="000000" w:themeColor="text1"/>
          <w:lang w:val="en-US"/>
        </w:rPr>
        <w:t xml:space="preserve"> at </w:t>
      </w:r>
      <w:proofErr w:type="spellStart"/>
      <w:r w:rsidR="0031499A">
        <w:rPr>
          <w:rFonts w:ascii="Calibri" w:eastAsia="Calibri" w:hAnsi="Calibri" w:cs="Calibri"/>
          <w:color w:val="000000" w:themeColor="text1"/>
          <w:lang w:val="en-US"/>
        </w:rPr>
        <w:t>p</w:t>
      </w:r>
      <w:r w:rsidR="0031499A" w:rsidRPr="34F20BA4">
        <w:rPr>
          <w:rFonts w:ascii="Calibri" w:eastAsia="Calibri" w:hAnsi="Calibri" w:cs="Calibri"/>
          <w:color w:val="000000" w:themeColor="text1"/>
          <w:lang w:val="en-US"/>
        </w:rPr>
        <w:t>uskesmas</w:t>
      </w:r>
      <w:proofErr w:type="spellEnd"/>
      <w:r w:rsidR="0031499A" w:rsidRPr="34F20BA4">
        <w:rPr>
          <w:rFonts w:ascii="Calibri" w:eastAsia="Calibri" w:hAnsi="Calibri" w:cs="Calibri"/>
          <w:color w:val="000000" w:themeColor="text1"/>
          <w:lang w:val="en-US"/>
        </w:rPr>
        <w:t xml:space="preserve"> and </w:t>
      </w:r>
      <w:proofErr w:type="spellStart"/>
      <w:r w:rsidR="0031499A" w:rsidRPr="34F20BA4">
        <w:rPr>
          <w:rFonts w:ascii="Calibri" w:eastAsia="Calibri" w:hAnsi="Calibri" w:cs="Calibri"/>
          <w:color w:val="000000" w:themeColor="text1"/>
          <w:lang w:val="en-US"/>
        </w:rPr>
        <w:t>posyandu</w:t>
      </w:r>
      <w:proofErr w:type="spellEnd"/>
      <w:r w:rsidR="004C0121">
        <w:rPr>
          <w:rFonts w:ascii="Calibri" w:eastAsia="Calibri" w:hAnsi="Calibri" w:cs="Calibri"/>
          <w:color w:val="000000" w:themeColor="text1"/>
          <w:lang w:val="en-US"/>
        </w:rPr>
        <w:t xml:space="preserve"> as part of the National Child Immunization Month campaign</w:t>
      </w:r>
      <w:r w:rsidR="0031499A" w:rsidRPr="34F20BA4">
        <w:rPr>
          <w:rFonts w:ascii="Calibri" w:eastAsia="Calibri" w:hAnsi="Calibri" w:cs="Calibri"/>
          <w:color w:val="000000" w:themeColor="text1"/>
          <w:lang w:val="en-US"/>
        </w:rPr>
        <w:t>.</w:t>
      </w:r>
      <w:r w:rsidR="0031499A">
        <w:rPr>
          <w:rStyle w:val="FootnoteReference"/>
          <w:rFonts w:ascii="Calibri" w:eastAsia="Calibri" w:hAnsi="Calibri" w:cs="Calibri"/>
          <w:color w:val="000000" w:themeColor="text1"/>
          <w:lang w:val="en-US"/>
        </w:rPr>
        <w:footnoteReference w:id="17"/>
      </w:r>
      <w:r w:rsidR="0031499A">
        <w:rPr>
          <w:rFonts w:ascii="Calibri" w:eastAsia="Calibri" w:hAnsi="Calibri" w:cs="Calibri"/>
          <w:color w:val="000000" w:themeColor="text1"/>
          <w:lang w:val="en-US"/>
        </w:rPr>
        <w:t xml:space="preserve"> </w:t>
      </w:r>
      <w:r w:rsidR="0031499A" w:rsidRPr="004900FF">
        <w:rPr>
          <w:rFonts w:eastAsia="Calibri" w:cstheme="minorHAnsi"/>
          <w:color w:val="000000"/>
        </w:rPr>
        <w:t xml:space="preserve">WHO </w:t>
      </w:r>
      <w:r w:rsidR="0031499A">
        <w:rPr>
          <w:rFonts w:eastAsia="Calibri" w:cstheme="minorHAnsi"/>
          <w:color w:val="000000"/>
          <w:lang w:val="en-US"/>
        </w:rPr>
        <w:t xml:space="preserve">also </w:t>
      </w:r>
      <w:r w:rsidR="0031499A" w:rsidRPr="004900FF">
        <w:rPr>
          <w:rFonts w:eastAsia="Calibri" w:cstheme="minorHAnsi"/>
          <w:color w:val="000000"/>
        </w:rPr>
        <w:t xml:space="preserve">supported the National Committee Management and Assessment of AEFI </w:t>
      </w:r>
      <w:r w:rsidR="006B1226">
        <w:rPr>
          <w:rFonts w:eastAsia="Calibri" w:cstheme="minorHAnsi"/>
          <w:color w:val="000000"/>
        </w:rPr>
        <w:t xml:space="preserve">(Adverse Event Following Immunisation) </w:t>
      </w:r>
      <w:r w:rsidR="0031499A" w:rsidRPr="004900FF">
        <w:rPr>
          <w:rFonts w:eastAsia="Calibri" w:cstheme="minorHAnsi"/>
          <w:color w:val="000000"/>
        </w:rPr>
        <w:t>to develop and disseminate AEFI and AESI (Adverse Effect of Special Interest) surveillance guidance.</w:t>
      </w:r>
      <w:r w:rsidR="0031499A">
        <w:rPr>
          <w:rFonts w:eastAsia="Calibri" w:cstheme="minorHAnsi"/>
          <w:color w:val="000000"/>
          <w:lang w:val="en-US"/>
        </w:rPr>
        <w:t xml:space="preserve"> WHO</w:t>
      </w:r>
      <w:r w:rsidR="008C544D">
        <w:rPr>
          <w:rFonts w:eastAsia="Calibri" w:cstheme="minorHAnsi"/>
          <w:color w:val="000000"/>
          <w:lang w:val="en-US"/>
        </w:rPr>
        <w:t xml:space="preserve"> more recently </w:t>
      </w:r>
      <w:r w:rsidR="0031499A" w:rsidRPr="004900FF">
        <w:rPr>
          <w:rFonts w:eastAsia="Calibri" w:cstheme="minorHAnsi"/>
          <w:color w:val="000000"/>
        </w:rPr>
        <w:t>develop</w:t>
      </w:r>
      <w:r w:rsidR="008C544D">
        <w:rPr>
          <w:rFonts w:eastAsia="Calibri" w:cstheme="minorHAnsi"/>
          <w:color w:val="000000"/>
        </w:rPr>
        <w:t>ed</w:t>
      </w:r>
      <w:r w:rsidR="0031499A" w:rsidRPr="004900FF">
        <w:rPr>
          <w:rFonts w:eastAsia="Calibri" w:cstheme="minorHAnsi"/>
          <w:color w:val="000000"/>
        </w:rPr>
        <w:t xml:space="preserve"> and disseminat</w:t>
      </w:r>
      <w:r w:rsidR="008C544D">
        <w:rPr>
          <w:rFonts w:eastAsia="Calibri" w:cstheme="minorHAnsi"/>
          <w:color w:val="000000"/>
        </w:rPr>
        <w:t>ed</w:t>
      </w:r>
      <w:r w:rsidR="0031499A" w:rsidRPr="004900FF">
        <w:rPr>
          <w:rFonts w:eastAsia="Calibri" w:cstheme="minorHAnsi"/>
          <w:color w:val="000000"/>
        </w:rPr>
        <w:t xml:space="preserve"> key COVID-19 technical guidelines and FAQ for health workers.</w:t>
      </w:r>
      <w:r w:rsidR="0031499A">
        <w:rPr>
          <w:rFonts w:ascii="Calibri" w:eastAsia="Calibri" w:hAnsi="Calibri" w:cs="Calibri"/>
          <w:color w:val="000000" w:themeColor="text1"/>
          <w:lang w:val="en-US"/>
        </w:rPr>
        <w:t xml:space="preserve"> </w:t>
      </w:r>
      <w:r w:rsidR="008C544D">
        <w:rPr>
          <w:rFonts w:ascii="Calibri" w:eastAsia="Calibri" w:hAnsi="Calibri" w:cs="Calibri"/>
          <w:color w:val="000000" w:themeColor="text1"/>
          <w:lang w:val="en-US"/>
        </w:rPr>
        <w:t>T</w:t>
      </w:r>
      <w:r w:rsidR="0031499A">
        <w:rPr>
          <w:rFonts w:ascii="Calibri" w:eastAsia="Calibri" w:hAnsi="Calibri" w:cs="Calibri"/>
          <w:color w:val="000000" w:themeColor="text1"/>
          <w:lang w:val="en-US"/>
        </w:rPr>
        <w:t xml:space="preserve">hese documents were used by the health workers. </w:t>
      </w:r>
    </w:p>
    <w:p w14:paraId="7CC6E8A6" w14:textId="063B6B9E" w:rsidR="0031499A" w:rsidRPr="00866E07" w:rsidRDefault="0068385C" w:rsidP="00460D76">
      <w:pPr>
        <w:spacing w:after="120" w:line="240" w:lineRule="auto"/>
        <w:rPr>
          <w:rFonts w:ascii="Calibri" w:eastAsia="Calibri" w:hAnsi="Calibri" w:cs="Calibri"/>
          <w:color w:val="000000" w:themeColor="text1"/>
          <w:lang w:val="en-US"/>
        </w:rPr>
      </w:pPr>
      <w:r w:rsidRPr="48362220">
        <w:rPr>
          <w:rFonts w:ascii="Calibri" w:eastAsia="Calibri" w:hAnsi="Calibri" w:cs="Calibri"/>
          <w:color w:val="000000" w:themeColor="text1"/>
          <w:lang w:val="en-US"/>
        </w:rPr>
        <w:t>This</w:t>
      </w:r>
      <w:r w:rsidR="0031499A" w:rsidRPr="48362220">
        <w:rPr>
          <w:rFonts w:ascii="Calibri" w:eastAsia="Calibri" w:hAnsi="Calibri" w:cs="Calibri"/>
          <w:color w:val="000000" w:themeColor="text1"/>
          <w:lang w:val="en-US"/>
        </w:rPr>
        <w:t xml:space="preserve"> improved capacity </w:t>
      </w:r>
      <w:r w:rsidRPr="48362220">
        <w:rPr>
          <w:rFonts w:ascii="Calibri" w:eastAsia="Calibri" w:hAnsi="Calibri" w:cs="Calibri"/>
          <w:color w:val="000000" w:themeColor="text1"/>
          <w:lang w:val="en-US"/>
        </w:rPr>
        <w:t xml:space="preserve">and guidance </w:t>
      </w:r>
      <w:r w:rsidR="0031499A" w:rsidRPr="48362220">
        <w:rPr>
          <w:rFonts w:ascii="Calibri" w:eastAsia="Calibri" w:hAnsi="Calibri" w:cs="Calibri"/>
          <w:color w:val="000000" w:themeColor="text1"/>
          <w:lang w:val="en-US"/>
        </w:rPr>
        <w:t xml:space="preserve">could continue to support the health system beyond COVID-19 and the current DFAT investment. </w:t>
      </w:r>
      <w:r w:rsidRPr="48362220">
        <w:rPr>
          <w:rFonts w:ascii="Calibri" w:eastAsia="Calibri" w:hAnsi="Calibri" w:cs="Calibri"/>
          <w:color w:val="000000" w:themeColor="text1"/>
          <w:lang w:val="en-US"/>
        </w:rPr>
        <w:t xml:space="preserve">In supporting the COVID-19 response, </w:t>
      </w:r>
      <w:r w:rsidRPr="48362220">
        <w:rPr>
          <w:lang w:val="en-US"/>
        </w:rPr>
        <w:t>b</w:t>
      </w:r>
      <w:r w:rsidR="0031499A" w:rsidRPr="48362220">
        <w:rPr>
          <w:lang w:val="en-US"/>
        </w:rPr>
        <w:t xml:space="preserve">oth </w:t>
      </w:r>
      <w:r w:rsidR="001043F1" w:rsidRPr="48362220">
        <w:rPr>
          <w:lang w:val="en-US"/>
        </w:rPr>
        <w:t>WHO and UNICEF</w:t>
      </w:r>
      <w:r w:rsidR="0031499A" w:rsidRPr="48362220">
        <w:rPr>
          <w:lang w:val="en-US"/>
        </w:rPr>
        <w:t xml:space="preserve"> </w:t>
      </w:r>
      <w:r w:rsidR="0031499A" w:rsidRPr="48362220">
        <w:rPr>
          <w:lang w:val="en-US"/>
        </w:rPr>
        <w:lastRenderedPageBreak/>
        <w:t>were able to draw upon their knowledge of international developments</w:t>
      </w:r>
      <w:r w:rsidR="0018622E" w:rsidRPr="48362220">
        <w:rPr>
          <w:lang w:val="en-US"/>
        </w:rPr>
        <w:t xml:space="preserve">, </w:t>
      </w:r>
      <w:r w:rsidR="0031499A" w:rsidRPr="48362220">
        <w:rPr>
          <w:lang w:val="en-US"/>
        </w:rPr>
        <w:t>emerging COVID-19 good practice</w:t>
      </w:r>
      <w:r w:rsidR="0018622E" w:rsidRPr="48362220">
        <w:rPr>
          <w:lang w:val="en-US"/>
        </w:rPr>
        <w:t xml:space="preserve">, </w:t>
      </w:r>
      <w:proofErr w:type="gramStart"/>
      <w:r w:rsidR="0018622E" w:rsidRPr="48362220">
        <w:rPr>
          <w:lang w:val="en-US"/>
        </w:rPr>
        <w:t>vaccination</w:t>
      </w:r>
      <w:proofErr w:type="gramEnd"/>
      <w:r w:rsidR="0018622E" w:rsidRPr="48362220">
        <w:rPr>
          <w:lang w:val="en-US"/>
        </w:rPr>
        <w:t xml:space="preserve"> and the Indonesian health system</w:t>
      </w:r>
      <w:r w:rsidR="0031499A" w:rsidRPr="48362220">
        <w:rPr>
          <w:lang w:val="en-US"/>
        </w:rPr>
        <w:t xml:space="preserve"> as well as pre-existing strong relationships with the </w:t>
      </w:r>
      <w:proofErr w:type="spellStart"/>
      <w:r w:rsidR="0031499A" w:rsidRPr="48362220">
        <w:rPr>
          <w:lang w:val="en-US"/>
        </w:rPr>
        <w:t>GoI</w:t>
      </w:r>
      <w:proofErr w:type="spellEnd"/>
      <w:r w:rsidR="0018622E" w:rsidRPr="48362220">
        <w:rPr>
          <w:lang w:val="en-US"/>
        </w:rPr>
        <w:t>.</w:t>
      </w:r>
      <w:r w:rsidR="0031499A" w:rsidRPr="48362220">
        <w:rPr>
          <w:lang w:val="en-US"/>
        </w:rPr>
        <w:t xml:space="preserve"> Australia’s choice in supporting these partners enabled it to </w:t>
      </w:r>
      <w:r w:rsidR="00AE1026">
        <w:rPr>
          <w:lang w:val="en-US"/>
        </w:rPr>
        <w:t xml:space="preserve">effectively </w:t>
      </w:r>
      <w:r w:rsidR="0031499A" w:rsidRPr="48362220">
        <w:rPr>
          <w:lang w:val="en-US"/>
        </w:rPr>
        <w:t xml:space="preserve">contribute </w:t>
      </w:r>
      <w:r w:rsidR="00AE1026">
        <w:rPr>
          <w:lang w:val="en-US"/>
        </w:rPr>
        <w:t>the latest international expertise to</w:t>
      </w:r>
      <w:r w:rsidR="0031499A" w:rsidRPr="48362220">
        <w:rPr>
          <w:lang w:val="en-US"/>
        </w:rPr>
        <w:t xml:space="preserve"> extensive grass-roots support for Indonesia’s COVID-19 response. </w:t>
      </w:r>
      <w:r w:rsidR="0031499A" w:rsidRPr="0046644D">
        <w:t xml:space="preserve">This </w:t>
      </w:r>
      <w:r w:rsidR="00522C06" w:rsidRPr="0046644D">
        <w:t>would have been difficult to</w:t>
      </w:r>
      <w:r w:rsidR="0031499A" w:rsidRPr="0046644D">
        <w:t xml:space="preserve"> achieve</w:t>
      </w:r>
      <w:r w:rsidR="00522C06" w:rsidRPr="0046644D">
        <w:t xml:space="preserve"> in a rapid time frame</w:t>
      </w:r>
      <w:r w:rsidR="0031499A" w:rsidRPr="0046644D">
        <w:t xml:space="preserve"> except through these partners, </w:t>
      </w:r>
      <w:r w:rsidR="0031499A" w:rsidRPr="0046644D">
        <w:rPr>
          <w:lang w:val="en-US"/>
        </w:rPr>
        <w:t xml:space="preserve">and as </w:t>
      </w:r>
      <w:r w:rsidR="0031499A" w:rsidRPr="48362220">
        <w:rPr>
          <w:lang w:val="en-US"/>
        </w:rPr>
        <w:t>such th</w:t>
      </w:r>
      <w:r w:rsidR="00BB546E" w:rsidRPr="48362220">
        <w:rPr>
          <w:lang w:val="en-US"/>
        </w:rPr>
        <w:t>e</w:t>
      </w:r>
      <w:r w:rsidR="0031499A" w:rsidRPr="48362220">
        <w:rPr>
          <w:lang w:val="en-US"/>
        </w:rPr>
        <w:t xml:space="preserve"> choice of partners was appropriate. For the remaining period of implementation, the focus should continue to be on supporting last mile vaccination of at-risk </w:t>
      </w:r>
      <w:r w:rsidR="004A35DD" w:rsidRPr="48362220">
        <w:rPr>
          <w:lang w:val="en-US"/>
        </w:rPr>
        <w:t>groups and</w:t>
      </w:r>
      <w:r w:rsidR="0031499A" w:rsidRPr="48362220">
        <w:rPr>
          <w:lang w:val="en-US"/>
        </w:rPr>
        <w:t xml:space="preserve"> embedding </w:t>
      </w:r>
      <w:r w:rsidR="000C1CFB">
        <w:rPr>
          <w:lang w:val="en-US"/>
        </w:rPr>
        <w:t xml:space="preserve">targeted </w:t>
      </w:r>
      <w:proofErr w:type="spellStart"/>
      <w:r w:rsidR="0031499A" w:rsidRPr="48362220">
        <w:rPr>
          <w:lang w:val="en-US"/>
        </w:rPr>
        <w:t>puskesmas</w:t>
      </w:r>
      <w:proofErr w:type="spellEnd"/>
      <w:r w:rsidR="0031499A" w:rsidRPr="48362220">
        <w:rPr>
          <w:lang w:val="en-US"/>
        </w:rPr>
        <w:t xml:space="preserve"> capacity for future disease outbreaks.</w:t>
      </w:r>
    </w:p>
    <w:p w14:paraId="75D814F3" w14:textId="43965B4D" w:rsidR="0031499A" w:rsidRPr="004D2E9C" w:rsidRDefault="0031499A" w:rsidP="0031499A">
      <w:pPr>
        <w:pStyle w:val="Heading3"/>
        <w:rPr>
          <w:rFonts w:eastAsia="Calibri Light" w:cstheme="majorHAnsi"/>
          <w:color w:val="002060"/>
          <w:lang w:val="en-US"/>
        </w:rPr>
      </w:pPr>
      <w:bookmarkStart w:id="67" w:name="_Toc135837410"/>
      <w:r w:rsidRPr="005670D1">
        <w:rPr>
          <w:rFonts w:eastAsia="Calibri Light" w:cstheme="majorHAnsi"/>
          <w:color w:val="002060"/>
          <w:lang w:val="en-US"/>
        </w:rPr>
        <w:t>3.1.2</w:t>
      </w:r>
      <w:r w:rsidRPr="005670D1">
        <w:rPr>
          <w:rFonts w:eastAsia="Calibri Light" w:cstheme="majorHAnsi"/>
          <w:color w:val="002060"/>
          <w:lang w:val="en-US"/>
        </w:rPr>
        <w:tab/>
        <w:t>Progress towards EOPO</w:t>
      </w:r>
      <w:r w:rsidR="004C0121">
        <w:rPr>
          <w:rFonts w:eastAsia="Calibri Light" w:cstheme="majorHAnsi"/>
          <w:color w:val="002060"/>
          <w:lang w:val="en-US"/>
        </w:rPr>
        <w:t xml:space="preserve"> </w:t>
      </w:r>
      <w:r w:rsidRPr="005670D1">
        <w:rPr>
          <w:rFonts w:eastAsia="Calibri Light" w:cstheme="majorHAnsi"/>
          <w:color w:val="002060"/>
          <w:lang w:val="en-US"/>
        </w:rPr>
        <w:t>1.2 (Detect)</w:t>
      </w:r>
      <w:bookmarkEnd w:id="67"/>
      <w:r w:rsidRPr="005670D1">
        <w:rPr>
          <w:rFonts w:eastAsia="Calibri Light" w:cstheme="majorHAnsi"/>
          <w:color w:val="002060"/>
          <w:lang w:val="en-US"/>
        </w:rPr>
        <w:t xml:space="preserve"> </w:t>
      </w:r>
    </w:p>
    <w:p w14:paraId="7DA896CD" w14:textId="77777777" w:rsidR="0031499A" w:rsidRDefault="0031499A" w:rsidP="0031499A">
      <w:pPr>
        <w:pStyle w:val="Heading3"/>
      </w:pPr>
      <w:bookmarkStart w:id="68" w:name="_Toc135837411"/>
      <w:r>
        <w:t>AIHSP</w:t>
      </w:r>
      <w:bookmarkEnd w:id="68"/>
    </w:p>
    <w:p w14:paraId="47AE1F4C" w14:textId="08864C48" w:rsidR="0031499A" w:rsidRDefault="0031499A" w:rsidP="00460D76">
      <w:pPr>
        <w:spacing w:after="120" w:line="240" w:lineRule="auto"/>
        <w:rPr>
          <w:lang w:val="en-US"/>
        </w:rPr>
      </w:pPr>
      <w:r w:rsidRPr="48362220">
        <w:rPr>
          <w:lang w:val="en-US"/>
        </w:rPr>
        <w:t xml:space="preserve">Considerable progress </w:t>
      </w:r>
      <w:r w:rsidR="003C41B1">
        <w:rPr>
          <w:lang w:val="en-US"/>
        </w:rPr>
        <w:t>was</w:t>
      </w:r>
      <w:r w:rsidRPr="48362220">
        <w:rPr>
          <w:lang w:val="en-US"/>
        </w:rPr>
        <w:t xml:space="preserve"> made by the </w:t>
      </w:r>
      <w:proofErr w:type="spellStart"/>
      <w:r w:rsidRPr="48362220">
        <w:rPr>
          <w:lang w:val="en-US"/>
        </w:rPr>
        <w:t>GoI</w:t>
      </w:r>
      <w:proofErr w:type="spellEnd"/>
      <w:r w:rsidR="00861BB2" w:rsidRPr="48362220">
        <w:rPr>
          <w:lang w:val="en-US"/>
        </w:rPr>
        <w:t xml:space="preserve"> with support from AIHSP</w:t>
      </w:r>
      <w:r w:rsidRPr="48362220">
        <w:rPr>
          <w:lang w:val="en-US"/>
        </w:rPr>
        <w:t xml:space="preserve"> in improving surveillance and laboratory systems</w:t>
      </w:r>
      <w:r w:rsidR="00861BB2" w:rsidRPr="48362220">
        <w:rPr>
          <w:lang w:val="en-US"/>
        </w:rPr>
        <w:t xml:space="preserve">, </w:t>
      </w:r>
      <w:r w:rsidRPr="48362220">
        <w:rPr>
          <w:lang w:val="en-US"/>
        </w:rPr>
        <w:t xml:space="preserve">especially in animal health. More limited progress and results were achieved in human health surveillance. Under EOPO 1.2, </w:t>
      </w:r>
      <w:r w:rsidR="00E03BA1" w:rsidRPr="48362220">
        <w:rPr>
          <w:lang w:val="en-US"/>
        </w:rPr>
        <w:t>there are</w:t>
      </w:r>
      <w:r w:rsidRPr="48362220">
        <w:rPr>
          <w:lang w:val="en-US"/>
        </w:rPr>
        <w:t xml:space="preserve"> two thematic outcomes, i.e.</w:t>
      </w:r>
      <w:r w:rsidR="004C0121">
        <w:rPr>
          <w:lang w:val="en-US"/>
        </w:rPr>
        <w:t>,</w:t>
      </w:r>
      <w:r w:rsidRPr="48362220">
        <w:rPr>
          <w:lang w:val="en-US"/>
        </w:rPr>
        <w:t xml:space="preserve"> T3 Information and Surveillance and T4 Laboratories, </w:t>
      </w:r>
      <w:r w:rsidR="00F03974" w:rsidRPr="48362220">
        <w:rPr>
          <w:lang w:val="en-US"/>
        </w:rPr>
        <w:t>and</w:t>
      </w:r>
      <w:r w:rsidRPr="48362220">
        <w:rPr>
          <w:lang w:val="en-US"/>
        </w:rPr>
        <w:t xml:space="preserve"> two human resources and communication related cross-cutting outcomes</w:t>
      </w:r>
      <w:r w:rsidR="00E03BA1" w:rsidRPr="48362220">
        <w:rPr>
          <w:lang w:val="en-US"/>
        </w:rPr>
        <w:t xml:space="preserve">. The </w:t>
      </w:r>
      <w:r w:rsidRPr="48362220">
        <w:rPr>
          <w:lang w:val="en-US"/>
        </w:rPr>
        <w:t xml:space="preserve">demonstrable progress </w:t>
      </w:r>
      <w:r w:rsidR="00E03BA1" w:rsidRPr="48362220">
        <w:rPr>
          <w:lang w:val="en-US"/>
        </w:rPr>
        <w:t xml:space="preserve">in improving surveillance and laboratory systems, and the strong evidence of this, </w:t>
      </w:r>
      <w:r w:rsidRPr="48362220">
        <w:rPr>
          <w:lang w:val="en-US"/>
        </w:rPr>
        <w:t xml:space="preserve">resulted in an overall </w:t>
      </w:r>
      <w:proofErr w:type="gramStart"/>
      <w:r w:rsidRPr="48362220">
        <w:rPr>
          <w:b/>
          <w:bCs/>
          <w:lang w:val="en-US"/>
        </w:rPr>
        <w:t>Good</w:t>
      </w:r>
      <w:proofErr w:type="gramEnd"/>
      <w:r w:rsidRPr="48362220">
        <w:rPr>
          <w:b/>
          <w:bCs/>
          <w:lang w:val="en-US"/>
        </w:rPr>
        <w:t xml:space="preserve"> </w:t>
      </w:r>
      <w:r w:rsidRPr="00ED0CED">
        <w:rPr>
          <w:b/>
          <w:bCs/>
        </w:rPr>
        <w:t>rating</w:t>
      </w:r>
      <w:r w:rsidRPr="00ED0CED">
        <w:t xml:space="preserve"> for </w:t>
      </w:r>
      <w:r w:rsidRPr="00ED0CED">
        <w:rPr>
          <w:b/>
          <w:bCs/>
        </w:rPr>
        <w:t>EOPO 1.2.</w:t>
      </w:r>
      <w:r w:rsidRPr="00ED0CED">
        <w:t xml:space="preserve"> </w:t>
      </w:r>
    </w:p>
    <w:p w14:paraId="7DF384F1" w14:textId="5FEEAFAE" w:rsidR="0031499A" w:rsidRDefault="0031499A" w:rsidP="00460D76">
      <w:pPr>
        <w:spacing w:after="120" w:line="240" w:lineRule="auto"/>
        <w:rPr>
          <w:lang w:val="en-US"/>
        </w:rPr>
      </w:pPr>
      <w:r w:rsidRPr="48362220">
        <w:rPr>
          <w:lang w:val="en-US"/>
        </w:rPr>
        <w:t xml:space="preserve">In </w:t>
      </w:r>
      <w:r w:rsidR="00713C52" w:rsidRPr="48362220">
        <w:rPr>
          <w:lang w:val="en-US"/>
        </w:rPr>
        <w:t>animal</w:t>
      </w:r>
      <w:r w:rsidRPr="48362220">
        <w:rPr>
          <w:lang w:val="en-US"/>
        </w:rPr>
        <w:t xml:space="preserve"> health, AIHSP’s work with the </w:t>
      </w:r>
      <w:proofErr w:type="spellStart"/>
      <w:r w:rsidRPr="48362220">
        <w:rPr>
          <w:lang w:val="en-US"/>
        </w:rPr>
        <w:t>GoI</w:t>
      </w:r>
      <w:proofErr w:type="spellEnd"/>
      <w:r w:rsidRPr="48362220">
        <w:rPr>
          <w:lang w:val="en-US"/>
        </w:rPr>
        <w:t xml:space="preserve"> on </w:t>
      </w:r>
      <w:proofErr w:type="spellStart"/>
      <w:r w:rsidRPr="48362220">
        <w:rPr>
          <w:lang w:val="en-US"/>
        </w:rPr>
        <w:t>iSIKHNAS</w:t>
      </w:r>
      <w:proofErr w:type="spellEnd"/>
      <w:r w:rsidRPr="48362220">
        <w:rPr>
          <w:lang w:val="en-US"/>
        </w:rPr>
        <w:t xml:space="preserve"> and</w:t>
      </w:r>
      <w:r w:rsidR="00441E8C">
        <w:rPr>
          <w:lang w:val="en-US"/>
        </w:rPr>
        <w:t xml:space="preserve"> </w:t>
      </w:r>
      <w:proofErr w:type="spellStart"/>
      <w:r w:rsidR="00441E8C">
        <w:rPr>
          <w:lang w:val="en-US"/>
        </w:rPr>
        <w:t>iVLAB</w:t>
      </w:r>
      <w:proofErr w:type="spellEnd"/>
      <w:r w:rsidRPr="48362220">
        <w:rPr>
          <w:lang w:val="en-US"/>
        </w:rPr>
        <w:t xml:space="preserve"> resulted in a more integrated system, enhanced early warning and reporting, and increased system security. </w:t>
      </w:r>
      <w:proofErr w:type="spellStart"/>
      <w:r w:rsidRPr="48362220">
        <w:rPr>
          <w:lang w:val="en-US"/>
        </w:rPr>
        <w:t>MoA</w:t>
      </w:r>
      <w:proofErr w:type="spellEnd"/>
      <w:r w:rsidRPr="48362220">
        <w:rPr>
          <w:lang w:val="en-US"/>
        </w:rPr>
        <w:t xml:space="preserve">, </w:t>
      </w:r>
      <w:r w:rsidR="001A366C" w:rsidRPr="48362220">
        <w:rPr>
          <w:lang w:val="en-US"/>
        </w:rPr>
        <w:t xml:space="preserve">the </w:t>
      </w:r>
      <w:r w:rsidRPr="48362220">
        <w:rPr>
          <w:lang w:val="en-US"/>
        </w:rPr>
        <w:t xml:space="preserve">District Animal </w:t>
      </w:r>
      <w:proofErr w:type="gramStart"/>
      <w:r w:rsidRPr="48362220">
        <w:rPr>
          <w:lang w:val="en-US"/>
        </w:rPr>
        <w:t>Office</w:t>
      </w:r>
      <w:proofErr w:type="gramEnd"/>
      <w:r w:rsidRPr="48362220">
        <w:rPr>
          <w:lang w:val="en-US"/>
        </w:rPr>
        <w:t xml:space="preserve"> and Disease Investigation Centre (DIC) staff working with surveillance and/or laboratory system</w:t>
      </w:r>
      <w:r w:rsidR="001A366C" w:rsidRPr="48362220">
        <w:rPr>
          <w:lang w:val="en-US"/>
        </w:rPr>
        <w:t>s</w:t>
      </w:r>
      <w:r w:rsidRPr="48362220">
        <w:rPr>
          <w:lang w:val="en-US"/>
        </w:rPr>
        <w:t xml:space="preserve"> in four </w:t>
      </w:r>
      <w:r w:rsidR="00F03974" w:rsidRPr="48362220">
        <w:rPr>
          <w:lang w:val="en-US"/>
        </w:rPr>
        <w:t xml:space="preserve">pilot </w:t>
      </w:r>
      <w:r w:rsidRPr="48362220">
        <w:rPr>
          <w:lang w:val="en-US"/>
        </w:rPr>
        <w:t>provinces were trained to update their skills</w:t>
      </w:r>
      <w:r w:rsidR="4D6D28F7" w:rsidRPr="48362220">
        <w:rPr>
          <w:lang w:val="en-US"/>
        </w:rPr>
        <w:t xml:space="preserve"> in using the systems</w:t>
      </w:r>
      <w:r w:rsidRPr="48362220">
        <w:rPr>
          <w:lang w:val="en-US"/>
        </w:rPr>
        <w:t xml:space="preserve">. More frequent reporting through </w:t>
      </w:r>
      <w:proofErr w:type="spellStart"/>
      <w:r w:rsidRPr="48362220">
        <w:rPr>
          <w:lang w:val="en-US"/>
        </w:rPr>
        <w:t>iSIKHNAS</w:t>
      </w:r>
      <w:proofErr w:type="spellEnd"/>
      <w:r w:rsidRPr="48362220">
        <w:rPr>
          <w:lang w:val="en-US"/>
        </w:rPr>
        <w:t xml:space="preserve"> (especially during the FMD outbreak) and use of</w:t>
      </w:r>
      <w:r w:rsidR="00441E8C">
        <w:rPr>
          <w:lang w:val="en-US"/>
        </w:rPr>
        <w:t xml:space="preserve"> </w:t>
      </w:r>
      <w:proofErr w:type="spellStart"/>
      <w:r w:rsidR="00441E8C">
        <w:rPr>
          <w:lang w:val="en-US"/>
        </w:rPr>
        <w:t>iVLAB</w:t>
      </w:r>
      <w:proofErr w:type="spellEnd"/>
      <w:r w:rsidRPr="48362220">
        <w:rPr>
          <w:lang w:val="en-US"/>
        </w:rPr>
        <w:t xml:space="preserve"> was noted by interviewees. </w:t>
      </w:r>
      <w:r w:rsidR="00FE67A2">
        <w:rPr>
          <w:lang w:val="en-US"/>
        </w:rPr>
        <w:t>T</w:t>
      </w:r>
      <w:r w:rsidRPr="48362220">
        <w:rPr>
          <w:lang w:val="en-US"/>
        </w:rPr>
        <w:t xml:space="preserve">his increase was </w:t>
      </w:r>
      <w:r w:rsidR="00F03974" w:rsidRPr="48362220">
        <w:rPr>
          <w:lang w:val="en-US"/>
        </w:rPr>
        <w:t xml:space="preserve">also </w:t>
      </w:r>
      <w:r w:rsidRPr="48362220">
        <w:rPr>
          <w:lang w:val="en-US"/>
        </w:rPr>
        <w:t xml:space="preserve">likely the result of the mandatory order made by the </w:t>
      </w:r>
      <w:proofErr w:type="spellStart"/>
      <w:r w:rsidRPr="48362220">
        <w:rPr>
          <w:lang w:val="en-US"/>
        </w:rPr>
        <w:t>MoA</w:t>
      </w:r>
      <w:proofErr w:type="spellEnd"/>
      <w:r w:rsidRPr="48362220">
        <w:rPr>
          <w:lang w:val="en-US"/>
        </w:rPr>
        <w:t xml:space="preserve"> to report through </w:t>
      </w:r>
      <w:proofErr w:type="spellStart"/>
      <w:r w:rsidRPr="48362220">
        <w:rPr>
          <w:lang w:val="en-US"/>
        </w:rPr>
        <w:t>iSIKHNAS</w:t>
      </w:r>
      <w:proofErr w:type="spellEnd"/>
      <w:r w:rsidRPr="48362220">
        <w:rPr>
          <w:lang w:val="en-US"/>
        </w:rPr>
        <w:t xml:space="preserve"> and to use </w:t>
      </w:r>
      <w:proofErr w:type="spellStart"/>
      <w:r w:rsidR="00441E8C">
        <w:rPr>
          <w:lang w:val="en-US"/>
        </w:rPr>
        <w:t>iVLAB</w:t>
      </w:r>
      <w:proofErr w:type="spellEnd"/>
      <w:r w:rsidRPr="48362220">
        <w:rPr>
          <w:lang w:val="en-US"/>
        </w:rPr>
        <w:t xml:space="preserve">. </w:t>
      </w:r>
      <w:r w:rsidRPr="00110967">
        <w:t xml:space="preserve">Laboratories </w:t>
      </w:r>
      <w:r w:rsidRPr="48362220">
        <w:rPr>
          <w:rFonts w:ascii="Calibri" w:eastAsia="Calibri" w:hAnsi="Calibri" w:cs="Calibri"/>
          <w:color w:val="000000" w:themeColor="text1"/>
          <w:lang w:val="en-US"/>
        </w:rPr>
        <w:t xml:space="preserve">now have access to </w:t>
      </w:r>
      <w:proofErr w:type="spellStart"/>
      <w:r w:rsidRPr="48362220">
        <w:rPr>
          <w:rFonts w:ascii="Calibri" w:eastAsia="Calibri" w:hAnsi="Calibri" w:cs="Calibri"/>
          <w:color w:val="000000" w:themeColor="text1"/>
        </w:rPr>
        <w:t>iSIKHNAS</w:t>
      </w:r>
      <w:proofErr w:type="spellEnd"/>
      <w:r w:rsidRPr="48362220">
        <w:rPr>
          <w:rFonts w:ascii="Calibri" w:eastAsia="Calibri" w:hAnsi="Calibri" w:cs="Calibri"/>
          <w:color w:val="000000" w:themeColor="text1"/>
        </w:rPr>
        <w:t xml:space="preserve"> data </w:t>
      </w:r>
      <w:r w:rsidRPr="48362220">
        <w:rPr>
          <w:rFonts w:ascii="Calibri" w:eastAsia="Calibri" w:hAnsi="Calibri" w:cs="Calibri"/>
          <w:color w:val="000000" w:themeColor="text1"/>
          <w:lang w:val="en-US"/>
        </w:rPr>
        <w:t xml:space="preserve">which </w:t>
      </w:r>
      <w:r w:rsidRPr="48362220">
        <w:rPr>
          <w:rFonts w:ascii="Calibri" w:eastAsia="Calibri" w:hAnsi="Calibri" w:cs="Calibri"/>
          <w:color w:val="000000" w:themeColor="text1"/>
        </w:rPr>
        <w:t>may improve case management and diagnoses</w:t>
      </w:r>
      <w:r w:rsidR="00495092" w:rsidRPr="48362220">
        <w:rPr>
          <w:rFonts w:ascii="Calibri" w:eastAsia="Calibri" w:hAnsi="Calibri" w:cs="Calibri"/>
          <w:color w:val="000000" w:themeColor="text1"/>
        </w:rPr>
        <w:t xml:space="preserve">. </w:t>
      </w:r>
      <w:r w:rsidR="003D48EC">
        <w:rPr>
          <w:rFonts w:ascii="Calibri" w:eastAsia="Calibri" w:hAnsi="Calibri" w:cs="Calibri"/>
          <w:color w:val="000000" w:themeColor="text1"/>
        </w:rPr>
        <w:t xml:space="preserve">The </w:t>
      </w:r>
      <w:r w:rsidR="00E46C99" w:rsidRPr="48362220">
        <w:rPr>
          <w:rFonts w:ascii="Calibri" w:eastAsia="Calibri" w:hAnsi="Calibri" w:cs="Calibri"/>
          <w:color w:val="000000" w:themeColor="text1"/>
        </w:rPr>
        <w:t>UN Food and Agriculture Organisation (</w:t>
      </w:r>
      <w:r w:rsidRPr="48362220">
        <w:rPr>
          <w:rFonts w:ascii="Calibri" w:eastAsia="Calibri" w:hAnsi="Calibri" w:cs="Calibri"/>
          <w:color w:val="000000" w:themeColor="text1"/>
          <w:lang w:val="en-US"/>
        </w:rPr>
        <w:t>FAO</w:t>
      </w:r>
      <w:r w:rsidR="00E46C99" w:rsidRPr="48362220">
        <w:rPr>
          <w:rFonts w:ascii="Calibri" w:eastAsia="Calibri" w:hAnsi="Calibri" w:cs="Calibri"/>
          <w:color w:val="000000" w:themeColor="text1"/>
          <w:lang w:val="en-US"/>
        </w:rPr>
        <w:t>)</w:t>
      </w:r>
      <w:r w:rsidRPr="48362220">
        <w:rPr>
          <w:rFonts w:ascii="Calibri" w:eastAsia="Calibri" w:hAnsi="Calibri" w:cs="Calibri"/>
          <w:color w:val="000000" w:themeColor="text1"/>
          <w:lang w:val="en-US"/>
        </w:rPr>
        <w:t xml:space="preserve"> also contributed</w:t>
      </w:r>
      <w:r w:rsidR="00495092" w:rsidRPr="48362220">
        <w:rPr>
          <w:rFonts w:ascii="Calibri" w:eastAsia="Calibri" w:hAnsi="Calibri" w:cs="Calibri"/>
          <w:color w:val="000000" w:themeColor="text1"/>
          <w:lang w:val="en-US"/>
        </w:rPr>
        <w:t xml:space="preserve"> to this work</w:t>
      </w:r>
      <w:r w:rsidRPr="48362220">
        <w:rPr>
          <w:rFonts w:ascii="Calibri" w:eastAsia="Calibri" w:hAnsi="Calibri" w:cs="Calibri"/>
          <w:color w:val="000000" w:themeColor="text1"/>
          <w:lang w:val="en-US"/>
        </w:rPr>
        <w:t>.</w:t>
      </w:r>
      <w:r w:rsidRPr="48362220">
        <w:rPr>
          <w:rFonts w:ascii="Calibri" w:eastAsia="Calibri" w:hAnsi="Calibri" w:cs="Calibri"/>
          <w:color w:val="000000" w:themeColor="text1"/>
        </w:rPr>
        <w:t xml:space="preserve"> </w:t>
      </w:r>
      <w:r w:rsidRPr="48362220">
        <w:rPr>
          <w:lang w:val="en-US"/>
        </w:rPr>
        <w:t xml:space="preserve"> </w:t>
      </w:r>
    </w:p>
    <w:p w14:paraId="024005B2" w14:textId="4663893D" w:rsidR="0031499A" w:rsidRDefault="00495092" w:rsidP="00460D76">
      <w:pPr>
        <w:spacing w:after="120" w:line="240" w:lineRule="auto"/>
      </w:pPr>
      <w:r>
        <w:rPr>
          <w:rFonts w:ascii="Calibri" w:eastAsia="Calibri" w:hAnsi="Calibri" w:cs="Calibri"/>
          <w:lang w:val="en-US"/>
        </w:rPr>
        <w:t>R</w:t>
      </w:r>
      <w:r w:rsidR="0031499A">
        <w:rPr>
          <w:rFonts w:ascii="Calibri" w:eastAsia="Calibri" w:hAnsi="Calibri" w:cs="Calibri"/>
          <w:lang w:val="en-US"/>
        </w:rPr>
        <w:t xml:space="preserve">esponses to recent outbreaks </w:t>
      </w:r>
      <w:r w:rsidR="00403548">
        <w:rPr>
          <w:rFonts w:ascii="Calibri" w:eastAsia="Calibri" w:hAnsi="Calibri" w:cs="Calibri"/>
          <w:lang w:val="en-US"/>
        </w:rPr>
        <w:t>benefited</w:t>
      </w:r>
      <w:r w:rsidR="0031499A">
        <w:rPr>
          <w:rFonts w:ascii="Calibri" w:eastAsia="Calibri" w:hAnsi="Calibri" w:cs="Calibri"/>
          <w:lang w:val="en-US"/>
        </w:rPr>
        <w:t xml:space="preserve"> from a more functional </w:t>
      </w:r>
      <w:proofErr w:type="spellStart"/>
      <w:r w:rsidR="0031499A">
        <w:rPr>
          <w:rFonts w:ascii="Calibri" w:eastAsia="Calibri" w:hAnsi="Calibri" w:cs="Calibri"/>
          <w:lang w:val="en-US"/>
        </w:rPr>
        <w:t>iSIKHNAS</w:t>
      </w:r>
      <w:proofErr w:type="spellEnd"/>
      <w:r w:rsidR="0031499A">
        <w:rPr>
          <w:rFonts w:ascii="Calibri" w:eastAsia="Calibri" w:hAnsi="Calibri" w:cs="Calibri"/>
          <w:lang w:val="en-US"/>
        </w:rPr>
        <w:t xml:space="preserve">. Information from </w:t>
      </w:r>
      <w:proofErr w:type="spellStart"/>
      <w:r w:rsidR="0031499A">
        <w:rPr>
          <w:rFonts w:ascii="Calibri" w:eastAsia="Calibri" w:hAnsi="Calibri" w:cs="Calibri"/>
          <w:lang w:val="en-US"/>
        </w:rPr>
        <w:t>iSIKHNAS</w:t>
      </w:r>
      <w:proofErr w:type="spellEnd"/>
      <w:r w:rsidR="0031499A">
        <w:rPr>
          <w:rFonts w:ascii="Calibri" w:eastAsia="Calibri" w:hAnsi="Calibri" w:cs="Calibri"/>
          <w:lang w:val="en-US"/>
        </w:rPr>
        <w:t xml:space="preserve"> was used by the </w:t>
      </w:r>
      <w:proofErr w:type="spellStart"/>
      <w:r w:rsidR="0031499A">
        <w:rPr>
          <w:rFonts w:ascii="Calibri" w:eastAsia="Calibri" w:hAnsi="Calibri" w:cs="Calibri"/>
          <w:lang w:val="en-US"/>
        </w:rPr>
        <w:t>GoI</w:t>
      </w:r>
      <w:proofErr w:type="spellEnd"/>
      <w:r w:rsidR="0031499A">
        <w:rPr>
          <w:rFonts w:ascii="Calibri" w:eastAsia="Calibri" w:hAnsi="Calibri" w:cs="Calibri"/>
          <w:lang w:val="en-US"/>
        </w:rPr>
        <w:t xml:space="preserve"> (</w:t>
      </w:r>
      <w:proofErr w:type="spellStart"/>
      <w:r w:rsidR="0031499A">
        <w:rPr>
          <w:rFonts w:ascii="Calibri" w:eastAsia="Calibri" w:hAnsi="Calibri" w:cs="Calibri"/>
          <w:lang w:val="en-US"/>
        </w:rPr>
        <w:t>MoA</w:t>
      </w:r>
      <w:proofErr w:type="spellEnd"/>
      <w:r w:rsidR="0031499A">
        <w:rPr>
          <w:rFonts w:ascii="Calibri" w:eastAsia="Calibri" w:hAnsi="Calibri" w:cs="Calibri"/>
          <w:lang w:val="en-US"/>
        </w:rPr>
        <w:t xml:space="preserve"> and the National Task Force) during the FMD outbreak in 2022 to </w:t>
      </w:r>
      <w:r w:rsidR="0031499A" w:rsidRPr="34F20BA4">
        <w:rPr>
          <w:rFonts w:ascii="Calibri" w:eastAsia="Calibri" w:hAnsi="Calibri" w:cs="Calibri"/>
          <w:lang w:val="en-US"/>
        </w:rPr>
        <w:t xml:space="preserve">monitor </w:t>
      </w:r>
      <w:r w:rsidR="0031499A">
        <w:rPr>
          <w:rFonts w:ascii="Calibri" w:eastAsia="Calibri" w:hAnsi="Calibri" w:cs="Calibri"/>
          <w:lang w:val="en-US"/>
        </w:rPr>
        <w:t xml:space="preserve">spread of the disease and </w:t>
      </w:r>
      <w:r w:rsidR="0031499A" w:rsidRPr="34F20BA4">
        <w:rPr>
          <w:rFonts w:ascii="Calibri" w:eastAsia="Calibri" w:hAnsi="Calibri" w:cs="Calibri"/>
          <w:lang w:val="en-US"/>
        </w:rPr>
        <w:t>vaccination</w:t>
      </w:r>
      <w:r w:rsidR="0031499A">
        <w:rPr>
          <w:rFonts w:ascii="Calibri" w:eastAsia="Calibri" w:hAnsi="Calibri" w:cs="Calibri"/>
          <w:lang w:val="en-US"/>
        </w:rPr>
        <w:t xml:space="preserve">. </w:t>
      </w:r>
      <w:proofErr w:type="spellStart"/>
      <w:r w:rsidR="0031499A">
        <w:rPr>
          <w:rFonts w:ascii="Calibri" w:eastAsia="Calibri" w:hAnsi="Calibri" w:cs="Calibri"/>
          <w:lang w:val="en-US"/>
        </w:rPr>
        <w:t>iSIKHNAS</w:t>
      </w:r>
      <w:proofErr w:type="spellEnd"/>
      <w:r w:rsidR="0031499A">
        <w:rPr>
          <w:rFonts w:ascii="Calibri" w:eastAsia="Calibri" w:hAnsi="Calibri" w:cs="Calibri"/>
          <w:lang w:val="en-US"/>
        </w:rPr>
        <w:t xml:space="preserve"> picked up</w:t>
      </w:r>
      <w:r w:rsidR="0031499A" w:rsidRPr="00001902">
        <w:rPr>
          <w:rFonts w:ascii="Calibri" w:eastAsia="Calibri" w:hAnsi="Calibri" w:cs="Calibri"/>
          <w:color w:val="000000" w:themeColor="text1"/>
          <w:lang w:val="en-US"/>
        </w:rPr>
        <w:t xml:space="preserve"> </w:t>
      </w:r>
      <w:r w:rsidR="0031499A" w:rsidRPr="00001902">
        <w:rPr>
          <w:rFonts w:eastAsiaTheme="minorEastAsia"/>
          <w:color w:val="000000" w:themeColor="text1"/>
        </w:rPr>
        <w:t xml:space="preserve">the first </w:t>
      </w:r>
      <w:r w:rsidR="00F03974">
        <w:rPr>
          <w:rFonts w:eastAsiaTheme="minorEastAsia"/>
          <w:color w:val="000000" w:themeColor="text1"/>
        </w:rPr>
        <w:t xml:space="preserve">FMD </w:t>
      </w:r>
      <w:r w:rsidR="0031499A" w:rsidRPr="00001902">
        <w:rPr>
          <w:rFonts w:eastAsiaTheme="minorEastAsia"/>
          <w:color w:val="000000" w:themeColor="text1"/>
        </w:rPr>
        <w:t xml:space="preserve">cases relatively </w:t>
      </w:r>
      <w:r w:rsidR="00713C52" w:rsidRPr="00001902">
        <w:rPr>
          <w:rFonts w:eastAsiaTheme="minorEastAsia"/>
          <w:color w:val="000000" w:themeColor="text1"/>
        </w:rPr>
        <w:t>quickly</w:t>
      </w:r>
      <w:r w:rsidR="0031499A" w:rsidRPr="00001902">
        <w:rPr>
          <w:rFonts w:eastAsiaTheme="minorEastAsia"/>
          <w:color w:val="000000" w:themeColor="text1"/>
        </w:rPr>
        <w:t xml:space="preserve">. </w:t>
      </w:r>
      <w:proofErr w:type="spellStart"/>
      <w:r w:rsidR="0031499A" w:rsidRPr="00001902">
        <w:rPr>
          <w:rFonts w:ascii="Calibri" w:eastAsia="Calibri" w:hAnsi="Calibri" w:cs="Calibri"/>
          <w:color w:val="000000" w:themeColor="text1"/>
          <w:lang w:val="en-US"/>
        </w:rPr>
        <w:t>iSIKHNAS</w:t>
      </w:r>
      <w:proofErr w:type="spellEnd"/>
      <w:r w:rsidR="0031499A" w:rsidRPr="00001902">
        <w:rPr>
          <w:rFonts w:ascii="Calibri" w:eastAsia="Calibri" w:hAnsi="Calibri" w:cs="Calibri"/>
          <w:color w:val="000000" w:themeColor="text1"/>
          <w:lang w:val="en-US"/>
        </w:rPr>
        <w:t xml:space="preserve"> was also used by the </w:t>
      </w:r>
      <w:proofErr w:type="spellStart"/>
      <w:r w:rsidR="0031499A" w:rsidRPr="00001902">
        <w:rPr>
          <w:rFonts w:ascii="Calibri" w:eastAsia="Calibri" w:hAnsi="Calibri" w:cs="Calibri"/>
          <w:color w:val="000000" w:themeColor="text1"/>
          <w:lang w:val="en-US"/>
        </w:rPr>
        <w:t>MoA</w:t>
      </w:r>
      <w:proofErr w:type="spellEnd"/>
      <w:r w:rsidR="0031499A" w:rsidRPr="00001902">
        <w:rPr>
          <w:rFonts w:ascii="Calibri" w:eastAsia="Calibri" w:hAnsi="Calibri" w:cs="Calibri"/>
          <w:color w:val="000000" w:themeColor="text1"/>
          <w:lang w:val="en-US"/>
        </w:rPr>
        <w:t xml:space="preserve"> to </w:t>
      </w:r>
      <w:r w:rsidR="0031499A" w:rsidRPr="34F20BA4">
        <w:rPr>
          <w:rFonts w:ascii="Calibri" w:eastAsia="Calibri" w:hAnsi="Calibri" w:cs="Calibri"/>
          <w:lang w:val="en-US"/>
        </w:rPr>
        <w:t xml:space="preserve">monitor and report </w:t>
      </w:r>
      <w:r w:rsidR="0031499A">
        <w:rPr>
          <w:rFonts w:ascii="Calibri" w:eastAsia="Calibri" w:hAnsi="Calibri" w:cs="Calibri"/>
          <w:lang w:val="en-US"/>
        </w:rPr>
        <w:t xml:space="preserve">on </w:t>
      </w:r>
      <w:r w:rsidR="0031499A" w:rsidRPr="34F20BA4">
        <w:rPr>
          <w:rFonts w:ascii="Calibri" w:eastAsia="Calibri" w:hAnsi="Calibri" w:cs="Calibri"/>
          <w:lang w:val="en-US"/>
        </w:rPr>
        <w:t xml:space="preserve">LSD. </w:t>
      </w:r>
    </w:p>
    <w:p w14:paraId="6D271FC1" w14:textId="4C97CF85" w:rsidR="0031499A" w:rsidRDefault="0031499A" w:rsidP="00460D76">
      <w:pPr>
        <w:spacing w:after="120" w:line="240" w:lineRule="auto"/>
        <w:rPr>
          <w:rFonts w:ascii="Calibri" w:eastAsia="Calibri" w:hAnsi="Calibri" w:cs="Calibri"/>
          <w:color w:val="000000" w:themeColor="text1"/>
          <w:lang w:val="en-US"/>
        </w:rPr>
      </w:pPr>
      <w:r>
        <w:rPr>
          <w:rFonts w:ascii="Calibri" w:eastAsia="Calibri" w:hAnsi="Calibri" w:cs="Calibri"/>
          <w:lang w:val="en-US"/>
        </w:rPr>
        <w:t>A</w:t>
      </w:r>
      <w:r w:rsidRPr="38839A5B">
        <w:rPr>
          <w:rFonts w:ascii="Calibri" w:eastAsia="Calibri" w:hAnsi="Calibri" w:cs="Calibri"/>
          <w:lang w:val="en-US"/>
        </w:rPr>
        <w:t xml:space="preserve">ll DICs, specialist laboratories, </w:t>
      </w:r>
      <w:proofErr w:type="spellStart"/>
      <w:r w:rsidRPr="38839A5B">
        <w:rPr>
          <w:rFonts w:ascii="Calibri" w:eastAsia="Calibri" w:hAnsi="Calibri" w:cs="Calibri"/>
          <w:lang w:val="en-US"/>
        </w:rPr>
        <w:t>Pusvetma</w:t>
      </w:r>
      <w:proofErr w:type="spellEnd"/>
      <w:r w:rsidRPr="38839A5B">
        <w:rPr>
          <w:rFonts w:ascii="Calibri" w:eastAsia="Calibri" w:hAnsi="Calibri" w:cs="Calibri"/>
          <w:lang w:val="en-US"/>
        </w:rPr>
        <w:t xml:space="preserve">, </w:t>
      </w:r>
      <w:r w:rsidR="003D48EC">
        <w:rPr>
          <w:rFonts w:ascii="Calibri" w:eastAsia="Calibri" w:hAnsi="Calibri" w:cs="Calibri"/>
          <w:lang w:val="en-US"/>
        </w:rPr>
        <w:t xml:space="preserve">the </w:t>
      </w:r>
      <w:r w:rsidRPr="38839A5B">
        <w:rPr>
          <w:rFonts w:ascii="Calibri" w:eastAsia="Calibri" w:hAnsi="Calibri" w:cs="Calibri"/>
          <w:lang w:val="en-US"/>
        </w:rPr>
        <w:t xml:space="preserve">National Veterinary Drug Assay Laboratory and </w:t>
      </w:r>
      <w:proofErr w:type="spellStart"/>
      <w:r w:rsidRPr="38839A5B">
        <w:rPr>
          <w:rFonts w:ascii="Calibri" w:eastAsia="Calibri" w:hAnsi="Calibri" w:cs="Calibri"/>
          <w:lang w:val="en-US"/>
        </w:rPr>
        <w:t>Balitvet</w:t>
      </w:r>
      <w:proofErr w:type="spellEnd"/>
      <w:r w:rsidRPr="38839A5B">
        <w:rPr>
          <w:rFonts w:ascii="Calibri" w:eastAsia="Calibri" w:hAnsi="Calibri" w:cs="Calibri"/>
          <w:lang w:val="en-US"/>
        </w:rPr>
        <w:t xml:space="preserve"> participated in the AIHSP-supported workshop and extension program</w:t>
      </w:r>
      <w:r w:rsidR="00E01AD2">
        <w:rPr>
          <w:rFonts w:ascii="Calibri" w:eastAsia="Calibri" w:hAnsi="Calibri" w:cs="Calibri"/>
          <w:lang w:val="en-US"/>
        </w:rPr>
        <w:t xml:space="preserve"> </w:t>
      </w:r>
      <w:r w:rsidR="00495092">
        <w:rPr>
          <w:rFonts w:ascii="Calibri" w:eastAsia="Calibri" w:hAnsi="Calibri" w:cs="Calibri"/>
          <w:lang w:val="en-US"/>
        </w:rPr>
        <w:t xml:space="preserve">run by </w:t>
      </w:r>
      <w:r w:rsidR="00F14990">
        <w:rPr>
          <w:rFonts w:ascii="Calibri" w:eastAsia="Calibri" w:hAnsi="Calibri" w:cs="Calibri"/>
        </w:rPr>
        <w:t>the Australian Centre for Disease Preparedness (</w:t>
      </w:r>
      <w:r w:rsidR="00C07E09">
        <w:rPr>
          <w:rFonts w:ascii="Calibri" w:eastAsia="Calibri" w:hAnsi="Calibri" w:cs="Calibri"/>
        </w:rPr>
        <w:t>CSIRO-</w:t>
      </w:r>
      <w:r w:rsidR="00F14990">
        <w:rPr>
          <w:rFonts w:ascii="Calibri" w:eastAsia="Calibri" w:hAnsi="Calibri" w:cs="Calibri"/>
        </w:rPr>
        <w:t>ACDP</w:t>
      </w:r>
      <w:r w:rsidR="00F14990">
        <w:rPr>
          <w:rFonts w:ascii="Calibri" w:eastAsia="Calibri" w:hAnsi="Calibri" w:cs="Calibri"/>
          <w:lang w:val="en-US"/>
        </w:rPr>
        <w:t>)</w:t>
      </w:r>
      <w:r w:rsidRPr="38839A5B">
        <w:rPr>
          <w:rFonts w:ascii="Calibri" w:eastAsia="Calibri" w:hAnsi="Calibri" w:cs="Calibri"/>
          <w:lang w:val="en-US"/>
        </w:rPr>
        <w:t xml:space="preserve"> on biosafety and biocontainment practices. </w:t>
      </w:r>
      <w:r>
        <w:rPr>
          <w:rFonts w:ascii="Calibri" w:eastAsia="Calibri" w:hAnsi="Calibri" w:cs="Calibri"/>
          <w:lang w:val="en-US"/>
        </w:rPr>
        <w:t xml:space="preserve">DIC staff </w:t>
      </w:r>
      <w:r w:rsidR="00913DD1">
        <w:rPr>
          <w:rFonts w:ascii="Calibri" w:eastAsia="Calibri" w:hAnsi="Calibri" w:cs="Calibri"/>
          <w:lang w:val="en-US"/>
        </w:rPr>
        <w:t xml:space="preserve">interviewed </w:t>
      </w:r>
      <w:r>
        <w:rPr>
          <w:rFonts w:ascii="Calibri" w:eastAsia="Calibri" w:hAnsi="Calibri" w:cs="Calibri"/>
          <w:lang w:val="en-US"/>
        </w:rPr>
        <w:t xml:space="preserve">in Maros </w:t>
      </w:r>
      <w:r w:rsidR="003D48EC">
        <w:rPr>
          <w:rFonts w:ascii="Calibri" w:eastAsia="Calibri" w:hAnsi="Calibri" w:cs="Calibri"/>
          <w:lang w:val="en-US"/>
        </w:rPr>
        <w:t>said</w:t>
      </w:r>
      <w:r>
        <w:rPr>
          <w:rFonts w:ascii="Calibri" w:eastAsia="Calibri" w:hAnsi="Calibri" w:cs="Calibri"/>
          <w:lang w:val="en-US"/>
        </w:rPr>
        <w:t xml:space="preserve"> the training had increased their </w:t>
      </w:r>
      <w:proofErr w:type="gramStart"/>
      <w:r>
        <w:rPr>
          <w:rFonts w:ascii="Calibri" w:eastAsia="Calibri" w:hAnsi="Calibri" w:cs="Calibri"/>
          <w:lang w:val="en-US"/>
        </w:rPr>
        <w:t>knowledge</w:t>
      </w:r>
      <w:proofErr w:type="gramEnd"/>
      <w:r>
        <w:rPr>
          <w:rFonts w:ascii="Calibri" w:eastAsia="Calibri" w:hAnsi="Calibri" w:cs="Calibri"/>
          <w:lang w:val="en-US"/>
        </w:rPr>
        <w:t xml:space="preserve"> </w:t>
      </w:r>
      <w:r w:rsidR="00373EAE">
        <w:rPr>
          <w:rFonts w:ascii="Calibri" w:eastAsia="Calibri" w:hAnsi="Calibri" w:cs="Calibri"/>
          <w:lang w:val="en-US"/>
        </w:rPr>
        <w:t>but</w:t>
      </w:r>
      <w:r>
        <w:rPr>
          <w:rFonts w:ascii="Calibri" w:eastAsia="Calibri" w:hAnsi="Calibri" w:cs="Calibri"/>
          <w:lang w:val="en-US"/>
        </w:rPr>
        <w:t xml:space="preserve"> </w:t>
      </w:r>
      <w:r w:rsidR="00495092">
        <w:rPr>
          <w:rFonts w:ascii="Calibri" w:eastAsia="Calibri" w:hAnsi="Calibri" w:cs="Calibri"/>
          <w:lang w:val="en-US"/>
        </w:rPr>
        <w:t xml:space="preserve">the MTR Team was </w:t>
      </w:r>
      <w:r w:rsidR="00373EAE">
        <w:rPr>
          <w:rFonts w:ascii="Calibri" w:eastAsia="Calibri" w:hAnsi="Calibri" w:cs="Calibri"/>
          <w:lang w:val="en-US"/>
        </w:rPr>
        <w:t>un</w:t>
      </w:r>
      <w:r w:rsidR="00495092">
        <w:rPr>
          <w:rFonts w:ascii="Calibri" w:eastAsia="Calibri" w:hAnsi="Calibri" w:cs="Calibri"/>
          <w:lang w:val="en-US"/>
        </w:rPr>
        <w:t xml:space="preserve">able to cite </w:t>
      </w:r>
      <w:r>
        <w:rPr>
          <w:rFonts w:ascii="Calibri" w:eastAsia="Calibri" w:hAnsi="Calibri" w:cs="Calibri"/>
          <w:lang w:val="en-US"/>
        </w:rPr>
        <w:t xml:space="preserve">evidence of </w:t>
      </w:r>
      <w:r w:rsidR="00495092">
        <w:rPr>
          <w:rFonts w:ascii="Calibri" w:eastAsia="Calibri" w:hAnsi="Calibri" w:cs="Calibri"/>
          <w:lang w:val="en-US"/>
        </w:rPr>
        <w:t>this</w:t>
      </w:r>
      <w:r>
        <w:rPr>
          <w:rFonts w:ascii="Calibri" w:eastAsia="Calibri" w:hAnsi="Calibri" w:cs="Calibri"/>
          <w:lang w:val="en-US"/>
        </w:rPr>
        <w:t xml:space="preserve"> training outcome</w:t>
      </w:r>
      <w:r w:rsidR="00495092">
        <w:rPr>
          <w:rFonts w:ascii="Calibri" w:eastAsia="Calibri" w:hAnsi="Calibri" w:cs="Calibri"/>
          <w:lang w:val="en-US"/>
        </w:rPr>
        <w:t xml:space="preserve">. </w:t>
      </w:r>
      <w:r w:rsidRPr="38839A5B">
        <w:rPr>
          <w:rFonts w:ascii="Calibri" w:eastAsia="Calibri" w:hAnsi="Calibri" w:cs="Calibri"/>
          <w:color w:val="000000" w:themeColor="text1"/>
          <w:lang w:val="en-US"/>
        </w:rPr>
        <w:t xml:space="preserve">Support was also provided </w:t>
      </w:r>
      <w:r w:rsidR="00F14990">
        <w:rPr>
          <w:rFonts w:ascii="Calibri" w:eastAsia="Calibri" w:hAnsi="Calibri" w:cs="Calibri"/>
          <w:color w:val="000000" w:themeColor="text1"/>
          <w:lang w:val="en-US"/>
        </w:rPr>
        <w:t xml:space="preserve">by </w:t>
      </w:r>
      <w:r w:rsidR="003D48EC">
        <w:rPr>
          <w:rFonts w:ascii="Calibri" w:eastAsia="Calibri" w:hAnsi="Calibri" w:cs="Calibri"/>
          <w:color w:val="000000" w:themeColor="text1"/>
          <w:lang w:val="en-US"/>
        </w:rPr>
        <w:t>CSIRO</w:t>
      </w:r>
      <w:r w:rsidR="000D4929">
        <w:rPr>
          <w:rFonts w:ascii="Calibri" w:eastAsia="Calibri" w:hAnsi="Calibri" w:cs="Calibri"/>
          <w:color w:val="000000" w:themeColor="text1"/>
          <w:lang w:val="en-US"/>
        </w:rPr>
        <w:t>-ACDP</w:t>
      </w:r>
      <w:r w:rsidR="00F14990">
        <w:rPr>
          <w:rFonts w:ascii="Calibri" w:eastAsia="Calibri" w:hAnsi="Calibri" w:cs="Calibri"/>
          <w:color w:val="000000" w:themeColor="text1"/>
          <w:lang w:val="en-US"/>
        </w:rPr>
        <w:t xml:space="preserve"> </w:t>
      </w:r>
      <w:r w:rsidRPr="38839A5B">
        <w:rPr>
          <w:rFonts w:ascii="Calibri" w:eastAsia="Calibri" w:hAnsi="Calibri" w:cs="Calibri"/>
          <w:color w:val="000000" w:themeColor="text1"/>
          <w:lang w:val="en-US"/>
        </w:rPr>
        <w:t>to DIC Wates to develop gene sequencing and bioinformatics capability</w:t>
      </w:r>
      <w:r>
        <w:rPr>
          <w:rFonts w:ascii="Calibri" w:eastAsia="Calibri" w:hAnsi="Calibri" w:cs="Calibri"/>
          <w:color w:val="000000" w:themeColor="text1"/>
          <w:lang w:val="en-US"/>
        </w:rPr>
        <w:t>, result</w:t>
      </w:r>
      <w:r w:rsidR="00913DD1">
        <w:rPr>
          <w:rFonts w:ascii="Calibri" w:eastAsia="Calibri" w:hAnsi="Calibri" w:cs="Calibri"/>
          <w:color w:val="000000" w:themeColor="text1"/>
          <w:lang w:val="en-US"/>
        </w:rPr>
        <w:t>ing</w:t>
      </w:r>
      <w:r>
        <w:rPr>
          <w:rFonts w:ascii="Calibri" w:eastAsia="Calibri" w:hAnsi="Calibri" w:cs="Calibri"/>
          <w:color w:val="000000" w:themeColor="text1"/>
          <w:lang w:val="en-US"/>
        </w:rPr>
        <w:t xml:space="preserve"> in increased testing capability</w:t>
      </w:r>
      <w:r w:rsidRPr="38839A5B">
        <w:rPr>
          <w:rFonts w:ascii="Calibri" w:eastAsia="Calibri" w:hAnsi="Calibri" w:cs="Calibri"/>
          <w:color w:val="000000" w:themeColor="text1"/>
          <w:lang w:val="en-US"/>
        </w:rPr>
        <w:t xml:space="preserve">. </w:t>
      </w:r>
    </w:p>
    <w:p w14:paraId="3CFCB886" w14:textId="421F39D7" w:rsidR="00F60FEB" w:rsidRDefault="00495092" w:rsidP="00460D76">
      <w:pPr>
        <w:spacing w:after="120" w:line="240" w:lineRule="auto"/>
        <w:rPr>
          <w:lang w:val="en-US"/>
        </w:rPr>
      </w:pPr>
      <w:r w:rsidRPr="48362220">
        <w:rPr>
          <w:lang w:val="en-US"/>
        </w:rPr>
        <w:t xml:space="preserve">Despite this progress, </w:t>
      </w:r>
      <w:r w:rsidR="0031499A" w:rsidRPr="48362220">
        <w:rPr>
          <w:lang w:val="en-US"/>
        </w:rPr>
        <w:t>t</w:t>
      </w:r>
      <w:r w:rsidR="0031499A">
        <w:t xml:space="preserve">here </w:t>
      </w:r>
      <w:r w:rsidR="000E7D40">
        <w:t>we</w:t>
      </w:r>
      <w:r w:rsidR="0031499A">
        <w:t>re clearly areas that could be strengthened</w:t>
      </w:r>
      <w:r w:rsidR="0031499A" w:rsidRPr="48362220">
        <w:rPr>
          <w:lang w:val="en-US"/>
        </w:rPr>
        <w:t xml:space="preserve">. The number of reported cases for FMD has decreased in recent months, with some provinces even reporting </w:t>
      </w:r>
      <w:r w:rsidR="25CE5D6E" w:rsidRPr="48362220">
        <w:rPr>
          <w:lang w:val="en-US"/>
        </w:rPr>
        <w:t>no</w:t>
      </w:r>
      <w:r w:rsidR="0031499A" w:rsidRPr="48362220">
        <w:rPr>
          <w:lang w:val="en-US"/>
        </w:rPr>
        <w:t xml:space="preserve"> cases. </w:t>
      </w:r>
      <w:r w:rsidR="00FB0DDA">
        <w:rPr>
          <w:lang w:val="en-US"/>
        </w:rPr>
        <w:t xml:space="preserve">While this </w:t>
      </w:r>
      <w:r w:rsidR="00B07289">
        <w:rPr>
          <w:lang w:val="en-US"/>
        </w:rPr>
        <w:t xml:space="preserve">may </w:t>
      </w:r>
      <w:r w:rsidR="00FB0DDA">
        <w:rPr>
          <w:lang w:val="en-US"/>
        </w:rPr>
        <w:t>reflect</w:t>
      </w:r>
      <w:r w:rsidR="00B07289">
        <w:rPr>
          <w:lang w:val="en-US"/>
        </w:rPr>
        <w:t xml:space="preserve"> a decreasing disease incidence</w:t>
      </w:r>
      <w:r w:rsidR="00FB0DDA">
        <w:rPr>
          <w:lang w:val="en-US"/>
        </w:rPr>
        <w:t xml:space="preserve">, </w:t>
      </w:r>
      <w:r w:rsidR="00E51C85">
        <w:rPr>
          <w:lang w:val="en-US"/>
        </w:rPr>
        <w:t>it</w:t>
      </w:r>
      <w:r w:rsidR="00FB0DDA" w:rsidRPr="48362220">
        <w:rPr>
          <w:lang w:val="en-US"/>
        </w:rPr>
        <w:t xml:space="preserve"> </w:t>
      </w:r>
      <w:r w:rsidR="00B07289">
        <w:rPr>
          <w:lang w:val="en-US"/>
        </w:rPr>
        <w:t>has also been associated with</w:t>
      </w:r>
      <w:r w:rsidR="0031499A" w:rsidRPr="48362220">
        <w:rPr>
          <w:lang w:val="en-US"/>
        </w:rPr>
        <w:t xml:space="preserve"> decreased use of </w:t>
      </w:r>
      <w:proofErr w:type="spellStart"/>
      <w:r w:rsidR="0031499A" w:rsidRPr="48362220">
        <w:rPr>
          <w:lang w:val="en-US"/>
        </w:rPr>
        <w:t>iSIKHNAS</w:t>
      </w:r>
      <w:proofErr w:type="spellEnd"/>
      <w:r w:rsidR="00B07289">
        <w:rPr>
          <w:lang w:val="en-US"/>
        </w:rPr>
        <w:t xml:space="preserve"> in some areas</w:t>
      </w:r>
      <w:r w:rsidR="0031499A" w:rsidRPr="48362220">
        <w:rPr>
          <w:lang w:val="en-US"/>
        </w:rPr>
        <w:t xml:space="preserve">, coupled </w:t>
      </w:r>
      <w:r w:rsidR="0031499A" w:rsidRPr="00846287">
        <w:t xml:space="preserve">with a reluctance by farmers to report cases and pressure for regions to achieve case eradication. </w:t>
      </w:r>
      <w:r w:rsidR="00F60FEB" w:rsidRPr="00846287">
        <w:t xml:space="preserve">Given </w:t>
      </w:r>
      <w:r w:rsidR="00F60FEB" w:rsidRPr="48362220">
        <w:rPr>
          <w:lang w:val="en-US"/>
        </w:rPr>
        <w:t xml:space="preserve">this, it may be pertinent for AIHSP to continue to advocate for developing better evidence-based decision making based on more accurate disease data. Over time, this may encourage increased use of </w:t>
      </w:r>
      <w:proofErr w:type="spellStart"/>
      <w:r w:rsidR="00F60FEB" w:rsidRPr="48362220">
        <w:rPr>
          <w:lang w:val="en-US"/>
        </w:rPr>
        <w:t>iSIKHNAS</w:t>
      </w:r>
      <w:proofErr w:type="spellEnd"/>
      <w:r w:rsidR="00F60FEB" w:rsidRPr="48362220">
        <w:rPr>
          <w:lang w:val="en-US"/>
        </w:rPr>
        <w:t xml:space="preserve"> and align with AIHSP’s plan to commence support for community-based surveillance. </w:t>
      </w:r>
    </w:p>
    <w:p w14:paraId="66EDD695" w14:textId="2225912D" w:rsidR="0031499A" w:rsidRDefault="0031499A" w:rsidP="00460D76">
      <w:pPr>
        <w:spacing w:after="120" w:line="240" w:lineRule="auto"/>
        <w:rPr>
          <w:rFonts w:ascii="Calibri" w:eastAsia="Calibri" w:hAnsi="Calibri" w:cs="Calibri"/>
          <w:color w:val="000000" w:themeColor="text1"/>
          <w:lang w:val="en-US"/>
        </w:rPr>
      </w:pPr>
      <w:r w:rsidRPr="48362220">
        <w:rPr>
          <w:lang w:val="en-US"/>
        </w:rPr>
        <w:t xml:space="preserve">In the area of human health, progress and results </w:t>
      </w:r>
      <w:r w:rsidR="000E7D40">
        <w:rPr>
          <w:lang w:val="en-US"/>
        </w:rPr>
        <w:t>were</w:t>
      </w:r>
      <w:r w:rsidRPr="48362220">
        <w:rPr>
          <w:lang w:val="en-US"/>
        </w:rPr>
        <w:t xml:space="preserve"> mixed. </w:t>
      </w:r>
      <w:bookmarkStart w:id="69" w:name="_Hlk132297178"/>
      <w:r w:rsidRPr="48362220">
        <w:rPr>
          <w:lang w:val="en-US"/>
        </w:rPr>
        <w:t xml:space="preserve">Most of </w:t>
      </w:r>
      <w:r w:rsidR="00B970A4" w:rsidRPr="48362220">
        <w:rPr>
          <w:rFonts w:ascii="Calibri" w:eastAsia="Calibri" w:hAnsi="Calibri" w:cs="Calibri"/>
          <w:color w:val="000000" w:themeColor="text1"/>
          <w:lang w:val="en-US"/>
        </w:rPr>
        <w:t>the planned</w:t>
      </w:r>
      <w:r w:rsidRPr="48362220">
        <w:rPr>
          <w:rFonts w:ascii="Calibri" w:eastAsia="Calibri" w:hAnsi="Calibri" w:cs="Calibri"/>
          <w:color w:val="000000" w:themeColor="text1"/>
          <w:lang w:val="en-US"/>
        </w:rPr>
        <w:t xml:space="preserve"> activities for public laboratories had not yet commenced</w:t>
      </w:r>
      <w:r w:rsidR="00B970A4" w:rsidRPr="48362220">
        <w:rPr>
          <w:rFonts w:ascii="Calibri" w:eastAsia="Calibri" w:hAnsi="Calibri" w:cs="Calibri"/>
          <w:color w:val="000000" w:themeColor="text1"/>
          <w:lang w:val="en-US"/>
        </w:rPr>
        <w:t xml:space="preserve">. </w:t>
      </w:r>
      <w:bookmarkEnd w:id="69"/>
      <w:r w:rsidRPr="48362220">
        <w:rPr>
          <w:rFonts w:ascii="Calibri" w:eastAsia="Calibri" w:hAnsi="Calibri" w:cs="Calibri"/>
          <w:color w:val="000000" w:themeColor="text1"/>
          <w:lang w:val="en-US"/>
        </w:rPr>
        <w:t xml:space="preserve">Given </w:t>
      </w:r>
      <w:r w:rsidR="00077245" w:rsidRPr="48362220">
        <w:rPr>
          <w:rFonts w:ascii="Calibri" w:eastAsia="Calibri" w:hAnsi="Calibri" w:cs="Calibri"/>
          <w:color w:val="000000" w:themeColor="text1"/>
          <w:lang w:val="en-US"/>
        </w:rPr>
        <w:t>the US and other donors</w:t>
      </w:r>
      <w:r w:rsidRPr="48362220">
        <w:rPr>
          <w:rFonts w:ascii="Calibri" w:eastAsia="Calibri" w:hAnsi="Calibri" w:cs="Calibri"/>
          <w:color w:val="000000" w:themeColor="text1"/>
          <w:lang w:val="en-US"/>
        </w:rPr>
        <w:t xml:space="preserve"> are working to support public laboratories, and there is a need for AIHSP to scale back, this could be an area </w:t>
      </w:r>
      <w:r w:rsidR="007D161D">
        <w:rPr>
          <w:rFonts w:ascii="Calibri" w:eastAsia="Calibri" w:hAnsi="Calibri" w:cs="Calibri"/>
          <w:color w:val="000000" w:themeColor="text1"/>
          <w:lang w:val="en-US"/>
        </w:rPr>
        <w:t>to</w:t>
      </w:r>
      <w:r w:rsidR="00B970A4" w:rsidRPr="48362220">
        <w:rPr>
          <w:rFonts w:ascii="Calibri" w:eastAsia="Calibri" w:hAnsi="Calibri" w:cs="Calibri"/>
          <w:color w:val="000000" w:themeColor="text1"/>
          <w:lang w:val="en-US"/>
        </w:rPr>
        <w:t xml:space="preserve"> </w:t>
      </w:r>
      <w:r w:rsidRPr="00E51C85">
        <w:t>discontinue</w:t>
      </w:r>
      <w:r w:rsidRPr="48362220">
        <w:rPr>
          <w:rFonts w:ascii="Calibri" w:eastAsia="Calibri" w:hAnsi="Calibri" w:cs="Calibri"/>
          <w:color w:val="000000" w:themeColor="text1"/>
          <w:lang w:val="en-US"/>
        </w:rPr>
        <w:t xml:space="preserve">. </w:t>
      </w:r>
      <w:r w:rsidR="00B970A4" w:rsidRPr="48362220">
        <w:rPr>
          <w:rFonts w:ascii="Calibri" w:eastAsia="Calibri" w:hAnsi="Calibri" w:cs="Calibri"/>
          <w:color w:val="000000" w:themeColor="text1"/>
          <w:lang w:val="en-US"/>
        </w:rPr>
        <w:t>However, f</w:t>
      </w:r>
      <w:r w:rsidRPr="48362220">
        <w:rPr>
          <w:rFonts w:ascii="Calibri" w:eastAsia="Calibri" w:hAnsi="Calibri" w:cs="Calibri"/>
          <w:color w:val="000000" w:themeColor="text1"/>
          <w:lang w:val="en-US"/>
        </w:rPr>
        <w:t xml:space="preserve">urther </w:t>
      </w:r>
      <w:r w:rsidR="00B970A4" w:rsidRPr="48362220">
        <w:rPr>
          <w:rFonts w:ascii="Calibri" w:eastAsia="Calibri" w:hAnsi="Calibri" w:cs="Calibri"/>
          <w:color w:val="000000" w:themeColor="text1"/>
          <w:lang w:val="en-US"/>
        </w:rPr>
        <w:t xml:space="preserve">analysis of </w:t>
      </w:r>
      <w:r w:rsidRPr="48362220">
        <w:rPr>
          <w:rFonts w:ascii="Calibri" w:eastAsia="Calibri" w:hAnsi="Calibri" w:cs="Calibri"/>
          <w:color w:val="000000" w:themeColor="text1"/>
          <w:lang w:val="en-US"/>
        </w:rPr>
        <w:t xml:space="preserve">the support from other donors would first be needed. </w:t>
      </w:r>
    </w:p>
    <w:p w14:paraId="4D4DFA6E" w14:textId="29F143AA" w:rsidR="0031499A" w:rsidRDefault="0031499A" w:rsidP="00460D76">
      <w:pPr>
        <w:spacing w:after="12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 xml:space="preserve">AIHSP’s progress was more evident in human health surveillance work. The AIHSP-supported </w:t>
      </w:r>
      <w:r w:rsidRPr="34F20BA4">
        <w:rPr>
          <w:rFonts w:ascii="Calibri" w:eastAsia="Calibri" w:hAnsi="Calibri" w:cs="Calibri"/>
          <w:color w:val="000000" w:themeColor="text1"/>
          <w:lang w:val="en-US"/>
        </w:rPr>
        <w:t xml:space="preserve">ASIK </w:t>
      </w:r>
      <w:r>
        <w:rPr>
          <w:rFonts w:ascii="Calibri" w:eastAsia="Calibri" w:hAnsi="Calibri" w:cs="Calibri"/>
          <w:color w:val="000000" w:themeColor="text1"/>
          <w:lang w:val="en-US"/>
        </w:rPr>
        <w:t xml:space="preserve">(My Health Application) </w:t>
      </w:r>
      <w:r w:rsidRPr="34F20BA4">
        <w:rPr>
          <w:rFonts w:ascii="Calibri" w:eastAsia="Calibri" w:hAnsi="Calibri" w:cs="Calibri"/>
          <w:color w:val="000000" w:themeColor="text1"/>
          <w:lang w:val="en-US"/>
        </w:rPr>
        <w:t xml:space="preserve">and WhatsApp chatbot </w:t>
      </w:r>
      <w:r w:rsidR="00CF1AF6">
        <w:rPr>
          <w:rFonts w:ascii="Calibri" w:eastAsia="Calibri" w:hAnsi="Calibri" w:cs="Calibri"/>
          <w:color w:val="000000" w:themeColor="text1"/>
          <w:lang w:val="en-US"/>
        </w:rPr>
        <w:t>were</w:t>
      </w:r>
      <w:r>
        <w:rPr>
          <w:rFonts w:ascii="Calibri" w:eastAsia="Calibri" w:hAnsi="Calibri" w:cs="Calibri"/>
          <w:color w:val="000000" w:themeColor="text1"/>
          <w:lang w:val="en-US"/>
        </w:rPr>
        <w:t xml:space="preserve"> mandated </w:t>
      </w:r>
      <w:r w:rsidR="00FE67A2">
        <w:rPr>
          <w:rFonts w:ascii="Calibri" w:eastAsia="Calibri" w:hAnsi="Calibri" w:cs="Calibri"/>
          <w:color w:val="000000" w:themeColor="text1"/>
          <w:lang w:val="en-US"/>
        </w:rPr>
        <w:t xml:space="preserve">by </w:t>
      </w:r>
      <w:proofErr w:type="spellStart"/>
      <w:r w:rsidR="00FE67A2">
        <w:rPr>
          <w:rFonts w:ascii="Calibri" w:eastAsia="Calibri" w:hAnsi="Calibri" w:cs="Calibri"/>
          <w:color w:val="000000" w:themeColor="text1"/>
          <w:lang w:val="en-US"/>
        </w:rPr>
        <w:t>GoI</w:t>
      </w:r>
      <w:proofErr w:type="spellEnd"/>
      <w:r w:rsidR="00FE67A2">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 xml:space="preserve">to </w:t>
      </w:r>
      <w:r w:rsidRPr="34F20BA4">
        <w:rPr>
          <w:rFonts w:ascii="Calibri" w:eastAsia="Calibri" w:hAnsi="Calibri" w:cs="Calibri"/>
          <w:color w:val="000000" w:themeColor="text1"/>
          <w:lang w:val="en-US"/>
        </w:rPr>
        <w:t>record electronic data o</w:t>
      </w:r>
      <w:r>
        <w:rPr>
          <w:rFonts w:ascii="Calibri" w:eastAsia="Calibri" w:hAnsi="Calibri" w:cs="Calibri"/>
          <w:color w:val="000000" w:themeColor="text1"/>
          <w:lang w:val="en-US"/>
        </w:rPr>
        <w:t>n</w:t>
      </w:r>
      <w:r w:rsidRPr="34F20BA4">
        <w:rPr>
          <w:rFonts w:ascii="Calibri" w:eastAsia="Calibri" w:hAnsi="Calibri" w:cs="Calibri"/>
          <w:color w:val="000000" w:themeColor="text1"/>
          <w:lang w:val="en-US"/>
        </w:rPr>
        <w:t xml:space="preserve"> </w:t>
      </w:r>
      <w:r w:rsidR="00B970A4">
        <w:rPr>
          <w:rFonts w:ascii="Calibri" w:eastAsia="Calibri" w:hAnsi="Calibri" w:cs="Calibri"/>
          <w:color w:val="000000" w:themeColor="text1"/>
          <w:lang w:val="en-US"/>
        </w:rPr>
        <w:t xml:space="preserve">the </w:t>
      </w:r>
      <w:r w:rsidRPr="34F20BA4">
        <w:rPr>
          <w:rFonts w:ascii="Calibri" w:eastAsia="Calibri" w:hAnsi="Calibri" w:cs="Calibri"/>
          <w:color w:val="000000" w:themeColor="text1"/>
          <w:lang w:val="en-US"/>
        </w:rPr>
        <w:t xml:space="preserve">routine </w:t>
      </w:r>
      <w:proofErr w:type="spellStart"/>
      <w:r w:rsidRPr="34F20BA4">
        <w:rPr>
          <w:rFonts w:ascii="Calibri" w:eastAsia="Calibri" w:hAnsi="Calibri" w:cs="Calibri"/>
          <w:color w:val="000000" w:themeColor="text1"/>
          <w:lang w:val="en-US"/>
        </w:rPr>
        <w:t>immunisation</w:t>
      </w:r>
      <w:proofErr w:type="spellEnd"/>
      <w:r w:rsidRPr="34F20BA4">
        <w:rPr>
          <w:rFonts w:ascii="Calibri" w:eastAsia="Calibri" w:hAnsi="Calibri" w:cs="Calibri"/>
          <w:color w:val="000000" w:themeColor="text1"/>
          <w:lang w:val="en-US"/>
        </w:rPr>
        <w:t xml:space="preserve"> </w:t>
      </w:r>
      <w:r w:rsidR="00B970A4">
        <w:rPr>
          <w:rFonts w:ascii="Calibri" w:eastAsia="Calibri" w:hAnsi="Calibri" w:cs="Calibri"/>
          <w:color w:val="000000" w:themeColor="text1"/>
          <w:lang w:val="en-US"/>
        </w:rPr>
        <w:t xml:space="preserve">of children </w:t>
      </w:r>
      <w:r>
        <w:rPr>
          <w:rFonts w:ascii="Calibri" w:eastAsia="Calibri" w:hAnsi="Calibri" w:cs="Calibri"/>
          <w:color w:val="000000" w:themeColor="text1"/>
          <w:lang w:val="en-US"/>
        </w:rPr>
        <w:t xml:space="preserve">and </w:t>
      </w:r>
      <w:r>
        <w:rPr>
          <w:rFonts w:ascii="Calibri" w:eastAsia="Calibri" w:hAnsi="Calibri" w:cs="Calibri"/>
          <w:color w:val="000000" w:themeColor="text1"/>
        </w:rPr>
        <w:t>n</w:t>
      </w:r>
      <w:r w:rsidRPr="34F20BA4">
        <w:rPr>
          <w:rFonts w:ascii="Calibri" w:eastAsia="Calibri" w:hAnsi="Calibri" w:cs="Calibri"/>
          <w:color w:val="000000" w:themeColor="text1"/>
        </w:rPr>
        <w:t>on-</w:t>
      </w:r>
      <w:r>
        <w:rPr>
          <w:rFonts w:ascii="Calibri" w:eastAsia="Calibri" w:hAnsi="Calibri" w:cs="Calibri"/>
          <w:color w:val="000000" w:themeColor="text1"/>
        </w:rPr>
        <w:t>c</w:t>
      </w:r>
      <w:r w:rsidRPr="34F20BA4">
        <w:rPr>
          <w:rFonts w:ascii="Calibri" w:eastAsia="Calibri" w:hAnsi="Calibri" w:cs="Calibri"/>
          <w:color w:val="000000" w:themeColor="text1"/>
        </w:rPr>
        <w:t xml:space="preserve">ommunicable </w:t>
      </w:r>
      <w:r>
        <w:rPr>
          <w:rFonts w:ascii="Calibri" w:eastAsia="Calibri" w:hAnsi="Calibri" w:cs="Calibri"/>
          <w:color w:val="000000" w:themeColor="text1"/>
        </w:rPr>
        <w:t>d</w:t>
      </w:r>
      <w:r w:rsidRPr="34F20BA4">
        <w:rPr>
          <w:rFonts w:ascii="Calibri" w:eastAsia="Calibri" w:hAnsi="Calibri" w:cs="Calibri"/>
          <w:color w:val="000000" w:themeColor="text1"/>
        </w:rPr>
        <w:t>iseases (NCDs).</w:t>
      </w:r>
      <w:r>
        <w:rPr>
          <w:rFonts w:ascii="Calibri" w:eastAsia="Calibri" w:hAnsi="Calibri" w:cs="Calibri"/>
          <w:color w:val="000000" w:themeColor="text1"/>
          <w:lang w:val="en-US"/>
        </w:rPr>
        <w:t xml:space="preserve"> ASIK</w:t>
      </w:r>
      <w:r w:rsidR="00F93DBE">
        <w:rPr>
          <w:rFonts w:ascii="Calibri" w:eastAsia="Calibri" w:hAnsi="Calibri" w:cs="Calibri"/>
          <w:color w:val="000000" w:themeColor="text1"/>
          <w:lang w:val="en-US"/>
        </w:rPr>
        <w:t xml:space="preserve"> has </w:t>
      </w:r>
      <w:r w:rsidR="00F93DBE">
        <w:rPr>
          <w:rFonts w:ascii="Calibri" w:eastAsia="Calibri" w:hAnsi="Calibri" w:cs="Calibri"/>
        </w:rPr>
        <w:t xml:space="preserve">been accessed by 94% of </w:t>
      </w:r>
      <w:proofErr w:type="spellStart"/>
      <w:r w:rsidR="00A06CC2">
        <w:rPr>
          <w:rFonts w:ascii="Calibri" w:eastAsia="Calibri" w:hAnsi="Calibri" w:cs="Calibri"/>
        </w:rPr>
        <w:t>puskesmas</w:t>
      </w:r>
      <w:proofErr w:type="spellEnd"/>
      <w:r w:rsidR="00F93DBE">
        <w:rPr>
          <w:rFonts w:ascii="Calibri" w:eastAsia="Calibri" w:hAnsi="Calibri" w:cs="Calibri"/>
        </w:rPr>
        <w:t xml:space="preserve"> in Indonesia</w:t>
      </w:r>
      <w:r>
        <w:rPr>
          <w:rFonts w:ascii="Calibri" w:eastAsia="Calibri" w:hAnsi="Calibri" w:cs="Calibri"/>
          <w:color w:val="000000" w:themeColor="text1"/>
          <w:lang w:val="en-US"/>
        </w:rPr>
        <w:t xml:space="preserve"> </w:t>
      </w:r>
      <w:r w:rsidR="00F03974">
        <w:rPr>
          <w:rFonts w:ascii="Calibri" w:eastAsia="Calibri" w:hAnsi="Calibri" w:cs="Calibri"/>
          <w:color w:val="000000" w:themeColor="text1"/>
          <w:lang w:val="en-US"/>
        </w:rPr>
        <w:t xml:space="preserve">and </w:t>
      </w:r>
      <w:r w:rsidR="00CF1AF6">
        <w:rPr>
          <w:rFonts w:ascii="Calibri" w:eastAsia="Calibri" w:hAnsi="Calibri" w:cs="Calibri"/>
          <w:color w:val="000000" w:themeColor="text1"/>
          <w:lang w:val="en-US"/>
        </w:rPr>
        <w:t xml:space="preserve">has </w:t>
      </w:r>
      <w:r>
        <w:t xml:space="preserve">continued to strengthen </w:t>
      </w:r>
      <w:r>
        <w:rPr>
          <w:lang w:val="en-US"/>
        </w:rPr>
        <w:t xml:space="preserve">surveillance </w:t>
      </w:r>
      <w:r>
        <w:t xml:space="preserve">and </w:t>
      </w:r>
      <w:r>
        <w:lastRenderedPageBreak/>
        <w:t xml:space="preserve">facilitate </w:t>
      </w:r>
      <w:r>
        <w:rPr>
          <w:lang w:val="en-US"/>
        </w:rPr>
        <w:t xml:space="preserve">MoH </w:t>
      </w:r>
      <w:r>
        <w:t xml:space="preserve">engagement with </w:t>
      </w:r>
      <w:proofErr w:type="spellStart"/>
      <w:r w:rsidR="00A06CC2">
        <w:rPr>
          <w:lang w:val="en-US"/>
        </w:rPr>
        <w:t>puskesmas</w:t>
      </w:r>
      <w:proofErr w:type="spellEnd"/>
      <w:r>
        <w:rPr>
          <w:lang w:val="en-US"/>
        </w:rPr>
        <w:t xml:space="preserve"> </w:t>
      </w:r>
      <w:r>
        <w:t xml:space="preserve">to </w:t>
      </w:r>
      <w:r>
        <w:rPr>
          <w:lang w:val="en-US"/>
        </w:rPr>
        <w:t xml:space="preserve">monitor </w:t>
      </w:r>
      <w:r w:rsidR="0027501D">
        <w:rPr>
          <w:lang w:val="en-US"/>
        </w:rPr>
        <w:t xml:space="preserve">national </w:t>
      </w:r>
      <w:r>
        <w:rPr>
          <w:lang w:val="en-US"/>
        </w:rPr>
        <w:t>health data</w:t>
      </w:r>
      <w:r>
        <w:t xml:space="preserve">. </w:t>
      </w:r>
      <w:r w:rsidR="0027501D">
        <w:t>H</w:t>
      </w:r>
      <w:r>
        <w:rPr>
          <w:lang w:val="en-US"/>
        </w:rPr>
        <w:t xml:space="preserve">ow </w:t>
      </w:r>
      <w:r w:rsidR="00F03974">
        <w:rPr>
          <w:lang w:val="en-US"/>
        </w:rPr>
        <w:t xml:space="preserve">this progress </w:t>
      </w:r>
      <w:r w:rsidR="00254B6D">
        <w:rPr>
          <w:lang w:val="en-US"/>
        </w:rPr>
        <w:t>will be</w:t>
      </w:r>
      <w:r>
        <w:rPr>
          <w:lang w:val="en-US"/>
        </w:rPr>
        <w:t xml:space="preserve"> used to </w:t>
      </w:r>
      <w:r>
        <w:t xml:space="preserve">shape </w:t>
      </w:r>
      <w:r>
        <w:rPr>
          <w:lang w:val="en-US"/>
        </w:rPr>
        <w:t xml:space="preserve">MoH </w:t>
      </w:r>
      <w:r>
        <w:t xml:space="preserve">policy and improve </w:t>
      </w:r>
      <w:r w:rsidR="00B970A4">
        <w:t>the health of the population</w:t>
      </w:r>
      <w:r>
        <w:t xml:space="preserve"> was not </w:t>
      </w:r>
      <w:r w:rsidR="00254B6D">
        <w:t xml:space="preserve">yet clear. </w:t>
      </w:r>
    </w:p>
    <w:p w14:paraId="555C899D" w14:textId="586E1F48" w:rsidR="00023264" w:rsidRPr="00056DC6" w:rsidRDefault="0031499A" w:rsidP="00460D76">
      <w:pPr>
        <w:spacing w:after="120" w:line="240" w:lineRule="auto"/>
        <w:rPr>
          <w:rFonts w:ascii="Calibri" w:eastAsia="Calibri" w:hAnsi="Calibri" w:cs="Calibri"/>
          <w:lang w:val="en-US"/>
        </w:rPr>
      </w:pPr>
      <w:r w:rsidRPr="48362220">
        <w:rPr>
          <w:rFonts w:ascii="Calibri" w:eastAsia="Calibri" w:hAnsi="Calibri" w:cs="Calibri"/>
          <w:color w:val="000000" w:themeColor="text1"/>
          <w:lang w:val="en-US"/>
        </w:rPr>
        <w:t>AIHSP supported the Secure and Interoperable Surveillance and Health Information System (SISHIS) with a pilot in two districts in Bali (</w:t>
      </w:r>
      <w:proofErr w:type="spellStart"/>
      <w:r w:rsidRPr="48362220">
        <w:rPr>
          <w:rFonts w:ascii="Calibri" w:eastAsia="Calibri" w:hAnsi="Calibri" w:cs="Calibri"/>
          <w:color w:val="000000" w:themeColor="text1"/>
          <w:lang w:val="en-US"/>
        </w:rPr>
        <w:t>Badung</w:t>
      </w:r>
      <w:proofErr w:type="spellEnd"/>
      <w:r w:rsidRPr="48362220">
        <w:rPr>
          <w:rFonts w:ascii="Calibri" w:eastAsia="Calibri" w:hAnsi="Calibri" w:cs="Calibri"/>
          <w:color w:val="000000" w:themeColor="text1"/>
          <w:lang w:val="en-US"/>
        </w:rPr>
        <w:t xml:space="preserve"> and </w:t>
      </w:r>
      <w:proofErr w:type="spellStart"/>
      <w:r w:rsidRPr="48362220">
        <w:rPr>
          <w:rFonts w:ascii="Calibri" w:eastAsia="Calibri" w:hAnsi="Calibri" w:cs="Calibri"/>
          <w:color w:val="000000" w:themeColor="text1"/>
          <w:lang w:val="en-US"/>
        </w:rPr>
        <w:t>Buleleng</w:t>
      </w:r>
      <w:proofErr w:type="spellEnd"/>
      <w:r w:rsidRPr="48362220">
        <w:rPr>
          <w:rFonts w:ascii="Calibri" w:eastAsia="Calibri" w:hAnsi="Calibri" w:cs="Calibri"/>
          <w:color w:val="000000" w:themeColor="text1"/>
          <w:lang w:val="en-US"/>
        </w:rPr>
        <w:t>). The current phase of activity finishe</w:t>
      </w:r>
      <w:r w:rsidR="00CF1AF6" w:rsidRPr="48362220">
        <w:rPr>
          <w:rFonts w:ascii="Calibri" w:eastAsia="Calibri" w:hAnsi="Calibri" w:cs="Calibri"/>
          <w:color w:val="000000" w:themeColor="text1"/>
          <w:lang w:val="en-US"/>
        </w:rPr>
        <w:t>d</w:t>
      </w:r>
      <w:r w:rsidRPr="48362220">
        <w:rPr>
          <w:rFonts w:ascii="Calibri" w:eastAsia="Calibri" w:hAnsi="Calibri" w:cs="Calibri"/>
          <w:color w:val="000000" w:themeColor="text1"/>
          <w:lang w:val="en-US"/>
        </w:rPr>
        <w:t xml:space="preserve"> at the end of March 2023. </w:t>
      </w:r>
      <w:r w:rsidR="00713C52" w:rsidRPr="48362220">
        <w:rPr>
          <w:rFonts w:ascii="Calibri" w:eastAsia="Calibri" w:hAnsi="Calibri" w:cs="Calibri"/>
          <w:color w:val="000000" w:themeColor="text1"/>
          <w:lang w:val="en-US"/>
        </w:rPr>
        <w:t xml:space="preserve">The </w:t>
      </w:r>
      <w:proofErr w:type="spellStart"/>
      <w:r w:rsidR="0027501D">
        <w:rPr>
          <w:rFonts w:ascii="Calibri" w:eastAsia="Calibri" w:hAnsi="Calibri" w:cs="Calibri"/>
          <w:color w:val="000000" w:themeColor="text1"/>
          <w:lang w:val="en-US"/>
        </w:rPr>
        <w:t>p</w:t>
      </w:r>
      <w:r w:rsidR="00713C52" w:rsidRPr="48362220">
        <w:rPr>
          <w:rFonts w:ascii="Calibri" w:eastAsia="Calibri" w:hAnsi="Calibri" w:cs="Calibri"/>
          <w:color w:val="000000" w:themeColor="text1"/>
          <w:lang w:val="en-US"/>
        </w:rPr>
        <w:t>uskesmas</w:t>
      </w:r>
      <w:proofErr w:type="spellEnd"/>
      <w:r w:rsidRPr="48362220">
        <w:rPr>
          <w:rFonts w:ascii="Calibri" w:eastAsia="Calibri" w:hAnsi="Calibri" w:cs="Calibri"/>
          <w:color w:val="000000" w:themeColor="text1"/>
          <w:lang w:val="en-US"/>
        </w:rPr>
        <w:t xml:space="preserve"> staff </w:t>
      </w:r>
      <w:r w:rsidR="00254B6D" w:rsidRPr="48362220">
        <w:rPr>
          <w:rFonts w:ascii="Calibri" w:eastAsia="Calibri" w:hAnsi="Calibri" w:cs="Calibri"/>
          <w:color w:val="000000" w:themeColor="text1"/>
          <w:lang w:val="en-US"/>
        </w:rPr>
        <w:t xml:space="preserve">interviewed said the </w:t>
      </w:r>
      <w:r w:rsidRPr="48362220">
        <w:rPr>
          <w:rFonts w:ascii="Calibri" w:eastAsia="Calibri" w:hAnsi="Calibri" w:cs="Calibri"/>
          <w:color w:val="000000" w:themeColor="text1"/>
          <w:lang w:val="en-US"/>
        </w:rPr>
        <w:t xml:space="preserve">application </w:t>
      </w:r>
      <w:r w:rsidR="00254B6D" w:rsidRPr="48362220">
        <w:rPr>
          <w:rFonts w:ascii="Calibri" w:eastAsia="Calibri" w:hAnsi="Calibri" w:cs="Calibri"/>
          <w:color w:val="000000" w:themeColor="text1"/>
          <w:lang w:val="en-US"/>
        </w:rPr>
        <w:t xml:space="preserve">was helpful for </w:t>
      </w:r>
      <w:r w:rsidRPr="48362220">
        <w:rPr>
          <w:rFonts w:ascii="Calibri" w:eastAsia="Calibri" w:hAnsi="Calibri" w:cs="Calibri"/>
          <w:color w:val="000000" w:themeColor="text1"/>
          <w:lang w:val="en-US"/>
        </w:rPr>
        <w:t>monitor</w:t>
      </w:r>
      <w:r w:rsidR="00254B6D" w:rsidRPr="48362220">
        <w:rPr>
          <w:rFonts w:ascii="Calibri" w:eastAsia="Calibri" w:hAnsi="Calibri" w:cs="Calibri"/>
          <w:color w:val="000000" w:themeColor="text1"/>
          <w:lang w:val="en-US"/>
        </w:rPr>
        <w:t>ing</w:t>
      </w:r>
      <w:r w:rsidRPr="48362220">
        <w:rPr>
          <w:rFonts w:ascii="Calibri" w:eastAsia="Calibri" w:hAnsi="Calibri" w:cs="Calibri"/>
          <w:color w:val="000000" w:themeColor="text1"/>
          <w:lang w:val="en-US"/>
        </w:rPr>
        <w:t xml:space="preserve"> health cases. </w:t>
      </w:r>
      <w:r w:rsidRPr="48362220">
        <w:rPr>
          <w:rFonts w:ascii="Calibri" w:eastAsia="Calibri" w:hAnsi="Calibri" w:cs="Calibri"/>
          <w:lang w:val="en-US"/>
        </w:rPr>
        <w:t xml:space="preserve">SISHIS, however, has been costly to implement with little evidence of </w:t>
      </w:r>
      <w:proofErr w:type="spellStart"/>
      <w:r w:rsidRPr="48362220">
        <w:rPr>
          <w:rFonts w:ascii="Calibri" w:eastAsia="Calibri" w:hAnsi="Calibri" w:cs="Calibri"/>
          <w:lang w:val="en-US"/>
        </w:rPr>
        <w:t>GoI’s</w:t>
      </w:r>
      <w:proofErr w:type="spellEnd"/>
      <w:r w:rsidRPr="48362220">
        <w:rPr>
          <w:rFonts w:ascii="Calibri" w:eastAsia="Calibri" w:hAnsi="Calibri" w:cs="Calibri"/>
          <w:lang w:val="en-US"/>
        </w:rPr>
        <w:t xml:space="preserve"> acceptance of it.</w:t>
      </w:r>
      <w:r w:rsidR="00056DC6">
        <w:rPr>
          <w:rFonts w:ascii="Calibri" w:eastAsia="Calibri" w:hAnsi="Calibri" w:cs="Calibri"/>
          <w:lang w:val="en-US"/>
        </w:rPr>
        <w:t xml:space="preserve"> </w:t>
      </w:r>
      <w:r w:rsidR="00023264" w:rsidRPr="00056DC6">
        <w:rPr>
          <w:rFonts w:ascii="Calibri" w:eastAsia="Calibri" w:hAnsi="Calibri" w:cs="Calibri"/>
          <w:lang w:val="en-US"/>
        </w:rPr>
        <w:t>A more thorough assessment of the effectiveness of this support</w:t>
      </w:r>
      <w:r w:rsidR="0027501D">
        <w:rPr>
          <w:rFonts w:ascii="Calibri" w:eastAsia="Calibri" w:hAnsi="Calibri" w:cs="Calibri"/>
          <w:lang w:val="en-US"/>
        </w:rPr>
        <w:t xml:space="preserve"> will be needed</w:t>
      </w:r>
      <w:r w:rsidR="00023264" w:rsidRPr="00056DC6">
        <w:rPr>
          <w:rFonts w:ascii="Calibri" w:eastAsia="Calibri" w:hAnsi="Calibri" w:cs="Calibri"/>
          <w:lang w:val="en-US"/>
        </w:rPr>
        <w:t xml:space="preserve">, </w:t>
      </w:r>
      <w:r w:rsidR="0027501D">
        <w:rPr>
          <w:rFonts w:ascii="Calibri" w:eastAsia="Calibri" w:hAnsi="Calibri" w:cs="Calibri"/>
          <w:lang w:val="en-US"/>
        </w:rPr>
        <w:t xml:space="preserve">including </w:t>
      </w:r>
      <w:r w:rsidR="00023264" w:rsidRPr="00056DC6">
        <w:rPr>
          <w:rFonts w:ascii="Calibri" w:eastAsia="Calibri" w:hAnsi="Calibri" w:cs="Calibri"/>
          <w:lang w:val="en-US"/>
        </w:rPr>
        <w:t xml:space="preserve">its likelihood of being scaled up and the degree of </w:t>
      </w:r>
      <w:proofErr w:type="spellStart"/>
      <w:r w:rsidR="00023264" w:rsidRPr="00056DC6">
        <w:rPr>
          <w:rFonts w:ascii="Calibri" w:eastAsia="Calibri" w:hAnsi="Calibri" w:cs="Calibri"/>
          <w:lang w:val="en-US"/>
        </w:rPr>
        <w:t>GoI</w:t>
      </w:r>
      <w:proofErr w:type="spellEnd"/>
      <w:r w:rsidR="00023264" w:rsidRPr="00056DC6">
        <w:rPr>
          <w:rFonts w:ascii="Calibri" w:eastAsia="Calibri" w:hAnsi="Calibri" w:cs="Calibri"/>
          <w:lang w:val="en-US"/>
        </w:rPr>
        <w:t xml:space="preserve"> support for it</w:t>
      </w:r>
      <w:r w:rsidR="0027501D">
        <w:rPr>
          <w:rFonts w:ascii="Calibri" w:eastAsia="Calibri" w:hAnsi="Calibri" w:cs="Calibri"/>
          <w:lang w:val="en-US"/>
        </w:rPr>
        <w:t>.</w:t>
      </w:r>
      <w:r w:rsidR="00023264" w:rsidRPr="00056DC6">
        <w:rPr>
          <w:rFonts w:ascii="Calibri" w:eastAsia="Calibri" w:hAnsi="Calibri" w:cs="Calibri"/>
          <w:lang w:val="en-US"/>
        </w:rPr>
        <w:t xml:space="preserve"> </w:t>
      </w:r>
    </w:p>
    <w:p w14:paraId="1856BF7E" w14:textId="6374D0BD" w:rsidR="0031499A" w:rsidRDefault="0031499A" w:rsidP="00460D76">
      <w:pPr>
        <w:spacing w:after="120" w:line="240" w:lineRule="auto"/>
        <w:rPr>
          <w:rFonts w:ascii="Calibri" w:eastAsia="Calibri" w:hAnsi="Calibri" w:cs="Calibri"/>
          <w:lang w:val="en-US"/>
        </w:rPr>
      </w:pPr>
      <w:r w:rsidRPr="38839A5B">
        <w:rPr>
          <w:rFonts w:ascii="Calibri" w:eastAsia="Calibri" w:hAnsi="Calibri" w:cs="Calibri"/>
          <w:color w:val="000000" w:themeColor="text1"/>
        </w:rPr>
        <w:t xml:space="preserve">In 2021, </w:t>
      </w:r>
      <w:bookmarkStart w:id="70" w:name="_Hlk132563018"/>
      <w:r w:rsidRPr="38839A5B">
        <w:rPr>
          <w:rFonts w:ascii="Calibri" w:eastAsia="Calibri" w:hAnsi="Calibri" w:cs="Calibri"/>
          <w:color w:val="000000" w:themeColor="text1"/>
          <w:lang w:val="en-US"/>
        </w:rPr>
        <w:t xml:space="preserve">a prototype tool </w:t>
      </w:r>
      <w:r w:rsidR="00DF163B">
        <w:rPr>
          <w:rFonts w:ascii="Calibri" w:eastAsia="Calibri" w:hAnsi="Calibri" w:cs="Calibri"/>
          <w:color w:val="000000" w:themeColor="text1"/>
          <w:lang w:val="en-US"/>
        </w:rPr>
        <w:t xml:space="preserve">called </w:t>
      </w:r>
      <w:proofErr w:type="spellStart"/>
      <w:r w:rsidR="00DF163B">
        <w:rPr>
          <w:rFonts w:ascii="Calibri" w:eastAsia="Calibri" w:hAnsi="Calibri" w:cs="Calibri"/>
          <w:color w:val="000000" w:themeColor="text1"/>
          <w:lang w:val="en-US"/>
        </w:rPr>
        <w:t>PathSBeacon</w:t>
      </w:r>
      <w:proofErr w:type="spellEnd"/>
      <w:r w:rsidR="00DF163B">
        <w:rPr>
          <w:rFonts w:ascii="Calibri" w:eastAsia="Calibri" w:hAnsi="Calibri" w:cs="Calibri"/>
          <w:color w:val="000000" w:themeColor="text1"/>
          <w:lang w:val="en-US"/>
        </w:rPr>
        <w:t xml:space="preserve"> </w:t>
      </w:r>
      <w:r w:rsidRPr="38839A5B">
        <w:rPr>
          <w:rFonts w:ascii="Calibri" w:eastAsia="Calibri" w:hAnsi="Calibri" w:cs="Calibri"/>
          <w:color w:val="000000" w:themeColor="text1"/>
          <w:lang w:val="en-US"/>
        </w:rPr>
        <w:t xml:space="preserve">was developed by CSIRO to support </w:t>
      </w:r>
      <w:bookmarkEnd w:id="70"/>
      <w:r w:rsidR="00957A7D">
        <w:rPr>
          <w:color w:val="000000"/>
        </w:rPr>
        <w:t>whole genomic sequencing</w:t>
      </w:r>
      <w:r w:rsidR="00957A7D" w:rsidRPr="38839A5B">
        <w:rPr>
          <w:rFonts w:ascii="Calibri" w:eastAsia="Calibri" w:hAnsi="Calibri" w:cs="Calibri"/>
          <w:color w:val="000000" w:themeColor="text1"/>
        </w:rPr>
        <w:t xml:space="preserve"> </w:t>
      </w:r>
      <w:r w:rsidR="00957A7D">
        <w:rPr>
          <w:rFonts w:ascii="Calibri" w:eastAsia="Calibri" w:hAnsi="Calibri" w:cs="Calibri"/>
          <w:color w:val="000000" w:themeColor="text1"/>
        </w:rPr>
        <w:t>(</w:t>
      </w:r>
      <w:r w:rsidRPr="38839A5B">
        <w:rPr>
          <w:rFonts w:ascii="Calibri" w:eastAsia="Calibri" w:hAnsi="Calibri" w:cs="Calibri"/>
          <w:color w:val="000000" w:themeColor="text1"/>
        </w:rPr>
        <w:t>WGS</w:t>
      </w:r>
      <w:r w:rsidR="00957A7D">
        <w:rPr>
          <w:rFonts w:ascii="Calibri" w:eastAsia="Calibri" w:hAnsi="Calibri" w:cs="Calibri"/>
          <w:color w:val="000000" w:themeColor="text1"/>
        </w:rPr>
        <w:t>)</w:t>
      </w:r>
      <w:r w:rsidRPr="38839A5B">
        <w:rPr>
          <w:rFonts w:ascii="Calibri" w:eastAsia="Calibri" w:hAnsi="Calibri" w:cs="Calibri"/>
          <w:color w:val="000000" w:themeColor="text1"/>
        </w:rPr>
        <w:t xml:space="preserve"> and bioinformatic analysis </w:t>
      </w:r>
      <w:r>
        <w:rPr>
          <w:rFonts w:ascii="Calibri" w:eastAsia="Calibri" w:hAnsi="Calibri" w:cs="Calibri"/>
          <w:color w:val="000000" w:themeColor="text1"/>
          <w:lang w:val="en-US"/>
        </w:rPr>
        <w:t xml:space="preserve">that </w:t>
      </w:r>
      <w:r w:rsidRPr="38839A5B">
        <w:rPr>
          <w:rFonts w:ascii="Calibri" w:eastAsia="Calibri" w:hAnsi="Calibri" w:cs="Calibri"/>
          <w:color w:val="000000" w:themeColor="text1"/>
        </w:rPr>
        <w:t>could be used for surveillance of future infectious disease</w:t>
      </w:r>
      <w:r>
        <w:rPr>
          <w:rFonts w:ascii="Calibri" w:eastAsia="Calibri" w:hAnsi="Calibri" w:cs="Calibri"/>
          <w:color w:val="000000" w:themeColor="text1"/>
        </w:rPr>
        <w:t>s</w:t>
      </w:r>
      <w:r w:rsidRPr="38839A5B">
        <w:rPr>
          <w:rFonts w:ascii="Calibri" w:eastAsia="Calibri" w:hAnsi="Calibri" w:cs="Calibri"/>
          <w:color w:val="000000" w:themeColor="text1"/>
        </w:rPr>
        <w:t>.</w:t>
      </w:r>
      <w:r>
        <w:rPr>
          <w:rFonts w:ascii="Calibri" w:eastAsia="Calibri" w:hAnsi="Calibri" w:cs="Calibri"/>
          <w:color w:val="000000" w:themeColor="text1"/>
          <w:lang w:val="en-US"/>
        </w:rPr>
        <w:t xml:space="preserve"> This work has not been progressed or taken up by </w:t>
      </w:r>
      <w:proofErr w:type="spellStart"/>
      <w:r>
        <w:rPr>
          <w:rFonts w:ascii="Calibri" w:eastAsia="Calibri" w:hAnsi="Calibri" w:cs="Calibri"/>
          <w:color w:val="000000" w:themeColor="text1"/>
          <w:lang w:val="en-US"/>
        </w:rPr>
        <w:t>GoI</w:t>
      </w:r>
      <w:proofErr w:type="spellEnd"/>
      <w:r>
        <w:rPr>
          <w:rFonts w:ascii="Calibri" w:eastAsia="Calibri" w:hAnsi="Calibri" w:cs="Calibri"/>
          <w:color w:val="000000" w:themeColor="text1"/>
          <w:lang w:val="en-US"/>
        </w:rPr>
        <w:t xml:space="preserve">. While piloting new tools is important, this shows that any support needs to be relevant for the </w:t>
      </w:r>
      <w:proofErr w:type="spellStart"/>
      <w:r>
        <w:rPr>
          <w:rFonts w:ascii="Calibri" w:eastAsia="Calibri" w:hAnsi="Calibri" w:cs="Calibri"/>
          <w:color w:val="000000" w:themeColor="text1"/>
          <w:lang w:val="en-US"/>
        </w:rPr>
        <w:t>GoI</w:t>
      </w:r>
      <w:proofErr w:type="spellEnd"/>
      <w:r>
        <w:rPr>
          <w:rFonts w:ascii="Calibri" w:eastAsia="Calibri" w:hAnsi="Calibri" w:cs="Calibri"/>
          <w:color w:val="000000" w:themeColor="text1"/>
          <w:lang w:val="en-US"/>
        </w:rPr>
        <w:t xml:space="preserve"> and that </w:t>
      </w:r>
      <w:r w:rsidR="0027501D">
        <w:rPr>
          <w:rFonts w:ascii="Calibri" w:eastAsia="Calibri" w:hAnsi="Calibri" w:cs="Calibri"/>
          <w:color w:val="000000" w:themeColor="text1"/>
          <w:lang w:val="en-US"/>
        </w:rPr>
        <w:t xml:space="preserve">there needs to be the </w:t>
      </w:r>
      <w:r>
        <w:rPr>
          <w:rFonts w:ascii="Calibri" w:eastAsia="Calibri" w:hAnsi="Calibri" w:cs="Calibri"/>
          <w:color w:val="000000" w:themeColor="text1"/>
          <w:lang w:val="en-US"/>
        </w:rPr>
        <w:t>technical capacity and political will to proceed</w:t>
      </w:r>
      <w:r w:rsidR="00EF2AF0">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 xml:space="preserve"> </w:t>
      </w:r>
    </w:p>
    <w:p w14:paraId="52FD0E94" w14:textId="0842ECC5" w:rsidR="0031499A" w:rsidRPr="002E1691" w:rsidRDefault="00460D76" w:rsidP="00460D76">
      <w:pPr>
        <w:spacing w:after="120" w:line="240" w:lineRule="auto"/>
        <w:rPr>
          <w:rFonts w:ascii="Calibri" w:eastAsia="Calibri" w:hAnsi="Calibri" w:cs="Calibri"/>
          <w:color w:val="000000" w:themeColor="text1"/>
          <w:lang w:val="en-US"/>
        </w:rPr>
      </w:pPr>
      <w:r w:rsidRPr="48362220">
        <w:rPr>
          <w:rFonts w:ascii="Calibri" w:eastAsia="Calibri" w:hAnsi="Calibri" w:cs="Calibri"/>
          <w:color w:val="000000" w:themeColor="text1"/>
          <w:lang w:val="en-US"/>
        </w:rPr>
        <w:t>T</w:t>
      </w:r>
      <w:r w:rsidR="0031499A" w:rsidRPr="48362220">
        <w:rPr>
          <w:rFonts w:ascii="Calibri" w:eastAsia="Calibri" w:hAnsi="Calibri" w:cs="Calibri"/>
          <w:color w:val="000000" w:themeColor="text1"/>
          <w:lang w:val="en-US"/>
        </w:rPr>
        <w:t xml:space="preserve">he progress of the interoperable One Health surveillance data exchange, known as SIZE, </w:t>
      </w:r>
      <w:r w:rsidR="00CF1AF6" w:rsidRPr="48362220">
        <w:rPr>
          <w:rFonts w:ascii="Calibri" w:eastAsia="Calibri" w:hAnsi="Calibri" w:cs="Calibri"/>
          <w:color w:val="000000" w:themeColor="text1"/>
          <w:lang w:val="en-US"/>
        </w:rPr>
        <w:t>was</w:t>
      </w:r>
      <w:r w:rsidR="0031499A" w:rsidRPr="48362220">
        <w:rPr>
          <w:rFonts w:ascii="Calibri" w:eastAsia="Calibri" w:hAnsi="Calibri" w:cs="Calibri"/>
          <w:color w:val="000000" w:themeColor="text1"/>
          <w:lang w:val="en-US"/>
        </w:rPr>
        <w:t xml:space="preserve"> slower than expected. AIHSP made a limited investment in </w:t>
      </w:r>
      <w:r w:rsidR="0031499A" w:rsidRPr="48362220">
        <w:rPr>
          <w:rFonts w:ascii="Calibri" w:eastAsia="Calibri" w:hAnsi="Calibri" w:cs="Calibri"/>
          <w:lang w:val="en-US"/>
        </w:rPr>
        <w:t xml:space="preserve">SIZE, with support </w:t>
      </w:r>
      <w:r w:rsidRPr="48362220">
        <w:rPr>
          <w:rFonts w:ascii="Calibri" w:eastAsia="Calibri" w:hAnsi="Calibri" w:cs="Calibri"/>
          <w:lang w:val="en-US"/>
        </w:rPr>
        <w:t xml:space="preserve">mainly </w:t>
      </w:r>
      <w:r w:rsidR="0031499A" w:rsidRPr="48362220">
        <w:rPr>
          <w:rFonts w:ascii="Calibri" w:eastAsia="Calibri" w:hAnsi="Calibri" w:cs="Calibri"/>
          <w:lang w:val="en-US"/>
        </w:rPr>
        <w:t>provided by USAID and WHO. T</w:t>
      </w:r>
      <w:r w:rsidR="0031499A" w:rsidRPr="48362220">
        <w:rPr>
          <w:rFonts w:ascii="Calibri" w:eastAsia="Calibri" w:hAnsi="Calibri" w:cs="Calibri"/>
          <w:color w:val="000000" w:themeColor="text1"/>
          <w:lang w:val="en-US"/>
        </w:rPr>
        <w:t xml:space="preserve">he </w:t>
      </w:r>
      <w:proofErr w:type="spellStart"/>
      <w:r w:rsidR="0031499A" w:rsidRPr="48362220">
        <w:rPr>
          <w:rFonts w:ascii="Calibri" w:eastAsia="Calibri" w:hAnsi="Calibri" w:cs="Calibri"/>
          <w:color w:val="000000" w:themeColor="text1"/>
          <w:lang w:val="en-US"/>
        </w:rPr>
        <w:t>GoI</w:t>
      </w:r>
      <w:proofErr w:type="spellEnd"/>
      <w:r w:rsidR="0031499A" w:rsidRPr="48362220">
        <w:rPr>
          <w:rFonts w:ascii="Calibri" w:eastAsia="Calibri" w:hAnsi="Calibri" w:cs="Calibri"/>
          <w:color w:val="000000" w:themeColor="text1"/>
          <w:lang w:val="en-US"/>
        </w:rPr>
        <w:t xml:space="preserve"> agreed for the data from </w:t>
      </w:r>
      <w:proofErr w:type="spellStart"/>
      <w:r w:rsidR="0031499A" w:rsidRPr="48362220">
        <w:rPr>
          <w:rFonts w:ascii="Calibri" w:eastAsia="Calibri" w:hAnsi="Calibri" w:cs="Calibri"/>
          <w:color w:val="000000" w:themeColor="text1"/>
          <w:lang w:val="en-US"/>
        </w:rPr>
        <w:t>iSIKHNAS</w:t>
      </w:r>
      <w:proofErr w:type="spellEnd"/>
      <w:r w:rsidR="0031499A" w:rsidRPr="48362220">
        <w:rPr>
          <w:rFonts w:ascii="Calibri" w:eastAsia="Calibri" w:hAnsi="Calibri" w:cs="Calibri"/>
          <w:color w:val="000000" w:themeColor="text1"/>
          <w:lang w:val="en-US"/>
        </w:rPr>
        <w:t xml:space="preserve"> to feed into SIZE. There was also a </w:t>
      </w:r>
      <w:r w:rsidR="00EF337C" w:rsidRPr="48362220">
        <w:rPr>
          <w:rFonts w:ascii="Calibri" w:eastAsia="Calibri" w:hAnsi="Calibri" w:cs="Calibri"/>
          <w:color w:val="000000" w:themeColor="text1"/>
          <w:lang w:val="en-US"/>
        </w:rPr>
        <w:t xml:space="preserve">USAID-funded </w:t>
      </w:r>
      <w:r w:rsidR="0031499A" w:rsidRPr="48362220">
        <w:rPr>
          <w:rFonts w:ascii="Calibri" w:eastAsia="Calibri" w:hAnsi="Calibri" w:cs="Calibri"/>
          <w:color w:val="000000" w:themeColor="text1"/>
          <w:lang w:val="en-US"/>
        </w:rPr>
        <w:t xml:space="preserve">plan to feed the data </w:t>
      </w:r>
      <w:r w:rsidR="0016012A" w:rsidRPr="48362220">
        <w:rPr>
          <w:rFonts w:ascii="Calibri" w:eastAsia="Calibri" w:hAnsi="Calibri" w:cs="Calibri"/>
          <w:color w:val="000000" w:themeColor="text1"/>
          <w:lang w:val="en-US"/>
        </w:rPr>
        <w:t>from</w:t>
      </w:r>
      <w:r w:rsidR="0031499A" w:rsidRPr="48362220">
        <w:rPr>
          <w:rFonts w:ascii="Calibri" w:eastAsia="Calibri" w:hAnsi="Calibri" w:cs="Calibri"/>
          <w:color w:val="000000" w:themeColor="text1"/>
          <w:lang w:val="en-US"/>
        </w:rPr>
        <w:t xml:space="preserve"> </w:t>
      </w:r>
      <w:r w:rsidR="00EF337C" w:rsidRPr="48362220">
        <w:rPr>
          <w:rFonts w:ascii="Calibri" w:eastAsia="Calibri" w:hAnsi="Calibri" w:cs="Calibri"/>
          <w:color w:val="000000" w:themeColor="text1"/>
          <w:lang w:val="en-US"/>
        </w:rPr>
        <w:t xml:space="preserve">the </w:t>
      </w:r>
      <w:r w:rsidR="00EF337C" w:rsidRPr="48362220">
        <w:t>Early Warning and Response System</w:t>
      </w:r>
      <w:r w:rsidR="00EF337C" w:rsidRPr="48362220">
        <w:rPr>
          <w:rFonts w:ascii="Calibri" w:eastAsia="Calibri" w:hAnsi="Calibri" w:cs="Calibri"/>
          <w:color w:val="000000" w:themeColor="text1"/>
          <w:lang w:val="en-US"/>
        </w:rPr>
        <w:t xml:space="preserve"> (</w:t>
      </w:r>
      <w:r w:rsidR="0031499A" w:rsidRPr="48362220">
        <w:rPr>
          <w:rFonts w:ascii="Calibri" w:eastAsia="Calibri" w:hAnsi="Calibri" w:cs="Calibri"/>
          <w:color w:val="000000" w:themeColor="text1"/>
          <w:lang w:val="en-US"/>
        </w:rPr>
        <w:t>EWARS</w:t>
      </w:r>
      <w:r w:rsidR="00EF337C" w:rsidRPr="48362220">
        <w:rPr>
          <w:rFonts w:ascii="Calibri" w:eastAsia="Calibri" w:hAnsi="Calibri" w:cs="Calibri"/>
          <w:color w:val="000000" w:themeColor="text1"/>
          <w:lang w:val="en-US"/>
        </w:rPr>
        <w:t>)</w:t>
      </w:r>
      <w:r w:rsidR="0031499A" w:rsidRPr="48362220">
        <w:rPr>
          <w:rFonts w:ascii="Calibri" w:eastAsia="Calibri" w:hAnsi="Calibri" w:cs="Calibri"/>
          <w:color w:val="000000" w:themeColor="text1"/>
          <w:lang w:val="en-US"/>
        </w:rPr>
        <w:t xml:space="preserve"> into </w:t>
      </w:r>
      <w:proofErr w:type="spellStart"/>
      <w:r w:rsidR="0031499A" w:rsidRPr="48362220">
        <w:rPr>
          <w:rFonts w:ascii="Calibri" w:eastAsia="Calibri" w:hAnsi="Calibri" w:cs="Calibri"/>
          <w:color w:val="000000" w:themeColor="text1"/>
          <w:lang w:val="en-US"/>
        </w:rPr>
        <w:t>iSIKHNAS</w:t>
      </w:r>
      <w:proofErr w:type="spellEnd"/>
      <w:r w:rsidR="0031499A" w:rsidRPr="48362220">
        <w:rPr>
          <w:rFonts w:ascii="Calibri" w:eastAsia="Calibri" w:hAnsi="Calibri" w:cs="Calibri"/>
          <w:color w:val="000000" w:themeColor="text1"/>
          <w:lang w:val="en-US"/>
        </w:rPr>
        <w:t xml:space="preserve">. EWARS and Sehat </w:t>
      </w:r>
      <w:proofErr w:type="spellStart"/>
      <w:r w:rsidR="0031499A" w:rsidRPr="48362220">
        <w:rPr>
          <w:rFonts w:ascii="Calibri" w:eastAsia="Calibri" w:hAnsi="Calibri" w:cs="Calibri"/>
          <w:color w:val="000000" w:themeColor="text1"/>
          <w:lang w:val="en-US"/>
        </w:rPr>
        <w:t>Satli</w:t>
      </w:r>
      <w:proofErr w:type="spellEnd"/>
      <w:r w:rsidR="0031499A" w:rsidRPr="48362220">
        <w:rPr>
          <w:rFonts w:ascii="Calibri" w:eastAsia="Calibri" w:hAnsi="Calibri" w:cs="Calibri"/>
          <w:color w:val="000000" w:themeColor="text1"/>
          <w:lang w:val="en-US"/>
        </w:rPr>
        <w:t xml:space="preserve">, the wildlife health surveillance system, are not operating in real time. </w:t>
      </w:r>
      <w:r w:rsidR="0031499A" w:rsidRPr="48362220">
        <w:rPr>
          <w:rFonts w:ascii="Calibri" w:eastAsia="Calibri" w:hAnsi="Calibri" w:cs="Calibri"/>
          <w:lang w:val="en-US"/>
        </w:rPr>
        <w:t xml:space="preserve">Achieving one integrated </w:t>
      </w:r>
      <w:r w:rsidR="00CC3E13" w:rsidRPr="48362220">
        <w:rPr>
          <w:rFonts w:ascii="Calibri" w:eastAsia="Calibri" w:hAnsi="Calibri" w:cs="Calibri"/>
          <w:lang w:val="en-US"/>
        </w:rPr>
        <w:t>human and animal health</w:t>
      </w:r>
      <w:r w:rsidR="0031499A" w:rsidRPr="48362220">
        <w:rPr>
          <w:rFonts w:ascii="Calibri" w:eastAsia="Calibri" w:hAnsi="Calibri" w:cs="Calibri"/>
          <w:lang w:val="en-US"/>
        </w:rPr>
        <w:t xml:space="preserve"> surveillance, the focus of EOPO 1.2, will </w:t>
      </w:r>
      <w:r w:rsidR="0027501D">
        <w:rPr>
          <w:rFonts w:ascii="Calibri" w:eastAsia="Calibri" w:hAnsi="Calibri" w:cs="Calibri"/>
          <w:lang w:val="en-US"/>
        </w:rPr>
        <w:t xml:space="preserve">not only </w:t>
      </w:r>
      <w:r w:rsidR="0031499A" w:rsidRPr="48362220">
        <w:rPr>
          <w:rFonts w:ascii="Calibri" w:eastAsia="Calibri" w:hAnsi="Calibri" w:cs="Calibri"/>
          <w:lang w:val="en-US"/>
        </w:rPr>
        <w:t xml:space="preserve">need </w:t>
      </w:r>
      <w:r w:rsidR="00EF337C" w:rsidRPr="48362220">
        <w:rPr>
          <w:rFonts w:ascii="Calibri" w:eastAsia="Calibri" w:hAnsi="Calibri" w:cs="Calibri"/>
          <w:lang w:val="en-US"/>
        </w:rPr>
        <w:t xml:space="preserve">timely and good quality data collection, but also </w:t>
      </w:r>
      <w:r w:rsidR="0031499A" w:rsidRPr="48362220">
        <w:rPr>
          <w:rFonts w:ascii="Calibri" w:eastAsia="Calibri" w:hAnsi="Calibri" w:cs="Calibri"/>
          <w:lang w:val="en-US"/>
        </w:rPr>
        <w:t xml:space="preserve">effective coordination and planning between institutions (MoH, </w:t>
      </w:r>
      <w:proofErr w:type="spellStart"/>
      <w:r w:rsidR="0031499A" w:rsidRPr="48362220">
        <w:rPr>
          <w:rFonts w:ascii="Calibri" w:eastAsia="Calibri" w:hAnsi="Calibri" w:cs="Calibri"/>
          <w:lang w:val="en-US"/>
        </w:rPr>
        <w:t>MoA</w:t>
      </w:r>
      <w:proofErr w:type="spellEnd"/>
      <w:r w:rsidR="0031499A" w:rsidRPr="48362220">
        <w:rPr>
          <w:rFonts w:ascii="Calibri" w:eastAsia="Calibri" w:hAnsi="Calibri" w:cs="Calibri"/>
          <w:lang w:val="en-US"/>
        </w:rPr>
        <w:t xml:space="preserve"> and </w:t>
      </w:r>
      <w:proofErr w:type="spellStart"/>
      <w:r w:rsidR="0031499A" w:rsidRPr="48362220">
        <w:rPr>
          <w:rFonts w:ascii="Calibri" w:eastAsia="Calibri" w:hAnsi="Calibri" w:cs="Calibri"/>
          <w:lang w:val="en-US"/>
        </w:rPr>
        <w:t>MoEF</w:t>
      </w:r>
      <w:proofErr w:type="spellEnd"/>
      <w:r w:rsidR="0031499A" w:rsidRPr="48362220">
        <w:rPr>
          <w:rFonts w:ascii="Calibri" w:eastAsia="Calibri" w:hAnsi="Calibri" w:cs="Calibri"/>
          <w:lang w:val="en-US"/>
        </w:rPr>
        <w:t xml:space="preserve">), </w:t>
      </w:r>
      <w:r w:rsidR="00EF337C" w:rsidRPr="48362220">
        <w:rPr>
          <w:rFonts w:ascii="Calibri" w:eastAsia="Calibri" w:hAnsi="Calibri" w:cs="Calibri"/>
          <w:lang w:val="en-US"/>
        </w:rPr>
        <w:t xml:space="preserve">and </w:t>
      </w:r>
      <w:r w:rsidR="0031499A" w:rsidRPr="48362220">
        <w:rPr>
          <w:rFonts w:ascii="Calibri" w:eastAsia="Calibri" w:hAnsi="Calibri" w:cs="Calibri"/>
          <w:lang w:val="en-US"/>
        </w:rPr>
        <w:t xml:space="preserve">collaboration between donor agencies supporting these systems. This could be one of </w:t>
      </w:r>
      <w:r w:rsidR="004A35DD" w:rsidRPr="48362220">
        <w:rPr>
          <w:rFonts w:ascii="Calibri" w:eastAsia="Calibri" w:hAnsi="Calibri" w:cs="Calibri"/>
          <w:lang w:val="en-US"/>
        </w:rPr>
        <w:t xml:space="preserve">the </w:t>
      </w:r>
      <w:r w:rsidR="0031499A" w:rsidRPr="48362220">
        <w:rPr>
          <w:rFonts w:ascii="Calibri" w:eastAsia="Calibri" w:hAnsi="Calibri" w:cs="Calibri"/>
          <w:lang w:val="en-US"/>
        </w:rPr>
        <w:t>priorities for the remaining period of AIHSP implementation.</w:t>
      </w:r>
    </w:p>
    <w:p w14:paraId="51251A62" w14:textId="77777777" w:rsidR="0031499A" w:rsidRDefault="0031499A" w:rsidP="0031499A">
      <w:pPr>
        <w:pStyle w:val="Heading3"/>
      </w:pPr>
      <w:bookmarkStart w:id="71" w:name="_Toc135837412"/>
      <w:r>
        <w:t>WHO and UNICEF</w:t>
      </w:r>
      <w:bookmarkEnd w:id="71"/>
    </w:p>
    <w:p w14:paraId="1771FA8B" w14:textId="0A81F891" w:rsidR="0031499A" w:rsidRDefault="0031499A" w:rsidP="00460D76">
      <w:pPr>
        <w:spacing w:after="120" w:line="240" w:lineRule="auto"/>
        <w:rPr>
          <w:lang w:val="en-US"/>
        </w:rPr>
      </w:pPr>
      <w:r>
        <w:rPr>
          <w:lang w:val="en-US"/>
        </w:rPr>
        <w:t xml:space="preserve">WHO and UNICEF made a significant contribution to surveillance and laboratory systems, especially as part of the COVID-19 response. </w:t>
      </w:r>
      <w:r>
        <w:rPr>
          <w:rFonts w:eastAsia="Times New Roman" w:cs="Calibri"/>
          <w:szCs w:val="18"/>
          <w:lang w:val="en-US" w:eastAsia="en-AU"/>
        </w:rPr>
        <w:t xml:space="preserve">A surveillance system using a sentinel approach was instigated in March 2021 and then rolled out with support from WHO. WHO also provided technical assistance to implement national SARS-CoV-2 genomic sequencing which successfully assisted with the early detection and control of Omicron cases. </w:t>
      </w:r>
      <w:r w:rsidRPr="38839A5B">
        <w:rPr>
          <w:rFonts w:ascii="Calibri" w:eastAsia="Calibri" w:hAnsi="Calibri" w:cs="Calibri"/>
          <w:color w:val="000000" w:themeColor="text1"/>
          <w:lang w:val="en-US"/>
        </w:rPr>
        <w:t xml:space="preserve">In 2021, UNICEF supported </w:t>
      </w:r>
      <w:proofErr w:type="spellStart"/>
      <w:r w:rsidRPr="38839A5B">
        <w:rPr>
          <w:rFonts w:ascii="Calibri" w:eastAsia="Calibri" w:hAnsi="Calibri" w:cs="Calibri"/>
          <w:color w:val="000000" w:themeColor="text1"/>
          <w:lang w:val="en-US"/>
        </w:rPr>
        <w:t>GoI</w:t>
      </w:r>
      <w:proofErr w:type="spellEnd"/>
      <w:r w:rsidRPr="38839A5B">
        <w:rPr>
          <w:rFonts w:ascii="Calibri" w:eastAsia="Calibri" w:hAnsi="Calibri" w:cs="Calibri"/>
          <w:color w:val="000000" w:themeColor="text1"/>
          <w:lang w:val="en-US"/>
        </w:rPr>
        <w:t xml:space="preserve"> in the </w:t>
      </w:r>
      <w:r w:rsidRPr="00E46C99">
        <w:rPr>
          <w:rFonts w:ascii="Calibri" w:eastAsia="Calibri" w:hAnsi="Calibri" w:cs="Calibri"/>
          <w:color w:val="000000" w:themeColor="text1"/>
        </w:rPr>
        <w:t>finalisation</w:t>
      </w:r>
      <w:r w:rsidRPr="38839A5B">
        <w:rPr>
          <w:rFonts w:ascii="Calibri" w:eastAsia="Calibri" w:hAnsi="Calibri" w:cs="Calibri"/>
          <w:color w:val="000000" w:themeColor="text1"/>
          <w:lang w:val="en-US"/>
        </w:rPr>
        <w:t xml:space="preserve"> and roll-out of </w:t>
      </w:r>
      <w:r>
        <w:rPr>
          <w:rFonts w:ascii="Calibri" w:eastAsia="Calibri" w:hAnsi="Calibri" w:cs="Calibri"/>
          <w:color w:val="000000" w:themeColor="text1"/>
          <w:lang w:val="en-US"/>
        </w:rPr>
        <w:t xml:space="preserve">a </w:t>
      </w:r>
      <w:r w:rsidRPr="38839A5B">
        <w:rPr>
          <w:rFonts w:ascii="Calibri" w:eastAsia="Calibri" w:hAnsi="Calibri" w:cs="Calibri"/>
          <w:color w:val="000000" w:themeColor="text1"/>
          <w:lang w:val="en-US"/>
        </w:rPr>
        <w:t xml:space="preserve">maternal perinatal death surveillance system. In 2022, </w:t>
      </w:r>
      <w:r w:rsidR="007D5D1E">
        <w:rPr>
          <w:rFonts w:ascii="Calibri" w:eastAsia="Calibri" w:hAnsi="Calibri" w:cs="Calibri"/>
          <w:color w:val="000000" w:themeColor="text1"/>
          <w:lang w:val="en-US"/>
        </w:rPr>
        <w:t xml:space="preserve">UNICEF assisted the establishment of </w:t>
      </w:r>
      <w:r w:rsidRPr="38839A5B">
        <w:rPr>
          <w:rFonts w:ascii="Calibri" w:eastAsia="Calibri" w:hAnsi="Calibri" w:cs="Calibri"/>
          <w:color w:val="000000" w:themeColor="text1"/>
          <w:lang w:val="en-US"/>
        </w:rPr>
        <w:t xml:space="preserve">the </w:t>
      </w:r>
      <w:proofErr w:type="spellStart"/>
      <w:r w:rsidRPr="38839A5B">
        <w:rPr>
          <w:rFonts w:ascii="Calibri" w:eastAsia="Calibri" w:hAnsi="Calibri" w:cs="Calibri"/>
          <w:color w:val="000000" w:themeColor="text1"/>
          <w:lang w:val="en-US"/>
        </w:rPr>
        <w:t>RapidPro</w:t>
      </w:r>
      <w:proofErr w:type="spellEnd"/>
      <w:r w:rsidRPr="38839A5B">
        <w:rPr>
          <w:rFonts w:ascii="Calibri" w:eastAsia="Calibri" w:hAnsi="Calibri" w:cs="Calibri"/>
          <w:color w:val="000000" w:themeColor="text1"/>
          <w:lang w:val="en-US"/>
        </w:rPr>
        <w:t xml:space="preserve"> digital platform database </w:t>
      </w:r>
      <w:r w:rsidR="007D5D1E">
        <w:rPr>
          <w:rFonts w:ascii="Calibri" w:eastAsia="Calibri" w:hAnsi="Calibri" w:cs="Calibri"/>
          <w:color w:val="000000" w:themeColor="text1"/>
          <w:lang w:val="en-US"/>
        </w:rPr>
        <w:t>for</w:t>
      </w:r>
      <w:r w:rsidRPr="38839A5B">
        <w:rPr>
          <w:rFonts w:ascii="Calibri" w:eastAsia="Calibri" w:hAnsi="Calibri" w:cs="Calibri"/>
          <w:color w:val="000000" w:themeColor="text1"/>
          <w:lang w:val="en-US"/>
        </w:rPr>
        <w:t xml:space="preserve"> children who lost their parents/caregivers to COVID-19</w:t>
      </w:r>
      <w:r w:rsidR="007D5D1E">
        <w:rPr>
          <w:rFonts w:ascii="Calibri" w:eastAsia="Calibri" w:hAnsi="Calibri" w:cs="Calibri"/>
          <w:color w:val="000000" w:themeColor="text1"/>
          <w:lang w:val="en-US"/>
        </w:rPr>
        <w:t xml:space="preserve">. </w:t>
      </w:r>
    </w:p>
    <w:p w14:paraId="0AA57147" w14:textId="7A950284" w:rsidR="0031499A" w:rsidRDefault="0031499A" w:rsidP="00460D76">
      <w:pPr>
        <w:spacing w:after="120" w:line="240" w:lineRule="auto"/>
        <w:rPr>
          <w:rFonts w:ascii="Calibri" w:eastAsia="Calibri" w:hAnsi="Calibri" w:cs="Calibri"/>
          <w:color w:val="000000"/>
        </w:rPr>
      </w:pPr>
      <w:r>
        <w:rPr>
          <w:lang w:val="en-US"/>
        </w:rPr>
        <w:t xml:space="preserve">WHO supported at least 31,000 health facilities and 1,300 laboratories to perform </w:t>
      </w:r>
      <w:r>
        <w:rPr>
          <w:rFonts w:ascii="Calibri" w:eastAsia="Calibri" w:hAnsi="Calibri" w:cs="Calibri"/>
          <w:color w:val="000000" w:themeColor="text1"/>
          <w:lang w:val="en-US"/>
        </w:rPr>
        <w:t xml:space="preserve">COVID-19 </w:t>
      </w:r>
      <w:r w:rsidRPr="38839A5B">
        <w:rPr>
          <w:rFonts w:ascii="Calibri" w:eastAsia="Calibri" w:hAnsi="Calibri" w:cs="Calibri"/>
          <w:color w:val="000000" w:themeColor="text1"/>
          <w:lang w:val="en-US"/>
        </w:rPr>
        <w:t xml:space="preserve">antigen-rapid diagnostic tests </w:t>
      </w:r>
      <w:r>
        <w:rPr>
          <w:rFonts w:ascii="Calibri" w:eastAsia="Calibri" w:hAnsi="Calibri" w:cs="Calibri"/>
          <w:color w:val="000000" w:themeColor="text1"/>
          <w:lang w:val="en-US"/>
        </w:rPr>
        <w:t>(Ag-RDTs)</w:t>
      </w:r>
      <w:r w:rsidRPr="34F20BA4">
        <w:rPr>
          <w:rFonts w:ascii="Calibri" w:eastAsia="Calibri" w:hAnsi="Calibri" w:cs="Calibri"/>
          <w:color w:val="000000" w:themeColor="text1"/>
          <w:lang w:val="en-US"/>
        </w:rPr>
        <w:t xml:space="preserve"> and Polymerase Chain Reaction </w:t>
      </w:r>
      <w:r>
        <w:rPr>
          <w:rFonts w:ascii="Calibri" w:eastAsia="Calibri" w:hAnsi="Calibri" w:cs="Calibri"/>
          <w:color w:val="000000" w:themeColor="text1"/>
          <w:lang w:val="en-US"/>
        </w:rPr>
        <w:t>(</w:t>
      </w:r>
      <w:r w:rsidRPr="34F20BA4">
        <w:rPr>
          <w:rFonts w:ascii="Calibri" w:eastAsia="Calibri" w:hAnsi="Calibri" w:cs="Calibri"/>
          <w:color w:val="000000" w:themeColor="text1"/>
          <w:lang w:val="en-US"/>
        </w:rPr>
        <w:t>PCR</w:t>
      </w:r>
      <w:r>
        <w:rPr>
          <w:rFonts w:ascii="Calibri" w:eastAsia="Calibri" w:hAnsi="Calibri" w:cs="Calibri"/>
          <w:color w:val="000000" w:themeColor="text1"/>
          <w:lang w:val="en-US"/>
        </w:rPr>
        <w:t>) tests</w:t>
      </w:r>
      <w:r w:rsidRPr="34F20BA4">
        <w:rPr>
          <w:rFonts w:ascii="Calibri" w:eastAsia="Calibri" w:hAnsi="Calibri" w:cs="Calibri"/>
          <w:color w:val="000000" w:themeColor="text1"/>
          <w:lang w:val="en-US"/>
        </w:rPr>
        <w:t xml:space="preserve">. </w:t>
      </w:r>
      <w:r w:rsidR="00B94B5C">
        <w:rPr>
          <w:rFonts w:ascii="Calibri" w:eastAsia="Calibri" w:hAnsi="Calibri" w:cs="Calibri"/>
          <w:color w:val="000000"/>
        </w:rPr>
        <w:t xml:space="preserve">Australia also partially contributed to the WHO procurement of one million antigen-rapid diagnostic tests (RDTs). </w:t>
      </w:r>
      <w:r>
        <w:rPr>
          <w:rFonts w:ascii="Calibri" w:eastAsia="Calibri" w:hAnsi="Calibri" w:cs="Calibri"/>
          <w:color w:val="000000" w:themeColor="text1"/>
          <w:lang w:val="en-US"/>
        </w:rPr>
        <w:t xml:space="preserve">This </w:t>
      </w:r>
      <w:r w:rsidRPr="34F20BA4">
        <w:rPr>
          <w:rFonts w:ascii="Calibri" w:eastAsia="Calibri" w:hAnsi="Calibri" w:cs="Calibri"/>
          <w:color w:val="000000" w:themeColor="text1"/>
          <w:lang w:val="en-US"/>
        </w:rPr>
        <w:t xml:space="preserve">resulted in </w:t>
      </w:r>
      <w:r>
        <w:rPr>
          <w:rFonts w:ascii="Calibri" w:eastAsia="Calibri" w:hAnsi="Calibri" w:cs="Calibri"/>
          <w:color w:val="000000" w:themeColor="text1"/>
          <w:lang w:val="en-US"/>
        </w:rPr>
        <w:t>a</w:t>
      </w:r>
      <w:r w:rsidRPr="34F20BA4">
        <w:rPr>
          <w:rFonts w:ascii="Calibri" w:eastAsia="Calibri" w:hAnsi="Calibri" w:cs="Calibri"/>
          <w:color w:val="000000" w:themeColor="text1"/>
          <w:lang w:val="en-US"/>
        </w:rPr>
        <w:t xml:space="preserve"> significant increase </w:t>
      </w:r>
      <w:r>
        <w:rPr>
          <w:rFonts w:ascii="Calibri" w:eastAsia="Calibri" w:hAnsi="Calibri" w:cs="Calibri"/>
          <w:color w:val="000000" w:themeColor="text1"/>
          <w:lang w:val="en-US"/>
        </w:rPr>
        <w:t>in</w:t>
      </w:r>
      <w:r w:rsidRPr="34F20BA4">
        <w:rPr>
          <w:rFonts w:ascii="Calibri" w:eastAsia="Calibri" w:hAnsi="Calibri" w:cs="Calibri"/>
          <w:color w:val="000000" w:themeColor="text1"/>
          <w:lang w:val="en-US"/>
        </w:rPr>
        <w:t xml:space="preserve"> testing rates. </w:t>
      </w:r>
      <w:r>
        <w:rPr>
          <w:rFonts w:ascii="Calibri" w:eastAsia="Calibri" w:hAnsi="Calibri" w:cs="Calibri"/>
          <w:color w:val="000000" w:themeColor="text1"/>
          <w:lang w:val="en-US"/>
        </w:rPr>
        <w:t xml:space="preserve">VAHSI funding also enabled WHO to provide external quality assurance support for COVID-19 diagnostics for </w:t>
      </w:r>
      <w:r w:rsidRPr="34F20BA4">
        <w:rPr>
          <w:rFonts w:ascii="Calibri" w:eastAsia="Calibri" w:hAnsi="Calibri" w:cs="Calibri"/>
          <w:color w:val="000000" w:themeColor="text1"/>
          <w:lang w:val="en-US"/>
        </w:rPr>
        <w:t>1</w:t>
      </w:r>
      <w:r>
        <w:rPr>
          <w:rFonts w:ascii="Calibri" w:eastAsia="Calibri" w:hAnsi="Calibri" w:cs="Calibri"/>
          <w:color w:val="000000" w:themeColor="text1"/>
          <w:lang w:val="en-US"/>
        </w:rPr>
        <w:t>,</w:t>
      </w:r>
      <w:r w:rsidRPr="34F20BA4">
        <w:rPr>
          <w:rFonts w:ascii="Calibri" w:eastAsia="Calibri" w:hAnsi="Calibri" w:cs="Calibri"/>
          <w:color w:val="000000" w:themeColor="text1"/>
          <w:lang w:val="en-US"/>
        </w:rPr>
        <w:t>034 laboratories</w:t>
      </w:r>
      <w:r>
        <w:rPr>
          <w:rFonts w:ascii="Calibri" w:eastAsia="Calibri" w:hAnsi="Calibri" w:cs="Calibri"/>
          <w:color w:val="000000" w:themeColor="text1"/>
          <w:lang w:val="en-US"/>
        </w:rPr>
        <w:t xml:space="preserve">. </w:t>
      </w:r>
    </w:p>
    <w:p w14:paraId="07F76EEA" w14:textId="2AE02CCB" w:rsidR="0031499A" w:rsidRDefault="0031499A" w:rsidP="00A13218">
      <w:pPr>
        <w:spacing w:after="120" w:line="240" w:lineRule="auto"/>
        <w:rPr>
          <w:lang w:val="en-US"/>
        </w:rPr>
      </w:pPr>
      <w:r w:rsidRPr="48362220">
        <w:rPr>
          <w:rFonts w:ascii="Calibri" w:eastAsia="Calibri" w:hAnsi="Calibri" w:cs="Calibri"/>
          <w:color w:val="000000" w:themeColor="text1"/>
          <w:lang w:val="en-US"/>
        </w:rPr>
        <w:t xml:space="preserve">To a certain degree, the systems that have been strengthened by WHO and UNICEF </w:t>
      </w:r>
      <w:r w:rsidR="0010442F" w:rsidRPr="48362220">
        <w:rPr>
          <w:rFonts w:ascii="Calibri" w:eastAsia="Calibri" w:hAnsi="Calibri" w:cs="Calibri"/>
          <w:color w:val="000000" w:themeColor="text1"/>
          <w:lang w:val="en-US"/>
        </w:rPr>
        <w:t>are</w:t>
      </w:r>
      <w:r w:rsidRPr="48362220">
        <w:rPr>
          <w:rFonts w:ascii="Calibri" w:eastAsia="Calibri" w:hAnsi="Calibri" w:cs="Calibri"/>
          <w:color w:val="000000" w:themeColor="text1"/>
          <w:lang w:val="en-US"/>
        </w:rPr>
        <w:t xml:space="preserve"> likely </w:t>
      </w:r>
      <w:r w:rsidR="0083738A" w:rsidRPr="48362220">
        <w:rPr>
          <w:rFonts w:ascii="Calibri" w:eastAsia="Calibri" w:hAnsi="Calibri" w:cs="Calibri"/>
          <w:color w:val="000000" w:themeColor="text1"/>
          <w:lang w:val="en-US"/>
        </w:rPr>
        <w:t>to be</w:t>
      </w:r>
      <w:r w:rsidRPr="48362220">
        <w:rPr>
          <w:rFonts w:ascii="Calibri" w:eastAsia="Calibri" w:hAnsi="Calibri" w:cs="Calibri"/>
          <w:color w:val="000000" w:themeColor="text1"/>
          <w:lang w:val="en-US"/>
        </w:rPr>
        <w:t xml:space="preserve"> sustained over the</w:t>
      </w:r>
      <w:r w:rsidR="0083738A" w:rsidRPr="48362220">
        <w:rPr>
          <w:rFonts w:ascii="Calibri" w:eastAsia="Calibri" w:hAnsi="Calibri" w:cs="Calibri"/>
          <w:color w:val="000000" w:themeColor="text1"/>
          <w:lang w:val="en-US"/>
        </w:rPr>
        <w:t xml:space="preserve"> short</w:t>
      </w:r>
      <w:r w:rsidR="0027501D">
        <w:rPr>
          <w:rFonts w:ascii="Calibri" w:eastAsia="Calibri" w:hAnsi="Calibri" w:cs="Calibri"/>
          <w:color w:val="000000" w:themeColor="text1"/>
          <w:lang w:val="en-US"/>
        </w:rPr>
        <w:t xml:space="preserve"> to </w:t>
      </w:r>
      <w:r w:rsidR="0083738A" w:rsidRPr="48362220">
        <w:rPr>
          <w:rFonts w:ascii="Calibri" w:eastAsia="Calibri" w:hAnsi="Calibri" w:cs="Calibri"/>
          <w:color w:val="000000" w:themeColor="text1"/>
          <w:lang w:val="en-US"/>
        </w:rPr>
        <w:t>medium term</w:t>
      </w:r>
      <w:r w:rsidRPr="48362220">
        <w:rPr>
          <w:rFonts w:ascii="Calibri" w:eastAsia="Calibri" w:hAnsi="Calibri" w:cs="Calibri"/>
          <w:color w:val="000000" w:themeColor="text1"/>
          <w:lang w:val="en-US"/>
        </w:rPr>
        <w:t xml:space="preserve">, with decreasing relevance and probably influence as the COVID-19 response transitions to routine health </w:t>
      </w:r>
      <w:r w:rsidR="0083738A" w:rsidRPr="48362220">
        <w:rPr>
          <w:rFonts w:ascii="Calibri" w:eastAsia="Calibri" w:hAnsi="Calibri" w:cs="Calibri"/>
          <w:color w:val="000000" w:themeColor="text1"/>
          <w:lang w:val="en-US"/>
        </w:rPr>
        <w:t xml:space="preserve">service </w:t>
      </w:r>
      <w:r w:rsidRPr="48362220">
        <w:rPr>
          <w:rFonts w:ascii="Calibri" w:eastAsia="Calibri" w:hAnsi="Calibri" w:cs="Calibri"/>
          <w:color w:val="000000" w:themeColor="text1"/>
          <w:lang w:val="en-US"/>
        </w:rPr>
        <w:t>delivery. WHO and UNICEF staff interviewed highlighted the need to sustain th</w:t>
      </w:r>
      <w:r w:rsidR="00262802" w:rsidRPr="48362220">
        <w:rPr>
          <w:rFonts w:ascii="Calibri" w:eastAsia="Calibri" w:hAnsi="Calibri" w:cs="Calibri"/>
          <w:color w:val="000000" w:themeColor="text1"/>
          <w:lang w:val="en-US"/>
        </w:rPr>
        <w:t>is</w:t>
      </w:r>
      <w:r w:rsidRPr="48362220">
        <w:rPr>
          <w:rFonts w:ascii="Calibri" w:eastAsia="Calibri" w:hAnsi="Calibri" w:cs="Calibri"/>
          <w:color w:val="000000" w:themeColor="text1"/>
          <w:lang w:val="en-US"/>
        </w:rPr>
        <w:t xml:space="preserve"> capacity </w:t>
      </w:r>
      <w:r w:rsidR="00262802" w:rsidRPr="48362220">
        <w:rPr>
          <w:rFonts w:ascii="Calibri" w:eastAsia="Calibri" w:hAnsi="Calibri" w:cs="Calibri"/>
          <w:color w:val="000000" w:themeColor="text1"/>
          <w:lang w:val="en-US"/>
        </w:rPr>
        <w:t>through</w:t>
      </w:r>
      <w:r w:rsidRPr="48362220">
        <w:rPr>
          <w:rFonts w:ascii="Calibri" w:eastAsia="Calibri" w:hAnsi="Calibri" w:cs="Calibri"/>
          <w:color w:val="000000" w:themeColor="text1"/>
          <w:lang w:val="en-US"/>
        </w:rPr>
        <w:t xml:space="preserve"> more comprehensive systems strengthening activitie</w:t>
      </w:r>
      <w:r w:rsidR="00262802" w:rsidRPr="48362220">
        <w:rPr>
          <w:rFonts w:ascii="Calibri" w:eastAsia="Calibri" w:hAnsi="Calibri" w:cs="Calibri"/>
          <w:color w:val="000000" w:themeColor="text1"/>
          <w:lang w:val="en-US"/>
        </w:rPr>
        <w:t>s</w:t>
      </w:r>
      <w:r w:rsidRPr="48362220">
        <w:rPr>
          <w:rFonts w:ascii="Calibri" w:eastAsia="Calibri" w:hAnsi="Calibri" w:cs="Calibri"/>
          <w:color w:val="000000" w:themeColor="text1"/>
          <w:lang w:val="en-US"/>
        </w:rPr>
        <w:t xml:space="preserve">. </w:t>
      </w:r>
      <w:r w:rsidR="00A13218">
        <w:rPr>
          <w:rFonts w:ascii="Calibri" w:eastAsia="Calibri" w:hAnsi="Calibri" w:cs="Calibri"/>
          <w:color w:val="000000" w:themeColor="text1"/>
          <w:lang w:val="en-US"/>
        </w:rPr>
        <w:t xml:space="preserve">Continued support </w:t>
      </w:r>
      <w:r w:rsidR="00DD3B6D">
        <w:rPr>
          <w:rFonts w:ascii="Calibri" w:eastAsia="Calibri" w:hAnsi="Calibri" w:cs="Calibri"/>
          <w:color w:val="000000" w:themeColor="text1"/>
          <w:lang w:val="en-US"/>
        </w:rPr>
        <w:t>by</w:t>
      </w:r>
      <w:r w:rsidR="00A13218">
        <w:rPr>
          <w:rFonts w:ascii="Calibri" w:eastAsia="Calibri" w:hAnsi="Calibri" w:cs="Calibri"/>
          <w:color w:val="000000" w:themeColor="text1"/>
          <w:lang w:val="en-US"/>
        </w:rPr>
        <w:t xml:space="preserve"> </w:t>
      </w:r>
      <w:r w:rsidRPr="48362220">
        <w:rPr>
          <w:rFonts w:ascii="Calibri" w:eastAsia="Calibri" w:hAnsi="Calibri" w:cs="Calibri"/>
          <w:color w:val="000000" w:themeColor="text1"/>
          <w:lang w:val="en-US"/>
        </w:rPr>
        <w:t xml:space="preserve">AIHSP, WHO and UNICEF </w:t>
      </w:r>
      <w:r w:rsidR="00A13218">
        <w:rPr>
          <w:rFonts w:ascii="Calibri" w:eastAsia="Calibri" w:hAnsi="Calibri" w:cs="Calibri"/>
          <w:color w:val="000000" w:themeColor="text1"/>
          <w:lang w:val="en-US"/>
        </w:rPr>
        <w:t xml:space="preserve">to </w:t>
      </w:r>
      <w:proofErr w:type="spellStart"/>
      <w:r w:rsidR="00A13218">
        <w:rPr>
          <w:rFonts w:ascii="Calibri" w:eastAsia="Calibri" w:hAnsi="Calibri" w:cs="Calibri"/>
          <w:color w:val="000000" w:themeColor="text1"/>
          <w:lang w:val="en-US"/>
        </w:rPr>
        <w:t>GoI</w:t>
      </w:r>
      <w:proofErr w:type="spellEnd"/>
      <w:r w:rsidR="00A13218">
        <w:rPr>
          <w:rFonts w:ascii="Calibri" w:eastAsia="Calibri" w:hAnsi="Calibri" w:cs="Calibri"/>
          <w:color w:val="000000" w:themeColor="text1"/>
          <w:lang w:val="en-US"/>
        </w:rPr>
        <w:t xml:space="preserve"> in COVID-19 transitioning will be important to ensure that gains made to the health system are translated for use with other diseases. That means improved workforce capacity will likely need further support, </w:t>
      </w:r>
      <w:r w:rsidR="00DD3B6D">
        <w:rPr>
          <w:rFonts w:ascii="Calibri" w:eastAsia="Calibri" w:hAnsi="Calibri" w:cs="Calibri"/>
          <w:color w:val="000000" w:themeColor="text1"/>
          <w:lang w:val="en-US"/>
        </w:rPr>
        <w:t>including</w:t>
      </w:r>
      <w:r w:rsidR="00A13218">
        <w:rPr>
          <w:rFonts w:ascii="Calibri" w:eastAsia="Calibri" w:hAnsi="Calibri" w:cs="Calibri"/>
          <w:color w:val="000000" w:themeColor="text1"/>
          <w:lang w:val="en-US"/>
        </w:rPr>
        <w:t xml:space="preserve"> reinforcement of the testing and tracing capacity at the </w:t>
      </w:r>
      <w:proofErr w:type="spellStart"/>
      <w:r w:rsidR="00A13218">
        <w:rPr>
          <w:rFonts w:ascii="Calibri" w:eastAsia="Calibri" w:hAnsi="Calibri" w:cs="Calibri"/>
          <w:color w:val="000000" w:themeColor="text1"/>
          <w:lang w:val="en-US"/>
        </w:rPr>
        <w:t>puskesmas</w:t>
      </w:r>
      <w:proofErr w:type="spellEnd"/>
      <w:r w:rsidR="00A13218">
        <w:rPr>
          <w:rFonts w:ascii="Calibri" w:eastAsia="Calibri" w:hAnsi="Calibri" w:cs="Calibri"/>
          <w:color w:val="000000" w:themeColor="text1"/>
          <w:lang w:val="en-US"/>
        </w:rPr>
        <w:t xml:space="preserve"> and local medical facilit</w:t>
      </w:r>
      <w:r w:rsidR="00DD3B6D">
        <w:rPr>
          <w:rFonts w:ascii="Calibri" w:eastAsia="Calibri" w:hAnsi="Calibri" w:cs="Calibri"/>
          <w:color w:val="000000" w:themeColor="text1"/>
          <w:lang w:val="en-US"/>
        </w:rPr>
        <w:t>y levels</w:t>
      </w:r>
      <w:r w:rsidR="00A13218">
        <w:rPr>
          <w:rFonts w:ascii="Calibri" w:eastAsia="Calibri" w:hAnsi="Calibri" w:cs="Calibri"/>
          <w:color w:val="000000" w:themeColor="text1"/>
          <w:lang w:val="en-US"/>
        </w:rPr>
        <w:t>.</w:t>
      </w:r>
      <w:r w:rsidRPr="48362220">
        <w:rPr>
          <w:lang w:val="en-US"/>
        </w:rPr>
        <w:t xml:space="preserve"> </w:t>
      </w:r>
    </w:p>
    <w:p w14:paraId="3A66AA60" w14:textId="23292087" w:rsidR="0031499A" w:rsidRDefault="0031499A" w:rsidP="0031499A">
      <w:pPr>
        <w:pStyle w:val="Heading3"/>
        <w:spacing w:before="0" w:line="240" w:lineRule="auto"/>
        <w:rPr>
          <w:rFonts w:cstheme="majorHAnsi"/>
          <w:color w:val="002060"/>
          <w:lang w:val="en-US"/>
        </w:rPr>
      </w:pPr>
      <w:bookmarkStart w:id="72" w:name="_Toc135837413"/>
      <w:r w:rsidRPr="005670D1">
        <w:rPr>
          <w:rFonts w:cstheme="majorHAnsi"/>
          <w:color w:val="002060"/>
          <w:lang w:val="en-US"/>
        </w:rPr>
        <w:t>3.1.3</w:t>
      </w:r>
      <w:r w:rsidRPr="005670D1">
        <w:rPr>
          <w:rFonts w:cstheme="majorHAnsi"/>
          <w:color w:val="002060"/>
          <w:lang w:val="en-US"/>
        </w:rPr>
        <w:tab/>
        <w:t xml:space="preserve">Progress towards </w:t>
      </w:r>
      <w:bookmarkStart w:id="73" w:name="_Hlk132299222"/>
      <w:r w:rsidRPr="005670D1">
        <w:rPr>
          <w:rFonts w:cstheme="majorHAnsi"/>
          <w:color w:val="002060"/>
          <w:lang w:val="en-US"/>
        </w:rPr>
        <w:t>EOPO</w:t>
      </w:r>
      <w:r w:rsidR="004C0121">
        <w:rPr>
          <w:rFonts w:cstheme="majorHAnsi"/>
          <w:color w:val="002060"/>
          <w:lang w:val="en-US"/>
        </w:rPr>
        <w:t xml:space="preserve"> </w:t>
      </w:r>
      <w:r w:rsidRPr="005670D1">
        <w:rPr>
          <w:rFonts w:cstheme="majorHAnsi"/>
          <w:color w:val="002060"/>
          <w:lang w:val="en-US"/>
        </w:rPr>
        <w:t>1.3 (Respond and Recover)</w:t>
      </w:r>
      <w:bookmarkEnd w:id="72"/>
      <w:bookmarkEnd w:id="73"/>
    </w:p>
    <w:p w14:paraId="0FA2F487" w14:textId="77777777" w:rsidR="0031499A" w:rsidRDefault="0031499A" w:rsidP="0031499A">
      <w:pPr>
        <w:pStyle w:val="Heading3"/>
      </w:pPr>
      <w:bookmarkStart w:id="74" w:name="_Toc135837414"/>
      <w:r>
        <w:t>AIHSP</w:t>
      </w:r>
      <w:bookmarkEnd w:id="74"/>
    </w:p>
    <w:p w14:paraId="798B95BD" w14:textId="3249EDDE" w:rsidR="0031499A" w:rsidRDefault="0031499A" w:rsidP="00460D76">
      <w:pPr>
        <w:spacing w:after="120" w:line="240" w:lineRule="auto"/>
        <w:rPr>
          <w:lang w:val="en-US"/>
        </w:rPr>
      </w:pPr>
      <w:bookmarkStart w:id="75" w:name="_Hlk135331369"/>
      <w:r w:rsidRPr="4FCF45F9">
        <w:rPr>
          <w:lang w:val="en-US"/>
        </w:rPr>
        <w:t>EOPO</w:t>
      </w:r>
      <w:r w:rsidR="0027674B" w:rsidRPr="4FCF45F9">
        <w:rPr>
          <w:lang w:val="en-US"/>
        </w:rPr>
        <w:t>1.3</w:t>
      </w:r>
      <w:r w:rsidRPr="4FCF45F9">
        <w:rPr>
          <w:lang w:val="en-US"/>
        </w:rPr>
        <w:t xml:space="preserve"> has one thematic outcome, i.e., T5 Emergency Preparedness and Response, with two cross cutting outcomes. AIHSP put considerable resources into COVID-19 and animal disease outbreak responses, including FMD and LSD. AIHSP did an outstanding job in responding to </w:t>
      </w:r>
      <w:proofErr w:type="spellStart"/>
      <w:r w:rsidRPr="4FCF45F9">
        <w:rPr>
          <w:lang w:val="en-US"/>
        </w:rPr>
        <w:t>GoI</w:t>
      </w:r>
      <w:proofErr w:type="spellEnd"/>
      <w:r w:rsidRPr="4FCF45F9">
        <w:rPr>
          <w:lang w:val="en-US"/>
        </w:rPr>
        <w:t xml:space="preserve"> requests for immediate assistance to these disease outbreaks and this was highly appreciated by the </w:t>
      </w:r>
      <w:r w:rsidR="0027674B" w:rsidRPr="4FCF45F9">
        <w:rPr>
          <w:lang w:val="en-US"/>
        </w:rPr>
        <w:t>G</w:t>
      </w:r>
      <w:r w:rsidRPr="4FCF45F9">
        <w:rPr>
          <w:lang w:val="en-US"/>
        </w:rPr>
        <w:t xml:space="preserve">overnment. Evidence of outputs for EOPO 1.3 </w:t>
      </w:r>
      <w:r w:rsidR="000E7D40">
        <w:rPr>
          <w:lang w:val="en-US"/>
        </w:rPr>
        <w:t>wa</w:t>
      </w:r>
      <w:r w:rsidRPr="4FCF45F9">
        <w:rPr>
          <w:lang w:val="en-US"/>
        </w:rPr>
        <w:t>s strong and these</w:t>
      </w:r>
      <w:r w:rsidR="0027674B" w:rsidRPr="4FCF45F9">
        <w:rPr>
          <w:lang w:val="en-US"/>
        </w:rPr>
        <w:t xml:space="preserve"> outputs</w:t>
      </w:r>
      <w:r w:rsidRPr="4FCF45F9">
        <w:rPr>
          <w:lang w:val="en-US"/>
        </w:rPr>
        <w:t xml:space="preserve"> have contributed to the current high visibility of Australia’s health sector support. </w:t>
      </w:r>
      <w:r w:rsidR="0027674B" w:rsidRPr="4FCF45F9">
        <w:rPr>
          <w:lang w:val="en-US"/>
        </w:rPr>
        <w:t>AIHSP’s</w:t>
      </w:r>
      <w:r w:rsidRPr="4FCF45F9">
        <w:rPr>
          <w:lang w:val="en-US"/>
        </w:rPr>
        <w:t xml:space="preserve"> responsiveness and flexibility, along with progress against most of qualitative indicators, resulted in</w:t>
      </w:r>
      <w:r w:rsidRPr="4FCF45F9">
        <w:rPr>
          <w:b/>
          <w:bCs/>
          <w:lang w:val="en-US"/>
        </w:rPr>
        <w:t xml:space="preserve"> </w:t>
      </w:r>
      <w:r w:rsidRPr="4FCF45F9">
        <w:rPr>
          <w:lang w:val="en-US"/>
        </w:rPr>
        <w:t xml:space="preserve">a </w:t>
      </w:r>
      <w:proofErr w:type="gramStart"/>
      <w:r w:rsidRPr="4FCF45F9">
        <w:rPr>
          <w:b/>
          <w:bCs/>
          <w:lang w:val="en-US"/>
        </w:rPr>
        <w:t>Good</w:t>
      </w:r>
      <w:proofErr w:type="gramEnd"/>
      <w:r w:rsidRPr="4FCF45F9">
        <w:rPr>
          <w:b/>
          <w:bCs/>
          <w:lang w:val="en-US"/>
        </w:rPr>
        <w:t xml:space="preserve"> rating </w:t>
      </w:r>
      <w:r w:rsidRPr="4FCF45F9">
        <w:rPr>
          <w:lang w:val="en-US"/>
        </w:rPr>
        <w:t xml:space="preserve">for </w:t>
      </w:r>
      <w:r w:rsidRPr="4FCF45F9">
        <w:rPr>
          <w:b/>
          <w:bCs/>
          <w:lang w:val="en-US"/>
        </w:rPr>
        <w:t>EOPO 1.3</w:t>
      </w:r>
      <w:r w:rsidRPr="4FCF45F9">
        <w:rPr>
          <w:lang w:val="en-US"/>
        </w:rPr>
        <w:t xml:space="preserve">. As </w:t>
      </w:r>
      <w:r w:rsidRPr="4FCF45F9">
        <w:rPr>
          <w:lang w:val="en-US"/>
        </w:rPr>
        <w:lastRenderedPageBreak/>
        <w:t xml:space="preserve">this EOPO </w:t>
      </w:r>
      <w:r w:rsidR="000A4592">
        <w:rPr>
          <w:lang w:val="en-US"/>
        </w:rPr>
        <w:t xml:space="preserve">is focused on </w:t>
      </w:r>
      <w:r w:rsidRPr="4FCF45F9">
        <w:rPr>
          <w:lang w:val="en-US"/>
        </w:rPr>
        <w:t xml:space="preserve">response, outcomes are expected to be more </w:t>
      </w:r>
      <w:proofErr w:type="gramStart"/>
      <w:r w:rsidRPr="4FCF45F9">
        <w:rPr>
          <w:lang w:val="en-US"/>
        </w:rPr>
        <w:t>immediate</w:t>
      </w:r>
      <w:proofErr w:type="gramEnd"/>
      <w:r w:rsidRPr="4FCF45F9">
        <w:rPr>
          <w:lang w:val="en-US"/>
        </w:rPr>
        <w:t xml:space="preserve"> and</w:t>
      </w:r>
      <w:r w:rsidR="0027674B" w:rsidRPr="4FCF45F9">
        <w:rPr>
          <w:lang w:val="en-US"/>
        </w:rPr>
        <w:t xml:space="preserve"> it is acknowledged that</w:t>
      </w:r>
      <w:r w:rsidRPr="4FCF45F9">
        <w:rPr>
          <w:lang w:val="en-US"/>
        </w:rPr>
        <w:t xml:space="preserve"> some but not all activities will result in long-term systems change. </w:t>
      </w:r>
    </w:p>
    <w:p w14:paraId="7AFC646D" w14:textId="2259E9EE" w:rsidR="0031499A" w:rsidRDefault="0031499A" w:rsidP="00460D76">
      <w:pPr>
        <w:spacing w:after="12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Australia’s</w:t>
      </w:r>
      <w:r w:rsidRPr="38839A5B">
        <w:rPr>
          <w:rFonts w:ascii="Calibri" w:eastAsia="Calibri" w:hAnsi="Calibri" w:cs="Calibri"/>
          <w:color w:val="000000" w:themeColor="text1"/>
          <w:lang w:val="en-US"/>
        </w:rPr>
        <w:t xml:space="preserve"> </w:t>
      </w:r>
      <w:r w:rsidR="008E69A5">
        <w:rPr>
          <w:rFonts w:ascii="Calibri" w:eastAsia="Calibri" w:hAnsi="Calibri" w:cs="Calibri"/>
          <w:color w:val="000000" w:themeColor="text1"/>
          <w:lang w:val="en-US"/>
        </w:rPr>
        <w:t>contribution to</w:t>
      </w:r>
      <w:r w:rsidRPr="38839A5B">
        <w:rPr>
          <w:rFonts w:ascii="Calibri" w:eastAsia="Calibri" w:hAnsi="Calibri" w:cs="Calibri"/>
          <w:color w:val="000000" w:themeColor="text1"/>
          <w:lang w:val="en-US"/>
        </w:rPr>
        <w:t xml:space="preserve"> the FMD</w:t>
      </w:r>
      <w:r>
        <w:rPr>
          <w:rFonts w:ascii="Calibri" w:eastAsia="Calibri" w:hAnsi="Calibri" w:cs="Calibri"/>
          <w:color w:val="000000" w:themeColor="text1"/>
          <w:lang w:val="en-US"/>
        </w:rPr>
        <w:t xml:space="preserve"> and</w:t>
      </w:r>
      <w:r w:rsidRPr="38839A5B">
        <w:rPr>
          <w:rFonts w:ascii="Calibri" w:eastAsia="Calibri" w:hAnsi="Calibri" w:cs="Calibri"/>
          <w:color w:val="000000" w:themeColor="text1"/>
          <w:lang w:val="en-US"/>
        </w:rPr>
        <w:t xml:space="preserve"> LSD </w:t>
      </w:r>
      <w:r w:rsidR="008E69A5">
        <w:rPr>
          <w:rFonts w:ascii="Calibri" w:eastAsia="Calibri" w:hAnsi="Calibri" w:cs="Calibri"/>
          <w:color w:val="000000" w:themeColor="text1"/>
          <w:lang w:val="en-US"/>
        </w:rPr>
        <w:t xml:space="preserve">responses </w:t>
      </w:r>
      <w:r w:rsidRPr="38839A5B">
        <w:rPr>
          <w:rFonts w:ascii="Calibri" w:eastAsia="Calibri" w:hAnsi="Calibri" w:cs="Calibri"/>
          <w:color w:val="000000" w:themeColor="text1"/>
          <w:lang w:val="en-US"/>
        </w:rPr>
        <w:t xml:space="preserve">was significant </w:t>
      </w:r>
      <w:r w:rsidR="00192DAA">
        <w:rPr>
          <w:rFonts w:ascii="Calibri" w:eastAsia="Calibri" w:hAnsi="Calibri" w:cs="Calibri"/>
          <w:color w:val="000000" w:themeColor="text1"/>
          <w:lang w:val="en-US"/>
        </w:rPr>
        <w:t>and included the</w:t>
      </w:r>
      <w:r w:rsidRPr="38839A5B">
        <w:rPr>
          <w:rFonts w:ascii="Calibri" w:eastAsia="Calibri" w:hAnsi="Calibri" w:cs="Calibri"/>
          <w:color w:val="000000" w:themeColor="text1"/>
          <w:lang w:val="en-US"/>
        </w:rPr>
        <w:t xml:space="preserve"> procurement of </w:t>
      </w:r>
      <w:r>
        <w:rPr>
          <w:rFonts w:ascii="Calibri" w:eastAsia="Calibri" w:hAnsi="Calibri" w:cs="Calibri"/>
          <w:color w:val="000000" w:themeColor="text1"/>
          <w:lang w:val="en-US"/>
        </w:rPr>
        <w:t>a large quantity of</w:t>
      </w:r>
      <w:r w:rsidRPr="00194764">
        <w:t xml:space="preserve"> vaccines</w:t>
      </w:r>
      <w:r w:rsidR="3F6DC284" w:rsidRPr="00194764">
        <w:t xml:space="preserve">, technical </w:t>
      </w:r>
      <w:proofErr w:type="gramStart"/>
      <w:r w:rsidR="3F6DC284" w:rsidRPr="00194764">
        <w:t>assistance</w:t>
      </w:r>
      <w:proofErr w:type="gramEnd"/>
      <w:r w:rsidR="3F6DC284" w:rsidRPr="00194764">
        <w:t xml:space="preserve"> and systems support</w:t>
      </w:r>
      <w:r w:rsidRPr="00194764">
        <w:t>. FM</w:t>
      </w:r>
      <w:r>
        <w:rPr>
          <w:rFonts w:ascii="Calibri" w:eastAsia="Calibri" w:hAnsi="Calibri" w:cs="Calibri"/>
          <w:color w:val="000000" w:themeColor="text1"/>
          <w:lang w:val="en-US"/>
        </w:rPr>
        <w:t xml:space="preserve">D was first detected in April 2022 with a national emergency announced by the </w:t>
      </w:r>
      <w:proofErr w:type="spellStart"/>
      <w:r>
        <w:rPr>
          <w:rFonts w:ascii="Calibri" w:eastAsia="Calibri" w:hAnsi="Calibri" w:cs="Calibri"/>
          <w:color w:val="000000" w:themeColor="text1"/>
          <w:lang w:val="en-US"/>
        </w:rPr>
        <w:t>GoI</w:t>
      </w:r>
      <w:proofErr w:type="spellEnd"/>
      <w:r>
        <w:rPr>
          <w:rFonts w:ascii="Calibri" w:eastAsia="Calibri" w:hAnsi="Calibri" w:cs="Calibri"/>
          <w:color w:val="000000" w:themeColor="text1"/>
          <w:lang w:val="en-US"/>
        </w:rPr>
        <w:t xml:space="preserve"> on 29 June. This announcement justified the formation of a National FMD Task Force under the National Disaster Management Agency (BNPB) and </w:t>
      </w:r>
      <w:r w:rsidRPr="004E45E6">
        <w:rPr>
          <w:rFonts w:ascii="Calibri" w:eastAsia="Calibri" w:hAnsi="Calibri" w:cs="Calibri"/>
          <w:color w:val="000000" w:themeColor="text1"/>
          <w:lang w:val="en-US"/>
        </w:rPr>
        <w:t>allowed access to emergency funds.</w:t>
      </w:r>
      <w:r>
        <w:rPr>
          <w:rFonts w:ascii="Calibri" w:eastAsia="Calibri" w:hAnsi="Calibri" w:cs="Calibri"/>
          <w:color w:val="000000" w:themeColor="text1"/>
          <w:lang w:val="en-US"/>
        </w:rPr>
        <w:t xml:space="preserve"> By 1 July 2022, at least 22 of the 37 provinces in Indonesia were infected with FMD.</w:t>
      </w:r>
      <w:r>
        <w:rPr>
          <w:rStyle w:val="FootnoteReference"/>
          <w:rFonts w:ascii="Calibri" w:eastAsia="Calibri" w:hAnsi="Calibri" w:cs="Calibri"/>
          <w:color w:val="000000" w:themeColor="text1"/>
          <w:lang w:val="en-US"/>
        </w:rPr>
        <w:footnoteReference w:id="18"/>
      </w:r>
      <w:r>
        <w:rPr>
          <w:rFonts w:ascii="Calibri" w:eastAsia="Calibri" w:hAnsi="Calibri" w:cs="Calibri"/>
          <w:color w:val="000000" w:themeColor="text1"/>
          <w:lang w:val="en-US"/>
        </w:rPr>
        <w:t xml:space="preserve"> </w:t>
      </w:r>
      <w:r w:rsidRPr="00BF0935">
        <w:rPr>
          <w:rFonts w:ascii="Calibri" w:eastAsia="Calibri" w:hAnsi="Calibri" w:cs="Calibri"/>
          <w:color w:val="000000" w:themeColor="text1"/>
        </w:rPr>
        <w:t>Australia quickly offered technical expertise and suppl</w:t>
      </w:r>
      <w:r w:rsidR="008E69A5">
        <w:rPr>
          <w:rFonts w:ascii="Calibri" w:eastAsia="Calibri" w:hAnsi="Calibri" w:cs="Calibri"/>
          <w:color w:val="000000" w:themeColor="text1"/>
        </w:rPr>
        <w:t>ied</w:t>
      </w:r>
      <w:r w:rsidRPr="00BF0935">
        <w:rPr>
          <w:rFonts w:ascii="Calibri" w:eastAsia="Calibri" w:hAnsi="Calibri" w:cs="Calibri"/>
          <w:color w:val="000000" w:themeColor="text1"/>
        </w:rPr>
        <w:t xml:space="preserve"> </w:t>
      </w:r>
      <w:r>
        <w:rPr>
          <w:rFonts w:ascii="Calibri" w:eastAsia="Calibri" w:hAnsi="Calibri" w:cs="Calibri"/>
          <w:color w:val="000000" w:themeColor="text1"/>
          <w:lang w:val="en-US"/>
        </w:rPr>
        <w:t xml:space="preserve">four million </w:t>
      </w:r>
      <w:r w:rsidRPr="00BF0935">
        <w:rPr>
          <w:rFonts w:ascii="Calibri" w:eastAsia="Calibri" w:hAnsi="Calibri" w:cs="Calibri"/>
          <w:color w:val="000000" w:themeColor="text1"/>
        </w:rPr>
        <w:t>vaccines in 2022.</w:t>
      </w:r>
      <w:r>
        <w:rPr>
          <w:rFonts w:ascii="Calibri" w:eastAsia="Calibri" w:hAnsi="Calibri" w:cs="Calibri"/>
          <w:color w:val="000000" w:themeColor="text1"/>
          <w:lang w:val="en-US"/>
        </w:rPr>
        <w:t xml:space="preserve"> T</w:t>
      </w:r>
      <w:r w:rsidRPr="00BF0935">
        <w:rPr>
          <w:rFonts w:ascii="Calibri" w:eastAsia="Calibri" w:hAnsi="Calibri" w:cs="Calibri"/>
          <w:color w:val="000000" w:themeColor="text1"/>
        </w:rPr>
        <w:t xml:space="preserve">he contributions from Australia </w:t>
      </w:r>
      <w:r w:rsidR="000A4592" w:rsidRPr="48362220">
        <w:rPr>
          <w:rFonts w:ascii="Calibri" w:eastAsia="Calibri" w:hAnsi="Calibri" w:cs="Calibri"/>
          <w:color w:val="000000" w:themeColor="text1"/>
        </w:rPr>
        <w:t>made</w:t>
      </w:r>
      <w:r w:rsidR="003A7C03">
        <w:rPr>
          <w:rFonts w:ascii="Calibri" w:eastAsia="Calibri" w:hAnsi="Calibri" w:cs="Calibri"/>
          <w:color w:val="000000" w:themeColor="text1"/>
        </w:rPr>
        <w:t xml:space="preserve"> </w:t>
      </w:r>
      <w:r w:rsidRPr="00BF0935">
        <w:rPr>
          <w:rFonts w:ascii="Calibri" w:eastAsia="Calibri" w:hAnsi="Calibri" w:cs="Calibri"/>
          <w:color w:val="000000" w:themeColor="text1"/>
        </w:rPr>
        <w:t xml:space="preserve">a </w:t>
      </w:r>
      <w:r w:rsidR="000A4592" w:rsidRPr="48362220">
        <w:rPr>
          <w:rFonts w:ascii="Calibri" w:eastAsia="Calibri" w:hAnsi="Calibri" w:cs="Calibri"/>
          <w:color w:val="000000" w:themeColor="text1"/>
        </w:rPr>
        <w:t xml:space="preserve">significant </w:t>
      </w:r>
      <w:r w:rsidRPr="00BF0935">
        <w:rPr>
          <w:rFonts w:ascii="Calibri" w:eastAsia="Calibri" w:hAnsi="Calibri" w:cs="Calibri"/>
          <w:color w:val="000000" w:themeColor="text1"/>
        </w:rPr>
        <w:t xml:space="preserve">difference, especially in </w:t>
      </w:r>
      <w:r w:rsidR="00E46C99">
        <w:rPr>
          <w:rFonts w:ascii="Calibri" w:eastAsia="Calibri" w:hAnsi="Calibri" w:cs="Calibri"/>
          <w:color w:val="000000" w:themeColor="text1"/>
        </w:rPr>
        <w:t xml:space="preserve">provinces </w:t>
      </w:r>
      <w:r w:rsidRPr="00BF0935">
        <w:rPr>
          <w:rFonts w:ascii="Calibri" w:eastAsia="Calibri" w:hAnsi="Calibri" w:cs="Calibri"/>
          <w:color w:val="000000" w:themeColor="text1"/>
        </w:rPr>
        <w:t xml:space="preserve">such as Bali, where high vaccination coverage directly </w:t>
      </w:r>
      <w:r w:rsidR="000A4592" w:rsidRPr="48362220">
        <w:rPr>
          <w:rFonts w:ascii="Calibri" w:eastAsia="Calibri" w:hAnsi="Calibri" w:cs="Calibri"/>
          <w:color w:val="000000" w:themeColor="text1"/>
        </w:rPr>
        <w:t xml:space="preserve">reduced </w:t>
      </w:r>
      <w:r w:rsidRPr="00BF0935">
        <w:rPr>
          <w:rFonts w:ascii="Calibri" w:eastAsia="Calibri" w:hAnsi="Calibri" w:cs="Calibri"/>
          <w:color w:val="000000" w:themeColor="text1"/>
        </w:rPr>
        <w:t>the spread of disease.</w:t>
      </w:r>
      <w:r>
        <w:rPr>
          <w:rFonts w:ascii="Calibri" w:eastAsia="Calibri" w:hAnsi="Calibri" w:cs="Calibri"/>
          <w:color w:val="000000" w:themeColor="text1"/>
          <w:lang w:val="en-US"/>
        </w:rPr>
        <w:t xml:space="preserve"> The MTR noted that t</w:t>
      </w:r>
      <w:r w:rsidRPr="38839A5B">
        <w:rPr>
          <w:rFonts w:ascii="Calibri" w:eastAsia="Calibri" w:hAnsi="Calibri" w:cs="Calibri"/>
          <w:color w:val="000000" w:themeColor="text1"/>
        </w:rPr>
        <w:t xml:space="preserve">he </w:t>
      </w:r>
      <w:r>
        <w:rPr>
          <w:rFonts w:ascii="Calibri" w:eastAsia="Calibri" w:hAnsi="Calibri" w:cs="Calibri"/>
          <w:color w:val="000000" w:themeColor="text1"/>
          <w:lang w:val="en-US"/>
        </w:rPr>
        <w:t xml:space="preserve">vaccination </w:t>
      </w:r>
      <w:r w:rsidRPr="38839A5B">
        <w:rPr>
          <w:rFonts w:ascii="Calibri" w:eastAsia="Calibri" w:hAnsi="Calibri" w:cs="Calibri"/>
          <w:color w:val="000000" w:themeColor="text1"/>
        </w:rPr>
        <w:t xml:space="preserve">progress in Bali was expedited due to pressure </w:t>
      </w:r>
      <w:r>
        <w:rPr>
          <w:rFonts w:ascii="Calibri" w:eastAsia="Calibri" w:hAnsi="Calibri" w:cs="Calibri"/>
          <w:color w:val="000000" w:themeColor="text1"/>
        </w:rPr>
        <w:t>related to</w:t>
      </w:r>
      <w:r w:rsidRPr="38839A5B">
        <w:rPr>
          <w:rFonts w:ascii="Calibri" w:eastAsia="Calibri" w:hAnsi="Calibri" w:cs="Calibri"/>
          <w:color w:val="000000" w:themeColor="text1"/>
        </w:rPr>
        <w:t xml:space="preserve"> the imminent G20 meeting.</w:t>
      </w:r>
      <w:r>
        <w:rPr>
          <w:rFonts w:ascii="Calibri" w:eastAsia="Calibri" w:hAnsi="Calibri" w:cs="Calibri"/>
          <w:color w:val="000000" w:themeColor="text1"/>
          <w:lang w:val="en-US"/>
        </w:rPr>
        <w:t xml:space="preserve"> </w:t>
      </w:r>
      <w:r w:rsidRPr="00BF0935">
        <w:rPr>
          <w:rFonts w:ascii="Calibri" w:eastAsia="Calibri" w:hAnsi="Calibri" w:cs="Calibri"/>
          <w:color w:val="000000" w:themeColor="text1"/>
        </w:rPr>
        <w:t>FMD vaccine</w:t>
      </w:r>
      <w:r>
        <w:rPr>
          <w:rFonts w:ascii="Calibri" w:eastAsia="Calibri" w:hAnsi="Calibri" w:cs="Calibri"/>
          <w:color w:val="000000" w:themeColor="text1"/>
        </w:rPr>
        <w:t>s</w:t>
      </w:r>
      <w:r w:rsidRPr="00BF0935">
        <w:rPr>
          <w:rFonts w:ascii="Calibri" w:eastAsia="Calibri" w:hAnsi="Calibri" w:cs="Calibri"/>
          <w:color w:val="000000" w:themeColor="text1"/>
        </w:rPr>
        <w:t xml:space="preserve"> supplied from Australia arrived </w:t>
      </w:r>
      <w:r>
        <w:rPr>
          <w:rFonts w:ascii="Calibri" w:eastAsia="Calibri" w:hAnsi="Calibri" w:cs="Calibri"/>
          <w:color w:val="000000" w:themeColor="text1"/>
          <w:lang w:val="en-US"/>
        </w:rPr>
        <w:t xml:space="preserve">in </w:t>
      </w:r>
      <w:r w:rsidRPr="00BF0935">
        <w:rPr>
          <w:rFonts w:ascii="Calibri" w:eastAsia="Calibri" w:hAnsi="Calibri" w:cs="Calibri"/>
          <w:color w:val="000000" w:themeColor="text1"/>
        </w:rPr>
        <w:t>August</w:t>
      </w:r>
      <w:r w:rsidRPr="005D46A9">
        <w:rPr>
          <w:rFonts w:ascii="Calibri" w:eastAsia="Calibri" w:hAnsi="Calibri" w:cs="Calibri"/>
          <w:color w:val="000000" w:themeColor="text1"/>
        </w:rPr>
        <w:t>.</w:t>
      </w:r>
      <w:r w:rsidRPr="00BF0935">
        <w:rPr>
          <w:rFonts w:ascii="Calibri" w:eastAsia="Calibri" w:hAnsi="Calibri" w:cs="Calibri"/>
          <w:color w:val="000000" w:themeColor="text1"/>
        </w:rPr>
        <w:t xml:space="preserve"> </w:t>
      </w:r>
      <w:r w:rsidRPr="007975FB">
        <w:rPr>
          <w:rFonts w:ascii="Calibri" w:eastAsia="Calibri" w:hAnsi="Calibri" w:cs="Calibri"/>
          <w:color w:val="000000" w:themeColor="text1"/>
        </w:rPr>
        <w:t xml:space="preserve">AIHSP supported </w:t>
      </w:r>
      <w:r>
        <w:rPr>
          <w:rFonts w:ascii="Calibri" w:eastAsia="Calibri" w:hAnsi="Calibri" w:cs="Calibri"/>
          <w:color w:val="000000" w:themeColor="text1"/>
          <w:lang w:val="en-US"/>
        </w:rPr>
        <w:t xml:space="preserve">vaccination </w:t>
      </w:r>
      <w:r w:rsidRPr="007975FB">
        <w:rPr>
          <w:rFonts w:ascii="Calibri" w:eastAsia="Calibri" w:hAnsi="Calibri" w:cs="Calibri"/>
          <w:color w:val="000000" w:themeColor="text1"/>
        </w:rPr>
        <w:t>training for FMD and LSD for 1,000 people in 24 districts in Bali and South Sulawesi</w:t>
      </w:r>
      <w:r>
        <w:rPr>
          <w:rFonts w:ascii="Calibri" w:eastAsia="Calibri" w:hAnsi="Calibri" w:cs="Calibri"/>
          <w:color w:val="000000" w:themeColor="text1"/>
          <w:lang w:val="en-US"/>
        </w:rPr>
        <w:t xml:space="preserve">, who then administered the vaccines. </w:t>
      </w:r>
    </w:p>
    <w:p w14:paraId="59523D34" w14:textId="4E9A666E" w:rsidR="0031499A" w:rsidRDefault="0031499A" w:rsidP="00460D76">
      <w:pPr>
        <w:spacing w:after="120" w:line="240" w:lineRule="auto"/>
        <w:rPr>
          <w:lang w:val="en-US"/>
        </w:rPr>
      </w:pPr>
      <w:r w:rsidRPr="00BF0935">
        <w:rPr>
          <w:rFonts w:ascii="Calibri" w:eastAsia="Calibri" w:hAnsi="Calibri" w:cs="Calibri"/>
          <w:color w:val="000000" w:themeColor="text1"/>
        </w:rPr>
        <w:t>Australia provided LSD vaccine</w:t>
      </w:r>
      <w:r>
        <w:rPr>
          <w:rFonts w:ascii="Calibri" w:eastAsia="Calibri" w:hAnsi="Calibri" w:cs="Calibri"/>
          <w:color w:val="000000" w:themeColor="text1"/>
        </w:rPr>
        <w:t>s</w:t>
      </w:r>
      <w:r w:rsidRPr="00BF0935">
        <w:rPr>
          <w:rFonts w:ascii="Calibri" w:eastAsia="Calibri" w:hAnsi="Calibri" w:cs="Calibri"/>
          <w:color w:val="000000" w:themeColor="text1"/>
        </w:rPr>
        <w:t xml:space="preserve"> early</w:t>
      </w:r>
      <w:r>
        <w:rPr>
          <w:rFonts w:ascii="Calibri" w:eastAsia="Calibri" w:hAnsi="Calibri" w:cs="Calibri"/>
          <w:color w:val="000000" w:themeColor="text1"/>
        </w:rPr>
        <w:t xml:space="preserve"> in the response</w:t>
      </w:r>
      <w:r>
        <w:rPr>
          <w:rFonts w:ascii="Calibri" w:eastAsia="Calibri" w:hAnsi="Calibri" w:cs="Calibri"/>
          <w:color w:val="000000" w:themeColor="text1"/>
          <w:lang w:val="en-US"/>
        </w:rPr>
        <w:t xml:space="preserve"> (435,000 doses in total in 2022)</w:t>
      </w:r>
      <w:r>
        <w:rPr>
          <w:rStyle w:val="FootnoteReference"/>
          <w:rFonts w:ascii="Calibri" w:eastAsia="Calibri" w:hAnsi="Calibri" w:cs="Calibri"/>
          <w:color w:val="000000" w:themeColor="text1"/>
        </w:rPr>
        <w:footnoteReference w:id="19"/>
      </w:r>
      <w:r w:rsidR="002C1A2C">
        <w:rPr>
          <w:rFonts w:ascii="Calibri" w:eastAsia="Calibri" w:hAnsi="Calibri" w:cs="Calibri"/>
          <w:color w:val="000000" w:themeColor="text1"/>
          <w:lang w:val="en-US"/>
        </w:rPr>
        <w:t>.</w:t>
      </w:r>
      <w:r w:rsidRPr="48362220">
        <w:rPr>
          <w:rFonts w:ascii="Calibri" w:eastAsia="Calibri" w:hAnsi="Calibri" w:cs="Calibri"/>
          <w:color w:val="000000" w:themeColor="text1"/>
          <w:lang w:val="en-US"/>
        </w:rPr>
        <w:t xml:space="preserve">There are some parallels between the responses to LSD and FMD. </w:t>
      </w:r>
      <w:r w:rsidR="3E74E300" w:rsidRPr="48362220">
        <w:rPr>
          <w:rFonts w:ascii="Calibri" w:eastAsia="Calibri" w:hAnsi="Calibri" w:cs="Calibri"/>
          <w:color w:val="000000" w:themeColor="text1"/>
        </w:rPr>
        <w:t>Other donors appear to have been less involved than Australia in FMD and LSD control in Indonesia, and in the case of the recent outbreaks, the MTR Team assessed Australia’s contributions as proportionate and appropriate.</w:t>
      </w:r>
      <w:r w:rsidR="3E74E300" w:rsidRPr="48362220">
        <w:rPr>
          <w:rFonts w:ascii="Calibri" w:eastAsia="Calibri" w:hAnsi="Calibri" w:cs="Calibri"/>
          <w:color w:val="000000" w:themeColor="text1"/>
          <w:lang w:val="en-US"/>
        </w:rPr>
        <w:t xml:space="preserve"> </w:t>
      </w:r>
    </w:p>
    <w:p w14:paraId="4302D573" w14:textId="16D3DB7C" w:rsidR="0031499A" w:rsidRPr="00C453E2" w:rsidRDefault="0031499A" w:rsidP="00460D76">
      <w:pPr>
        <w:spacing w:after="120" w:line="240" w:lineRule="auto"/>
        <w:rPr>
          <w:lang w:val="en-US"/>
        </w:rPr>
      </w:pPr>
      <w:r w:rsidRPr="48362220">
        <w:rPr>
          <w:rFonts w:ascii="Calibri" w:eastAsia="Calibri" w:hAnsi="Calibri" w:cs="Calibri"/>
          <w:color w:val="000000" w:themeColor="text1"/>
          <w:lang w:val="en-US"/>
        </w:rPr>
        <w:t xml:space="preserve">In human health, AIHSP contributed to Indonesia’s COVID-19 response mainly through the Last Mile project, risk communication and community engagement (RCCE) and development of Health Emergency Operation </w:t>
      </w:r>
      <w:proofErr w:type="spellStart"/>
      <w:r w:rsidRPr="48362220">
        <w:rPr>
          <w:rFonts w:ascii="Calibri" w:eastAsia="Calibri" w:hAnsi="Calibri" w:cs="Calibri"/>
          <w:color w:val="000000" w:themeColor="text1"/>
          <w:lang w:val="en-US"/>
        </w:rPr>
        <w:t>Centres</w:t>
      </w:r>
      <w:proofErr w:type="spellEnd"/>
      <w:r w:rsidRPr="48362220">
        <w:rPr>
          <w:rFonts w:ascii="Calibri" w:eastAsia="Calibri" w:hAnsi="Calibri" w:cs="Calibri"/>
          <w:color w:val="000000" w:themeColor="text1"/>
          <w:lang w:val="en-US"/>
        </w:rPr>
        <w:t xml:space="preserve"> (HEOCs). At the time of the MTR, </w:t>
      </w:r>
      <w:r w:rsidRPr="48362220">
        <w:rPr>
          <w:lang w:val="en-US"/>
        </w:rPr>
        <w:t>a total of 263,559 men and women, including 39,350 e</w:t>
      </w:r>
      <w:r w:rsidR="1C6C6C6A" w:rsidRPr="48362220">
        <w:rPr>
          <w:lang w:val="en-US"/>
        </w:rPr>
        <w:t>lderly</w:t>
      </w:r>
      <w:r w:rsidRPr="48362220">
        <w:rPr>
          <w:lang w:val="en-US"/>
        </w:rPr>
        <w:t xml:space="preserve"> and 1,684 people with disabilities were vaccinated against COVID-19 by the Last Mile project, with considerable contribution from VAHS</w:t>
      </w:r>
      <w:r w:rsidRPr="0090257E">
        <w:t>I</w:t>
      </w:r>
      <w:r w:rsidR="11602C88" w:rsidRPr="0090257E">
        <w:t xml:space="preserve"> and Quad</w:t>
      </w:r>
      <w:r w:rsidR="795C0782" w:rsidRPr="0090257E">
        <w:t xml:space="preserve"> funding</w:t>
      </w:r>
      <w:r w:rsidRPr="48362220">
        <w:rPr>
          <w:lang w:val="en-US"/>
        </w:rPr>
        <w:t xml:space="preserve">. This was achieved by holding inclusive vaccination campaigns in some </w:t>
      </w:r>
      <w:proofErr w:type="spellStart"/>
      <w:r w:rsidR="00A06CC2" w:rsidRPr="48362220">
        <w:rPr>
          <w:lang w:val="en-US"/>
        </w:rPr>
        <w:t>puskesmas</w:t>
      </w:r>
      <w:proofErr w:type="spellEnd"/>
      <w:r w:rsidRPr="48362220">
        <w:rPr>
          <w:lang w:val="en-US"/>
        </w:rPr>
        <w:t xml:space="preserve"> and villages in four provinces, involving </w:t>
      </w:r>
      <w:r w:rsidR="00FD42BA" w:rsidRPr="48362220">
        <w:rPr>
          <w:lang w:val="en-US"/>
        </w:rPr>
        <w:t>OPD</w:t>
      </w:r>
      <w:r w:rsidRPr="48362220">
        <w:rPr>
          <w:lang w:val="en-US"/>
        </w:rPr>
        <w:t xml:space="preserve">s and women’s groups in the design and implementation of RCCE </w:t>
      </w:r>
      <w:r w:rsidRPr="48362220">
        <w:rPr>
          <w:i/>
          <w:iCs/>
          <w:lang w:val="en-US"/>
        </w:rPr>
        <w:t xml:space="preserve">(see </w:t>
      </w:r>
      <w:r w:rsidR="0F0304D0" w:rsidRPr="48362220">
        <w:rPr>
          <w:i/>
          <w:iCs/>
          <w:lang w:val="en-US"/>
        </w:rPr>
        <w:t>s</w:t>
      </w:r>
      <w:r w:rsidRPr="48362220">
        <w:rPr>
          <w:i/>
          <w:iCs/>
          <w:lang w:val="en-US"/>
        </w:rPr>
        <w:t>ection 7 for more detail)</w:t>
      </w:r>
      <w:r w:rsidRPr="48362220">
        <w:rPr>
          <w:lang w:val="en-US"/>
        </w:rPr>
        <w:t xml:space="preserve">. These events were well attended. According to the government staff interviewed, this approach </w:t>
      </w:r>
      <w:r w:rsidR="000A4592" w:rsidRPr="48362220">
        <w:rPr>
          <w:lang w:val="en-US"/>
        </w:rPr>
        <w:t>was</w:t>
      </w:r>
      <w:r w:rsidRPr="48362220">
        <w:rPr>
          <w:lang w:val="en-US"/>
        </w:rPr>
        <w:t xml:space="preserve"> replicated with government funding in other non-AIHSP districts. </w:t>
      </w:r>
    </w:p>
    <w:p w14:paraId="5EC36349" w14:textId="356D8F17" w:rsidR="0031499A" w:rsidRDefault="0031499A" w:rsidP="00460D76">
      <w:pPr>
        <w:spacing w:after="120" w:line="240" w:lineRule="auto"/>
        <w:rPr>
          <w:rFonts w:ascii="Calibri" w:eastAsia="Calibri" w:hAnsi="Calibri" w:cs="Calibri"/>
          <w:color w:val="000000" w:themeColor="text1"/>
          <w:lang w:val="en-US"/>
        </w:rPr>
      </w:pPr>
      <w:r w:rsidRPr="4FCF45F9">
        <w:rPr>
          <w:lang w:val="en-US"/>
        </w:rPr>
        <w:t xml:space="preserve">There </w:t>
      </w:r>
      <w:r w:rsidR="006141D6">
        <w:rPr>
          <w:lang w:val="en-US"/>
        </w:rPr>
        <w:t>wa</w:t>
      </w:r>
      <w:r w:rsidRPr="4FCF45F9">
        <w:rPr>
          <w:lang w:val="en-US"/>
        </w:rPr>
        <w:t xml:space="preserve">s some evidence that vaccination rates for people with disabilities and the </w:t>
      </w:r>
      <w:r w:rsidR="00E46C99">
        <w:rPr>
          <w:lang w:val="en-US"/>
        </w:rPr>
        <w:t>elderly</w:t>
      </w:r>
      <w:r w:rsidRPr="4FCF45F9">
        <w:rPr>
          <w:lang w:val="en-US"/>
        </w:rPr>
        <w:t xml:space="preserve"> were higher in the areas supported by AIHSP than in other districts, although th</w:t>
      </w:r>
      <w:r w:rsidR="1061A9CC" w:rsidRPr="4FCF45F9">
        <w:rPr>
          <w:lang w:val="en-US"/>
        </w:rPr>
        <w:t xml:space="preserve">e evidence </w:t>
      </w:r>
      <w:r w:rsidR="006141D6">
        <w:rPr>
          <w:lang w:val="en-US"/>
        </w:rPr>
        <w:t>wa</w:t>
      </w:r>
      <w:r w:rsidRPr="4FCF45F9">
        <w:rPr>
          <w:lang w:val="en-US"/>
        </w:rPr>
        <w:t xml:space="preserve">s not conclusive. However, the vaccination rates were still lower than expected. Reasons for this are explored in </w:t>
      </w:r>
      <w:r w:rsidR="004C0121">
        <w:rPr>
          <w:lang w:val="en-US"/>
        </w:rPr>
        <w:t>s</w:t>
      </w:r>
      <w:r w:rsidRPr="4FCF45F9">
        <w:rPr>
          <w:lang w:val="en-US"/>
        </w:rPr>
        <w:t xml:space="preserve">ection 7 and include some </w:t>
      </w:r>
      <w:r w:rsidR="005B7150">
        <w:rPr>
          <w:lang w:val="en-US"/>
        </w:rPr>
        <w:t xml:space="preserve">reasons </w:t>
      </w:r>
      <w:r w:rsidRPr="4FCF45F9">
        <w:rPr>
          <w:lang w:val="en-US"/>
        </w:rPr>
        <w:t xml:space="preserve">within the control of AISHP but many beyond </w:t>
      </w:r>
      <w:r w:rsidR="33CC9D2E" w:rsidRPr="4FCF45F9">
        <w:rPr>
          <w:lang w:val="en-US"/>
        </w:rPr>
        <w:t xml:space="preserve">its </w:t>
      </w:r>
      <w:r w:rsidRPr="4FCF45F9">
        <w:rPr>
          <w:lang w:val="en-US"/>
        </w:rPr>
        <w:t xml:space="preserve">control. </w:t>
      </w:r>
      <w:r w:rsidRPr="4FCF45F9">
        <w:rPr>
          <w:rFonts w:ascii="Calibri" w:eastAsia="Calibri" w:hAnsi="Calibri" w:cs="Calibri"/>
          <w:color w:val="000000" w:themeColor="text1"/>
          <w:lang w:val="en-US"/>
        </w:rPr>
        <w:t xml:space="preserve">  </w:t>
      </w:r>
    </w:p>
    <w:p w14:paraId="08C4BE71" w14:textId="60D33475" w:rsidR="0031499A" w:rsidRDefault="0031499A" w:rsidP="00460D76">
      <w:pPr>
        <w:spacing w:after="120" w:line="240" w:lineRule="auto"/>
        <w:rPr>
          <w:lang w:val="en-US"/>
        </w:rPr>
      </w:pPr>
      <w:r w:rsidRPr="4FCF45F9">
        <w:rPr>
          <w:lang w:val="en-US"/>
        </w:rPr>
        <w:t xml:space="preserve">In four AIHSP provinces, a provincial-level Health Emergency Operation Centre (HEOC) Response Plan was </w:t>
      </w:r>
      <w:r w:rsidR="000A4592">
        <w:rPr>
          <w:lang w:val="en-US"/>
        </w:rPr>
        <w:t xml:space="preserve">established with involvement of </w:t>
      </w:r>
      <w:r w:rsidRPr="4FCF45F9">
        <w:rPr>
          <w:lang w:val="en-US"/>
        </w:rPr>
        <w:t xml:space="preserve">universities and </w:t>
      </w:r>
      <w:r w:rsidR="00FD42BA" w:rsidRPr="4FCF45F9">
        <w:rPr>
          <w:lang w:val="en-US"/>
        </w:rPr>
        <w:t>OPD</w:t>
      </w:r>
      <w:r w:rsidRPr="4FCF45F9">
        <w:rPr>
          <w:lang w:val="en-US"/>
        </w:rPr>
        <w:t xml:space="preserve">s. </w:t>
      </w:r>
      <w:r w:rsidRPr="4FCF45F9">
        <w:rPr>
          <w:rFonts w:eastAsia="Times New Roman" w:cs="Calibri"/>
          <w:lang w:val="en-US" w:eastAsia="en-AU"/>
        </w:rPr>
        <w:t xml:space="preserve">The plans included risk communication SOPs </w:t>
      </w:r>
      <w:r w:rsidR="131F0FC7" w:rsidRPr="4FCF45F9">
        <w:rPr>
          <w:rFonts w:eastAsia="Times New Roman" w:cs="Calibri"/>
          <w:lang w:val="en-US" w:eastAsia="en-AU"/>
        </w:rPr>
        <w:t xml:space="preserve">that outlined </w:t>
      </w:r>
      <w:r w:rsidRPr="4FCF45F9">
        <w:rPr>
          <w:rFonts w:eastAsia="Times New Roman" w:cs="Calibri"/>
          <w:lang w:val="en-US" w:eastAsia="en-AU"/>
        </w:rPr>
        <w:t>how to meet the specific needs of vulnerable groups. However, none of the four provinces ha</w:t>
      </w:r>
      <w:r w:rsidR="7F355497" w:rsidRPr="4FCF45F9">
        <w:rPr>
          <w:rFonts w:eastAsia="Times New Roman" w:cs="Calibri"/>
          <w:lang w:val="en-US" w:eastAsia="en-AU"/>
        </w:rPr>
        <w:t>d</w:t>
      </w:r>
      <w:r w:rsidRPr="4FCF45F9">
        <w:rPr>
          <w:rFonts w:eastAsia="Times New Roman" w:cs="Calibri"/>
          <w:lang w:val="en-US" w:eastAsia="en-AU"/>
        </w:rPr>
        <w:t xml:space="preserve"> tested their HEOC</w:t>
      </w:r>
      <w:r w:rsidR="007F2CA9">
        <w:rPr>
          <w:rFonts w:eastAsia="Times New Roman" w:cs="Calibri"/>
          <w:lang w:val="en-US" w:eastAsia="en-AU"/>
        </w:rPr>
        <w:t xml:space="preserve"> Plan</w:t>
      </w:r>
      <w:r w:rsidRPr="4FCF45F9">
        <w:rPr>
          <w:rFonts w:eastAsia="Times New Roman" w:cs="Calibri"/>
          <w:lang w:val="en-US" w:eastAsia="en-AU"/>
        </w:rPr>
        <w:t xml:space="preserve"> in an actual emergency response setting. </w:t>
      </w:r>
    </w:p>
    <w:p w14:paraId="7ECA9D22" w14:textId="3E80240D" w:rsidR="0031499A" w:rsidRDefault="0031499A" w:rsidP="00460D76">
      <w:pPr>
        <w:spacing w:after="120" w:line="240" w:lineRule="auto"/>
        <w:rPr>
          <w:rFonts w:ascii="Calibri" w:eastAsia="Calibri" w:hAnsi="Calibri" w:cs="Calibri"/>
          <w:color w:val="000000" w:themeColor="text1"/>
          <w:lang w:val="en-US"/>
        </w:rPr>
      </w:pPr>
      <w:r w:rsidRPr="4FCF45F9">
        <w:rPr>
          <w:rFonts w:eastAsia="Times New Roman" w:cs="Calibri"/>
          <w:lang w:val="en-US" w:eastAsia="en-AU"/>
        </w:rPr>
        <w:t xml:space="preserve">In 2021, AIHSP contracted CSIRO to complete two trials using big data for epidemiological modelling of human mobility in Jakarta and Bandung and monitoring of social media to determine COVID-19 transmission and economic recovery. These were considered pilots and </w:t>
      </w:r>
      <w:r w:rsidRPr="4FCF45F9">
        <w:rPr>
          <w:rFonts w:ascii="Calibri" w:eastAsia="Calibri" w:hAnsi="Calibri" w:cs="Calibri"/>
          <w:color w:val="000000" w:themeColor="text1"/>
          <w:lang w:val="en-US"/>
        </w:rPr>
        <w:t xml:space="preserve">how this work will continue is unclear. Unless there is a high likelihood </w:t>
      </w:r>
      <w:r w:rsidR="0B0377AC" w:rsidRPr="4FCF45F9">
        <w:rPr>
          <w:rFonts w:ascii="Calibri" w:eastAsia="Calibri" w:hAnsi="Calibri" w:cs="Calibri"/>
          <w:color w:val="000000" w:themeColor="text1"/>
          <w:lang w:val="en-US"/>
        </w:rPr>
        <w:t xml:space="preserve">that </w:t>
      </w:r>
      <w:r w:rsidRPr="4FCF45F9">
        <w:rPr>
          <w:rFonts w:ascii="Calibri" w:eastAsia="Calibri" w:hAnsi="Calibri" w:cs="Calibri"/>
          <w:color w:val="000000" w:themeColor="text1"/>
          <w:lang w:val="en-US"/>
        </w:rPr>
        <w:t xml:space="preserve">this work </w:t>
      </w:r>
      <w:r w:rsidR="6CE364FC" w:rsidRPr="4FCF45F9">
        <w:rPr>
          <w:rFonts w:ascii="Calibri" w:eastAsia="Calibri" w:hAnsi="Calibri" w:cs="Calibri"/>
          <w:color w:val="000000" w:themeColor="text1"/>
          <w:lang w:val="en-US"/>
        </w:rPr>
        <w:t>will</w:t>
      </w:r>
      <w:r w:rsidRPr="4FCF45F9">
        <w:rPr>
          <w:rFonts w:ascii="Calibri" w:eastAsia="Calibri" w:hAnsi="Calibri" w:cs="Calibri"/>
          <w:color w:val="000000" w:themeColor="text1"/>
          <w:lang w:val="en-US"/>
        </w:rPr>
        <w:t xml:space="preserve"> </w:t>
      </w:r>
      <w:r w:rsidR="6CE364FC" w:rsidRPr="4FCF45F9">
        <w:rPr>
          <w:rFonts w:ascii="Calibri" w:eastAsia="Calibri" w:hAnsi="Calibri" w:cs="Calibri"/>
          <w:color w:val="000000" w:themeColor="text1"/>
          <w:lang w:val="en-US"/>
        </w:rPr>
        <w:t xml:space="preserve">be </w:t>
      </w:r>
      <w:r w:rsidRPr="4FCF45F9">
        <w:rPr>
          <w:rFonts w:ascii="Calibri" w:eastAsia="Calibri" w:hAnsi="Calibri" w:cs="Calibri"/>
          <w:color w:val="000000" w:themeColor="text1"/>
          <w:lang w:val="en-US"/>
        </w:rPr>
        <w:t xml:space="preserve">supported and used by </w:t>
      </w:r>
      <w:proofErr w:type="spellStart"/>
      <w:r w:rsidRPr="4FCF45F9">
        <w:rPr>
          <w:rFonts w:ascii="Calibri" w:eastAsia="Calibri" w:hAnsi="Calibri" w:cs="Calibri"/>
          <w:color w:val="000000" w:themeColor="text1"/>
          <w:lang w:val="en-US"/>
        </w:rPr>
        <w:t>GoI</w:t>
      </w:r>
      <w:proofErr w:type="spellEnd"/>
      <w:r w:rsidR="470B7214" w:rsidRPr="4FCF45F9">
        <w:rPr>
          <w:rFonts w:ascii="Calibri" w:eastAsia="Calibri" w:hAnsi="Calibri" w:cs="Calibri"/>
          <w:color w:val="000000" w:themeColor="text1"/>
          <w:lang w:val="en-US"/>
        </w:rPr>
        <w:t>,</w:t>
      </w:r>
      <w:r w:rsidRPr="4FCF45F9">
        <w:rPr>
          <w:rFonts w:ascii="Calibri" w:eastAsia="Calibri" w:hAnsi="Calibri" w:cs="Calibri"/>
          <w:color w:val="000000" w:themeColor="text1"/>
          <w:lang w:val="en-US"/>
        </w:rPr>
        <w:t xml:space="preserve"> discontinuation of this activity </w:t>
      </w:r>
      <w:r w:rsidR="78D818C3" w:rsidRPr="4FCF45F9">
        <w:rPr>
          <w:rFonts w:ascii="Calibri" w:eastAsia="Calibri" w:hAnsi="Calibri" w:cs="Calibri"/>
          <w:color w:val="000000" w:themeColor="text1"/>
          <w:lang w:val="en-US"/>
        </w:rPr>
        <w:t>sh</w:t>
      </w:r>
      <w:r w:rsidRPr="4FCF45F9">
        <w:rPr>
          <w:rFonts w:ascii="Calibri" w:eastAsia="Calibri" w:hAnsi="Calibri" w:cs="Calibri"/>
          <w:color w:val="000000" w:themeColor="text1"/>
          <w:lang w:val="en-US"/>
        </w:rPr>
        <w:t>ould be considered.</w:t>
      </w:r>
    </w:p>
    <w:p w14:paraId="3DFB285F" w14:textId="77777777" w:rsidR="0031499A" w:rsidRDefault="0031499A" w:rsidP="0031499A">
      <w:pPr>
        <w:pStyle w:val="Heading3"/>
      </w:pPr>
      <w:bookmarkStart w:id="76" w:name="_Toc135837415"/>
      <w:r>
        <w:t>WHO and UNICEF</w:t>
      </w:r>
      <w:bookmarkEnd w:id="76"/>
    </w:p>
    <w:p w14:paraId="6748AAA3" w14:textId="12DDF891" w:rsidR="0031499A" w:rsidRDefault="0031499A" w:rsidP="00460D76">
      <w:pPr>
        <w:spacing w:after="120" w:line="240" w:lineRule="auto"/>
      </w:pPr>
      <w:r w:rsidRPr="4FCF45F9">
        <w:rPr>
          <w:rFonts w:eastAsia="Times New Roman" w:cs="Calibri"/>
          <w:lang w:val="en-US" w:eastAsia="en-AU"/>
        </w:rPr>
        <w:t xml:space="preserve">Contributions from WHO and UNICEF </w:t>
      </w:r>
      <w:r w:rsidR="0016530D">
        <w:rPr>
          <w:rFonts w:eastAsia="Times New Roman" w:cs="Calibri"/>
          <w:lang w:val="en-US" w:eastAsia="en-AU"/>
        </w:rPr>
        <w:t>were</w:t>
      </w:r>
      <w:r w:rsidRPr="4FCF45F9">
        <w:rPr>
          <w:rFonts w:eastAsia="Times New Roman" w:cs="Calibri"/>
          <w:lang w:val="en-US" w:eastAsia="en-AU"/>
        </w:rPr>
        <w:t xml:space="preserve"> instrumental during the COVID-19 response. WHO support was particularly significant in the areas of national planning and guidelines, </w:t>
      </w:r>
      <w:proofErr w:type="spellStart"/>
      <w:r w:rsidRPr="4FCF45F9">
        <w:rPr>
          <w:rFonts w:eastAsia="Times New Roman" w:cs="Calibri"/>
          <w:lang w:val="en-US" w:eastAsia="en-AU"/>
        </w:rPr>
        <w:t>authorisation</w:t>
      </w:r>
      <w:proofErr w:type="spellEnd"/>
      <w:r w:rsidRPr="4FCF45F9">
        <w:rPr>
          <w:rFonts w:eastAsia="Times New Roman" w:cs="Calibri"/>
          <w:lang w:val="en-US" w:eastAsia="en-AU"/>
        </w:rPr>
        <w:t xml:space="preserve"> of vaccines, testing, case investigation, contact tracing, vaccination, monitoring and conducting an intra action review and follow-up meetings</w:t>
      </w:r>
      <w:r w:rsidR="64738602" w:rsidRPr="4FCF45F9">
        <w:rPr>
          <w:rFonts w:eastAsia="Times New Roman" w:cs="Calibri"/>
          <w:lang w:val="en-US" w:eastAsia="en-AU"/>
        </w:rPr>
        <w:t xml:space="preserve">. </w:t>
      </w:r>
      <w:r w:rsidRPr="4FCF45F9">
        <w:rPr>
          <w:rFonts w:eastAsia="Times New Roman" w:cs="Calibri"/>
          <w:lang w:val="en-US" w:eastAsia="en-AU"/>
        </w:rPr>
        <w:t>UNICEF</w:t>
      </w:r>
      <w:r w:rsidR="04CC8B3A" w:rsidRPr="4FCF45F9">
        <w:rPr>
          <w:rFonts w:eastAsia="Times New Roman" w:cs="Calibri"/>
          <w:lang w:val="en-US" w:eastAsia="en-AU"/>
        </w:rPr>
        <w:t>’s strongest support was in</w:t>
      </w:r>
      <w:r w:rsidRPr="4FCF45F9">
        <w:rPr>
          <w:rFonts w:eastAsia="Times New Roman" w:cs="Calibri"/>
          <w:lang w:val="en-US" w:eastAsia="en-AU"/>
        </w:rPr>
        <w:t xml:space="preserve"> national planning, RCCE</w:t>
      </w:r>
      <w:r w:rsidR="005A30D2" w:rsidRPr="4FCF45F9">
        <w:rPr>
          <w:rFonts w:eastAsia="Times New Roman" w:cs="Calibri"/>
          <w:lang w:val="en-US" w:eastAsia="en-AU"/>
        </w:rPr>
        <w:t xml:space="preserve">, </w:t>
      </w:r>
      <w:r w:rsidR="377CFDF5" w:rsidRPr="4FCF45F9">
        <w:rPr>
          <w:rFonts w:eastAsia="Times New Roman" w:cs="Calibri"/>
          <w:lang w:val="en-US" w:eastAsia="en-AU"/>
        </w:rPr>
        <w:t xml:space="preserve">developing </w:t>
      </w:r>
      <w:r w:rsidR="005A30D2" w:rsidRPr="4FCF45F9">
        <w:rPr>
          <w:rFonts w:eastAsia="Times New Roman" w:cs="Calibri"/>
          <w:lang w:val="en-US" w:eastAsia="en-AU"/>
        </w:rPr>
        <w:t xml:space="preserve">the </w:t>
      </w:r>
      <w:proofErr w:type="spellStart"/>
      <w:r w:rsidR="005A30D2" w:rsidRPr="4FCF45F9">
        <w:rPr>
          <w:rFonts w:eastAsia="Times New Roman" w:cs="Calibri"/>
          <w:lang w:val="en-US" w:eastAsia="en-AU"/>
        </w:rPr>
        <w:t>GoI’s</w:t>
      </w:r>
      <w:proofErr w:type="spellEnd"/>
      <w:r w:rsidR="005A30D2" w:rsidRPr="4FCF45F9">
        <w:rPr>
          <w:rFonts w:eastAsia="Times New Roman" w:cs="Calibri"/>
          <w:lang w:val="en-US" w:eastAsia="en-AU"/>
        </w:rPr>
        <w:t xml:space="preserve"> COVID-19 website</w:t>
      </w:r>
      <w:r w:rsidRPr="4FCF45F9">
        <w:rPr>
          <w:rFonts w:eastAsia="Times New Roman" w:cs="Calibri"/>
          <w:lang w:val="en-US" w:eastAsia="en-AU"/>
        </w:rPr>
        <w:t xml:space="preserve"> and procuring and administering vaccines. Further description and analysis </w:t>
      </w:r>
      <w:r w:rsidR="005A30D2" w:rsidRPr="4FCF45F9">
        <w:rPr>
          <w:rFonts w:eastAsia="Times New Roman" w:cs="Calibri"/>
          <w:lang w:val="en-US" w:eastAsia="en-AU"/>
        </w:rPr>
        <w:t>are</w:t>
      </w:r>
      <w:r w:rsidRPr="4FCF45F9">
        <w:rPr>
          <w:rFonts w:eastAsia="Times New Roman" w:cs="Calibri"/>
          <w:lang w:val="en-US" w:eastAsia="en-AU"/>
        </w:rPr>
        <w:t xml:space="preserve"> presented in the COVID-19 response </w:t>
      </w:r>
      <w:r w:rsidR="71B9D47A" w:rsidRPr="4FCF45F9">
        <w:rPr>
          <w:rFonts w:eastAsia="Times New Roman" w:cs="Calibri"/>
          <w:lang w:val="en-US" w:eastAsia="en-AU"/>
        </w:rPr>
        <w:t>s</w:t>
      </w:r>
      <w:r w:rsidRPr="4FCF45F9">
        <w:rPr>
          <w:rFonts w:eastAsia="Times New Roman" w:cs="Calibri"/>
          <w:lang w:val="en-US" w:eastAsia="en-AU"/>
        </w:rPr>
        <w:t>ection 4.</w:t>
      </w:r>
      <w:bookmarkEnd w:id="75"/>
    </w:p>
    <w:p w14:paraId="69C71F28" w14:textId="09F41E7F" w:rsidR="0031499A" w:rsidRPr="005670D1" w:rsidRDefault="0031499A" w:rsidP="0031499A">
      <w:pPr>
        <w:pStyle w:val="Heading3"/>
        <w:rPr>
          <w:rFonts w:eastAsia="Calibri Light" w:cstheme="majorHAnsi"/>
          <w:color w:val="002060"/>
          <w:lang w:val="en-US"/>
        </w:rPr>
      </w:pPr>
      <w:bookmarkStart w:id="77" w:name="_Toc135837416"/>
      <w:bookmarkStart w:id="78" w:name="_Hlk132301866"/>
      <w:r w:rsidRPr="005670D1">
        <w:rPr>
          <w:rFonts w:eastAsia="Calibri Light" w:cstheme="majorHAnsi"/>
          <w:color w:val="002060"/>
          <w:lang w:val="en-US"/>
        </w:rPr>
        <w:lastRenderedPageBreak/>
        <w:t>3.1.4</w:t>
      </w:r>
      <w:r w:rsidRPr="005670D1">
        <w:rPr>
          <w:rFonts w:eastAsia="Calibri Light" w:cstheme="majorHAnsi"/>
          <w:color w:val="002060"/>
          <w:lang w:val="en-US"/>
        </w:rPr>
        <w:tab/>
        <w:t>Progress towards EOPO</w:t>
      </w:r>
      <w:r w:rsidR="004C0121">
        <w:rPr>
          <w:rFonts w:eastAsia="Calibri Light" w:cstheme="majorHAnsi"/>
          <w:color w:val="002060"/>
          <w:lang w:val="en-US"/>
        </w:rPr>
        <w:t xml:space="preserve"> </w:t>
      </w:r>
      <w:r w:rsidRPr="005670D1">
        <w:rPr>
          <w:rFonts w:eastAsia="Calibri Light" w:cstheme="majorHAnsi"/>
          <w:color w:val="002060"/>
          <w:lang w:val="en-US"/>
        </w:rPr>
        <w:t>2.1 (Coordinate)</w:t>
      </w:r>
      <w:bookmarkEnd w:id="77"/>
    </w:p>
    <w:p w14:paraId="1703299C" w14:textId="77777777" w:rsidR="0031499A" w:rsidRDefault="0031499A" w:rsidP="0031499A">
      <w:pPr>
        <w:pStyle w:val="Heading3"/>
      </w:pPr>
      <w:bookmarkStart w:id="79" w:name="_Toc135837417"/>
      <w:bookmarkEnd w:id="78"/>
      <w:r>
        <w:t>AIHSP</w:t>
      </w:r>
      <w:bookmarkEnd w:id="79"/>
    </w:p>
    <w:p w14:paraId="75A70137" w14:textId="71E0F187" w:rsidR="00BF1771" w:rsidRPr="00367D3D" w:rsidRDefault="00BF1771" w:rsidP="00460D76">
      <w:pPr>
        <w:spacing w:after="120" w:line="240" w:lineRule="auto"/>
      </w:pPr>
      <w:r w:rsidRPr="48362220">
        <w:rPr>
          <w:lang w:val="en-US"/>
        </w:rPr>
        <w:t xml:space="preserve">Under EOPO 2.1, AIHSP promoted a One Health approach and established </w:t>
      </w:r>
      <w:r w:rsidR="007E743C">
        <w:rPr>
          <w:lang w:val="en-US"/>
        </w:rPr>
        <w:t xml:space="preserve">a </w:t>
      </w:r>
      <w:r w:rsidRPr="48362220">
        <w:rPr>
          <w:lang w:val="en-US"/>
        </w:rPr>
        <w:t xml:space="preserve">multi-stakeholder forum with government agencies, civil society actors and other members of the community. AIHSP supported the G20 One Health Side Event, including the development of a policy brief which informed the Health Ministers’ Action Plan to Strengthen Global Health Architecture declared in Bali in October 2022. In 2023, the </w:t>
      </w:r>
      <w:proofErr w:type="spellStart"/>
      <w:r w:rsidRPr="48362220">
        <w:rPr>
          <w:lang w:val="en-US"/>
        </w:rPr>
        <w:t>GoI</w:t>
      </w:r>
      <w:proofErr w:type="spellEnd"/>
      <w:r w:rsidRPr="48362220">
        <w:rPr>
          <w:lang w:val="en-US"/>
        </w:rPr>
        <w:t xml:space="preserve"> supported a similar declaration for ASEAN under its Chairmanship. At the national level, however, </w:t>
      </w:r>
      <w:r w:rsidR="00782869">
        <w:rPr>
          <w:lang w:val="en-US"/>
        </w:rPr>
        <w:t>One Health</w:t>
      </w:r>
      <w:r w:rsidRPr="48362220">
        <w:rPr>
          <w:lang w:val="en-US"/>
        </w:rPr>
        <w:t xml:space="preserve"> remains at an early </w:t>
      </w:r>
      <w:r>
        <w:rPr>
          <w:lang w:val="en-US"/>
        </w:rPr>
        <w:t>point</w:t>
      </w:r>
      <w:r w:rsidRPr="48362220">
        <w:rPr>
          <w:lang w:val="en-US"/>
        </w:rPr>
        <w:t xml:space="preserve"> of </w:t>
      </w:r>
      <w:r>
        <w:rPr>
          <w:lang w:val="en-US"/>
        </w:rPr>
        <w:t>development</w:t>
      </w:r>
      <w:r w:rsidRPr="48362220">
        <w:rPr>
          <w:lang w:val="en-US"/>
        </w:rPr>
        <w:t xml:space="preserve">, with questions remaining as to how </w:t>
      </w:r>
      <w:r>
        <w:rPr>
          <w:lang w:val="en-US"/>
        </w:rPr>
        <w:t>it</w:t>
      </w:r>
      <w:r w:rsidRPr="48362220">
        <w:rPr>
          <w:lang w:val="en-US"/>
        </w:rPr>
        <w:t xml:space="preserve"> will be </w:t>
      </w:r>
      <w:proofErr w:type="gramStart"/>
      <w:r w:rsidRPr="48362220">
        <w:rPr>
          <w:lang w:val="en-US"/>
        </w:rPr>
        <w:t>progressed</w:t>
      </w:r>
      <w:proofErr w:type="gramEnd"/>
      <w:r w:rsidRPr="48362220">
        <w:rPr>
          <w:lang w:val="en-US"/>
        </w:rPr>
        <w:t xml:space="preserve"> and which ministry is coordinating </w:t>
      </w:r>
      <w:r w:rsidR="00782869">
        <w:rPr>
          <w:lang w:val="en-US"/>
        </w:rPr>
        <w:t>One Health</w:t>
      </w:r>
      <w:r w:rsidRPr="48362220">
        <w:rPr>
          <w:lang w:val="en-US"/>
        </w:rPr>
        <w:t>. Of the two thematic outcomes under EOPO 2.1, i.e.</w:t>
      </w:r>
      <w:r>
        <w:rPr>
          <w:lang w:val="en-US"/>
        </w:rPr>
        <w:t>,</w:t>
      </w:r>
      <w:r w:rsidRPr="48362220">
        <w:rPr>
          <w:lang w:val="en-US"/>
        </w:rPr>
        <w:t xml:space="preserve"> government coordination and </w:t>
      </w:r>
      <w:proofErr w:type="spellStart"/>
      <w:r w:rsidRPr="48362220">
        <w:rPr>
          <w:lang w:val="en-US"/>
        </w:rPr>
        <w:t>pentahelix</w:t>
      </w:r>
      <w:proofErr w:type="spellEnd"/>
      <w:r w:rsidRPr="48362220">
        <w:rPr>
          <w:lang w:val="en-US"/>
        </w:rPr>
        <w:t xml:space="preserve"> coordination, progress </w:t>
      </w:r>
      <w:r w:rsidR="000E7D40">
        <w:rPr>
          <w:lang w:val="en-US"/>
        </w:rPr>
        <w:t>wa</w:t>
      </w:r>
      <w:r w:rsidRPr="48362220">
        <w:rPr>
          <w:lang w:val="en-US"/>
        </w:rPr>
        <w:t xml:space="preserve">s still very much at the output level, with weak evidence of </w:t>
      </w:r>
      <w:r>
        <w:rPr>
          <w:lang w:val="en-US"/>
        </w:rPr>
        <w:t xml:space="preserve">outcomes in </w:t>
      </w:r>
      <w:r w:rsidR="00782869">
        <w:rPr>
          <w:lang w:val="en-US"/>
        </w:rPr>
        <w:t>One Health</w:t>
      </w:r>
      <w:r>
        <w:rPr>
          <w:lang w:val="en-US"/>
        </w:rPr>
        <w:t xml:space="preserve"> </w:t>
      </w:r>
      <w:r w:rsidRPr="48362220">
        <w:rPr>
          <w:lang w:val="en-US"/>
        </w:rPr>
        <w:t xml:space="preserve">or multi-stakeholder engagement. </w:t>
      </w:r>
      <w:r w:rsidRPr="00367D3D">
        <w:t xml:space="preserve">This resulted in an </w:t>
      </w:r>
      <w:r w:rsidRPr="00367D3D">
        <w:rPr>
          <w:b/>
          <w:bCs/>
        </w:rPr>
        <w:t>Acceptable</w:t>
      </w:r>
      <w:r w:rsidRPr="00367D3D">
        <w:t xml:space="preserve"> </w:t>
      </w:r>
      <w:r w:rsidRPr="008436E9">
        <w:rPr>
          <w:b/>
          <w:bCs/>
        </w:rPr>
        <w:t>rating</w:t>
      </w:r>
      <w:r w:rsidRPr="00367D3D">
        <w:t xml:space="preserve"> for </w:t>
      </w:r>
      <w:r w:rsidRPr="00367D3D">
        <w:rPr>
          <w:b/>
          <w:bCs/>
        </w:rPr>
        <w:t>EOPO 2.1</w:t>
      </w:r>
      <w:r w:rsidRPr="00367D3D">
        <w:t>.</w:t>
      </w:r>
    </w:p>
    <w:p w14:paraId="4BFDB5B8" w14:textId="4396B061" w:rsidR="0031499A" w:rsidRPr="00EA6242" w:rsidRDefault="0031499A" w:rsidP="48362220">
      <w:pPr>
        <w:spacing w:after="120" w:line="240" w:lineRule="auto"/>
        <w:rPr>
          <w:rFonts w:ascii="Calibri" w:eastAsia="Calibri" w:hAnsi="Calibri" w:cs="Calibri"/>
          <w:color w:val="000000" w:themeColor="text1"/>
          <w:highlight w:val="cyan"/>
          <w:lang w:val="en-US"/>
        </w:rPr>
      </w:pPr>
      <w:r w:rsidRPr="4FCF45F9">
        <w:rPr>
          <w:rFonts w:ascii="Calibri" w:eastAsia="Calibri" w:hAnsi="Calibri" w:cs="Calibri"/>
          <w:color w:val="000000" w:themeColor="text1"/>
          <w:lang w:val="en-US"/>
        </w:rPr>
        <w:t xml:space="preserve">AIHSP and multilaterals including WHO, OIE and FAO facilitated meetings with their </w:t>
      </w:r>
      <w:proofErr w:type="spellStart"/>
      <w:r w:rsidR="262FE9B7" w:rsidRPr="4FCF45F9">
        <w:rPr>
          <w:rFonts w:ascii="Calibri" w:eastAsia="Calibri" w:hAnsi="Calibri" w:cs="Calibri"/>
          <w:color w:val="000000" w:themeColor="text1"/>
          <w:lang w:val="en-US"/>
        </w:rPr>
        <w:t>GoI</w:t>
      </w:r>
      <w:proofErr w:type="spellEnd"/>
      <w:r w:rsidR="262FE9B7" w:rsidRPr="4FCF45F9">
        <w:rPr>
          <w:rFonts w:ascii="Calibri" w:eastAsia="Calibri" w:hAnsi="Calibri" w:cs="Calibri"/>
          <w:color w:val="000000" w:themeColor="text1"/>
          <w:lang w:val="en-US"/>
        </w:rPr>
        <w:t xml:space="preserve"> </w:t>
      </w:r>
      <w:r w:rsidRPr="4FCF45F9">
        <w:rPr>
          <w:rFonts w:ascii="Calibri" w:eastAsia="Calibri" w:hAnsi="Calibri" w:cs="Calibri"/>
          <w:color w:val="000000" w:themeColor="text1"/>
          <w:lang w:val="en-US"/>
        </w:rPr>
        <w:t xml:space="preserve">counterparts on the implementation of </w:t>
      </w:r>
      <w:r w:rsidR="00782869">
        <w:rPr>
          <w:rFonts w:ascii="Calibri" w:eastAsia="Calibri" w:hAnsi="Calibri" w:cs="Calibri"/>
          <w:color w:val="000000" w:themeColor="text1"/>
          <w:lang w:val="en-US"/>
        </w:rPr>
        <w:t>One Health</w:t>
      </w:r>
      <w:r w:rsidR="00182AEB" w:rsidRPr="4FCF45F9">
        <w:rPr>
          <w:rFonts w:ascii="Calibri" w:eastAsia="Calibri" w:hAnsi="Calibri" w:cs="Calibri"/>
          <w:color w:val="000000" w:themeColor="text1"/>
          <w:lang w:val="en-US"/>
        </w:rPr>
        <w:t xml:space="preserve"> and</w:t>
      </w:r>
      <w:r w:rsidRPr="4FCF45F9">
        <w:rPr>
          <w:rFonts w:ascii="Calibri" w:eastAsia="Calibri" w:hAnsi="Calibri" w:cs="Calibri"/>
          <w:color w:val="000000" w:themeColor="text1"/>
          <w:lang w:val="en-US"/>
        </w:rPr>
        <w:t xml:space="preserve"> supported the refinement of related guidelines. </w:t>
      </w:r>
      <w:r w:rsidR="76E820F2" w:rsidRPr="4FCF45F9">
        <w:rPr>
          <w:rFonts w:ascii="Calibri" w:eastAsia="Calibri" w:hAnsi="Calibri" w:cs="Calibri"/>
          <w:color w:val="000000" w:themeColor="text1"/>
          <w:lang w:val="en-US"/>
        </w:rPr>
        <w:t xml:space="preserve">AIHSP should continue to work with other relevant actors to promote the One Health agenda. For example, </w:t>
      </w:r>
      <w:r w:rsidR="2462DB22" w:rsidRPr="4FCF45F9">
        <w:rPr>
          <w:rFonts w:ascii="Calibri" w:eastAsia="Calibri" w:hAnsi="Calibri" w:cs="Calibri"/>
          <w:color w:val="000000" w:themeColor="text1"/>
          <w:lang w:val="en-US"/>
        </w:rPr>
        <w:t xml:space="preserve">it could </w:t>
      </w:r>
      <w:r w:rsidR="76E820F2" w:rsidRPr="4FCF45F9">
        <w:rPr>
          <w:rFonts w:ascii="Calibri" w:eastAsia="Calibri" w:hAnsi="Calibri" w:cs="Calibri"/>
          <w:color w:val="000000" w:themeColor="text1"/>
          <w:lang w:val="en-US"/>
        </w:rPr>
        <w:t xml:space="preserve">support </w:t>
      </w:r>
      <w:proofErr w:type="spellStart"/>
      <w:r w:rsidR="76E820F2" w:rsidRPr="4FCF45F9">
        <w:rPr>
          <w:rFonts w:ascii="Calibri" w:eastAsia="Calibri" w:hAnsi="Calibri" w:cs="Calibri"/>
          <w:color w:val="000000" w:themeColor="text1"/>
          <w:lang w:val="en-US"/>
        </w:rPr>
        <w:t>Kemenko</w:t>
      </w:r>
      <w:proofErr w:type="spellEnd"/>
      <w:r w:rsidR="76E820F2" w:rsidRPr="4FCF45F9">
        <w:rPr>
          <w:rFonts w:ascii="Calibri" w:eastAsia="Calibri" w:hAnsi="Calibri" w:cs="Calibri"/>
          <w:color w:val="000000" w:themeColor="text1"/>
          <w:lang w:val="en-US"/>
        </w:rPr>
        <w:t xml:space="preserve"> PMK in implementation of the recently developed </w:t>
      </w:r>
      <w:proofErr w:type="spellStart"/>
      <w:r w:rsidR="76E820F2" w:rsidRPr="4FCF45F9">
        <w:rPr>
          <w:rFonts w:ascii="Calibri" w:eastAsia="Calibri" w:hAnsi="Calibri" w:cs="Calibri"/>
          <w:color w:val="000000" w:themeColor="text1"/>
          <w:lang w:val="en-US"/>
        </w:rPr>
        <w:t>Kemenko</w:t>
      </w:r>
      <w:proofErr w:type="spellEnd"/>
      <w:r w:rsidR="76E820F2" w:rsidRPr="4FCF45F9">
        <w:rPr>
          <w:rFonts w:ascii="Calibri" w:eastAsia="Calibri" w:hAnsi="Calibri" w:cs="Calibri"/>
          <w:color w:val="000000" w:themeColor="text1"/>
          <w:lang w:val="en-US"/>
        </w:rPr>
        <w:t xml:space="preserve"> PMK Regulation No.7/2022 on the Zoonosis and Infectious Diseases Control Guidelines.</w:t>
      </w:r>
      <w:r w:rsidR="00AB5FF3">
        <w:rPr>
          <w:rStyle w:val="FootnoteReference"/>
          <w:rFonts w:ascii="Calibri" w:eastAsia="Calibri" w:hAnsi="Calibri" w:cs="Calibri"/>
          <w:color w:val="000000" w:themeColor="text1"/>
          <w:lang w:val="en-US"/>
        </w:rPr>
        <w:footnoteReference w:id="20"/>
      </w:r>
      <w:r w:rsidR="76E820F2" w:rsidRPr="4FCF45F9">
        <w:rPr>
          <w:rFonts w:ascii="Calibri" w:eastAsia="Calibri" w:hAnsi="Calibri" w:cs="Calibri"/>
          <w:color w:val="000000" w:themeColor="text1"/>
          <w:lang w:val="en-US"/>
        </w:rPr>
        <w:t xml:space="preserve"> This could be done through identify</w:t>
      </w:r>
      <w:r w:rsidR="752EE187" w:rsidRPr="4FCF45F9">
        <w:rPr>
          <w:rFonts w:ascii="Calibri" w:eastAsia="Calibri" w:hAnsi="Calibri" w:cs="Calibri"/>
          <w:color w:val="000000" w:themeColor="text1"/>
          <w:lang w:val="en-US"/>
        </w:rPr>
        <w:t>ing</w:t>
      </w:r>
      <w:r w:rsidR="76E820F2" w:rsidRPr="4FCF45F9">
        <w:rPr>
          <w:rFonts w:ascii="Calibri" w:eastAsia="Calibri" w:hAnsi="Calibri" w:cs="Calibri"/>
          <w:color w:val="000000" w:themeColor="text1"/>
          <w:lang w:val="en-US"/>
        </w:rPr>
        <w:t xml:space="preserve"> </w:t>
      </w:r>
      <w:r w:rsidR="52482047" w:rsidRPr="4FCF45F9">
        <w:rPr>
          <w:rFonts w:ascii="Calibri" w:eastAsia="Calibri" w:hAnsi="Calibri" w:cs="Calibri"/>
          <w:color w:val="000000" w:themeColor="text1"/>
          <w:lang w:val="en-US"/>
        </w:rPr>
        <w:t>disparities</w:t>
      </w:r>
      <w:r w:rsidR="76E820F2" w:rsidRPr="4FCF45F9">
        <w:rPr>
          <w:rFonts w:ascii="Calibri" w:eastAsia="Calibri" w:hAnsi="Calibri" w:cs="Calibri"/>
          <w:color w:val="000000" w:themeColor="text1"/>
          <w:lang w:val="en-US"/>
        </w:rPr>
        <w:t xml:space="preserve"> between One Health regulations and</w:t>
      </w:r>
      <w:r w:rsidR="17FD122C" w:rsidRPr="4FCF45F9">
        <w:rPr>
          <w:rFonts w:ascii="Calibri" w:eastAsia="Calibri" w:hAnsi="Calibri" w:cs="Calibri"/>
          <w:color w:val="000000" w:themeColor="text1"/>
          <w:lang w:val="en-US"/>
        </w:rPr>
        <w:t xml:space="preserve"> their</w:t>
      </w:r>
      <w:r w:rsidR="76E820F2" w:rsidRPr="00353D30">
        <w:t xml:space="preserve"> implementation. </w:t>
      </w:r>
    </w:p>
    <w:p w14:paraId="73D33A0F" w14:textId="77777777" w:rsidR="00BF1771" w:rsidRDefault="00BF1771" w:rsidP="00BF1771">
      <w:pPr>
        <w:spacing w:after="120" w:line="240" w:lineRule="auto"/>
        <w:rPr>
          <w:rFonts w:ascii="Calibri" w:eastAsia="Calibri" w:hAnsi="Calibri" w:cs="Calibri"/>
          <w:color w:val="000000" w:themeColor="text1"/>
          <w:lang w:val="en-US"/>
        </w:rPr>
      </w:pPr>
      <w:r w:rsidRPr="4FCF45F9">
        <w:rPr>
          <w:rFonts w:ascii="Calibri" w:eastAsia="Calibri" w:hAnsi="Calibri" w:cs="Calibri"/>
          <w:color w:val="000000" w:themeColor="text1"/>
          <w:lang w:val="en-US"/>
        </w:rPr>
        <w:t>In 2022, at the request from the MoH, a One Health Training of Trainers (</w:t>
      </w:r>
      <w:proofErr w:type="spellStart"/>
      <w:r w:rsidRPr="4FCF45F9">
        <w:rPr>
          <w:rFonts w:ascii="Calibri" w:eastAsia="Calibri" w:hAnsi="Calibri" w:cs="Calibri"/>
          <w:color w:val="000000" w:themeColor="text1"/>
          <w:lang w:val="en-US"/>
        </w:rPr>
        <w:t>ToT</w:t>
      </w:r>
      <w:proofErr w:type="spellEnd"/>
      <w:r w:rsidRPr="4FCF45F9">
        <w:rPr>
          <w:rFonts w:ascii="Calibri" w:eastAsia="Calibri" w:hAnsi="Calibri" w:cs="Calibri"/>
          <w:color w:val="000000" w:themeColor="text1"/>
          <w:lang w:val="en-US"/>
        </w:rPr>
        <w:t xml:space="preserve">) for government staff based on MoH curricula was rolled out with support from AIHSP, WHO, FAO and USAID-Infectious Disease Detection and Surveillance (IDDS). AIHSP supported this </w:t>
      </w:r>
      <w:proofErr w:type="spellStart"/>
      <w:r w:rsidRPr="4FCF45F9">
        <w:rPr>
          <w:rFonts w:ascii="Calibri" w:eastAsia="Calibri" w:hAnsi="Calibri" w:cs="Calibri"/>
          <w:color w:val="000000" w:themeColor="text1"/>
          <w:lang w:val="en-US"/>
        </w:rPr>
        <w:t>ToT</w:t>
      </w:r>
      <w:proofErr w:type="spellEnd"/>
      <w:r w:rsidRPr="4FCF45F9">
        <w:rPr>
          <w:rFonts w:ascii="Calibri" w:eastAsia="Calibri" w:hAnsi="Calibri" w:cs="Calibri"/>
          <w:color w:val="000000" w:themeColor="text1"/>
          <w:lang w:val="en-US"/>
        </w:rPr>
        <w:t xml:space="preserve"> in four provinces. Several staff interviewed said </w:t>
      </w:r>
      <w:r>
        <w:rPr>
          <w:rFonts w:ascii="Calibri" w:eastAsia="Calibri" w:hAnsi="Calibri" w:cs="Calibri"/>
          <w:color w:val="000000" w:themeColor="text1"/>
          <w:lang w:val="en-US"/>
        </w:rPr>
        <w:t xml:space="preserve">their knowledge had improved and new relationships built </w:t>
      </w:r>
      <w:proofErr w:type="gramStart"/>
      <w:r>
        <w:rPr>
          <w:rFonts w:ascii="Calibri" w:eastAsia="Calibri" w:hAnsi="Calibri" w:cs="Calibri"/>
          <w:color w:val="000000" w:themeColor="text1"/>
          <w:lang w:val="en-US"/>
        </w:rPr>
        <w:t>as a result of</w:t>
      </w:r>
      <w:proofErr w:type="gramEnd"/>
      <w:r>
        <w:rPr>
          <w:rFonts w:ascii="Calibri" w:eastAsia="Calibri" w:hAnsi="Calibri" w:cs="Calibri"/>
          <w:color w:val="000000" w:themeColor="text1"/>
          <w:lang w:val="en-US"/>
        </w:rPr>
        <w:t xml:space="preserve"> </w:t>
      </w:r>
      <w:r w:rsidRPr="4FCF45F9">
        <w:rPr>
          <w:rFonts w:ascii="Calibri" w:eastAsia="Calibri" w:hAnsi="Calibri" w:cs="Calibri"/>
          <w:color w:val="000000" w:themeColor="text1"/>
          <w:lang w:val="en-US"/>
        </w:rPr>
        <w:t xml:space="preserve">training. The </w:t>
      </w:r>
      <w:r>
        <w:rPr>
          <w:rFonts w:ascii="Calibri" w:eastAsia="Calibri" w:hAnsi="Calibri" w:cs="Calibri"/>
          <w:color w:val="000000" w:themeColor="text1"/>
          <w:lang w:val="en-US"/>
        </w:rPr>
        <w:t xml:space="preserve">longer-term </w:t>
      </w:r>
      <w:r w:rsidRPr="4FCF45F9">
        <w:rPr>
          <w:rFonts w:ascii="Calibri" w:eastAsia="Calibri" w:hAnsi="Calibri" w:cs="Calibri"/>
          <w:color w:val="000000" w:themeColor="text1"/>
          <w:lang w:val="en-US"/>
        </w:rPr>
        <w:t>outcomes remain to be seen. The MTR note</w:t>
      </w:r>
      <w:r>
        <w:rPr>
          <w:rFonts w:ascii="Calibri" w:eastAsia="Calibri" w:hAnsi="Calibri" w:cs="Calibri"/>
          <w:color w:val="000000" w:themeColor="text1"/>
          <w:lang w:val="en-US"/>
        </w:rPr>
        <w:t>s</w:t>
      </w:r>
      <w:r w:rsidRPr="4FCF45F9">
        <w:rPr>
          <w:rFonts w:ascii="Calibri" w:eastAsia="Calibri" w:hAnsi="Calibri" w:cs="Calibri"/>
          <w:color w:val="000000" w:themeColor="text1"/>
          <w:lang w:val="en-US"/>
        </w:rPr>
        <w:t xml:space="preserve"> that training often needs to be reinforced with ongoing support and </w:t>
      </w:r>
      <w:r>
        <w:rPr>
          <w:rFonts w:ascii="Calibri" w:eastAsia="Calibri" w:hAnsi="Calibri" w:cs="Calibri"/>
          <w:color w:val="000000" w:themeColor="text1"/>
          <w:lang w:val="en-US"/>
        </w:rPr>
        <w:t>follow-up</w:t>
      </w:r>
      <w:r w:rsidRPr="4FCF45F9">
        <w:rPr>
          <w:rFonts w:ascii="Calibri" w:eastAsia="Calibri" w:hAnsi="Calibri" w:cs="Calibri"/>
          <w:color w:val="000000" w:themeColor="text1"/>
          <w:lang w:val="en-US"/>
        </w:rPr>
        <w:t xml:space="preserve"> training </w:t>
      </w:r>
      <w:proofErr w:type="gramStart"/>
      <w:r w:rsidRPr="4FCF45F9">
        <w:rPr>
          <w:rFonts w:ascii="Calibri" w:eastAsia="Calibri" w:hAnsi="Calibri" w:cs="Calibri"/>
          <w:color w:val="000000" w:themeColor="text1"/>
          <w:lang w:val="en-US"/>
        </w:rPr>
        <w:t>in order to</w:t>
      </w:r>
      <w:proofErr w:type="gramEnd"/>
      <w:r w:rsidRPr="4FCF45F9">
        <w:rPr>
          <w:rFonts w:ascii="Calibri" w:eastAsia="Calibri" w:hAnsi="Calibri" w:cs="Calibri"/>
          <w:color w:val="000000" w:themeColor="text1"/>
          <w:lang w:val="en-US"/>
        </w:rPr>
        <w:t xml:space="preserve"> bring about </w:t>
      </w:r>
      <w:r>
        <w:rPr>
          <w:rFonts w:ascii="Calibri" w:eastAsia="Calibri" w:hAnsi="Calibri" w:cs="Calibri"/>
          <w:color w:val="000000" w:themeColor="text1"/>
          <w:lang w:val="en-US"/>
        </w:rPr>
        <w:t>tangible</w:t>
      </w:r>
      <w:r w:rsidRPr="4FCF45F9">
        <w:rPr>
          <w:rFonts w:ascii="Calibri" w:eastAsia="Calibri" w:hAnsi="Calibri" w:cs="Calibri"/>
          <w:color w:val="000000" w:themeColor="text1"/>
          <w:lang w:val="en-US"/>
        </w:rPr>
        <w:t xml:space="preserve"> change. </w:t>
      </w:r>
    </w:p>
    <w:p w14:paraId="18A3983D" w14:textId="17D3DD74" w:rsidR="0031499A" w:rsidRPr="007263DD" w:rsidRDefault="00460D76" w:rsidP="00460D76">
      <w:pPr>
        <w:spacing w:after="120" w:line="240" w:lineRule="auto"/>
        <w:rPr>
          <w:rFonts w:ascii="Calibri" w:eastAsia="Calibri" w:hAnsi="Calibri" w:cs="Calibri"/>
          <w:lang w:val="en-US"/>
        </w:rPr>
      </w:pPr>
      <w:r>
        <w:rPr>
          <w:rFonts w:ascii="Calibri" w:hAnsi="Calibri" w:cs="Calibri"/>
          <w:color w:val="000000"/>
        </w:rPr>
        <w:t>N</w:t>
      </w:r>
      <w:r w:rsidR="0031499A">
        <w:rPr>
          <w:rFonts w:ascii="Calibri" w:hAnsi="Calibri" w:cs="Calibri"/>
          <w:color w:val="000000"/>
        </w:rPr>
        <w:t xml:space="preserve">o formal government and private sector forum </w:t>
      </w:r>
      <w:r>
        <w:rPr>
          <w:rFonts w:ascii="Calibri" w:hAnsi="Calibri" w:cs="Calibri"/>
          <w:color w:val="000000"/>
        </w:rPr>
        <w:t>were</w:t>
      </w:r>
      <w:r w:rsidR="0031499A">
        <w:rPr>
          <w:rFonts w:ascii="Calibri" w:hAnsi="Calibri" w:cs="Calibri"/>
          <w:color w:val="000000"/>
        </w:rPr>
        <w:t xml:space="preserve"> established as per the AIHSP design. </w:t>
      </w:r>
      <w:r w:rsidR="0031499A">
        <w:rPr>
          <w:rFonts w:ascii="Calibri" w:hAnsi="Calibri" w:cs="Calibri"/>
          <w:color w:val="000000"/>
          <w:lang w:val="en-US"/>
        </w:rPr>
        <w:t xml:space="preserve">However, </w:t>
      </w:r>
      <w:r w:rsidR="0031499A" w:rsidRPr="568323C0">
        <w:rPr>
          <w:rFonts w:ascii="Calibri" w:eastAsia="Calibri" w:hAnsi="Calibri" w:cs="Calibri"/>
          <w:lang w:val="en-US"/>
        </w:rPr>
        <w:t xml:space="preserve">AIHSP </w:t>
      </w:r>
      <w:r w:rsidR="0031499A">
        <w:rPr>
          <w:rFonts w:ascii="Calibri" w:eastAsia="Calibri" w:hAnsi="Calibri" w:cs="Calibri"/>
          <w:lang w:val="en-US"/>
        </w:rPr>
        <w:t>commenced support for</w:t>
      </w:r>
      <w:r w:rsidR="0031499A" w:rsidRPr="568323C0">
        <w:rPr>
          <w:rFonts w:ascii="Calibri" w:eastAsia="Calibri" w:hAnsi="Calibri" w:cs="Calibri"/>
          <w:lang w:val="en-US"/>
        </w:rPr>
        <w:t xml:space="preserve"> the establishment of the Veterinary Statutory Body (VSB) and public private partnerships with</w:t>
      </w:r>
      <w:r w:rsidR="0067734E">
        <w:rPr>
          <w:rFonts w:ascii="Calibri" w:eastAsia="Calibri" w:hAnsi="Calibri" w:cs="Calibri"/>
          <w:lang w:val="en-US"/>
        </w:rPr>
        <w:t xml:space="preserve"> the Indonesian Veterinary Medical Association (</w:t>
      </w:r>
      <w:r w:rsidR="0031499A" w:rsidRPr="568323C0">
        <w:rPr>
          <w:rFonts w:ascii="Calibri" w:eastAsia="Calibri" w:hAnsi="Calibri" w:cs="Calibri"/>
          <w:lang w:val="en-ID"/>
        </w:rPr>
        <w:t>IVMA</w:t>
      </w:r>
      <w:r w:rsidR="0067734E">
        <w:rPr>
          <w:rFonts w:ascii="Calibri" w:eastAsia="Calibri" w:hAnsi="Calibri" w:cs="Calibri"/>
          <w:lang w:val="en-ID"/>
        </w:rPr>
        <w:t>)</w:t>
      </w:r>
      <w:r w:rsidR="0031499A" w:rsidRPr="568323C0">
        <w:rPr>
          <w:rFonts w:ascii="Calibri" w:eastAsia="Calibri" w:hAnsi="Calibri" w:cs="Calibri"/>
          <w:lang w:val="en-ID"/>
        </w:rPr>
        <w:t xml:space="preserve">. </w:t>
      </w:r>
      <w:r w:rsidR="0031499A">
        <w:rPr>
          <w:rFonts w:ascii="Calibri" w:eastAsia="Calibri" w:hAnsi="Calibri" w:cs="Calibri"/>
          <w:lang w:val="en-US"/>
        </w:rPr>
        <w:t xml:space="preserve">Formal regulations were being prepared. </w:t>
      </w:r>
    </w:p>
    <w:p w14:paraId="57142211" w14:textId="5BB7FC3E" w:rsidR="0031499A" w:rsidRDefault="0031499A" w:rsidP="00460D76">
      <w:pPr>
        <w:shd w:val="clear" w:color="auto" w:fill="FFFFFF" w:themeFill="background1"/>
        <w:spacing w:after="120" w:line="240" w:lineRule="auto"/>
        <w:rPr>
          <w:rFonts w:ascii="Calibri" w:eastAsia="Calibri" w:hAnsi="Calibri" w:cs="Calibri"/>
          <w:lang w:val="en-US"/>
        </w:rPr>
      </w:pPr>
      <w:r w:rsidRPr="4FCF45F9">
        <w:rPr>
          <w:lang w:val="en-US"/>
        </w:rPr>
        <w:t xml:space="preserve">Approximately 16 structures to promote multi-stakeholder collaboration and </w:t>
      </w:r>
      <w:r w:rsidR="00E37C04" w:rsidRPr="4FCF45F9">
        <w:rPr>
          <w:lang w:val="en-US"/>
        </w:rPr>
        <w:t xml:space="preserve">a </w:t>
      </w:r>
      <w:r w:rsidR="00782869">
        <w:rPr>
          <w:lang w:val="en-US"/>
        </w:rPr>
        <w:t>One Health</w:t>
      </w:r>
      <w:r w:rsidRPr="4FCF45F9">
        <w:rPr>
          <w:lang w:val="en-US"/>
        </w:rPr>
        <w:t xml:space="preserve"> approach were established in the </w:t>
      </w:r>
      <w:r w:rsidR="00296D40">
        <w:rPr>
          <w:lang w:val="en-US"/>
        </w:rPr>
        <w:t>AIHSP</w:t>
      </w:r>
      <w:r w:rsidR="00296D40" w:rsidRPr="4FCF45F9">
        <w:rPr>
          <w:lang w:val="en-US"/>
        </w:rPr>
        <w:t xml:space="preserve"> </w:t>
      </w:r>
      <w:r w:rsidR="002F24CA">
        <w:rPr>
          <w:lang w:val="en-US"/>
        </w:rPr>
        <w:t xml:space="preserve">priority </w:t>
      </w:r>
      <w:r w:rsidRPr="4FCF45F9">
        <w:rPr>
          <w:lang w:val="en-US"/>
        </w:rPr>
        <w:t xml:space="preserve">provinces. </w:t>
      </w:r>
      <w:r w:rsidRPr="000003D2">
        <w:rPr>
          <w:rFonts w:ascii="Calibri" w:eastAsia="Calibri" w:hAnsi="Calibri" w:cs="Calibri"/>
          <w:lang w:val="en-US"/>
        </w:rPr>
        <w:t>However, there was limited evidence</w:t>
      </w:r>
      <w:r w:rsidR="00FC0B02">
        <w:rPr>
          <w:rFonts w:ascii="Calibri" w:eastAsia="Calibri" w:hAnsi="Calibri" w:cs="Calibri"/>
          <w:lang w:val="en-US"/>
        </w:rPr>
        <w:t>,</w:t>
      </w:r>
      <w:r w:rsidRPr="000003D2">
        <w:rPr>
          <w:rFonts w:ascii="Calibri" w:eastAsia="Calibri" w:hAnsi="Calibri" w:cs="Calibri"/>
          <w:lang w:val="en-US"/>
        </w:rPr>
        <w:t xml:space="preserve"> </w:t>
      </w:r>
      <w:r w:rsidR="00320C93" w:rsidRPr="008475D3">
        <w:rPr>
          <w:rFonts w:ascii="Calibri" w:eastAsia="Calibri" w:hAnsi="Calibri" w:cs="Calibri"/>
          <w:lang w:val="en-US"/>
        </w:rPr>
        <w:t xml:space="preserve">at the time of </w:t>
      </w:r>
      <w:r w:rsidR="00ED1F5C" w:rsidRPr="008475D3">
        <w:rPr>
          <w:rFonts w:ascii="Calibri" w:eastAsia="Calibri" w:hAnsi="Calibri" w:cs="Calibri"/>
          <w:lang w:val="en-US"/>
        </w:rPr>
        <w:t>preparing the MTR</w:t>
      </w:r>
      <w:r w:rsidR="00FC0B02">
        <w:rPr>
          <w:rFonts w:ascii="Calibri" w:eastAsia="Calibri" w:hAnsi="Calibri" w:cs="Calibri"/>
          <w:lang w:val="en-US"/>
        </w:rPr>
        <w:t>,</w:t>
      </w:r>
      <w:r w:rsidR="00320C93" w:rsidRPr="008475D3">
        <w:rPr>
          <w:rFonts w:ascii="Calibri" w:eastAsia="Calibri" w:hAnsi="Calibri" w:cs="Calibri"/>
          <w:lang w:val="en-US"/>
        </w:rPr>
        <w:t xml:space="preserve"> </w:t>
      </w:r>
      <w:r w:rsidRPr="000003D2">
        <w:rPr>
          <w:rFonts w:ascii="Calibri" w:eastAsia="Calibri" w:hAnsi="Calibri" w:cs="Calibri"/>
          <w:lang w:val="en-US"/>
        </w:rPr>
        <w:t xml:space="preserve">of these structures implementing </w:t>
      </w:r>
      <w:r w:rsidR="00782869" w:rsidRPr="000003D2">
        <w:rPr>
          <w:rFonts w:ascii="Calibri" w:eastAsia="Calibri" w:hAnsi="Calibri" w:cs="Calibri"/>
          <w:lang w:val="en-US"/>
        </w:rPr>
        <w:t>One Health</w:t>
      </w:r>
      <w:r w:rsidRPr="000003D2">
        <w:rPr>
          <w:rFonts w:ascii="Calibri" w:eastAsia="Calibri" w:hAnsi="Calibri" w:cs="Calibri"/>
          <w:lang w:val="en-US"/>
        </w:rPr>
        <w:t xml:space="preserve"> in actual emergenc</w:t>
      </w:r>
      <w:r w:rsidR="00E37C04" w:rsidRPr="000003D2">
        <w:rPr>
          <w:rFonts w:ascii="Calibri" w:eastAsia="Calibri" w:hAnsi="Calibri" w:cs="Calibri"/>
          <w:lang w:val="en-US"/>
        </w:rPr>
        <w:t>ies</w:t>
      </w:r>
      <w:r w:rsidRPr="000003D2">
        <w:rPr>
          <w:rFonts w:ascii="Calibri" w:eastAsia="Calibri" w:hAnsi="Calibri" w:cs="Calibri"/>
          <w:lang w:val="en-US"/>
        </w:rPr>
        <w:t xml:space="preserve"> or for health security programming. The only instance was the rabies response in </w:t>
      </w:r>
      <w:proofErr w:type="spellStart"/>
      <w:r w:rsidRPr="000003D2">
        <w:rPr>
          <w:rFonts w:ascii="Calibri" w:eastAsia="Calibri" w:hAnsi="Calibri" w:cs="Calibri"/>
          <w:lang w:val="en-US"/>
        </w:rPr>
        <w:t>Buleleng</w:t>
      </w:r>
      <w:proofErr w:type="spellEnd"/>
      <w:r w:rsidR="000A4592" w:rsidRPr="000003D2">
        <w:rPr>
          <w:rFonts w:ascii="Calibri" w:eastAsia="Calibri" w:hAnsi="Calibri" w:cs="Calibri"/>
          <w:lang w:val="en-US"/>
        </w:rPr>
        <w:t>, Bali</w:t>
      </w:r>
      <w:r w:rsidRPr="000003D2">
        <w:rPr>
          <w:rFonts w:ascii="Calibri" w:eastAsia="Calibri" w:hAnsi="Calibri" w:cs="Calibri"/>
          <w:lang w:val="en-US"/>
        </w:rPr>
        <w:t xml:space="preserve"> which involved a joint response by different government (DHO, District Agricultural Office, village government) and non-government (traditional village council) actors</w:t>
      </w:r>
      <w:r w:rsidRPr="4FCF45F9">
        <w:rPr>
          <w:rFonts w:ascii="Calibri" w:eastAsia="Calibri" w:hAnsi="Calibri" w:cs="Calibri"/>
          <w:lang w:val="en-US"/>
        </w:rPr>
        <w:t>. This</w:t>
      </w:r>
      <w:r w:rsidR="00D2402C">
        <w:rPr>
          <w:rFonts w:ascii="Calibri" w:eastAsia="Calibri" w:hAnsi="Calibri" w:cs="Calibri"/>
          <w:lang w:val="en-US"/>
        </w:rPr>
        <w:t xml:space="preserve"> </w:t>
      </w:r>
      <w:r w:rsidRPr="4FCF45F9">
        <w:rPr>
          <w:rFonts w:ascii="Calibri" w:eastAsia="Calibri" w:hAnsi="Calibri" w:cs="Calibri"/>
          <w:lang w:val="en-US"/>
        </w:rPr>
        <w:t xml:space="preserve">resulted </w:t>
      </w:r>
      <w:r w:rsidRPr="4FCF45F9">
        <w:rPr>
          <w:rFonts w:ascii="Calibri" w:eastAsia="Calibri" w:hAnsi="Calibri" w:cs="Calibri"/>
          <w:color w:val="000000" w:themeColor="text1"/>
          <w:lang w:val="en-US"/>
        </w:rPr>
        <w:t xml:space="preserve">in the joint decision to mandate all </w:t>
      </w:r>
      <w:proofErr w:type="spellStart"/>
      <w:r w:rsidRPr="4FCF45F9">
        <w:rPr>
          <w:rFonts w:ascii="Calibri" w:eastAsia="Calibri" w:hAnsi="Calibri" w:cs="Calibri"/>
          <w:color w:val="000000" w:themeColor="text1"/>
          <w:lang w:val="en-US"/>
        </w:rPr>
        <w:t>puskesmas</w:t>
      </w:r>
      <w:proofErr w:type="spellEnd"/>
      <w:r w:rsidRPr="4FCF45F9">
        <w:rPr>
          <w:rFonts w:ascii="Calibri" w:eastAsia="Calibri" w:hAnsi="Calibri" w:cs="Calibri"/>
          <w:color w:val="000000" w:themeColor="text1"/>
          <w:lang w:val="en-US"/>
        </w:rPr>
        <w:t xml:space="preserve"> to be designated as rabies </w:t>
      </w:r>
      <w:proofErr w:type="spellStart"/>
      <w:r w:rsidRPr="4FCF45F9">
        <w:rPr>
          <w:rFonts w:ascii="Calibri" w:eastAsia="Calibri" w:hAnsi="Calibri" w:cs="Calibri"/>
          <w:color w:val="000000" w:themeColor="text1"/>
          <w:lang w:val="en-US"/>
        </w:rPr>
        <w:t>centres</w:t>
      </w:r>
      <w:proofErr w:type="spellEnd"/>
      <w:r w:rsidRPr="4FCF45F9">
        <w:rPr>
          <w:rFonts w:ascii="Calibri" w:eastAsia="Calibri" w:hAnsi="Calibri" w:cs="Calibri"/>
          <w:color w:val="000000" w:themeColor="text1"/>
          <w:lang w:val="en-US"/>
        </w:rPr>
        <w:t xml:space="preserve"> and expedited vaccination</w:t>
      </w:r>
      <w:r w:rsidR="00E37C04">
        <w:rPr>
          <w:rFonts w:ascii="Calibri" w:eastAsia="Calibri" w:hAnsi="Calibri" w:cs="Calibri"/>
          <w:color w:val="000000" w:themeColor="text1"/>
          <w:lang w:val="en-US"/>
        </w:rPr>
        <w:t xml:space="preserve"> of dogs</w:t>
      </w:r>
      <w:r w:rsidR="34B729BA" w:rsidRPr="4FCF45F9">
        <w:rPr>
          <w:rFonts w:ascii="Calibri" w:eastAsia="Calibri" w:hAnsi="Calibri" w:cs="Calibri"/>
          <w:color w:val="000000" w:themeColor="text1"/>
          <w:lang w:val="en-US"/>
        </w:rPr>
        <w:t>. M</w:t>
      </w:r>
      <w:r w:rsidRPr="4FCF45F9">
        <w:rPr>
          <w:rFonts w:ascii="Calibri" w:eastAsia="Calibri" w:hAnsi="Calibri" w:cs="Calibri"/>
          <w:lang w:val="en-US"/>
        </w:rPr>
        <w:t xml:space="preserve">ore than 80% of dogs have now been vaccinated.  </w:t>
      </w:r>
    </w:p>
    <w:p w14:paraId="2D5DA19C" w14:textId="5A941E8E" w:rsidR="00965A72" w:rsidRDefault="00965A72" w:rsidP="00460D76">
      <w:pPr>
        <w:spacing w:after="120" w:line="240" w:lineRule="auto"/>
        <w:rPr>
          <w:rFonts w:ascii="Calibri" w:eastAsia="Calibri" w:hAnsi="Calibri" w:cs="Calibri"/>
          <w:lang w:val="en-US"/>
        </w:rPr>
      </w:pPr>
      <w:r>
        <w:rPr>
          <w:lang w:val="en-US"/>
        </w:rPr>
        <w:t xml:space="preserve">While acknowledging the difficulty of maintaining health emergency structures in </w:t>
      </w:r>
      <w:r w:rsidR="000A4592" w:rsidRPr="48362220">
        <w:rPr>
          <w:lang w:val="en-US"/>
        </w:rPr>
        <w:t xml:space="preserve">non-emergency </w:t>
      </w:r>
      <w:r>
        <w:rPr>
          <w:lang w:val="en-US"/>
        </w:rPr>
        <w:t>time</w:t>
      </w:r>
      <w:r w:rsidR="000A4592" w:rsidRPr="48362220">
        <w:rPr>
          <w:lang w:val="en-US"/>
        </w:rPr>
        <w:t>s</w:t>
      </w:r>
      <w:r>
        <w:rPr>
          <w:lang w:val="en-US"/>
        </w:rPr>
        <w:t xml:space="preserve">, there are documents that explicitly describe how </w:t>
      </w:r>
      <w:r w:rsidR="00EF2AF0">
        <w:rPr>
          <w:lang w:val="en-US"/>
        </w:rPr>
        <w:t>national actors can achieve this</w:t>
      </w:r>
      <w:r>
        <w:rPr>
          <w:lang w:val="en-US"/>
        </w:rPr>
        <w:t xml:space="preserve">. Specifically, the </w:t>
      </w:r>
      <w:r w:rsidRPr="00F2691C">
        <w:rPr>
          <w:lang w:val="en-US"/>
        </w:rPr>
        <w:t>Tripartite Zoonoses Guide (TZG</w:t>
      </w:r>
      <w:r>
        <w:rPr>
          <w:lang w:val="en-US"/>
        </w:rPr>
        <w:t>)</w:t>
      </w:r>
      <w:r>
        <w:rPr>
          <w:rStyle w:val="FootnoteReference"/>
          <w:lang w:val="en-US"/>
        </w:rPr>
        <w:footnoteReference w:id="21"/>
      </w:r>
      <w:r w:rsidRPr="00F2691C">
        <w:rPr>
          <w:lang w:val="en-US"/>
        </w:rPr>
        <w:t xml:space="preserve"> provide</w:t>
      </w:r>
      <w:r>
        <w:rPr>
          <w:lang w:val="en-US"/>
        </w:rPr>
        <w:t>s</w:t>
      </w:r>
      <w:r w:rsidRPr="00F2691C">
        <w:rPr>
          <w:lang w:val="en-US"/>
        </w:rPr>
        <w:t xml:space="preserve"> countries with operational guidance and tools for the implementation of a multisectoral, </w:t>
      </w:r>
      <w:r w:rsidR="00782869">
        <w:rPr>
          <w:lang w:val="en-US"/>
        </w:rPr>
        <w:t>One Health</w:t>
      </w:r>
      <w:r w:rsidRPr="00F2691C">
        <w:rPr>
          <w:lang w:val="en-US"/>
        </w:rPr>
        <w:t xml:space="preserve"> approach to address zoonotic diseases and other shared health threats at the human-animal-environment interface</w:t>
      </w:r>
      <w:r>
        <w:rPr>
          <w:lang w:val="en-US"/>
        </w:rPr>
        <w:t xml:space="preserve">. </w:t>
      </w:r>
    </w:p>
    <w:p w14:paraId="563F44D7" w14:textId="5440D89A" w:rsidR="00BF1771" w:rsidRDefault="00BF1771" w:rsidP="00460D76">
      <w:pPr>
        <w:spacing w:after="120" w:line="240" w:lineRule="auto"/>
        <w:rPr>
          <w:rFonts w:ascii="Calibri" w:eastAsia="Calibri" w:hAnsi="Calibri" w:cs="Calibri"/>
          <w:lang w:val="en-US"/>
        </w:rPr>
      </w:pPr>
      <w:r>
        <w:rPr>
          <w:rFonts w:ascii="Calibri" w:eastAsia="Calibri" w:hAnsi="Calibri" w:cs="Calibri"/>
          <w:color w:val="000000" w:themeColor="text1"/>
          <w:lang w:val="en-US"/>
        </w:rPr>
        <w:t xml:space="preserve">In Bali, </w:t>
      </w:r>
      <w:r w:rsidRPr="48362220">
        <w:rPr>
          <w:rFonts w:ascii="Calibri" w:eastAsia="Calibri" w:hAnsi="Calibri" w:cs="Calibri"/>
          <w:color w:val="000000" w:themeColor="text1"/>
          <w:lang w:val="en-US"/>
        </w:rPr>
        <w:t>AIHSP supported the TISIRA (Rabies Alert Teams)</w:t>
      </w:r>
      <w:r>
        <w:rPr>
          <w:rFonts w:ascii="Calibri" w:eastAsia="Calibri" w:hAnsi="Calibri" w:cs="Calibri"/>
          <w:color w:val="000000" w:themeColor="text1"/>
          <w:lang w:val="en-US"/>
        </w:rPr>
        <w:t>, a community, village-based surveillance for rabies control</w:t>
      </w:r>
      <w:r w:rsidRPr="48362220">
        <w:rPr>
          <w:rFonts w:ascii="Calibri" w:eastAsia="Calibri" w:hAnsi="Calibri" w:cs="Calibri"/>
          <w:lang w:val="en-US"/>
        </w:rPr>
        <w:t xml:space="preserve">. This </w:t>
      </w:r>
      <w:r>
        <w:rPr>
          <w:rFonts w:ascii="Calibri" w:eastAsia="Calibri" w:hAnsi="Calibri" w:cs="Calibri"/>
          <w:lang w:val="en-US"/>
        </w:rPr>
        <w:t>was</w:t>
      </w:r>
      <w:r w:rsidRPr="48362220">
        <w:rPr>
          <w:rFonts w:ascii="Calibri" w:eastAsia="Calibri" w:hAnsi="Calibri" w:cs="Calibri"/>
          <w:lang w:val="en-US"/>
        </w:rPr>
        <w:t xml:space="preserve"> promising </w:t>
      </w:r>
      <w:r>
        <w:rPr>
          <w:rFonts w:ascii="Calibri" w:eastAsia="Calibri" w:hAnsi="Calibri" w:cs="Calibri"/>
          <w:lang w:val="en-US"/>
        </w:rPr>
        <w:t>progress</w:t>
      </w:r>
      <w:r w:rsidRPr="48362220">
        <w:rPr>
          <w:rFonts w:ascii="Calibri" w:eastAsia="Calibri" w:hAnsi="Calibri" w:cs="Calibri"/>
          <w:lang w:val="en-US"/>
        </w:rPr>
        <w:t xml:space="preserve"> in community </w:t>
      </w:r>
      <w:r>
        <w:rPr>
          <w:rFonts w:ascii="Calibri" w:eastAsia="Calibri" w:hAnsi="Calibri" w:cs="Calibri"/>
          <w:lang w:val="en-US"/>
        </w:rPr>
        <w:t>mobilization, as TISIRA teams reported helping strengthen cases reported and monitoring of rabies in their neighborhoods</w:t>
      </w:r>
      <w:r w:rsidRPr="48362220">
        <w:rPr>
          <w:rFonts w:ascii="Calibri" w:eastAsia="Calibri" w:hAnsi="Calibri" w:cs="Calibri"/>
          <w:lang w:val="en-US"/>
        </w:rPr>
        <w:t xml:space="preserve">. </w:t>
      </w:r>
      <w:r>
        <w:rPr>
          <w:rFonts w:ascii="Calibri" w:eastAsia="Calibri" w:hAnsi="Calibri" w:cs="Calibri"/>
          <w:lang w:val="en-US"/>
        </w:rPr>
        <w:t xml:space="preserve">In </w:t>
      </w:r>
      <w:proofErr w:type="spellStart"/>
      <w:r>
        <w:rPr>
          <w:rFonts w:ascii="Calibri" w:eastAsia="Calibri" w:hAnsi="Calibri" w:cs="Calibri"/>
          <w:lang w:val="en-US"/>
        </w:rPr>
        <w:t>Buleleng</w:t>
      </w:r>
      <w:proofErr w:type="spellEnd"/>
      <w:r>
        <w:rPr>
          <w:rFonts w:ascii="Calibri" w:eastAsia="Calibri" w:hAnsi="Calibri" w:cs="Calibri"/>
          <w:lang w:val="en-US"/>
        </w:rPr>
        <w:t xml:space="preserve"> district, local leaders instructed all villages to issue regulations to establish TISIRA.</w:t>
      </w:r>
      <w:r w:rsidRPr="48362220">
        <w:rPr>
          <w:rFonts w:ascii="Calibri" w:eastAsia="Calibri" w:hAnsi="Calibri" w:cs="Calibri"/>
          <w:lang w:val="en-US"/>
        </w:rPr>
        <w:t xml:space="preserve"> </w:t>
      </w:r>
      <w:r>
        <w:rPr>
          <w:rFonts w:ascii="Calibri" w:eastAsia="Calibri" w:hAnsi="Calibri" w:cs="Calibri"/>
          <w:lang w:val="en-US"/>
        </w:rPr>
        <w:t>The monitoring role of TISIRA was considered important as t</w:t>
      </w:r>
      <w:r w:rsidRPr="48362220">
        <w:rPr>
          <w:rFonts w:ascii="Calibri" w:eastAsia="Calibri" w:hAnsi="Calibri" w:cs="Calibri"/>
          <w:lang w:val="en-US"/>
        </w:rPr>
        <w:t xml:space="preserve">his </w:t>
      </w:r>
      <w:r>
        <w:rPr>
          <w:rFonts w:ascii="Calibri" w:eastAsia="Calibri" w:hAnsi="Calibri" w:cs="Calibri"/>
          <w:lang w:val="en-US"/>
        </w:rPr>
        <w:t xml:space="preserve">role </w:t>
      </w:r>
      <w:r w:rsidRPr="48362220">
        <w:rPr>
          <w:rFonts w:ascii="Calibri" w:eastAsia="Calibri" w:hAnsi="Calibri" w:cs="Calibri"/>
          <w:lang w:val="en-US"/>
        </w:rPr>
        <w:t>was difficult for the DHO or the primary animal health care office (</w:t>
      </w:r>
      <w:proofErr w:type="spellStart"/>
      <w:r w:rsidRPr="48362220">
        <w:rPr>
          <w:rFonts w:ascii="Calibri" w:eastAsia="Calibri" w:hAnsi="Calibri" w:cs="Calibri"/>
          <w:lang w:val="en-US"/>
        </w:rPr>
        <w:t>puskewan</w:t>
      </w:r>
      <w:proofErr w:type="spellEnd"/>
      <w:r w:rsidRPr="48362220">
        <w:rPr>
          <w:rFonts w:ascii="Calibri" w:eastAsia="Calibri" w:hAnsi="Calibri" w:cs="Calibri"/>
          <w:lang w:val="en-US"/>
        </w:rPr>
        <w:t xml:space="preserve">) to perform thoroughly </w:t>
      </w:r>
      <w:r>
        <w:rPr>
          <w:rFonts w:ascii="Calibri" w:eastAsia="Calibri" w:hAnsi="Calibri" w:cs="Calibri"/>
          <w:lang w:val="en-US"/>
        </w:rPr>
        <w:t xml:space="preserve">by themselves </w:t>
      </w:r>
      <w:r w:rsidRPr="48362220">
        <w:rPr>
          <w:rFonts w:ascii="Calibri" w:eastAsia="Calibri" w:hAnsi="Calibri" w:cs="Calibri"/>
          <w:lang w:val="en-US"/>
        </w:rPr>
        <w:t xml:space="preserve">due to </w:t>
      </w:r>
      <w:r>
        <w:rPr>
          <w:rFonts w:ascii="Calibri" w:eastAsia="Calibri" w:hAnsi="Calibri" w:cs="Calibri"/>
          <w:lang w:val="en-US"/>
        </w:rPr>
        <w:t>a</w:t>
      </w:r>
      <w:r w:rsidRPr="48362220">
        <w:rPr>
          <w:rFonts w:ascii="Calibri" w:eastAsia="Calibri" w:hAnsi="Calibri" w:cs="Calibri"/>
          <w:lang w:val="en-US"/>
        </w:rPr>
        <w:t xml:space="preserve"> limited </w:t>
      </w:r>
      <w:r>
        <w:rPr>
          <w:rFonts w:ascii="Calibri" w:eastAsia="Calibri" w:hAnsi="Calibri" w:cs="Calibri"/>
          <w:lang w:val="en-US"/>
        </w:rPr>
        <w:t xml:space="preserve">number of </w:t>
      </w:r>
      <w:r w:rsidRPr="48362220">
        <w:rPr>
          <w:rFonts w:ascii="Calibri" w:eastAsia="Calibri" w:hAnsi="Calibri" w:cs="Calibri"/>
          <w:lang w:val="en-US"/>
        </w:rPr>
        <w:t xml:space="preserve">staff. </w:t>
      </w:r>
      <w:r>
        <w:rPr>
          <w:rFonts w:ascii="Calibri" w:eastAsia="Calibri" w:hAnsi="Calibri" w:cs="Calibri"/>
          <w:lang w:val="en-US"/>
        </w:rPr>
        <w:t>Despite the momentum of this activity, t</w:t>
      </w:r>
      <w:r w:rsidRPr="48362220">
        <w:rPr>
          <w:rFonts w:ascii="Calibri" w:eastAsia="Calibri" w:hAnsi="Calibri" w:cs="Calibri"/>
          <w:lang w:val="en-US"/>
        </w:rPr>
        <w:t xml:space="preserve">he MTR Team noted an uneasiness among </w:t>
      </w:r>
      <w:r>
        <w:rPr>
          <w:rFonts w:ascii="Calibri" w:eastAsia="Calibri" w:hAnsi="Calibri" w:cs="Calibri"/>
          <w:lang w:val="en-US"/>
        </w:rPr>
        <w:t>a</w:t>
      </w:r>
      <w:r w:rsidRPr="48362220">
        <w:rPr>
          <w:rFonts w:ascii="Calibri" w:eastAsia="Calibri" w:hAnsi="Calibri" w:cs="Calibri"/>
          <w:lang w:val="en-US"/>
        </w:rPr>
        <w:t xml:space="preserve"> TISIRA </w:t>
      </w:r>
      <w:r>
        <w:rPr>
          <w:rFonts w:ascii="Calibri" w:eastAsia="Calibri" w:hAnsi="Calibri" w:cs="Calibri"/>
          <w:lang w:val="en-US"/>
        </w:rPr>
        <w:t xml:space="preserve">team that was interviewed </w:t>
      </w:r>
      <w:r w:rsidRPr="48362220">
        <w:rPr>
          <w:rFonts w:ascii="Calibri" w:eastAsia="Calibri" w:hAnsi="Calibri" w:cs="Calibri"/>
          <w:lang w:val="en-US"/>
        </w:rPr>
        <w:t xml:space="preserve">due to the high </w:t>
      </w:r>
      <w:r>
        <w:rPr>
          <w:rFonts w:ascii="Calibri" w:eastAsia="Calibri" w:hAnsi="Calibri" w:cs="Calibri"/>
          <w:lang w:val="en-US"/>
        </w:rPr>
        <w:t>number</w:t>
      </w:r>
      <w:r w:rsidRPr="48362220">
        <w:rPr>
          <w:rFonts w:ascii="Calibri" w:eastAsia="Calibri" w:hAnsi="Calibri" w:cs="Calibri"/>
          <w:lang w:val="en-US"/>
        </w:rPr>
        <w:t xml:space="preserve"> of </w:t>
      </w:r>
      <w:r>
        <w:rPr>
          <w:rFonts w:ascii="Calibri" w:eastAsia="Calibri" w:hAnsi="Calibri" w:cs="Calibri"/>
          <w:lang w:val="en-US"/>
        </w:rPr>
        <w:t xml:space="preserve">official visits to their village and speaking invitations </w:t>
      </w:r>
      <w:r>
        <w:rPr>
          <w:rFonts w:ascii="Calibri" w:eastAsia="Calibri" w:hAnsi="Calibri" w:cs="Calibri"/>
          <w:lang w:val="en-US"/>
        </w:rPr>
        <w:lastRenderedPageBreak/>
        <w:t xml:space="preserve">arranged by AIHSP. At the same time, </w:t>
      </w:r>
      <w:r w:rsidRPr="48362220">
        <w:rPr>
          <w:rFonts w:ascii="Calibri" w:eastAsia="Calibri" w:hAnsi="Calibri" w:cs="Calibri"/>
          <w:lang w:val="en-US"/>
        </w:rPr>
        <w:t>rabies had not been completely controlled</w:t>
      </w:r>
      <w:r>
        <w:rPr>
          <w:rFonts w:ascii="Calibri" w:eastAsia="Calibri" w:hAnsi="Calibri" w:cs="Calibri"/>
          <w:lang w:val="en-US"/>
        </w:rPr>
        <w:t xml:space="preserve"> in their village</w:t>
      </w:r>
      <w:r w:rsidRPr="48362220">
        <w:rPr>
          <w:rFonts w:ascii="Calibri" w:eastAsia="Calibri" w:hAnsi="Calibri" w:cs="Calibri"/>
          <w:lang w:val="en-US"/>
        </w:rPr>
        <w:t xml:space="preserve">. </w:t>
      </w:r>
      <w:r>
        <w:rPr>
          <w:rFonts w:ascii="Calibri" w:eastAsia="Calibri" w:hAnsi="Calibri" w:cs="Calibri"/>
          <w:lang w:val="en-US"/>
        </w:rPr>
        <w:t>This appeared to be placing undue pressure and expectation on the TISIRA and their village.</w:t>
      </w:r>
    </w:p>
    <w:p w14:paraId="6876F3AA" w14:textId="77777777" w:rsidR="0031499A" w:rsidRDefault="0031499A" w:rsidP="0031499A">
      <w:pPr>
        <w:pStyle w:val="Heading3"/>
      </w:pPr>
      <w:bookmarkStart w:id="80" w:name="_Toc135837418"/>
      <w:r>
        <w:t>WHO and UNICEF</w:t>
      </w:r>
      <w:bookmarkEnd w:id="80"/>
    </w:p>
    <w:p w14:paraId="366E9C8C" w14:textId="6D0266C6" w:rsidR="0031499A" w:rsidRDefault="0031499A" w:rsidP="00460D76">
      <w:pPr>
        <w:spacing w:after="120" w:line="240" w:lineRule="auto"/>
        <w:rPr>
          <w:rFonts w:ascii="Calibri" w:eastAsia="Calibri" w:hAnsi="Calibri" w:cs="Calibri"/>
          <w:color w:val="000000" w:themeColor="text1"/>
          <w:lang w:val="en-US"/>
        </w:rPr>
      </w:pPr>
      <w:r w:rsidRPr="48362220">
        <w:rPr>
          <w:rFonts w:ascii="Calibri" w:eastAsia="Calibri" w:hAnsi="Calibri" w:cs="Calibri"/>
          <w:color w:val="000000" w:themeColor="text1"/>
          <w:lang w:val="en-US"/>
        </w:rPr>
        <w:t xml:space="preserve">WHO and UNICEF contributed to working groups and </w:t>
      </w:r>
      <w:r w:rsidR="00713C52" w:rsidRPr="48362220">
        <w:rPr>
          <w:rFonts w:ascii="Calibri" w:eastAsia="Calibri" w:hAnsi="Calibri" w:cs="Calibri"/>
          <w:color w:val="000000" w:themeColor="text1"/>
          <w:lang w:val="en-US"/>
        </w:rPr>
        <w:t xml:space="preserve">a </w:t>
      </w:r>
      <w:r w:rsidRPr="48362220">
        <w:rPr>
          <w:rFonts w:ascii="Calibri" w:eastAsia="Calibri" w:hAnsi="Calibri" w:cs="Calibri"/>
          <w:color w:val="000000" w:themeColor="text1"/>
          <w:lang w:val="en-US"/>
        </w:rPr>
        <w:t xml:space="preserve">donor coordination forum for COVID-19 </w:t>
      </w:r>
      <w:r w:rsidRPr="48362220">
        <w:rPr>
          <w:rFonts w:ascii="Calibri" w:eastAsia="Calibri" w:hAnsi="Calibri" w:cs="Calibri"/>
          <w:i/>
          <w:iCs/>
          <w:color w:val="000000" w:themeColor="text1"/>
          <w:lang w:val="en-US"/>
        </w:rPr>
        <w:t xml:space="preserve">(see </w:t>
      </w:r>
      <w:r w:rsidR="004C0121">
        <w:rPr>
          <w:rFonts w:ascii="Calibri" w:eastAsia="Calibri" w:hAnsi="Calibri" w:cs="Calibri"/>
          <w:i/>
          <w:iCs/>
          <w:color w:val="000000" w:themeColor="text1"/>
          <w:lang w:val="en-US"/>
        </w:rPr>
        <w:t>s</w:t>
      </w:r>
      <w:r w:rsidRPr="48362220">
        <w:rPr>
          <w:rFonts w:ascii="Calibri" w:eastAsia="Calibri" w:hAnsi="Calibri" w:cs="Calibri"/>
          <w:i/>
          <w:iCs/>
          <w:color w:val="000000" w:themeColor="text1"/>
          <w:lang w:val="en-US"/>
        </w:rPr>
        <w:t>ection 4)</w:t>
      </w:r>
      <w:r w:rsidRPr="48362220">
        <w:rPr>
          <w:rFonts w:ascii="Calibri" w:eastAsia="Calibri" w:hAnsi="Calibri" w:cs="Calibri"/>
          <w:color w:val="000000" w:themeColor="text1"/>
          <w:lang w:val="en-US"/>
        </w:rPr>
        <w:t xml:space="preserve">. WHO </w:t>
      </w:r>
      <w:r w:rsidR="1B26D8B8" w:rsidRPr="48362220">
        <w:rPr>
          <w:rFonts w:ascii="Calibri" w:eastAsia="Calibri" w:hAnsi="Calibri" w:cs="Calibri"/>
          <w:color w:val="000000" w:themeColor="text1"/>
          <w:lang w:val="en-US"/>
        </w:rPr>
        <w:t>has</w:t>
      </w:r>
      <w:r w:rsidRPr="48362220">
        <w:rPr>
          <w:rFonts w:ascii="Calibri" w:eastAsia="Calibri" w:hAnsi="Calibri" w:cs="Calibri"/>
          <w:color w:val="000000" w:themeColor="text1"/>
          <w:lang w:val="en-US"/>
        </w:rPr>
        <w:t xml:space="preserve"> long been an advocate for a </w:t>
      </w:r>
      <w:r w:rsidR="00782869">
        <w:rPr>
          <w:rFonts w:ascii="Calibri" w:eastAsia="Calibri" w:hAnsi="Calibri" w:cs="Calibri"/>
          <w:color w:val="000000" w:themeColor="text1"/>
          <w:lang w:val="en-US"/>
        </w:rPr>
        <w:t>One Health</w:t>
      </w:r>
      <w:r w:rsidR="00F03974" w:rsidRPr="48362220">
        <w:rPr>
          <w:rFonts w:ascii="Calibri" w:eastAsia="Calibri" w:hAnsi="Calibri" w:cs="Calibri"/>
          <w:color w:val="000000" w:themeColor="text1"/>
          <w:lang w:val="en-US"/>
        </w:rPr>
        <w:t xml:space="preserve"> </w:t>
      </w:r>
      <w:r w:rsidRPr="48362220">
        <w:rPr>
          <w:rFonts w:ascii="Calibri" w:eastAsia="Calibri" w:hAnsi="Calibri" w:cs="Calibri"/>
          <w:color w:val="000000" w:themeColor="text1"/>
          <w:lang w:val="en-US"/>
        </w:rPr>
        <w:t xml:space="preserve">approach in Indonesia </w:t>
      </w:r>
      <w:r w:rsidR="009D35B0">
        <w:rPr>
          <w:rFonts w:ascii="Calibri" w:eastAsia="Calibri" w:hAnsi="Calibri" w:cs="Calibri"/>
          <w:color w:val="000000" w:themeColor="text1"/>
          <w:lang w:val="en-US"/>
        </w:rPr>
        <w:t xml:space="preserve">and worked with Australia </w:t>
      </w:r>
      <w:r w:rsidR="00E37C04">
        <w:rPr>
          <w:rFonts w:ascii="Calibri" w:eastAsia="Calibri" w:hAnsi="Calibri" w:cs="Calibri"/>
          <w:color w:val="000000" w:themeColor="text1"/>
          <w:lang w:val="en-US"/>
        </w:rPr>
        <w:t>on applying</w:t>
      </w:r>
      <w:r w:rsidR="009D35B0">
        <w:rPr>
          <w:rFonts w:ascii="Calibri" w:eastAsia="Calibri" w:hAnsi="Calibri" w:cs="Calibri"/>
          <w:color w:val="000000" w:themeColor="text1"/>
          <w:lang w:val="en-US"/>
        </w:rPr>
        <w:t xml:space="preserve"> such an approach </w:t>
      </w:r>
      <w:r w:rsidR="00E37C04">
        <w:rPr>
          <w:rFonts w:ascii="Calibri" w:eastAsia="Calibri" w:hAnsi="Calibri" w:cs="Calibri"/>
          <w:color w:val="000000" w:themeColor="text1"/>
          <w:lang w:val="en-US"/>
        </w:rPr>
        <w:t>during</w:t>
      </w:r>
      <w:r w:rsidR="009D35B0">
        <w:rPr>
          <w:rFonts w:ascii="Calibri" w:eastAsia="Calibri" w:hAnsi="Calibri" w:cs="Calibri"/>
          <w:color w:val="000000" w:themeColor="text1"/>
          <w:lang w:val="en-US"/>
        </w:rPr>
        <w:t xml:space="preserve"> </w:t>
      </w:r>
      <w:r w:rsidR="001B2B99">
        <w:rPr>
          <w:rFonts w:ascii="Calibri" w:eastAsia="Calibri" w:hAnsi="Calibri" w:cs="Calibri"/>
          <w:color w:val="000000" w:themeColor="text1"/>
          <w:lang w:val="en-US"/>
        </w:rPr>
        <w:t xml:space="preserve">phase </w:t>
      </w:r>
      <w:r w:rsidR="00E37C04">
        <w:rPr>
          <w:rFonts w:ascii="Calibri" w:eastAsia="Calibri" w:hAnsi="Calibri" w:cs="Calibri"/>
          <w:color w:val="000000" w:themeColor="text1"/>
          <w:lang w:val="en-US"/>
        </w:rPr>
        <w:t>2</w:t>
      </w:r>
      <w:r w:rsidR="001B2B99">
        <w:rPr>
          <w:rFonts w:ascii="Calibri" w:eastAsia="Calibri" w:hAnsi="Calibri" w:cs="Calibri"/>
          <w:color w:val="000000" w:themeColor="text1"/>
          <w:lang w:val="en-US"/>
        </w:rPr>
        <w:t xml:space="preserve"> of </w:t>
      </w:r>
      <w:r w:rsidR="009D35B0">
        <w:rPr>
          <w:rFonts w:ascii="Calibri" w:eastAsia="Calibri" w:hAnsi="Calibri" w:cs="Calibri"/>
          <w:color w:val="000000" w:themeColor="text1"/>
          <w:lang w:val="en-US"/>
        </w:rPr>
        <w:t>AIP-EID (2015-2018).</w:t>
      </w:r>
      <w:r w:rsidRPr="48362220">
        <w:rPr>
          <w:rFonts w:ascii="Calibri" w:eastAsia="Calibri" w:hAnsi="Calibri" w:cs="Calibri"/>
          <w:color w:val="000000" w:themeColor="text1"/>
          <w:lang w:val="en-US"/>
        </w:rPr>
        <w:t xml:space="preserve"> In 2021, WHO supported the MoH to develop a </w:t>
      </w:r>
      <w:r w:rsidR="00782869">
        <w:rPr>
          <w:rFonts w:ascii="Calibri" w:eastAsia="Calibri" w:hAnsi="Calibri" w:cs="Calibri"/>
          <w:color w:val="000000" w:themeColor="text1"/>
          <w:lang w:val="en-US"/>
        </w:rPr>
        <w:t>One Health</w:t>
      </w:r>
      <w:r w:rsidRPr="48362220">
        <w:rPr>
          <w:rFonts w:ascii="Calibri" w:eastAsia="Calibri" w:hAnsi="Calibri" w:cs="Calibri"/>
          <w:color w:val="000000" w:themeColor="text1"/>
          <w:lang w:val="en-US"/>
        </w:rPr>
        <w:t xml:space="preserve"> training module and cascade the training on Joint Risk Assessment (JRA) to a sub-national level. </w:t>
      </w:r>
    </w:p>
    <w:p w14:paraId="5A3EA84F" w14:textId="77777777" w:rsidR="004C2075" w:rsidRPr="004C2075" w:rsidRDefault="004C2075" w:rsidP="004C2075">
      <w:pPr>
        <w:pStyle w:val="Heading3"/>
      </w:pPr>
      <w:bookmarkStart w:id="81" w:name="_Toc135837419"/>
      <w:r w:rsidRPr="004C2075">
        <w:t xml:space="preserve">3.1.5 Monitoring, </w:t>
      </w:r>
      <w:proofErr w:type="gramStart"/>
      <w:r w:rsidRPr="004C2075">
        <w:t>evaluation</w:t>
      </w:r>
      <w:proofErr w:type="gramEnd"/>
      <w:r w:rsidRPr="004C2075">
        <w:t xml:space="preserve"> and learning (MERLA)</w:t>
      </w:r>
      <w:bookmarkEnd w:id="81"/>
    </w:p>
    <w:p w14:paraId="30CBBBB0" w14:textId="31A25B19" w:rsidR="004C2075" w:rsidRDefault="00F03974" w:rsidP="004C2075">
      <w:pPr>
        <w:spacing w:after="0" w:line="240" w:lineRule="auto"/>
        <w:rPr>
          <w:lang w:val="en-US"/>
        </w:rPr>
      </w:pPr>
      <w:r>
        <w:rPr>
          <w:lang w:val="en-US"/>
        </w:rPr>
        <w:t>A</w:t>
      </w:r>
      <w:r w:rsidR="004C2075">
        <w:rPr>
          <w:lang w:val="en-US"/>
        </w:rPr>
        <w:t xml:space="preserve">s the scope of AIHSP grew, the MTR Team understands it was a challenge to ensure MEL for the program kept pace. In using the current iteration of the MERLA, the MTR Team found that: </w:t>
      </w:r>
    </w:p>
    <w:p w14:paraId="12EC1260" w14:textId="48F54446" w:rsidR="004C2075" w:rsidRDefault="004C2075" w:rsidP="00425817">
      <w:pPr>
        <w:pStyle w:val="ListParagraph"/>
        <w:numPr>
          <w:ilvl w:val="0"/>
          <w:numId w:val="24"/>
        </w:numPr>
        <w:spacing w:line="240" w:lineRule="auto"/>
        <w:rPr>
          <w:lang w:val="en-US"/>
        </w:rPr>
      </w:pPr>
      <w:r>
        <w:t xml:space="preserve">The </w:t>
      </w:r>
      <w:r>
        <w:rPr>
          <w:lang w:val="en-US"/>
        </w:rPr>
        <w:t xml:space="preserve">theory of change and results framework is complicated and difficult to </w:t>
      </w:r>
      <w:r w:rsidR="00E37C04">
        <w:rPr>
          <w:lang w:val="en-US"/>
        </w:rPr>
        <w:t>use</w:t>
      </w:r>
      <w:r>
        <w:rPr>
          <w:lang w:val="en-US"/>
        </w:rPr>
        <w:t>. The line of sight between all activities and results is not clear and reporting o</w:t>
      </w:r>
      <w:r w:rsidR="003B5541">
        <w:rPr>
          <w:lang w:val="en-US"/>
        </w:rPr>
        <w:t>n</w:t>
      </w:r>
      <w:r>
        <w:rPr>
          <w:lang w:val="en-US"/>
        </w:rPr>
        <w:t xml:space="preserve"> the outcomes of activities </w:t>
      </w:r>
      <w:r w:rsidR="00886560">
        <w:rPr>
          <w:lang w:val="en-US"/>
        </w:rPr>
        <w:t>was</w:t>
      </w:r>
      <w:r w:rsidR="003B5541">
        <w:rPr>
          <w:lang w:val="en-US"/>
        </w:rPr>
        <w:t xml:space="preserve"> </w:t>
      </w:r>
      <w:r w:rsidR="000210C5">
        <w:rPr>
          <w:lang w:val="en-US"/>
        </w:rPr>
        <w:t>not always backed by clear evidence</w:t>
      </w:r>
      <w:r w:rsidR="006141D6">
        <w:rPr>
          <w:lang w:val="en-US"/>
        </w:rPr>
        <w:t xml:space="preserve"> of causation</w:t>
      </w:r>
      <w:r>
        <w:rPr>
          <w:lang w:val="en-US"/>
        </w:rPr>
        <w:t xml:space="preserve"> and </w:t>
      </w:r>
      <w:r w:rsidR="00886560">
        <w:rPr>
          <w:lang w:val="en-US"/>
        </w:rPr>
        <w:t>wa</w:t>
      </w:r>
      <w:r w:rsidR="000210C5">
        <w:rPr>
          <w:lang w:val="en-US"/>
        </w:rPr>
        <w:t xml:space="preserve">s </w:t>
      </w:r>
      <w:r>
        <w:rPr>
          <w:lang w:val="en-US"/>
        </w:rPr>
        <w:t>prone to subjective measurement.</w:t>
      </w:r>
    </w:p>
    <w:p w14:paraId="0589B2A3" w14:textId="3711D3A5" w:rsidR="004C2075" w:rsidRPr="00184642" w:rsidRDefault="004C2075" w:rsidP="00425817">
      <w:pPr>
        <w:pStyle w:val="ListParagraph"/>
        <w:numPr>
          <w:ilvl w:val="0"/>
          <w:numId w:val="24"/>
        </w:numPr>
        <w:spacing w:line="240" w:lineRule="auto"/>
        <w:rPr>
          <w:lang w:val="en-US"/>
        </w:rPr>
      </w:pPr>
      <w:r>
        <w:rPr>
          <w:lang w:val="en-US"/>
        </w:rPr>
        <w:t>S</w:t>
      </w:r>
      <w:r w:rsidRPr="00184642">
        <w:rPr>
          <w:lang w:val="en-US"/>
        </w:rPr>
        <w:t xml:space="preserve">ome </w:t>
      </w:r>
      <w:r>
        <w:rPr>
          <w:lang w:val="en-US"/>
        </w:rPr>
        <w:t xml:space="preserve">of the </w:t>
      </w:r>
      <w:r w:rsidRPr="00184642">
        <w:rPr>
          <w:lang w:val="en-US"/>
        </w:rPr>
        <w:t>qualitative indicators</w:t>
      </w:r>
      <w:r>
        <w:rPr>
          <w:lang w:val="en-US"/>
        </w:rPr>
        <w:t xml:space="preserve"> are duplicative and unclear</w:t>
      </w:r>
      <w:r w:rsidRPr="00184642">
        <w:rPr>
          <w:lang w:val="en-US"/>
        </w:rPr>
        <w:t xml:space="preserve">. For example, there </w:t>
      </w:r>
      <w:r>
        <w:rPr>
          <w:lang w:val="en-US"/>
        </w:rPr>
        <w:t>appear</w:t>
      </w:r>
      <w:r w:rsidR="00886560">
        <w:rPr>
          <w:lang w:val="en-US"/>
        </w:rPr>
        <w:t>s</w:t>
      </w:r>
      <w:r>
        <w:rPr>
          <w:lang w:val="en-US"/>
        </w:rPr>
        <w:t xml:space="preserve"> to be multiple </w:t>
      </w:r>
      <w:r w:rsidRPr="00184642">
        <w:rPr>
          <w:lang w:val="en-US"/>
        </w:rPr>
        <w:t xml:space="preserve">indicators </w:t>
      </w:r>
      <w:r>
        <w:rPr>
          <w:lang w:val="en-US"/>
        </w:rPr>
        <w:t>that</w:t>
      </w:r>
      <w:r w:rsidRPr="00184642">
        <w:rPr>
          <w:lang w:val="en-US"/>
        </w:rPr>
        <w:t xml:space="preserve"> measur</w:t>
      </w:r>
      <w:r>
        <w:rPr>
          <w:lang w:val="en-US"/>
        </w:rPr>
        <w:t>e</w:t>
      </w:r>
      <w:r w:rsidRPr="00184642">
        <w:rPr>
          <w:lang w:val="en-US"/>
        </w:rPr>
        <w:t xml:space="preserve"> </w:t>
      </w:r>
      <w:r>
        <w:rPr>
          <w:lang w:val="en-US"/>
        </w:rPr>
        <w:t xml:space="preserve">the </w:t>
      </w:r>
      <w:r w:rsidRPr="00184642">
        <w:rPr>
          <w:lang w:val="en-US"/>
        </w:rPr>
        <w:t xml:space="preserve">results </w:t>
      </w:r>
      <w:r>
        <w:rPr>
          <w:lang w:val="en-US"/>
        </w:rPr>
        <w:t>for</w:t>
      </w:r>
      <w:r w:rsidRPr="00184642">
        <w:rPr>
          <w:lang w:val="en-US"/>
        </w:rPr>
        <w:t xml:space="preserve"> </w:t>
      </w:r>
      <w:proofErr w:type="spellStart"/>
      <w:r w:rsidRPr="00184642">
        <w:rPr>
          <w:lang w:val="en-US"/>
        </w:rPr>
        <w:t>iSIKHNAS</w:t>
      </w:r>
      <w:proofErr w:type="spellEnd"/>
      <w:r>
        <w:rPr>
          <w:lang w:val="en-US"/>
        </w:rPr>
        <w:t xml:space="preserve">. </w:t>
      </w:r>
    </w:p>
    <w:p w14:paraId="0E96CED1" w14:textId="47729ED8" w:rsidR="004C2075" w:rsidRDefault="004C2075" w:rsidP="00425817">
      <w:pPr>
        <w:pStyle w:val="ListParagraph"/>
        <w:numPr>
          <w:ilvl w:val="0"/>
          <w:numId w:val="24"/>
        </w:numPr>
        <w:spacing w:line="240" w:lineRule="auto"/>
        <w:rPr>
          <w:lang w:val="en-US"/>
        </w:rPr>
      </w:pPr>
      <w:r>
        <w:rPr>
          <w:lang w:val="en-US"/>
        </w:rPr>
        <w:t xml:space="preserve">The MERLA has 38 qualitative indicators and 19 KPIs (key performance indicators). This is </w:t>
      </w:r>
      <w:proofErr w:type="gramStart"/>
      <w:r>
        <w:rPr>
          <w:lang w:val="en-US"/>
        </w:rPr>
        <w:t>a large number of</w:t>
      </w:r>
      <w:proofErr w:type="gramEnd"/>
      <w:r>
        <w:rPr>
          <w:lang w:val="en-US"/>
        </w:rPr>
        <w:t xml:space="preserve"> indicators that </w:t>
      </w:r>
      <w:r w:rsidR="00713C52">
        <w:rPr>
          <w:lang w:val="en-US"/>
        </w:rPr>
        <w:t>are</w:t>
      </w:r>
      <w:r>
        <w:rPr>
          <w:lang w:val="en-US"/>
        </w:rPr>
        <w:t xml:space="preserve"> disproportionate </w:t>
      </w:r>
      <w:r w:rsidR="00886560">
        <w:rPr>
          <w:lang w:val="en-US"/>
        </w:rPr>
        <w:t>for</w:t>
      </w:r>
      <w:r>
        <w:rPr>
          <w:lang w:val="en-US"/>
        </w:rPr>
        <w:t xml:space="preserve"> the size of the program. The number of indicators makes reporting burdensome and could duplicate or dilute progress and results. </w:t>
      </w:r>
    </w:p>
    <w:p w14:paraId="4A88D2DC" w14:textId="197F3C52" w:rsidR="004C2075" w:rsidRDefault="004C2075" w:rsidP="00425817">
      <w:pPr>
        <w:pStyle w:val="ListParagraph"/>
        <w:numPr>
          <w:ilvl w:val="0"/>
          <w:numId w:val="24"/>
        </w:numPr>
        <w:spacing w:line="240" w:lineRule="auto"/>
        <w:rPr>
          <w:lang w:val="en-US"/>
        </w:rPr>
      </w:pPr>
      <w:r>
        <w:rPr>
          <w:lang w:val="en-US"/>
        </w:rPr>
        <w:t xml:space="preserve">Sub-partners were not appropriately </w:t>
      </w:r>
      <w:r w:rsidR="00886560">
        <w:rPr>
          <w:lang w:val="en-US"/>
        </w:rPr>
        <w:t xml:space="preserve">informed and </w:t>
      </w:r>
      <w:r>
        <w:rPr>
          <w:lang w:val="en-US"/>
        </w:rPr>
        <w:t xml:space="preserve">resourced to monitor and report on activities, </w:t>
      </w:r>
      <w:r w:rsidR="00886560">
        <w:rPr>
          <w:lang w:val="en-US"/>
        </w:rPr>
        <w:t xml:space="preserve">when assessed against </w:t>
      </w:r>
      <w:r>
        <w:rPr>
          <w:lang w:val="en-US"/>
        </w:rPr>
        <w:t xml:space="preserve">the MERLA and the DFAT M&amp;E Standards. This </w:t>
      </w:r>
      <w:r w:rsidR="005864C3">
        <w:rPr>
          <w:lang w:val="en-US"/>
        </w:rPr>
        <w:t xml:space="preserve">meant there was a risk of </w:t>
      </w:r>
      <w:r>
        <w:rPr>
          <w:lang w:val="en-US"/>
        </w:rPr>
        <w:t>inaccurate reporting, including overstating or underestimating outcomes. It mean</w:t>
      </w:r>
      <w:r w:rsidR="005864C3">
        <w:rPr>
          <w:lang w:val="en-US"/>
        </w:rPr>
        <w:t>t</w:t>
      </w:r>
      <w:r>
        <w:rPr>
          <w:lang w:val="en-US"/>
        </w:rPr>
        <w:t xml:space="preserve"> that the sub-partners </w:t>
      </w:r>
      <w:r w:rsidR="005864C3">
        <w:rPr>
          <w:lang w:val="en-US"/>
        </w:rPr>
        <w:t xml:space="preserve">were likely not </w:t>
      </w:r>
      <w:r>
        <w:rPr>
          <w:lang w:val="en-US"/>
        </w:rPr>
        <w:t>sufficiently accountable for the funding received.</w:t>
      </w:r>
    </w:p>
    <w:p w14:paraId="3DD15449" w14:textId="41E188BA" w:rsidR="00C35236" w:rsidRDefault="004C2075" w:rsidP="008D1F47">
      <w:pPr>
        <w:spacing w:line="240" w:lineRule="auto"/>
        <w:rPr>
          <w:lang w:val="en-US"/>
        </w:rPr>
      </w:pPr>
      <w:r w:rsidRPr="00B125D6">
        <w:rPr>
          <w:lang w:val="en-US"/>
        </w:rPr>
        <w:t xml:space="preserve">The MTR </w:t>
      </w:r>
      <w:r w:rsidR="00294AB3">
        <w:rPr>
          <w:lang w:val="en-US"/>
        </w:rPr>
        <w:t xml:space="preserve">noted </w:t>
      </w:r>
      <w:r w:rsidR="00795204">
        <w:rPr>
          <w:lang w:val="en-US"/>
        </w:rPr>
        <w:t>a revision of the</w:t>
      </w:r>
      <w:r w:rsidR="00294AB3">
        <w:rPr>
          <w:lang w:val="en-US"/>
        </w:rPr>
        <w:t xml:space="preserve"> AIHSP MERLA </w:t>
      </w:r>
      <w:r w:rsidR="000E7D40">
        <w:rPr>
          <w:lang w:val="en-US"/>
        </w:rPr>
        <w:t>wa</w:t>
      </w:r>
      <w:r w:rsidR="00294AB3">
        <w:rPr>
          <w:lang w:val="en-US"/>
        </w:rPr>
        <w:t xml:space="preserve">s in progress. </w:t>
      </w:r>
      <w:r w:rsidR="00CB3F73">
        <w:rPr>
          <w:lang w:val="en-US"/>
        </w:rPr>
        <w:t>The MTR Team</w:t>
      </w:r>
      <w:r w:rsidR="00795204">
        <w:rPr>
          <w:lang w:val="en-US"/>
        </w:rPr>
        <w:t xml:space="preserve"> noted</w:t>
      </w:r>
      <w:r w:rsidR="00246AB2">
        <w:rPr>
          <w:lang w:val="en-US"/>
        </w:rPr>
        <w:t xml:space="preserve"> </w:t>
      </w:r>
      <w:r w:rsidR="00795204">
        <w:rPr>
          <w:lang w:val="en-US"/>
        </w:rPr>
        <w:t xml:space="preserve">that it is important </w:t>
      </w:r>
      <w:r w:rsidR="00246AB2">
        <w:rPr>
          <w:lang w:val="en-US"/>
        </w:rPr>
        <w:t xml:space="preserve">the revised MERLA </w:t>
      </w:r>
      <w:r w:rsidR="00795204">
        <w:rPr>
          <w:lang w:val="en-US"/>
        </w:rPr>
        <w:t>is</w:t>
      </w:r>
      <w:r w:rsidR="00246AB2">
        <w:rPr>
          <w:lang w:val="en-US"/>
        </w:rPr>
        <w:t xml:space="preserve"> </w:t>
      </w:r>
      <w:r>
        <w:rPr>
          <w:lang w:val="en-US"/>
        </w:rPr>
        <w:t xml:space="preserve">commensurate with the size and complexity of the </w:t>
      </w:r>
      <w:r w:rsidR="00085EAA">
        <w:rPr>
          <w:lang w:val="en-US"/>
        </w:rPr>
        <w:t>investment</w:t>
      </w:r>
      <w:r w:rsidR="00795204">
        <w:rPr>
          <w:lang w:val="en-US"/>
        </w:rPr>
        <w:t xml:space="preserve">. It also noted that this is needed </w:t>
      </w:r>
      <w:r>
        <w:rPr>
          <w:lang w:val="en-US"/>
        </w:rPr>
        <w:t>to reduce the reporting burden</w:t>
      </w:r>
      <w:r w:rsidR="00795204">
        <w:rPr>
          <w:lang w:val="en-US"/>
        </w:rPr>
        <w:t xml:space="preserve"> and to increase </w:t>
      </w:r>
      <w:r w:rsidR="008D5C06">
        <w:rPr>
          <w:lang w:val="en-US"/>
        </w:rPr>
        <w:t>emphasis on reporting outcomes</w:t>
      </w:r>
      <w:r>
        <w:rPr>
          <w:lang w:val="en-US"/>
        </w:rPr>
        <w:t xml:space="preserve">. </w:t>
      </w:r>
      <w:r w:rsidR="00D522E5">
        <w:rPr>
          <w:lang w:val="en-US"/>
        </w:rPr>
        <w:t>T</w:t>
      </w:r>
      <w:r w:rsidR="007A1BA7">
        <w:rPr>
          <w:lang w:val="en-US"/>
        </w:rPr>
        <w:t xml:space="preserve">he </w:t>
      </w:r>
      <w:r>
        <w:rPr>
          <w:lang w:val="en-US"/>
        </w:rPr>
        <w:t xml:space="preserve">theory of change </w:t>
      </w:r>
      <w:r w:rsidR="00085EAA">
        <w:rPr>
          <w:lang w:val="en-US"/>
        </w:rPr>
        <w:t>will need to</w:t>
      </w:r>
      <w:r w:rsidR="007A1BA7">
        <w:rPr>
          <w:lang w:val="en-US"/>
        </w:rPr>
        <w:t xml:space="preserve"> </w:t>
      </w:r>
      <w:r>
        <w:rPr>
          <w:lang w:val="en-US"/>
        </w:rPr>
        <w:t>be updated and simplified based upon the consolidation of activities for the remainder of this phase, and a narrative provided.</w:t>
      </w:r>
      <w:r w:rsidR="008D5C06">
        <w:rPr>
          <w:lang w:val="en-US"/>
        </w:rPr>
        <w:t xml:space="preserve"> </w:t>
      </w:r>
      <w:r w:rsidR="009F1752">
        <w:rPr>
          <w:lang w:val="en-US"/>
        </w:rPr>
        <w:t>P</w:t>
      </w:r>
      <w:r w:rsidR="008D5C06">
        <w:rPr>
          <w:lang w:val="en-US"/>
        </w:rPr>
        <w:t xml:space="preserve">rogram </w:t>
      </w:r>
      <w:r w:rsidR="009F1752">
        <w:rPr>
          <w:lang w:val="en-US"/>
        </w:rPr>
        <w:t>monitoring</w:t>
      </w:r>
      <w:r w:rsidR="008D5C06">
        <w:rPr>
          <w:lang w:val="en-US"/>
        </w:rPr>
        <w:t xml:space="preserve"> will also </w:t>
      </w:r>
      <w:r w:rsidR="00D522E5">
        <w:rPr>
          <w:lang w:val="en-US"/>
        </w:rPr>
        <w:t xml:space="preserve">need to be </w:t>
      </w:r>
      <w:r w:rsidR="008D5C06">
        <w:rPr>
          <w:lang w:val="en-US"/>
        </w:rPr>
        <w:t>improve</w:t>
      </w:r>
      <w:r w:rsidR="00D522E5">
        <w:rPr>
          <w:lang w:val="en-US"/>
        </w:rPr>
        <w:t>d</w:t>
      </w:r>
      <w:r w:rsidR="008D5C06">
        <w:rPr>
          <w:lang w:val="en-US"/>
        </w:rPr>
        <w:t xml:space="preserve"> by </w:t>
      </w:r>
      <w:r w:rsidR="00D522E5">
        <w:rPr>
          <w:lang w:val="en-US"/>
        </w:rPr>
        <w:t xml:space="preserve">AIHSP </w:t>
      </w:r>
      <w:r w:rsidR="008D5C06">
        <w:rPr>
          <w:lang w:val="en-US"/>
        </w:rPr>
        <w:t xml:space="preserve">supporting </w:t>
      </w:r>
      <w:r w:rsidR="00D522E5">
        <w:rPr>
          <w:lang w:val="en-US"/>
        </w:rPr>
        <w:t xml:space="preserve">its </w:t>
      </w:r>
      <w:r w:rsidR="008D5C06" w:rsidRPr="007A1BA7">
        <w:rPr>
          <w:lang w:val="en-US"/>
        </w:rPr>
        <w:t>sub-partners to implement the MERLA</w:t>
      </w:r>
      <w:r w:rsidR="00D522E5">
        <w:rPr>
          <w:lang w:val="en-US"/>
        </w:rPr>
        <w:t>,</w:t>
      </w:r>
      <w:r w:rsidR="008D5C06" w:rsidRPr="007A1BA7">
        <w:rPr>
          <w:lang w:val="en-US"/>
        </w:rPr>
        <w:t xml:space="preserve"> </w:t>
      </w:r>
      <w:r w:rsidR="00D522E5">
        <w:rPr>
          <w:lang w:val="en-US"/>
        </w:rPr>
        <w:t>collect</w:t>
      </w:r>
      <w:r w:rsidR="009F1752">
        <w:rPr>
          <w:lang w:val="en-US"/>
        </w:rPr>
        <w:t xml:space="preserve"> robust </w:t>
      </w:r>
      <w:r w:rsidR="008D5C06" w:rsidRPr="007A1BA7">
        <w:rPr>
          <w:lang w:val="en-US"/>
        </w:rPr>
        <w:t xml:space="preserve">data </w:t>
      </w:r>
      <w:r w:rsidR="00390D04">
        <w:rPr>
          <w:lang w:val="en-US"/>
        </w:rPr>
        <w:t xml:space="preserve">that clearly demonstrate how activities contribute to outcomes </w:t>
      </w:r>
      <w:r w:rsidR="00D522E5">
        <w:rPr>
          <w:lang w:val="en-US"/>
        </w:rPr>
        <w:t xml:space="preserve">and </w:t>
      </w:r>
      <w:r w:rsidR="009F1752">
        <w:rPr>
          <w:lang w:val="en-US"/>
        </w:rPr>
        <w:t>report</w:t>
      </w:r>
      <w:r w:rsidR="00D522E5">
        <w:rPr>
          <w:lang w:val="en-US"/>
        </w:rPr>
        <w:t xml:space="preserve"> in line with requirements in the DFAT M&amp;E Standards</w:t>
      </w:r>
      <w:r w:rsidR="008D5C06">
        <w:rPr>
          <w:lang w:val="en-US"/>
        </w:rPr>
        <w:t>.</w:t>
      </w:r>
      <w:r w:rsidR="008D1F47">
        <w:rPr>
          <w:rStyle w:val="FootnoteReference"/>
          <w:lang w:val="en-US"/>
        </w:rPr>
        <w:footnoteReference w:id="22"/>
      </w:r>
      <w:r>
        <w:rPr>
          <w:lang w:val="en-US"/>
        </w:rPr>
        <w:t xml:space="preserve"> </w:t>
      </w:r>
      <w:r w:rsidR="00C35236">
        <w:rPr>
          <w:lang w:val="en-US"/>
        </w:rPr>
        <w:br w:type="page"/>
      </w:r>
    </w:p>
    <w:p w14:paraId="28C4958C" w14:textId="5C5D118C" w:rsidR="00C8643E" w:rsidRPr="00C8643E" w:rsidRDefault="00C8643E" w:rsidP="00425817">
      <w:pPr>
        <w:pStyle w:val="Heading1"/>
        <w:numPr>
          <w:ilvl w:val="0"/>
          <w:numId w:val="11"/>
        </w:numPr>
      </w:pPr>
      <w:bookmarkStart w:id="82" w:name="_Toc135837420"/>
      <w:r w:rsidRPr="00C8643E">
        <w:lastRenderedPageBreak/>
        <w:t>Contribution to Indonesia’s COVID-19 response</w:t>
      </w:r>
      <w:bookmarkEnd w:id="82"/>
    </w:p>
    <w:p w14:paraId="7BC2D17C" w14:textId="1A2274C0" w:rsidR="000B71D2" w:rsidRPr="00E46C99" w:rsidRDefault="000B71D2" w:rsidP="005670D1">
      <w:pPr>
        <w:pStyle w:val="Heading2"/>
        <w:rPr>
          <w:rStyle w:val="normaltextrun"/>
          <w:color w:val="1F4E79" w:themeColor="accent5" w:themeShade="80"/>
          <w:sz w:val="24"/>
          <w:szCs w:val="24"/>
        </w:rPr>
      </w:pPr>
      <w:bookmarkStart w:id="83" w:name="_Toc135837421"/>
      <w:r w:rsidRPr="00E46C99">
        <w:rPr>
          <w:rStyle w:val="normaltextrun"/>
          <w:color w:val="1F4E79" w:themeColor="accent5" w:themeShade="80"/>
          <w:sz w:val="24"/>
          <w:szCs w:val="24"/>
        </w:rPr>
        <w:t>4.1</w:t>
      </w:r>
      <w:r w:rsidRPr="00E46C99">
        <w:rPr>
          <w:rStyle w:val="normaltextrun"/>
          <w:color w:val="1F4E79" w:themeColor="accent5" w:themeShade="80"/>
          <w:sz w:val="24"/>
          <w:szCs w:val="24"/>
        </w:rPr>
        <w:tab/>
        <w:t>Partners</w:t>
      </w:r>
      <w:r w:rsidR="00CE7CCA" w:rsidRPr="00E46C99">
        <w:rPr>
          <w:rStyle w:val="normaltextrun"/>
          <w:color w:val="1F4E79" w:themeColor="accent5" w:themeShade="80"/>
          <w:sz w:val="24"/>
          <w:szCs w:val="24"/>
        </w:rPr>
        <w:t>’</w:t>
      </w:r>
      <w:r w:rsidRPr="00E46C99">
        <w:rPr>
          <w:rStyle w:val="normaltextrun"/>
          <w:color w:val="1F4E79" w:themeColor="accent5" w:themeShade="80"/>
          <w:sz w:val="24"/>
          <w:szCs w:val="24"/>
        </w:rPr>
        <w:t xml:space="preserve"> contribution to Indonesia’s COVID-19 response</w:t>
      </w:r>
      <w:bookmarkEnd w:id="83"/>
    </w:p>
    <w:p w14:paraId="3E976AB9" w14:textId="4B157A94" w:rsidR="004735DF" w:rsidRPr="008D1F47" w:rsidRDefault="00672174" w:rsidP="008D1F47">
      <w:pPr>
        <w:pStyle w:val="Heading2"/>
        <w:shd w:val="clear" w:color="auto" w:fill="D0CECE" w:themeFill="background2" w:themeFillShade="E6"/>
        <w:spacing w:line="240" w:lineRule="auto"/>
        <w:rPr>
          <w:color w:val="auto"/>
          <w:sz w:val="24"/>
          <w:szCs w:val="24"/>
        </w:rPr>
      </w:pPr>
      <w:bookmarkStart w:id="84" w:name="_Toc132584585"/>
      <w:bookmarkStart w:id="85" w:name="_Toc135837422"/>
      <w:r w:rsidRPr="00CF0126">
        <w:rPr>
          <w:rStyle w:val="normaltextrun"/>
          <w:color w:val="auto"/>
          <w:sz w:val="24"/>
          <w:szCs w:val="24"/>
        </w:rPr>
        <w:t>KEQ 2.1: How have the DFAT-funded AIHSP, UNICEF and WHO activities contributed to Indonesia’s COVID-19 response? </w:t>
      </w:r>
      <w:bookmarkStart w:id="86" w:name="_Toc132584586"/>
      <w:bookmarkEnd w:id="84"/>
      <w:bookmarkEnd w:id="85"/>
    </w:p>
    <w:p w14:paraId="5C080AED" w14:textId="78EAFE5B" w:rsidR="002928CC" w:rsidRDefault="002928CC" w:rsidP="008D1F47">
      <w:pPr>
        <w:spacing w:after="120" w:line="240" w:lineRule="auto"/>
        <w:rPr>
          <w:rFonts w:cstheme="minorHAnsi"/>
          <w:color w:val="000000" w:themeColor="text1"/>
        </w:rPr>
      </w:pPr>
      <w:r>
        <w:rPr>
          <w:rFonts w:cstheme="minorHAnsi"/>
          <w:color w:val="000000" w:themeColor="text1"/>
        </w:rPr>
        <w:t>Australia</w:t>
      </w:r>
      <w:r w:rsidR="000C56CB">
        <w:rPr>
          <w:rFonts w:cstheme="minorHAnsi"/>
          <w:color w:val="000000" w:themeColor="text1"/>
        </w:rPr>
        <w:t>’s</w:t>
      </w:r>
      <w:r>
        <w:rPr>
          <w:rFonts w:cstheme="minorHAnsi"/>
          <w:color w:val="000000" w:themeColor="text1"/>
        </w:rPr>
        <w:t xml:space="preserve"> contribution </w:t>
      </w:r>
      <w:r w:rsidR="00B07CA1">
        <w:rPr>
          <w:rFonts w:cstheme="minorHAnsi"/>
          <w:color w:val="000000" w:themeColor="text1"/>
        </w:rPr>
        <w:t xml:space="preserve">to Indonesia’s COVID-19 response </w:t>
      </w:r>
      <w:r>
        <w:rPr>
          <w:rFonts w:cstheme="minorHAnsi"/>
          <w:color w:val="000000" w:themeColor="text1"/>
        </w:rPr>
        <w:t>was significant</w:t>
      </w:r>
      <w:r w:rsidR="00EB3CE6">
        <w:rPr>
          <w:rFonts w:cstheme="minorHAnsi"/>
          <w:color w:val="000000" w:themeColor="text1"/>
        </w:rPr>
        <w:t>. However</w:t>
      </w:r>
      <w:r>
        <w:rPr>
          <w:rFonts w:cstheme="minorHAnsi"/>
          <w:color w:val="000000" w:themeColor="text1"/>
        </w:rPr>
        <w:t>, it was not without its challenges.</w:t>
      </w:r>
      <w:r w:rsidR="00856544">
        <w:rPr>
          <w:rFonts w:cstheme="minorHAnsi"/>
          <w:color w:val="000000" w:themeColor="text1"/>
        </w:rPr>
        <w:t xml:space="preserve"> Despite targeted last-mile vaccination efforts, vaccination rates for the elderly and people with </w:t>
      </w:r>
      <w:r w:rsidR="0003555A">
        <w:rPr>
          <w:rFonts w:cstheme="minorHAnsi"/>
          <w:color w:val="000000" w:themeColor="text1"/>
        </w:rPr>
        <w:t>disabilities</w:t>
      </w:r>
      <w:r w:rsidR="00856544">
        <w:rPr>
          <w:rFonts w:cstheme="minorHAnsi"/>
          <w:color w:val="000000" w:themeColor="text1"/>
        </w:rPr>
        <w:t xml:space="preserve"> remain lower than </w:t>
      </w:r>
      <w:r w:rsidR="00F87659">
        <w:rPr>
          <w:rFonts w:cstheme="minorHAnsi"/>
          <w:color w:val="000000" w:themeColor="text1"/>
        </w:rPr>
        <w:t>expected</w:t>
      </w:r>
      <w:r w:rsidR="00856544">
        <w:rPr>
          <w:rFonts w:cstheme="minorHAnsi"/>
          <w:color w:val="000000" w:themeColor="text1"/>
        </w:rPr>
        <w:t xml:space="preserve">, due to several factors beyond the control of the program </w:t>
      </w:r>
      <w:r w:rsidR="00856544" w:rsidRPr="000C56CB">
        <w:rPr>
          <w:rFonts w:cstheme="minorHAnsi"/>
          <w:i/>
          <w:iCs/>
          <w:color w:val="000000" w:themeColor="text1"/>
        </w:rPr>
        <w:t xml:space="preserve">(see </w:t>
      </w:r>
      <w:r w:rsidR="000C56CB" w:rsidRPr="000C56CB">
        <w:rPr>
          <w:rFonts w:cstheme="minorHAnsi"/>
          <w:i/>
          <w:iCs/>
          <w:color w:val="000000" w:themeColor="text1"/>
        </w:rPr>
        <w:t>s</w:t>
      </w:r>
      <w:r w:rsidR="00856544" w:rsidRPr="000C56CB">
        <w:rPr>
          <w:rFonts w:cstheme="minorHAnsi"/>
          <w:i/>
          <w:iCs/>
          <w:color w:val="000000" w:themeColor="text1"/>
        </w:rPr>
        <w:t xml:space="preserve">ection </w:t>
      </w:r>
      <w:r w:rsidR="00D130E0" w:rsidRPr="000C56CB">
        <w:rPr>
          <w:rFonts w:cstheme="minorHAnsi"/>
          <w:i/>
          <w:iCs/>
          <w:color w:val="000000" w:themeColor="text1"/>
        </w:rPr>
        <w:t>7</w:t>
      </w:r>
      <w:r w:rsidR="00856544" w:rsidRPr="000C56CB">
        <w:rPr>
          <w:rFonts w:cstheme="minorHAnsi"/>
          <w:i/>
          <w:iCs/>
          <w:color w:val="000000" w:themeColor="text1"/>
        </w:rPr>
        <w:t xml:space="preserve"> for more detail)</w:t>
      </w:r>
      <w:r w:rsidR="00856544" w:rsidRPr="00D130E0">
        <w:rPr>
          <w:rFonts w:cstheme="minorHAnsi"/>
          <w:color w:val="000000" w:themeColor="text1"/>
        </w:rPr>
        <w:t>. CSIRO</w:t>
      </w:r>
      <w:r w:rsidR="00F87659" w:rsidRPr="00D130E0">
        <w:rPr>
          <w:rFonts w:cstheme="minorHAnsi"/>
          <w:color w:val="000000" w:themeColor="text1"/>
        </w:rPr>
        <w:t xml:space="preserve"> describe</w:t>
      </w:r>
      <w:r w:rsidR="000C56CB">
        <w:rPr>
          <w:rFonts w:cstheme="minorHAnsi"/>
          <w:color w:val="000000" w:themeColor="text1"/>
        </w:rPr>
        <w:t>d</w:t>
      </w:r>
      <w:r w:rsidR="00F87659" w:rsidRPr="00D130E0">
        <w:rPr>
          <w:rFonts w:cstheme="minorHAnsi"/>
          <w:color w:val="000000" w:themeColor="text1"/>
        </w:rPr>
        <w:t xml:space="preserve"> its work in </w:t>
      </w:r>
      <w:r w:rsidR="00856544" w:rsidRPr="00D130E0">
        <w:rPr>
          <w:rFonts w:cstheme="minorHAnsi"/>
          <w:color w:val="000000" w:themeColor="text1"/>
        </w:rPr>
        <w:t xml:space="preserve">epidemiological modelling of </w:t>
      </w:r>
      <w:r w:rsidR="00F87659" w:rsidRPr="00D130E0">
        <w:rPr>
          <w:rFonts w:cstheme="minorHAnsi"/>
          <w:color w:val="000000" w:themeColor="text1"/>
        </w:rPr>
        <w:t xml:space="preserve">the spread of COVID-19 to inform </w:t>
      </w:r>
      <w:r w:rsidR="00856544" w:rsidRPr="00D130E0">
        <w:rPr>
          <w:rFonts w:cstheme="minorHAnsi"/>
          <w:color w:val="000000" w:themeColor="text1"/>
        </w:rPr>
        <w:t>human mobility</w:t>
      </w:r>
      <w:r w:rsidR="00F87659" w:rsidRPr="00D130E0">
        <w:rPr>
          <w:rFonts w:cstheme="minorHAnsi"/>
          <w:color w:val="000000" w:themeColor="text1"/>
        </w:rPr>
        <w:t xml:space="preserve"> policy (funded by AIHSP) in Jakarta and Bandung as a ‘proof of conce</w:t>
      </w:r>
      <w:r w:rsidR="00F87659">
        <w:rPr>
          <w:rFonts w:cstheme="minorHAnsi"/>
          <w:color w:val="000000" w:themeColor="text1"/>
        </w:rPr>
        <w:t xml:space="preserve">pt’ exercise. </w:t>
      </w:r>
      <w:r w:rsidR="00EB3CE6">
        <w:rPr>
          <w:rFonts w:cstheme="minorHAnsi"/>
          <w:color w:val="000000" w:themeColor="text1"/>
        </w:rPr>
        <w:t>It</w:t>
      </w:r>
      <w:r w:rsidR="00F87659">
        <w:rPr>
          <w:rFonts w:cstheme="minorHAnsi"/>
          <w:color w:val="000000" w:themeColor="text1"/>
        </w:rPr>
        <w:t xml:space="preserve"> noted that further work was needed to refine the model and that due to time constraints, collaboration with Indonesian counterparts beyond sharing results was negligible. </w:t>
      </w:r>
      <w:r w:rsidR="00D130E0">
        <w:rPr>
          <w:rFonts w:cstheme="minorHAnsi"/>
          <w:color w:val="000000" w:themeColor="text1"/>
        </w:rPr>
        <w:t xml:space="preserve">While piloting activities is a vital part of improving pandemic preparedness, it was unclear </w:t>
      </w:r>
      <w:r w:rsidR="00DB2A40">
        <w:rPr>
          <w:rFonts w:cstheme="minorHAnsi"/>
          <w:color w:val="000000" w:themeColor="text1"/>
        </w:rPr>
        <w:t>whether</w:t>
      </w:r>
      <w:r w:rsidR="00D130E0">
        <w:rPr>
          <w:rFonts w:cstheme="minorHAnsi"/>
          <w:color w:val="000000" w:themeColor="text1"/>
        </w:rPr>
        <w:t xml:space="preserve"> this activity would continue and whether the modelling would be refined to </w:t>
      </w:r>
      <w:r w:rsidR="00326B8E">
        <w:rPr>
          <w:rFonts w:cstheme="minorHAnsi"/>
          <w:color w:val="000000" w:themeColor="text1"/>
        </w:rPr>
        <w:t>inform</w:t>
      </w:r>
      <w:r w:rsidR="00D130E0">
        <w:rPr>
          <w:rFonts w:cstheme="minorHAnsi"/>
          <w:color w:val="000000" w:themeColor="text1"/>
        </w:rPr>
        <w:t xml:space="preserve"> future disease outbreak management. </w:t>
      </w:r>
      <w:r w:rsidR="00762D68">
        <w:rPr>
          <w:rFonts w:cstheme="minorHAnsi"/>
          <w:color w:val="000000" w:themeColor="text1"/>
        </w:rPr>
        <w:t xml:space="preserve">Unless it is likely that this activity will be supported by </w:t>
      </w:r>
      <w:proofErr w:type="spellStart"/>
      <w:r w:rsidR="00762D68">
        <w:rPr>
          <w:rFonts w:cstheme="minorHAnsi"/>
          <w:color w:val="000000" w:themeColor="text1"/>
        </w:rPr>
        <w:t>GoI</w:t>
      </w:r>
      <w:proofErr w:type="spellEnd"/>
      <w:r w:rsidR="00762D68">
        <w:rPr>
          <w:rFonts w:cstheme="minorHAnsi"/>
          <w:color w:val="000000" w:themeColor="text1"/>
        </w:rPr>
        <w:t xml:space="preserve"> and used to inform decision-making going forward, discontinuation </w:t>
      </w:r>
      <w:r w:rsidR="000639C8">
        <w:rPr>
          <w:rFonts w:cstheme="minorHAnsi"/>
          <w:color w:val="000000" w:themeColor="text1"/>
        </w:rPr>
        <w:t>sh</w:t>
      </w:r>
      <w:r w:rsidR="00762D68">
        <w:rPr>
          <w:rFonts w:cstheme="minorHAnsi"/>
          <w:color w:val="000000" w:themeColor="text1"/>
        </w:rPr>
        <w:t>ould be considered.</w:t>
      </w:r>
    </w:p>
    <w:p w14:paraId="51E60F34" w14:textId="40EEBCDA" w:rsidR="004735DF" w:rsidRDefault="004735DF" w:rsidP="008D1F47">
      <w:pPr>
        <w:spacing w:after="120" w:line="240" w:lineRule="auto"/>
        <w:rPr>
          <w:color w:val="000000" w:themeColor="text1"/>
        </w:rPr>
      </w:pPr>
      <w:r w:rsidRPr="4FCF45F9">
        <w:rPr>
          <w:color w:val="000000" w:themeColor="text1"/>
        </w:rPr>
        <w:t xml:space="preserve">Many Australian-funded activities through AIHSP, WHO and UNICEF to support the COVID-19 response in Indonesia resulted in health system improvements that </w:t>
      </w:r>
      <w:r w:rsidR="00E72141">
        <w:rPr>
          <w:color w:val="000000" w:themeColor="text1"/>
        </w:rPr>
        <w:t>are</w:t>
      </w:r>
      <w:r w:rsidRPr="4FCF45F9">
        <w:rPr>
          <w:color w:val="000000" w:themeColor="text1"/>
        </w:rPr>
        <w:t xml:space="preserve"> likely </w:t>
      </w:r>
      <w:r w:rsidR="00E72141">
        <w:rPr>
          <w:color w:val="000000" w:themeColor="text1"/>
        </w:rPr>
        <w:t xml:space="preserve">to </w:t>
      </w:r>
      <w:r w:rsidRPr="4FCF45F9">
        <w:rPr>
          <w:color w:val="000000" w:themeColor="text1"/>
        </w:rPr>
        <w:t xml:space="preserve">be sustained and used for the management of other diseases. These are detailed in </w:t>
      </w:r>
      <w:r w:rsidR="00EB3CE6" w:rsidRPr="00EB3CE6">
        <w:rPr>
          <w:color w:val="000000" w:themeColor="text1"/>
        </w:rPr>
        <w:t xml:space="preserve">section </w:t>
      </w:r>
      <w:r w:rsidRPr="00EB3CE6">
        <w:rPr>
          <w:color w:val="000000" w:themeColor="text1"/>
        </w:rPr>
        <w:t>5</w:t>
      </w:r>
      <w:r w:rsidRPr="4FCF45F9">
        <w:rPr>
          <w:i/>
          <w:iCs/>
          <w:color w:val="000000" w:themeColor="text1"/>
        </w:rPr>
        <w:t xml:space="preserve"> Strengthening Health Systems</w:t>
      </w:r>
      <w:r w:rsidRPr="4FCF45F9">
        <w:rPr>
          <w:color w:val="000000" w:themeColor="text1"/>
        </w:rPr>
        <w:t xml:space="preserve">. Australian-funded activities contributed to 17 out of 19 of the </w:t>
      </w:r>
      <w:r>
        <w:rPr>
          <w:rStyle w:val="normaltextrun"/>
          <w:rFonts w:ascii="Calibri" w:hAnsi="Calibri" w:cs="Calibri"/>
          <w:color w:val="000000"/>
          <w:shd w:val="clear" w:color="auto" w:fill="FFFFFF"/>
        </w:rPr>
        <w:t>Technical Areas</w:t>
      </w:r>
      <w:r w:rsidR="00495E24">
        <w:rPr>
          <w:rStyle w:val="normaltextrun"/>
          <w:rFonts w:ascii="Calibri" w:hAnsi="Calibri" w:cs="Calibri"/>
          <w:color w:val="000000"/>
          <w:shd w:val="clear" w:color="auto" w:fill="FFFFFF"/>
        </w:rPr>
        <w:t xml:space="preserve"> (TA’s)</w:t>
      </w:r>
      <w:r>
        <w:rPr>
          <w:rStyle w:val="normaltextrun"/>
          <w:rFonts w:ascii="Calibri" w:hAnsi="Calibri" w:cs="Calibri"/>
          <w:color w:val="000000"/>
          <w:shd w:val="clear" w:color="auto" w:fill="FFFFFF"/>
        </w:rPr>
        <w:t xml:space="preserve"> in the </w:t>
      </w:r>
      <w:proofErr w:type="spellStart"/>
      <w:r>
        <w:rPr>
          <w:rStyle w:val="normaltextrun"/>
          <w:rFonts w:ascii="Calibri" w:hAnsi="Calibri" w:cs="Calibri"/>
          <w:color w:val="000000"/>
          <w:shd w:val="clear" w:color="auto" w:fill="FFFFFF"/>
        </w:rPr>
        <w:t>GoI</w:t>
      </w:r>
      <w:proofErr w:type="spellEnd"/>
      <w:r>
        <w:rPr>
          <w:rStyle w:val="normaltextrun"/>
          <w:rFonts w:ascii="Calibri" w:hAnsi="Calibri" w:cs="Calibri"/>
          <w:color w:val="000000"/>
          <w:shd w:val="clear" w:color="auto" w:fill="FFFFFF"/>
        </w:rPr>
        <w:t xml:space="preserve"> National Action Plan for Health Security Indonesia 2020-2024 (NAPHS), </w:t>
      </w:r>
      <w:r w:rsidRPr="4FCF45F9">
        <w:rPr>
          <w:color w:val="000000" w:themeColor="text1"/>
        </w:rPr>
        <w:t xml:space="preserve">further evidence that </w:t>
      </w:r>
      <w:r w:rsidR="001C6DBA">
        <w:rPr>
          <w:color w:val="000000" w:themeColor="text1"/>
        </w:rPr>
        <w:t>the</w:t>
      </w:r>
      <w:r w:rsidRPr="4FCF45F9">
        <w:rPr>
          <w:color w:val="000000" w:themeColor="text1"/>
        </w:rPr>
        <w:t xml:space="preserve"> activities simultaneously supported emergency response </w:t>
      </w:r>
      <w:r w:rsidRPr="00444EBB">
        <w:rPr>
          <w:i/>
          <w:iCs/>
          <w:color w:val="000000" w:themeColor="text1"/>
        </w:rPr>
        <w:t>and</w:t>
      </w:r>
      <w:r w:rsidRPr="4FCF45F9">
        <w:rPr>
          <w:color w:val="000000" w:themeColor="text1"/>
        </w:rPr>
        <w:t xml:space="preserve"> more sustainable strengthening of Indonesia’s health security capability. This contribution to the NAPHS is also evidence of Australia’s ongoing commitment to supporting the </w:t>
      </w:r>
      <w:proofErr w:type="spellStart"/>
      <w:r w:rsidRPr="4FCF45F9">
        <w:rPr>
          <w:color w:val="000000" w:themeColor="text1"/>
        </w:rPr>
        <w:t>G</w:t>
      </w:r>
      <w:r w:rsidR="009536E5" w:rsidRPr="4FCF45F9">
        <w:rPr>
          <w:color w:val="000000" w:themeColor="text1"/>
        </w:rPr>
        <w:t>o</w:t>
      </w:r>
      <w:r w:rsidRPr="4FCF45F9">
        <w:rPr>
          <w:color w:val="000000" w:themeColor="text1"/>
        </w:rPr>
        <w:t>I’s</w:t>
      </w:r>
      <w:proofErr w:type="spellEnd"/>
      <w:r w:rsidRPr="4FCF45F9">
        <w:rPr>
          <w:color w:val="000000" w:themeColor="text1"/>
        </w:rPr>
        <w:t xml:space="preserve"> priorities in the health sector in Indonesia. </w:t>
      </w:r>
      <w:r w:rsidR="00495E24" w:rsidRPr="00373EAE">
        <w:rPr>
          <w:color w:val="000000" w:themeColor="text1"/>
        </w:rPr>
        <w:t>Table 4 l</w:t>
      </w:r>
      <w:r w:rsidR="00495E24" w:rsidRPr="4FCF45F9">
        <w:rPr>
          <w:color w:val="000000" w:themeColor="text1"/>
        </w:rPr>
        <w:t xml:space="preserve">ists </w:t>
      </w:r>
      <w:r w:rsidR="00444EBB">
        <w:rPr>
          <w:color w:val="000000" w:themeColor="text1"/>
        </w:rPr>
        <w:t>significant</w:t>
      </w:r>
      <w:r w:rsidR="00495E24" w:rsidRPr="4FCF45F9">
        <w:rPr>
          <w:color w:val="000000" w:themeColor="text1"/>
        </w:rPr>
        <w:t xml:space="preserve"> activities conducted by AIHSP, WHO and UNICEF in support of the </w:t>
      </w:r>
      <w:proofErr w:type="spellStart"/>
      <w:r w:rsidR="00495E24" w:rsidRPr="4FCF45F9">
        <w:rPr>
          <w:color w:val="000000" w:themeColor="text1"/>
        </w:rPr>
        <w:t>GoI’s</w:t>
      </w:r>
      <w:proofErr w:type="spellEnd"/>
      <w:r w:rsidR="00495E24" w:rsidRPr="4FCF45F9">
        <w:rPr>
          <w:color w:val="000000" w:themeColor="text1"/>
        </w:rPr>
        <w:t xml:space="preserve"> COVID-19 response. These are grouped by NAPHS technical area, noting </w:t>
      </w:r>
      <w:r w:rsidR="00495E24" w:rsidRPr="4FCF45F9">
        <w:rPr>
          <w:i/>
          <w:iCs/>
          <w:color w:val="000000" w:themeColor="text1"/>
        </w:rPr>
        <w:t>not all</w:t>
      </w:r>
      <w:r w:rsidR="00495E24" w:rsidRPr="4FCF45F9">
        <w:rPr>
          <w:color w:val="000000" w:themeColor="text1"/>
        </w:rPr>
        <w:t xml:space="preserve"> TAs supported </w:t>
      </w:r>
      <w:r w:rsidR="003D6065" w:rsidRPr="4FCF45F9">
        <w:rPr>
          <w:color w:val="000000" w:themeColor="text1"/>
        </w:rPr>
        <w:t>have been</w:t>
      </w:r>
      <w:r w:rsidR="00495E24" w:rsidRPr="4FCF45F9">
        <w:rPr>
          <w:color w:val="000000" w:themeColor="text1"/>
        </w:rPr>
        <w:t xml:space="preserve"> included. A full list of AIHSP, WHO and UNICEF activities supporting the NAPHS is in </w:t>
      </w:r>
      <w:r w:rsidR="004C0121">
        <w:rPr>
          <w:color w:val="000000" w:themeColor="text1"/>
        </w:rPr>
        <w:t>a</w:t>
      </w:r>
      <w:r w:rsidR="00495E24" w:rsidRPr="001C6DBA">
        <w:rPr>
          <w:color w:val="000000" w:themeColor="text1"/>
        </w:rPr>
        <w:t>nnex 9.</w:t>
      </w:r>
      <w:r w:rsidR="002E1DB0" w:rsidRPr="001C6DBA">
        <w:rPr>
          <w:color w:val="000000" w:themeColor="text1"/>
        </w:rPr>
        <w:t>5</w:t>
      </w:r>
      <w:r w:rsidR="00810B66">
        <w:rPr>
          <w:color w:val="000000" w:themeColor="text1"/>
        </w:rPr>
        <w:t xml:space="preserve"> and activities that addressed the JEE recommendations in the NAPHS are described in annex 9.6.</w:t>
      </w:r>
    </w:p>
    <w:p w14:paraId="3434DB4A" w14:textId="5BC105AC" w:rsidR="0086410C" w:rsidRDefault="0025626F" w:rsidP="0086410C">
      <w:pPr>
        <w:pStyle w:val="Heading4"/>
        <w:spacing w:line="240" w:lineRule="auto"/>
      </w:pPr>
      <w:r>
        <w:t xml:space="preserve">Table 4: Examples of significant activities by AIHSP, UNICEF and WHO </w:t>
      </w:r>
      <w:r w:rsidR="00A0189A">
        <w:t>in</w:t>
      </w:r>
      <w:r>
        <w:t xml:space="preserve"> support </w:t>
      </w:r>
      <w:proofErr w:type="spellStart"/>
      <w:r>
        <w:t>GoI’s</w:t>
      </w:r>
      <w:proofErr w:type="spellEnd"/>
      <w:r>
        <w:t xml:space="preserve"> COVID-19 response by NAPHS Technical Area</w:t>
      </w:r>
    </w:p>
    <w:tbl>
      <w:tblPr>
        <w:tblStyle w:val="TableGrid"/>
        <w:tblW w:w="10206" w:type="dxa"/>
        <w:tblInd w:w="-572" w:type="dxa"/>
        <w:tblLook w:val="04A0" w:firstRow="1" w:lastRow="0" w:firstColumn="1" w:lastColumn="0" w:noHBand="0" w:noVBand="1"/>
      </w:tblPr>
      <w:tblGrid>
        <w:gridCol w:w="3544"/>
        <w:gridCol w:w="3686"/>
        <w:gridCol w:w="2976"/>
      </w:tblGrid>
      <w:tr w:rsidR="0086410C" w:rsidRPr="00F32FF0" w14:paraId="587E3E72" w14:textId="77777777" w:rsidTr="00466EF8">
        <w:tc>
          <w:tcPr>
            <w:tcW w:w="3544" w:type="dxa"/>
          </w:tcPr>
          <w:p w14:paraId="260AE2AA"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National legislation/policy</w:t>
            </w:r>
          </w:p>
          <w:p w14:paraId="0AA65D44" w14:textId="77777777" w:rsidR="0086410C" w:rsidRPr="00F32FF0" w:rsidRDefault="0086410C" w:rsidP="00466EF8">
            <w:pPr>
              <w:pStyle w:val="ListParagraph"/>
              <w:numPr>
                <w:ilvl w:val="0"/>
                <w:numId w:val="14"/>
              </w:numPr>
              <w:ind w:left="164" w:hanging="142"/>
              <w:jc w:val="both"/>
              <w:rPr>
                <w:rFonts w:cstheme="minorHAnsi"/>
                <w:color w:val="000000" w:themeColor="text1"/>
                <w:sz w:val="20"/>
                <w:szCs w:val="20"/>
              </w:rPr>
            </w:pPr>
            <w:r w:rsidRPr="00F32FF0">
              <w:rPr>
                <w:rFonts w:cstheme="minorHAnsi"/>
                <w:color w:val="000000" w:themeColor="text1"/>
                <w:sz w:val="20"/>
                <w:szCs w:val="20"/>
              </w:rPr>
              <w:t xml:space="preserve">Developed COVID-19 policy guidance and training modules </w:t>
            </w:r>
            <w:proofErr w:type="gramStart"/>
            <w:r w:rsidRPr="00F32FF0">
              <w:rPr>
                <w:rFonts w:cstheme="minorHAnsi"/>
                <w:color w:val="000000" w:themeColor="text1"/>
                <w:sz w:val="20"/>
                <w:szCs w:val="20"/>
              </w:rPr>
              <w:t>e.g.</w:t>
            </w:r>
            <w:proofErr w:type="gramEnd"/>
            <w:r w:rsidRPr="00F32FF0">
              <w:rPr>
                <w:rFonts w:cstheme="minorHAnsi"/>
                <w:color w:val="000000" w:themeColor="text1"/>
                <w:sz w:val="20"/>
                <w:szCs w:val="20"/>
              </w:rPr>
              <w:t xml:space="preserve"> Ag-RDT use [WHO]</w:t>
            </w:r>
          </w:p>
        </w:tc>
        <w:tc>
          <w:tcPr>
            <w:tcW w:w="3686" w:type="dxa"/>
          </w:tcPr>
          <w:p w14:paraId="2B54B473"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IHR coordination/ communication</w:t>
            </w:r>
          </w:p>
          <w:p w14:paraId="6B9B62D6" w14:textId="77777777" w:rsidR="0086410C" w:rsidRPr="00F32FF0" w:rsidRDefault="0086410C" w:rsidP="00466EF8">
            <w:pPr>
              <w:pStyle w:val="ListParagraph"/>
              <w:numPr>
                <w:ilvl w:val="0"/>
                <w:numId w:val="14"/>
              </w:numPr>
              <w:ind w:left="142" w:hanging="142"/>
              <w:jc w:val="both"/>
              <w:rPr>
                <w:rFonts w:cstheme="minorHAnsi"/>
                <w:color w:val="000000" w:themeColor="text1"/>
                <w:sz w:val="20"/>
                <w:szCs w:val="20"/>
              </w:rPr>
            </w:pPr>
            <w:r w:rsidRPr="00F32FF0">
              <w:rPr>
                <w:rFonts w:cstheme="minorHAnsi"/>
                <w:color w:val="000000" w:themeColor="text1"/>
                <w:sz w:val="20"/>
                <w:szCs w:val="20"/>
              </w:rPr>
              <w:t>Developed NDVP [WHO/UNICEF]</w:t>
            </w:r>
          </w:p>
          <w:p w14:paraId="432B9B63" w14:textId="77777777" w:rsidR="0086410C" w:rsidRPr="00F32FF0" w:rsidRDefault="0086410C" w:rsidP="00466EF8">
            <w:pPr>
              <w:pStyle w:val="ListParagraph"/>
              <w:numPr>
                <w:ilvl w:val="0"/>
                <w:numId w:val="14"/>
              </w:numPr>
              <w:ind w:left="142" w:hanging="142"/>
              <w:jc w:val="both"/>
              <w:rPr>
                <w:rFonts w:cstheme="minorHAnsi"/>
                <w:color w:val="000000" w:themeColor="text1"/>
                <w:sz w:val="20"/>
                <w:szCs w:val="20"/>
              </w:rPr>
            </w:pPr>
            <w:r w:rsidRPr="00F32FF0">
              <w:rPr>
                <w:rFonts w:cstheme="minorHAnsi"/>
                <w:color w:val="000000" w:themeColor="text1"/>
                <w:sz w:val="20"/>
                <w:szCs w:val="20"/>
              </w:rPr>
              <w:t>Co-chaired RCCE working group [UNICEF]</w:t>
            </w:r>
          </w:p>
        </w:tc>
        <w:tc>
          <w:tcPr>
            <w:tcW w:w="2976" w:type="dxa"/>
          </w:tcPr>
          <w:p w14:paraId="7AF4F150"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Reporting</w:t>
            </w:r>
          </w:p>
          <w:p w14:paraId="21DA8DCA" w14:textId="77777777" w:rsidR="0086410C" w:rsidRPr="00F32FF0" w:rsidRDefault="0086410C" w:rsidP="00466EF8">
            <w:pPr>
              <w:pStyle w:val="ListParagraph"/>
              <w:numPr>
                <w:ilvl w:val="0"/>
                <w:numId w:val="15"/>
              </w:numPr>
              <w:ind w:left="175" w:hanging="141"/>
              <w:jc w:val="both"/>
              <w:rPr>
                <w:rFonts w:cstheme="minorHAnsi"/>
                <w:color w:val="000000" w:themeColor="text1"/>
                <w:sz w:val="20"/>
                <w:szCs w:val="20"/>
              </w:rPr>
            </w:pPr>
            <w:r w:rsidRPr="00F32FF0">
              <w:rPr>
                <w:rFonts w:cstheme="minorHAnsi"/>
                <w:color w:val="000000" w:themeColor="text1"/>
                <w:sz w:val="20"/>
                <w:szCs w:val="20"/>
              </w:rPr>
              <w:t>Produced monthly situation reports [WHO]</w:t>
            </w:r>
          </w:p>
        </w:tc>
      </w:tr>
      <w:tr w:rsidR="0086410C" w:rsidRPr="00F32FF0" w14:paraId="00977AE8" w14:textId="77777777" w:rsidTr="00466EF8">
        <w:tc>
          <w:tcPr>
            <w:tcW w:w="3544" w:type="dxa"/>
          </w:tcPr>
          <w:p w14:paraId="7E2E80DD"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Biosafety and security</w:t>
            </w:r>
          </w:p>
          <w:p w14:paraId="59129C3D" w14:textId="77777777" w:rsidR="0086410C" w:rsidRPr="00F32FF0" w:rsidRDefault="0086410C" w:rsidP="00466EF8">
            <w:pPr>
              <w:pStyle w:val="ListParagraph"/>
              <w:numPr>
                <w:ilvl w:val="0"/>
                <w:numId w:val="15"/>
              </w:numPr>
              <w:ind w:left="173" w:hanging="142"/>
              <w:jc w:val="both"/>
              <w:rPr>
                <w:rFonts w:cstheme="minorHAnsi"/>
                <w:color w:val="000000" w:themeColor="text1"/>
                <w:sz w:val="20"/>
                <w:szCs w:val="20"/>
              </w:rPr>
            </w:pPr>
            <w:r w:rsidRPr="00F32FF0">
              <w:rPr>
                <w:rFonts w:cstheme="minorHAnsi"/>
                <w:color w:val="000000"/>
                <w:sz w:val="20"/>
                <w:szCs w:val="20"/>
              </w:rPr>
              <w:t>Trained in biosafety for laboratories and DICs [AIHSP]</w:t>
            </w:r>
          </w:p>
        </w:tc>
        <w:tc>
          <w:tcPr>
            <w:tcW w:w="3686" w:type="dxa"/>
          </w:tcPr>
          <w:p w14:paraId="3A00B70A"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Antimicrobial resistance</w:t>
            </w:r>
          </w:p>
          <w:p w14:paraId="487ABD2B" w14:textId="77777777" w:rsidR="0086410C" w:rsidRPr="00F32FF0" w:rsidRDefault="0086410C" w:rsidP="00466EF8">
            <w:pPr>
              <w:pStyle w:val="ListParagraph"/>
              <w:numPr>
                <w:ilvl w:val="0"/>
                <w:numId w:val="15"/>
              </w:numPr>
              <w:ind w:left="142" w:hanging="142"/>
              <w:jc w:val="both"/>
              <w:rPr>
                <w:rFonts w:cstheme="minorHAnsi"/>
                <w:color w:val="000000" w:themeColor="text1"/>
                <w:sz w:val="20"/>
                <w:szCs w:val="20"/>
              </w:rPr>
            </w:pPr>
            <w:r w:rsidRPr="00F32FF0">
              <w:rPr>
                <w:rFonts w:cstheme="minorHAnsi"/>
                <w:color w:val="000000" w:themeColor="text1"/>
                <w:sz w:val="20"/>
                <w:szCs w:val="20"/>
              </w:rPr>
              <w:t xml:space="preserve">Developed </w:t>
            </w:r>
            <w:r w:rsidRPr="00F32FF0">
              <w:rPr>
                <w:rFonts w:eastAsia="Calibri" w:cstheme="minorHAnsi"/>
                <w:color w:val="000000"/>
                <w:sz w:val="20"/>
                <w:szCs w:val="20"/>
              </w:rPr>
              <w:t>National Costed Roadmap for Hand Hygiene for All and National Task Force [UNICEF]</w:t>
            </w:r>
          </w:p>
        </w:tc>
        <w:tc>
          <w:tcPr>
            <w:tcW w:w="2976" w:type="dxa"/>
          </w:tcPr>
          <w:p w14:paraId="27B7FFDA"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Emergency response operations</w:t>
            </w:r>
          </w:p>
          <w:p w14:paraId="58DF10E1" w14:textId="77777777" w:rsidR="0086410C" w:rsidRPr="00F32FF0" w:rsidRDefault="0086410C" w:rsidP="00466EF8">
            <w:pPr>
              <w:pStyle w:val="ListParagraph"/>
              <w:numPr>
                <w:ilvl w:val="0"/>
                <w:numId w:val="15"/>
              </w:numPr>
              <w:ind w:left="177" w:hanging="142"/>
              <w:jc w:val="both"/>
              <w:rPr>
                <w:rFonts w:cstheme="minorHAnsi"/>
                <w:color w:val="000000" w:themeColor="text1"/>
                <w:sz w:val="20"/>
                <w:szCs w:val="20"/>
              </w:rPr>
            </w:pPr>
            <w:r w:rsidRPr="00F32FF0">
              <w:rPr>
                <w:rFonts w:cstheme="minorHAnsi"/>
                <w:color w:val="000000" w:themeColor="text1"/>
                <w:sz w:val="20"/>
                <w:szCs w:val="20"/>
              </w:rPr>
              <w:t xml:space="preserve">Supported </w:t>
            </w:r>
            <w:r w:rsidRPr="00F32FF0">
              <w:rPr>
                <w:rFonts w:cstheme="minorHAnsi"/>
                <w:sz w:val="20"/>
                <w:szCs w:val="20"/>
              </w:rPr>
              <w:t>Public Health Emergency Operation Centre and its dashboard [WHO]</w:t>
            </w:r>
          </w:p>
        </w:tc>
      </w:tr>
      <w:tr w:rsidR="0086410C" w:rsidRPr="00F32FF0" w14:paraId="15EFAA44" w14:textId="77777777" w:rsidTr="00466EF8">
        <w:tc>
          <w:tcPr>
            <w:tcW w:w="3544" w:type="dxa"/>
          </w:tcPr>
          <w:p w14:paraId="4E52D0BA"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Preparedness</w:t>
            </w:r>
          </w:p>
          <w:p w14:paraId="5A1E3D1F" w14:textId="77777777" w:rsidR="0086410C" w:rsidRPr="00F32FF0" w:rsidRDefault="0086410C" w:rsidP="00466EF8">
            <w:pPr>
              <w:pStyle w:val="ListParagraph"/>
              <w:numPr>
                <w:ilvl w:val="0"/>
                <w:numId w:val="17"/>
              </w:numPr>
              <w:ind w:left="173" w:hanging="142"/>
              <w:jc w:val="both"/>
              <w:rPr>
                <w:rFonts w:cstheme="minorHAnsi"/>
                <w:color w:val="000000" w:themeColor="text1"/>
                <w:sz w:val="20"/>
                <w:szCs w:val="20"/>
              </w:rPr>
            </w:pPr>
            <w:r w:rsidRPr="00F32FF0">
              <w:rPr>
                <w:rFonts w:cstheme="minorHAnsi"/>
                <w:color w:val="000000" w:themeColor="text1"/>
                <w:sz w:val="20"/>
                <w:szCs w:val="20"/>
              </w:rPr>
              <w:t>Implemented vaccine readiness assessment and dashboard using VIRAT tools</w:t>
            </w:r>
            <w:r w:rsidRPr="00F32FF0">
              <w:rPr>
                <w:rStyle w:val="FootnoteReference"/>
                <w:rFonts w:cstheme="minorHAnsi"/>
                <w:color w:val="000000" w:themeColor="text1"/>
                <w:sz w:val="20"/>
                <w:szCs w:val="20"/>
              </w:rPr>
              <w:footnoteReference w:id="23"/>
            </w:r>
          </w:p>
          <w:p w14:paraId="551BB37D" w14:textId="77777777" w:rsidR="0086410C" w:rsidRPr="00F32FF0" w:rsidRDefault="0086410C" w:rsidP="00466EF8">
            <w:pPr>
              <w:pStyle w:val="ListParagraph"/>
              <w:numPr>
                <w:ilvl w:val="0"/>
                <w:numId w:val="17"/>
              </w:numPr>
              <w:ind w:left="173" w:hanging="142"/>
              <w:jc w:val="both"/>
              <w:rPr>
                <w:rFonts w:cstheme="minorHAnsi"/>
                <w:b/>
                <w:bCs/>
                <w:color w:val="000000" w:themeColor="text1"/>
                <w:sz w:val="20"/>
                <w:szCs w:val="20"/>
              </w:rPr>
            </w:pPr>
            <w:r w:rsidRPr="00F32FF0">
              <w:rPr>
                <w:rFonts w:cstheme="minorHAnsi"/>
                <w:color w:val="000000" w:themeColor="text1"/>
                <w:sz w:val="20"/>
                <w:szCs w:val="20"/>
              </w:rPr>
              <w:t xml:space="preserve">Modified </w:t>
            </w:r>
            <w:proofErr w:type="spellStart"/>
            <w:r w:rsidRPr="00F32FF0">
              <w:rPr>
                <w:rFonts w:cstheme="minorHAnsi"/>
                <w:color w:val="000000" w:themeColor="text1"/>
                <w:sz w:val="20"/>
                <w:szCs w:val="20"/>
              </w:rPr>
              <w:t>RapidPro</w:t>
            </w:r>
            <w:proofErr w:type="spellEnd"/>
            <w:r w:rsidRPr="00F32FF0">
              <w:rPr>
                <w:rFonts w:cstheme="minorHAnsi"/>
                <w:color w:val="000000" w:themeColor="text1"/>
                <w:sz w:val="20"/>
                <w:szCs w:val="20"/>
              </w:rPr>
              <w:t xml:space="preserve"> digital platform to identify children who lost parents due to COVID-19 [UNICEF]</w:t>
            </w:r>
          </w:p>
        </w:tc>
        <w:tc>
          <w:tcPr>
            <w:tcW w:w="3686" w:type="dxa"/>
          </w:tcPr>
          <w:p w14:paraId="22C1AB76"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Laboratories</w:t>
            </w:r>
          </w:p>
          <w:p w14:paraId="7ADB9AAA" w14:textId="77777777" w:rsidR="0086410C" w:rsidRPr="00F32FF0" w:rsidRDefault="0086410C" w:rsidP="00466EF8">
            <w:pPr>
              <w:pStyle w:val="ListParagraph"/>
              <w:numPr>
                <w:ilvl w:val="0"/>
                <w:numId w:val="16"/>
              </w:numPr>
              <w:ind w:left="142" w:hanging="142"/>
              <w:jc w:val="both"/>
              <w:rPr>
                <w:rFonts w:cstheme="minorHAnsi"/>
                <w:color w:val="000000" w:themeColor="text1"/>
                <w:sz w:val="20"/>
                <w:szCs w:val="20"/>
              </w:rPr>
            </w:pPr>
            <w:r w:rsidRPr="00F32FF0">
              <w:rPr>
                <w:rFonts w:cstheme="minorHAnsi"/>
                <w:color w:val="000000" w:themeColor="text1"/>
                <w:sz w:val="20"/>
                <w:szCs w:val="20"/>
              </w:rPr>
              <w:t>Quality assured the COVID-19 testing laboratory network [WHO, AIHSP]</w:t>
            </w:r>
          </w:p>
          <w:p w14:paraId="55C972ED" w14:textId="77777777" w:rsidR="0086410C" w:rsidRPr="00F32FF0" w:rsidRDefault="0086410C" w:rsidP="00466EF8">
            <w:pPr>
              <w:pStyle w:val="ListParagraph"/>
              <w:numPr>
                <w:ilvl w:val="0"/>
                <w:numId w:val="16"/>
              </w:numPr>
              <w:ind w:left="142" w:hanging="142"/>
              <w:jc w:val="both"/>
              <w:rPr>
                <w:rFonts w:cstheme="minorHAnsi"/>
                <w:color w:val="000000" w:themeColor="text1"/>
                <w:sz w:val="20"/>
                <w:szCs w:val="20"/>
              </w:rPr>
            </w:pPr>
            <w:r w:rsidRPr="00F32FF0">
              <w:rPr>
                <w:rFonts w:cstheme="minorHAnsi"/>
                <w:color w:val="000000" w:themeColor="text1"/>
                <w:sz w:val="20"/>
                <w:szCs w:val="20"/>
              </w:rPr>
              <w:t>Supported 1,300 laboratories to do PCR testing [WHO]</w:t>
            </w:r>
          </w:p>
        </w:tc>
        <w:tc>
          <w:tcPr>
            <w:tcW w:w="2976" w:type="dxa"/>
          </w:tcPr>
          <w:p w14:paraId="2C4AE203"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Workforce development</w:t>
            </w:r>
          </w:p>
          <w:p w14:paraId="4FCD66DA" w14:textId="77777777" w:rsidR="0086410C" w:rsidRPr="00F32FF0" w:rsidRDefault="0086410C" w:rsidP="00466EF8">
            <w:pPr>
              <w:pStyle w:val="ListParagraph"/>
              <w:numPr>
                <w:ilvl w:val="0"/>
                <w:numId w:val="18"/>
              </w:numPr>
              <w:ind w:left="177" w:hanging="142"/>
              <w:jc w:val="both"/>
              <w:rPr>
                <w:rFonts w:cstheme="minorHAnsi"/>
                <w:color w:val="000000" w:themeColor="text1"/>
                <w:sz w:val="20"/>
                <w:szCs w:val="20"/>
              </w:rPr>
            </w:pPr>
            <w:r w:rsidRPr="00F32FF0">
              <w:rPr>
                <w:rFonts w:eastAsia="Calibri" w:cstheme="minorHAnsi"/>
                <w:color w:val="000000"/>
                <w:sz w:val="20"/>
                <w:szCs w:val="20"/>
              </w:rPr>
              <w:t>Developed and disseminated COVID-19 technical guidelines and FAQ for health workers in all 34 provinces.</w:t>
            </w:r>
          </w:p>
        </w:tc>
      </w:tr>
      <w:tr w:rsidR="0086410C" w:rsidRPr="00F32FF0" w14:paraId="183ABA75" w14:textId="77777777" w:rsidTr="00466EF8">
        <w:tc>
          <w:tcPr>
            <w:tcW w:w="3544" w:type="dxa"/>
          </w:tcPr>
          <w:p w14:paraId="2663A9DA"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Surveillance</w:t>
            </w:r>
          </w:p>
          <w:p w14:paraId="5877DE0B" w14:textId="77777777" w:rsidR="0086410C" w:rsidRPr="00F32FF0" w:rsidRDefault="0086410C" w:rsidP="00466EF8">
            <w:pPr>
              <w:pStyle w:val="ListParagraph"/>
              <w:numPr>
                <w:ilvl w:val="0"/>
                <w:numId w:val="18"/>
              </w:numPr>
              <w:ind w:left="173" w:hanging="142"/>
              <w:jc w:val="both"/>
              <w:rPr>
                <w:rFonts w:cstheme="minorHAnsi"/>
                <w:b/>
                <w:bCs/>
                <w:color w:val="000000" w:themeColor="text1"/>
                <w:sz w:val="20"/>
                <w:szCs w:val="20"/>
              </w:rPr>
            </w:pPr>
            <w:r w:rsidRPr="00F32FF0">
              <w:rPr>
                <w:rFonts w:eastAsia="Calibri" w:cstheme="minorHAnsi"/>
                <w:color w:val="000000"/>
                <w:sz w:val="20"/>
                <w:szCs w:val="20"/>
              </w:rPr>
              <w:t>Developed and disseminated AEFI and AESI (Adverse Effect of Special Interest) surveillance guidance [WHO]</w:t>
            </w:r>
          </w:p>
          <w:p w14:paraId="098E41A3" w14:textId="77777777" w:rsidR="0086410C" w:rsidRPr="00F32FF0" w:rsidRDefault="0086410C" w:rsidP="00466EF8">
            <w:pPr>
              <w:pStyle w:val="ListParagraph"/>
              <w:numPr>
                <w:ilvl w:val="0"/>
                <w:numId w:val="18"/>
              </w:numPr>
              <w:ind w:left="173" w:hanging="142"/>
              <w:jc w:val="both"/>
              <w:rPr>
                <w:rFonts w:cstheme="minorHAnsi"/>
                <w:color w:val="000000" w:themeColor="text1"/>
                <w:sz w:val="20"/>
                <w:szCs w:val="20"/>
              </w:rPr>
            </w:pPr>
            <w:r w:rsidRPr="00F32FF0">
              <w:rPr>
                <w:rFonts w:eastAsia="Calibri" w:cstheme="minorHAnsi"/>
                <w:color w:val="000000"/>
                <w:sz w:val="20"/>
                <w:szCs w:val="20"/>
              </w:rPr>
              <w:t>Developed an active surveillance system using a sentinel approach [WHO]</w:t>
            </w:r>
          </w:p>
        </w:tc>
        <w:tc>
          <w:tcPr>
            <w:tcW w:w="3686" w:type="dxa"/>
          </w:tcPr>
          <w:p w14:paraId="3178C46F"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RCCE</w:t>
            </w:r>
          </w:p>
          <w:p w14:paraId="0114B556" w14:textId="77777777" w:rsidR="0086410C" w:rsidRPr="00F32FF0" w:rsidRDefault="0086410C" w:rsidP="00466EF8">
            <w:pPr>
              <w:pStyle w:val="ListParagraph"/>
              <w:numPr>
                <w:ilvl w:val="0"/>
                <w:numId w:val="21"/>
              </w:numPr>
              <w:pBdr>
                <w:top w:val="nil"/>
                <w:left w:val="nil"/>
                <w:bottom w:val="nil"/>
                <w:right w:val="nil"/>
                <w:between w:val="nil"/>
              </w:pBdr>
              <w:ind w:left="142" w:hanging="142"/>
              <w:jc w:val="both"/>
              <w:rPr>
                <w:rFonts w:cstheme="minorHAnsi"/>
                <w:sz w:val="20"/>
                <w:szCs w:val="20"/>
              </w:rPr>
            </w:pPr>
            <w:r w:rsidRPr="00F32FF0">
              <w:rPr>
                <w:rFonts w:eastAsia="Calibri" w:cstheme="minorHAnsi"/>
                <w:color w:val="000000" w:themeColor="text1"/>
                <w:sz w:val="20"/>
                <w:szCs w:val="20"/>
              </w:rPr>
              <w:t>Reached 53 million people with service messages, and to combat misinformation through social media and chat-bots [UNICEF]</w:t>
            </w:r>
          </w:p>
          <w:p w14:paraId="127D6402" w14:textId="77777777" w:rsidR="0086410C" w:rsidRPr="00F32FF0" w:rsidRDefault="0086410C" w:rsidP="00466EF8">
            <w:pPr>
              <w:pStyle w:val="ListParagraph"/>
              <w:numPr>
                <w:ilvl w:val="0"/>
                <w:numId w:val="21"/>
              </w:numPr>
              <w:ind w:left="142" w:hanging="142"/>
              <w:jc w:val="both"/>
              <w:rPr>
                <w:rFonts w:cstheme="minorHAnsi"/>
                <w:color w:val="000000" w:themeColor="text1"/>
                <w:sz w:val="20"/>
                <w:szCs w:val="20"/>
              </w:rPr>
            </w:pPr>
            <w:r w:rsidRPr="00F32FF0">
              <w:rPr>
                <w:rFonts w:cstheme="minorHAnsi"/>
                <w:color w:val="000000" w:themeColor="text1"/>
                <w:sz w:val="20"/>
                <w:szCs w:val="20"/>
              </w:rPr>
              <w:t>RCCE to at-risk groups such as elderly and people with disabilities in 5 target provinces [AIHSP]</w:t>
            </w:r>
          </w:p>
        </w:tc>
        <w:tc>
          <w:tcPr>
            <w:tcW w:w="2976" w:type="dxa"/>
          </w:tcPr>
          <w:p w14:paraId="6F726A4E"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Linking public health and security authorities</w:t>
            </w:r>
          </w:p>
          <w:p w14:paraId="136525EA" w14:textId="77777777" w:rsidR="0086410C" w:rsidRPr="00F32FF0" w:rsidRDefault="0086410C" w:rsidP="00466EF8">
            <w:pPr>
              <w:pStyle w:val="ListParagraph"/>
              <w:numPr>
                <w:ilvl w:val="0"/>
                <w:numId w:val="19"/>
              </w:numPr>
              <w:ind w:left="177" w:hanging="142"/>
              <w:jc w:val="both"/>
              <w:rPr>
                <w:rFonts w:cstheme="minorHAnsi"/>
                <w:sz w:val="20"/>
                <w:szCs w:val="20"/>
              </w:rPr>
            </w:pPr>
            <w:r w:rsidRPr="00F32FF0">
              <w:rPr>
                <w:rFonts w:eastAsia="Calibri" w:cstheme="minorHAnsi"/>
                <w:color w:val="000000"/>
                <w:sz w:val="20"/>
                <w:szCs w:val="20"/>
              </w:rPr>
              <w:t>Pulse Lab developed a risk assessment map to inform social mobility policy [AIHSP]</w:t>
            </w:r>
          </w:p>
          <w:p w14:paraId="2A6C4FB6" w14:textId="77777777" w:rsidR="0086410C" w:rsidRPr="00F32FF0" w:rsidRDefault="0086410C" w:rsidP="00466EF8">
            <w:pPr>
              <w:pStyle w:val="ListParagraph"/>
              <w:numPr>
                <w:ilvl w:val="0"/>
                <w:numId w:val="19"/>
              </w:numPr>
              <w:ind w:left="177" w:hanging="142"/>
              <w:jc w:val="both"/>
              <w:rPr>
                <w:rFonts w:cstheme="minorHAnsi"/>
                <w:sz w:val="20"/>
                <w:szCs w:val="20"/>
              </w:rPr>
            </w:pPr>
            <w:r w:rsidRPr="00F32FF0">
              <w:rPr>
                <w:rFonts w:cstheme="minorHAnsi"/>
                <w:sz w:val="20"/>
                <w:szCs w:val="20"/>
              </w:rPr>
              <w:t>Developed guidelines on community-based isolation and quarantine [WHO, UNICEF]</w:t>
            </w:r>
          </w:p>
        </w:tc>
      </w:tr>
      <w:tr w:rsidR="0086410C" w:rsidRPr="00F32FF0" w14:paraId="1ED20AA9" w14:textId="77777777" w:rsidTr="00466EF8">
        <w:trPr>
          <w:trHeight w:val="1260"/>
        </w:trPr>
        <w:tc>
          <w:tcPr>
            <w:tcW w:w="3544" w:type="dxa"/>
          </w:tcPr>
          <w:p w14:paraId="200FDCF8"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lastRenderedPageBreak/>
              <w:t xml:space="preserve">Medical countermeasures </w:t>
            </w:r>
          </w:p>
          <w:p w14:paraId="1B9CCDFE" w14:textId="77777777" w:rsidR="0086410C" w:rsidRPr="00F32FF0" w:rsidRDefault="0086410C" w:rsidP="00466EF8">
            <w:pPr>
              <w:pStyle w:val="ListParagraph"/>
              <w:numPr>
                <w:ilvl w:val="0"/>
                <w:numId w:val="20"/>
              </w:numPr>
              <w:ind w:left="173" w:hanging="173"/>
              <w:jc w:val="both"/>
              <w:rPr>
                <w:rFonts w:cstheme="minorHAnsi"/>
                <w:color w:val="000000" w:themeColor="text1"/>
                <w:sz w:val="20"/>
                <w:szCs w:val="20"/>
              </w:rPr>
            </w:pPr>
            <w:r w:rsidRPr="00F32FF0">
              <w:rPr>
                <w:rFonts w:cstheme="minorHAnsi"/>
                <w:color w:val="000000" w:themeColor="text1"/>
                <w:sz w:val="20"/>
                <w:szCs w:val="20"/>
              </w:rPr>
              <w:t>Supported FDA/BPOM issuing emergency use authorisation for COVID-19 vaccines [WHO]</w:t>
            </w:r>
          </w:p>
        </w:tc>
        <w:tc>
          <w:tcPr>
            <w:tcW w:w="3686" w:type="dxa"/>
          </w:tcPr>
          <w:p w14:paraId="69975014" w14:textId="77777777" w:rsidR="0086410C" w:rsidRPr="00F32FF0" w:rsidRDefault="0086410C" w:rsidP="00466EF8">
            <w:pPr>
              <w:jc w:val="both"/>
              <w:rPr>
                <w:rFonts w:cstheme="minorHAnsi"/>
                <w:b/>
                <w:bCs/>
                <w:color w:val="000000" w:themeColor="text1"/>
                <w:sz w:val="20"/>
                <w:szCs w:val="20"/>
              </w:rPr>
            </w:pPr>
            <w:r w:rsidRPr="00F32FF0">
              <w:rPr>
                <w:rFonts w:cstheme="minorHAnsi"/>
                <w:b/>
                <w:bCs/>
                <w:color w:val="000000" w:themeColor="text1"/>
                <w:sz w:val="20"/>
                <w:szCs w:val="20"/>
              </w:rPr>
              <w:t>Immunisation</w:t>
            </w:r>
          </w:p>
          <w:p w14:paraId="6CE8020E" w14:textId="77777777" w:rsidR="0086410C" w:rsidRPr="00F32FF0" w:rsidRDefault="0086410C" w:rsidP="00466EF8">
            <w:pPr>
              <w:pStyle w:val="ListParagraph"/>
              <w:numPr>
                <w:ilvl w:val="0"/>
                <w:numId w:val="15"/>
              </w:numPr>
              <w:ind w:left="142" w:hanging="142"/>
              <w:jc w:val="both"/>
              <w:rPr>
                <w:rFonts w:cstheme="minorHAnsi"/>
                <w:color w:val="000000" w:themeColor="text1"/>
                <w:sz w:val="20"/>
                <w:szCs w:val="20"/>
              </w:rPr>
            </w:pPr>
            <w:r w:rsidRPr="00F32FF0">
              <w:rPr>
                <w:rFonts w:cstheme="minorHAnsi"/>
                <w:color w:val="000000" w:themeColor="text1"/>
                <w:sz w:val="20"/>
                <w:szCs w:val="20"/>
              </w:rPr>
              <w:t>Implemented last mile COVID-19 vaccination, including for elderly and people with disabilities [AIHSP]</w:t>
            </w:r>
          </w:p>
          <w:p w14:paraId="1BA3B76B" w14:textId="77777777" w:rsidR="0086410C" w:rsidRPr="00F32FF0" w:rsidRDefault="0086410C" w:rsidP="00466EF8">
            <w:pPr>
              <w:pStyle w:val="ListParagraph"/>
              <w:numPr>
                <w:ilvl w:val="0"/>
                <w:numId w:val="15"/>
              </w:numPr>
              <w:ind w:left="142" w:hanging="142"/>
              <w:jc w:val="both"/>
              <w:rPr>
                <w:rFonts w:cstheme="minorHAnsi"/>
                <w:color w:val="000000" w:themeColor="text1"/>
                <w:sz w:val="20"/>
                <w:szCs w:val="20"/>
              </w:rPr>
            </w:pPr>
            <w:r w:rsidRPr="00F32FF0">
              <w:rPr>
                <w:rFonts w:cstheme="minorHAnsi"/>
                <w:color w:val="000000" w:themeColor="text1"/>
                <w:sz w:val="20"/>
                <w:szCs w:val="20"/>
              </w:rPr>
              <w:t xml:space="preserve"> Trained health workers including in vaccine handling [WHO]</w:t>
            </w:r>
          </w:p>
          <w:p w14:paraId="72C03FBC" w14:textId="77777777" w:rsidR="0086410C" w:rsidRPr="00F32FF0" w:rsidRDefault="0086410C" w:rsidP="00466EF8">
            <w:pPr>
              <w:pStyle w:val="ListParagraph"/>
              <w:numPr>
                <w:ilvl w:val="0"/>
                <w:numId w:val="15"/>
              </w:numPr>
              <w:ind w:left="142" w:hanging="142"/>
              <w:jc w:val="both"/>
              <w:rPr>
                <w:rFonts w:cstheme="minorHAnsi"/>
                <w:color w:val="000000" w:themeColor="text1"/>
                <w:sz w:val="20"/>
                <w:szCs w:val="20"/>
              </w:rPr>
            </w:pPr>
            <w:r w:rsidRPr="00F32FF0">
              <w:rPr>
                <w:rFonts w:cstheme="minorHAnsi"/>
                <w:color w:val="000000" w:themeColor="text1"/>
                <w:sz w:val="20"/>
                <w:szCs w:val="20"/>
              </w:rPr>
              <w:t>Facilitated delivery of 104M doses of COVAX COVID-19 vaccine [UNICEF]</w:t>
            </w:r>
          </w:p>
        </w:tc>
        <w:tc>
          <w:tcPr>
            <w:tcW w:w="2976" w:type="dxa"/>
          </w:tcPr>
          <w:p w14:paraId="545A1485" w14:textId="77777777" w:rsidR="0086410C" w:rsidRPr="00F32FF0" w:rsidRDefault="0086410C" w:rsidP="00466EF8">
            <w:pPr>
              <w:pStyle w:val="ListParagraph"/>
              <w:ind w:left="142"/>
              <w:jc w:val="both"/>
              <w:rPr>
                <w:rFonts w:cstheme="minorHAnsi"/>
                <w:color w:val="000000" w:themeColor="text1"/>
                <w:sz w:val="20"/>
                <w:szCs w:val="20"/>
              </w:rPr>
            </w:pPr>
          </w:p>
        </w:tc>
      </w:tr>
    </w:tbl>
    <w:p w14:paraId="1703852F" w14:textId="7D190C8D" w:rsidR="0086410C" w:rsidRDefault="0086410C" w:rsidP="0086410C">
      <w:pPr>
        <w:rPr>
          <w:lang w:eastAsia="en-ID"/>
        </w:rPr>
      </w:pPr>
    </w:p>
    <w:p w14:paraId="01E21496" w14:textId="3B00C909" w:rsidR="004735DF" w:rsidRDefault="004735DF" w:rsidP="008D1F47">
      <w:pPr>
        <w:spacing w:after="120" w:line="240" w:lineRule="auto"/>
        <w:rPr>
          <w:rFonts w:cstheme="minorHAnsi"/>
          <w:color w:val="000000" w:themeColor="text1"/>
        </w:rPr>
      </w:pPr>
      <w:r w:rsidRPr="4FCF45F9">
        <w:rPr>
          <w:color w:val="000000" w:themeColor="text1"/>
        </w:rPr>
        <w:t xml:space="preserve">Australia has continued its support as Indonesia moves to a transition phase for COVID-19. According to the Australian Strategic Framework for Transitioning COVID-19 Measures, </w:t>
      </w:r>
      <w:r w:rsidR="00444EBB">
        <w:rPr>
          <w:color w:val="000000" w:themeColor="text1"/>
        </w:rPr>
        <w:t xml:space="preserve">transition </w:t>
      </w:r>
      <w:r w:rsidRPr="4FCF45F9">
        <w:rPr>
          <w:color w:val="000000" w:themeColor="text1"/>
        </w:rPr>
        <w:t>activities should include ongoing support to minimise the level of severe COVID-19 and death, continuing to promote the importance of vaccinations, consideration of scaling down, ceasing or continuing certain activities; returning to use of existing systems; and ensuring the capability of systems to respond to future waves</w:t>
      </w:r>
      <w:r w:rsidR="002452AB">
        <w:rPr>
          <w:color w:val="000000" w:themeColor="text1"/>
        </w:rPr>
        <w:t>.</w:t>
      </w:r>
      <w:r w:rsidRPr="4FCF45F9">
        <w:rPr>
          <w:rStyle w:val="FootnoteReference"/>
          <w:color w:val="000000" w:themeColor="text1"/>
        </w:rPr>
        <w:footnoteReference w:id="24"/>
      </w:r>
      <w:r w:rsidRPr="4FCF45F9">
        <w:rPr>
          <w:color w:val="000000" w:themeColor="text1"/>
        </w:rPr>
        <w:t xml:space="preserve"> Future pandemic preparedness, including multisectoral coordination that involves private sector and civil society, robust assessment of capacity against benchmarks set by the WHO and risk communication strategies, w</w:t>
      </w:r>
      <w:r w:rsidR="00444EBB">
        <w:rPr>
          <w:color w:val="000000" w:themeColor="text1"/>
        </w:rPr>
        <w:t>ere</w:t>
      </w:r>
      <w:r w:rsidRPr="4FCF45F9">
        <w:rPr>
          <w:color w:val="000000" w:themeColor="text1"/>
        </w:rPr>
        <w:t xml:space="preserve"> also </w:t>
      </w:r>
      <w:r w:rsidR="00444EBB">
        <w:rPr>
          <w:color w:val="000000" w:themeColor="text1"/>
        </w:rPr>
        <w:t xml:space="preserve">identified </w:t>
      </w:r>
      <w:r w:rsidR="005D6172">
        <w:rPr>
          <w:color w:val="000000" w:themeColor="text1"/>
        </w:rPr>
        <w:t xml:space="preserve">as priorities </w:t>
      </w:r>
      <w:r w:rsidR="00444EBB">
        <w:rPr>
          <w:color w:val="000000" w:themeColor="text1"/>
        </w:rPr>
        <w:t xml:space="preserve">in </w:t>
      </w:r>
      <w:r w:rsidRPr="4FCF45F9">
        <w:rPr>
          <w:color w:val="000000" w:themeColor="text1"/>
        </w:rPr>
        <w:t>other transition literature</w:t>
      </w:r>
      <w:r w:rsidR="00444EBB">
        <w:rPr>
          <w:color w:val="000000" w:themeColor="text1"/>
        </w:rPr>
        <w:t>.</w:t>
      </w:r>
      <w:r w:rsidRPr="4FCF45F9">
        <w:rPr>
          <w:rStyle w:val="FootnoteReference"/>
          <w:color w:val="000000" w:themeColor="text1"/>
        </w:rPr>
        <w:footnoteReference w:id="25"/>
      </w:r>
      <w:r w:rsidRPr="4FCF45F9">
        <w:rPr>
          <w:color w:val="000000" w:themeColor="text1"/>
        </w:rPr>
        <w:t xml:space="preserve"> </w:t>
      </w:r>
    </w:p>
    <w:p w14:paraId="593C7809" w14:textId="09255EA9" w:rsidR="004735DF" w:rsidRDefault="004735DF" w:rsidP="008D1F47">
      <w:pPr>
        <w:spacing w:after="120" w:line="240" w:lineRule="auto"/>
        <w:rPr>
          <w:color w:val="000000" w:themeColor="text1"/>
        </w:rPr>
      </w:pPr>
      <w:r w:rsidRPr="48362220">
        <w:rPr>
          <w:color w:val="000000" w:themeColor="text1"/>
        </w:rPr>
        <w:t xml:space="preserve">Australia-funded activities supporting this transition include: the continued roll-out of last-mile COVID-19 activities for the vaccination of at-risk groups by AIHSP; </w:t>
      </w:r>
      <w:r w:rsidRPr="48362220">
        <w:rPr>
          <w:rFonts w:ascii="Calibri" w:eastAsia="Calibri" w:hAnsi="Calibri" w:cs="Calibri"/>
          <w:color w:val="000000" w:themeColor="text1"/>
          <w:highlight w:val="white"/>
        </w:rPr>
        <w:t>WHO’s support to the MoH for the</w:t>
      </w:r>
      <w:r w:rsidRPr="48362220">
        <w:rPr>
          <w:rFonts w:ascii="Calibri" w:eastAsia="Calibri" w:hAnsi="Calibri" w:cs="Calibri"/>
          <w:highlight w:val="white"/>
        </w:rPr>
        <w:t xml:space="preserve"> </w:t>
      </w:r>
      <w:r w:rsidRPr="48362220">
        <w:rPr>
          <w:highlight w:val="white"/>
        </w:rPr>
        <w:t>COVID-19</w:t>
      </w:r>
      <w:r w:rsidRPr="48362220">
        <w:rPr>
          <w:color w:val="000000" w:themeColor="text1"/>
          <w:highlight w:val="white"/>
        </w:rPr>
        <w:t xml:space="preserve"> </w:t>
      </w:r>
      <w:r w:rsidRPr="48362220">
        <w:rPr>
          <w:rFonts w:ascii="Calibri" w:eastAsia="Calibri" w:hAnsi="Calibri" w:cs="Calibri"/>
          <w:color w:val="000000" w:themeColor="text1"/>
          <w:highlight w:val="white"/>
        </w:rPr>
        <w:t>surveillance transition plan including integrating COVID-19 into existing surveillance systems</w:t>
      </w:r>
      <w:r w:rsidRPr="48362220">
        <w:rPr>
          <w:rFonts w:ascii="Calibri" w:eastAsia="Calibri" w:hAnsi="Calibri" w:cs="Calibri"/>
          <w:color w:val="000000" w:themeColor="text1"/>
        </w:rPr>
        <w:t>; AIHSP’s support for a transdisciplinary One Health approach for Health Emergency Operations Centres at provincial level</w:t>
      </w:r>
      <w:r w:rsidRPr="48362220">
        <w:rPr>
          <w:color w:val="000000" w:themeColor="text1"/>
        </w:rPr>
        <w:t>; UNICEF, WHO and AIHSP’s ongoing work in RCCE; and AIHSP’s plans for engagement at a primary health care level.</w:t>
      </w:r>
      <w:r w:rsidR="005F3286" w:rsidRPr="48362220">
        <w:rPr>
          <w:color w:val="000000" w:themeColor="text1"/>
        </w:rPr>
        <w:t xml:space="preserve"> </w:t>
      </w:r>
      <w:r w:rsidR="009536E5" w:rsidRPr="48362220">
        <w:rPr>
          <w:color w:val="000000" w:themeColor="text1"/>
        </w:rPr>
        <w:t xml:space="preserve">These demonstrate </w:t>
      </w:r>
      <w:r w:rsidR="00776318" w:rsidRPr="48362220">
        <w:rPr>
          <w:color w:val="000000" w:themeColor="text1"/>
        </w:rPr>
        <w:t xml:space="preserve">that </w:t>
      </w:r>
      <w:r w:rsidR="009536E5" w:rsidRPr="48362220">
        <w:rPr>
          <w:color w:val="000000" w:themeColor="text1"/>
        </w:rPr>
        <w:t>Australian support reflects good practice in transition and continue</w:t>
      </w:r>
      <w:r w:rsidR="00776318" w:rsidRPr="48362220">
        <w:rPr>
          <w:color w:val="000000" w:themeColor="text1"/>
        </w:rPr>
        <w:t>d</w:t>
      </w:r>
      <w:r w:rsidR="009536E5" w:rsidRPr="48362220">
        <w:rPr>
          <w:color w:val="000000" w:themeColor="text1"/>
        </w:rPr>
        <w:t xml:space="preserve"> respon</w:t>
      </w:r>
      <w:r w:rsidR="00776318" w:rsidRPr="48362220">
        <w:rPr>
          <w:color w:val="000000" w:themeColor="text1"/>
        </w:rPr>
        <w:t>siveness</w:t>
      </w:r>
      <w:r w:rsidR="009536E5" w:rsidRPr="48362220">
        <w:rPr>
          <w:color w:val="000000" w:themeColor="text1"/>
        </w:rPr>
        <w:t xml:space="preserve"> to </w:t>
      </w:r>
      <w:proofErr w:type="spellStart"/>
      <w:r w:rsidR="009536E5" w:rsidRPr="48362220">
        <w:rPr>
          <w:color w:val="000000" w:themeColor="text1"/>
        </w:rPr>
        <w:t>GoI</w:t>
      </w:r>
      <w:proofErr w:type="spellEnd"/>
      <w:r w:rsidR="009536E5" w:rsidRPr="48362220">
        <w:rPr>
          <w:color w:val="000000" w:themeColor="text1"/>
        </w:rPr>
        <w:t xml:space="preserve"> priorities. </w:t>
      </w:r>
      <w:r w:rsidR="00776318" w:rsidRPr="48362220">
        <w:rPr>
          <w:color w:val="000000" w:themeColor="text1"/>
        </w:rPr>
        <w:t>A</w:t>
      </w:r>
      <w:r w:rsidR="005F3286" w:rsidRPr="48362220">
        <w:rPr>
          <w:color w:val="000000" w:themeColor="text1"/>
        </w:rPr>
        <w:t xml:space="preserve"> future Australian investment in </w:t>
      </w:r>
      <w:r w:rsidR="00776318" w:rsidRPr="48362220">
        <w:rPr>
          <w:color w:val="000000" w:themeColor="text1"/>
        </w:rPr>
        <w:t>the Indonesian health sector should continue to</w:t>
      </w:r>
      <w:r w:rsidR="005F3286" w:rsidRPr="48362220">
        <w:rPr>
          <w:color w:val="000000" w:themeColor="text1"/>
        </w:rPr>
        <w:t xml:space="preserve"> </w:t>
      </w:r>
      <w:r w:rsidR="00776318" w:rsidRPr="48362220">
        <w:rPr>
          <w:color w:val="000000" w:themeColor="text1"/>
        </w:rPr>
        <w:t xml:space="preserve">support </w:t>
      </w:r>
      <w:proofErr w:type="spellStart"/>
      <w:r w:rsidR="00F21F66" w:rsidRPr="48362220">
        <w:rPr>
          <w:color w:val="000000" w:themeColor="text1"/>
        </w:rPr>
        <w:t>GoI</w:t>
      </w:r>
      <w:proofErr w:type="spellEnd"/>
      <w:r w:rsidR="00F21F66" w:rsidRPr="48362220">
        <w:rPr>
          <w:color w:val="000000" w:themeColor="text1"/>
        </w:rPr>
        <w:t xml:space="preserve"> priorities </w:t>
      </w:r>
      <w:r w:rsidR="00776318" w:rsidRPr="48362220">
        <w:rPr>
          <w:color w:val="000000" w:themeColor="text1"/>
        </w:rPr>
        <w:t>in areas of</w:t>
      </w:r>
      <w:r w:rsidR="00F21F66" w:rsidRPr="48362220">
        <w:rPr>
          <w:color w:val="000000" w:themeColor="text1"/>
        </w:rPr>
        <w:t xml:space="preserve"> Australian technical expertise. This could include improvements in</w:t>
      </w:r>
      <w:r w:rsidR="005F3286" w:rsidRPr="48362220">
        <w:rPr>
          <w:color w:val="000000" w:themeColor="text1"/>
        </w:rPr>
        <w:t xml:space="preserve"> surveillance, </w:t>
      </w:r>
      <w:r w:rsidR="005D6172">
        <w:rPr>
          <w:color w:val="000000" w:themeColor="text1"/>
        </w:rPr>
        <w:t xml:space="preserve">animal health </w:t>
      </w:r>
      <w:r w:rsidR="005F3286" w:rsidRPr="48362220">
        <w:rPr>
          <w:color w:val="000000" w:themeColor="text1"/>
        </w:rPr>
        <w:t>laboratory systems and One Health that will be vital for response</w:t>
      </w:r>
      <w:r w:rsidR="00B06BE3" w:rsidRPr="48362220">
        <w:rPr>
          <w:color w:val="000000" w:themeColor="text1"/>
        </w:rPr>
        <w:t>s</w:t>
      </w:r>
      <w:r w:rsidR="005F3286" w:rsidRPr="48362220">
        <w:rPr>
          <w:color w:val="000000" w:themeColor="text1"/>
        </w:rPr>
        <w:t xml:space="preserve"> to future infectious disease outbreaks.</w:t>
      </w:r>
    </w:p>
    <w:p w14:paraId="227EB64C" w14:textId="0048722E" w:rsidR="008D1F47" w:rsidRDefault="008D1F47">
      <w:pPr>
        <w:rPr>
          <w:color w:val="000000" w:themeColor="text1"/>
        </w:rPr>
      </w:pPr>
      <w:r>
        <w:rPr>
          <w:color w:val="000000" w:themeColor="text1"/>
        </w:rPr>
        <w:br w:type="page"/>
      </w:r>
    </w:p>
    <w:p w14:paraId="0A578396" w14:textId="4EE1CAEB" w:rsidR="00675EAA" w:rsidRDefault="00675EAA" w:rsidP="00425817">
      <w:pPr>
        <w:pStyle w:val="Heading1"/>
        <w:numPr>
          <w:ilvl w:val="0"/>
          <w:numId w:val="11"/>
        </w:numPr>
      </w:pPr>
      <w:bookmarkStart w:id="87" w:name="_Toc135837423"/>
      <w:bookmarkEnd w:id="53"/>
      <w:bookmarkEnd w:id="86"/>
      <w:r>
        <w:lastRenderedPageBreak/>
        <w:t>Strengthening health systems</w:t>
      </w:r>
      <w:bookmarkEnd w:id="87"/>
      <w:r w:rsidR="00C8643E" w:rsidRPr="00C8643E">
        <w:tab/>
      </w:r>
    </w:p>
    <w:p w14:paraId="73FCDB49" w14:textId="18E165CC" w:rsidR="000B71D2" w:rsidRPr="000B71D2" w:rsidRDefault="000B71D2" w:rsidP="000B71D2">
      <w:pPr>
        <w:pStyle w:val="Heading2"/>
      </w:pPr>
      <w:bookmarkStart w:id="88" w:name="_Toc135837424"/>
      <w:r>
        <w:t>5.1</w:t>
      </w:r>
      <w:r>
        <w:tab/>
        <w:t>Partners</w:t>
      </w:r>
      <w:r w:rsidR="005F6EA1">
        <w:t>’</w:t>
      </w:r>
      <w:r>
        <w:t xml:space="preserve"> contribution to Indonesian health system</w:t>
      </w:r>
      <w:r w:rsidR="005F6EA1">
        <w:t>s</w:t>
      </w:r>
      <w:r>
        <w:t xml:space="preserve"> </w:t>
      </w:r>
      <w:proofErr w:type="gramStart"/>
      <w:r>
        <w:t>strengthening</w:t>
      </w:r>
      <w:bookmarkEnd w:id="88"/>
      <w:proofErr w:type="gramEnd"/>
      <w:r>
        <w:t xml:space="preserve"> </w:t>
      </w:r>
    </w:p>
    <w:p w14:paraId="5CBF1A2E" w14:textId="529905FA" w:rsidR="0022668A" w:rsidRPr="00CF0126" w:rsidRDefault="00AA4CC2" w:rsidP="004A202F">
      <w:pPr>
        <w:pStyle w:val="Heading2"/>
        <w:shd w:val="clear" w:color="auto" w:fill="D0CECE" w:themeFill="background2" w:themeFillShade="E6"/>
        <w:spacing w:line="240" w:lineRule="auto"/>
        <w:rPr>
          <w:color w:val="000000" w:themeColor="text1"/>
          <w:sz w:val="24"/>
          <w:szCs w:val="24"/>
        </w:rPr>
      </w:pPr>
      <w:bookmarkStart w:id="89" w:name="_Toc132584607"/>
      <w:bookmarkStart w:id="90" w:name="_Toc135837425"/>
      <w:r w:rsidRPr="00CF0126">
        <w:rPr>
          <w:color w:val="000000" w:themeColor="text1"/>
          <w:sz w:val="24"/>
          <w:szCs w:val="24"/>
        </w:rPr>
        <w:t>KEQ 2.2</w:t>
      </w:r>
      <w:r w:rsidR="0022668A" w:rsidRPr="00CF0126">
        <w:rPr>
          <w:color w:val="000000" w:themeColor="text1"/>
          <w:sz w:val="24"/>
          <w:szCs w:val="24"/>
        </w:rPr>
        <w:t>: How have the DFAT-funded AIHSP, UNICEF and WHO activities contributed to the strengthening of human and/or animal health systems and response to infectious disease outbreaks in Indonesia?</w:t>
      </w:r>
      <w:bookmarkEnd w:id="89"/>
      <w:bookmarkEnd w:id="90"/>
    </w:p>
    <w:p w14:paraId="6D474344" w14:textId="1E7A9BEA" w:rsidR="0022668A" w:rsidRDefault="0022668A" w:rsidP="00FB402C">
      <w:pPr>
        <w:spacing w:after="120" w:line="240" w:lineRule="auto"/>
      </w:pPr>
      <w:r>
        <w:t xml:space="preserve">This section </w:t>
      </w:r>
      <w:r w:rsidR="009A247E">
        <w:t xml:space="preserve">assesses </w:t>
      </w:r>
      <w:r>
        <w:t>activities implemented by AIHSP, WHO and UNICEF that have contributed to strengthening human and animal health systems</w:t>
      </w:r>
      <w:r w:rsidR="003A4CEF">
        <w:t xml:space="preserve"> (HSS)</w:t>
      </w:r>
      <w:r>
        <w:t xml:space="preserve"> in Indonesia. The activities include</w:t>
      </w:r>
      <w:r w:rsidR="00F91CF0">
        <w:t>d</w:t>
      </w:r>
      <w:r>
        <w:t xml:space="preserve"> emergency response activities that have simultaneously built longer-term capability. These activities are mapped to the building blocks in the </w:t>
      </w:r>
      <w:r>
        <w:rPr>
          <w:rFonts w:ascii="Calibri" w:eastAsia="Calibri" w:hAnsi="Calibri" w:cs="Calibri"/>
        </w:rPr>
        <w:t>WHO’s Health Systems Framework</w:t>
      </w:r>
      <w:r>
        <w:rPr>
          <w:rFonts w:ascii="Calibri" w:eastAsia="Calibri" w:hAnsi="Calibri" w:cs="Calibri"/>
          <w:vertAlign w:val="superscript"/>
        </w:rPr>
        <w:footnoteReference w:id="26"/>
      </w:r>
      <w:r w:rsidR="00E84B57">
        <w:rPr>
          <w:rFonts w:ascii="Calibri" w:eastAsia="Calibri" w:hAnsi="Calibri" w:cs="Calibri"/>
        </w:rPr>
        <w:t xml:space="preserve"> (Figure 1)</w:t>
      </w:r>
      <w:r>
        <w:rPr>
          <w:rFonts w:ascii="Calibri" w:eastAsia="Calibri" w:hAnsi="Calibri" w:cs="Calibri"/>
        </w:rPr>
        <w:t xml:space="preserve"> to demonstrate how DFAT has contributed to holistic </w:t>
      </w:r>
      <w:r w:rsidR="001A3DC9">
        <w:rPr>
          <w:rFonts w:ascii="Calibri" w:eastAsia="Calibri" w:hAnsi="Calibri" w:cs="Calibri"/>
        </w:rPr>
        <w:t xml:space="preserve">health </w:t>
      </w:r>
      <w:r>
        <w:rPr>
          <w:rFonts w:ascii="Calibri" w:eastAsia="Calibri" w:hAnsi="Calibri" w:cs="Calibri"/>
        </w:rPr>
        <w:t>system improvement</w:t>
      </w:r>
      <w:r w:rsidR="00F91CF0">
        <w:rPr>
          <w:rFonts w:ascii="Calibri" w:eastAsia="Calibri" w:hAnsi="Calibri" w:cs="Calibri"/>
        </w:rPr>
        <w:t>s</w:t>
      </w:r>
      <w:r>
        <w:rPr>
          <w:rFonts w:ascii="Calibri" w:eastAsia="Calibri" w:hAnsi="Calibri" w:cs="Calibri"/>
        </w:rPr>
        <w:t xml:space="preserve">. </w:t>
      </w:r>
    </w:p>
    <w:p w14:paraId="3D2203CA" w14:textId="60BC2CA8" w:rsidR="0022668A" w:rsidRDefault="0022668A" w:rsidP="00FB402C">
      <w:pPr>
        <w:spacing w:after="120" w:line="240" w:lineRule="auto"/>
      </w:pPr>
      <w:proofErr w:type="gramStart"/>
      <w:r>
        <w:rPr>
          <w:rFonts w:ascii="Calibri" w:eastAsia="Calibri" w:hAnsi="Calibri" w:cs="Calibri"/>
        </w:rPr>
        <w:t>For the purpose of</w:t>
      </w:r>
      <w:proofErr w:type="gramEnd"/>
      <w:r>
        <w:rPr>
          <w:rFonts w:ascii="Calibri" w:eastAsia="Calibri" w:hAnsi="Calibri" w:cs="Calibri"/>
        </w:rPr>
        <w:t xml:space="preserve"> this MTR, the WHO framework has been adapted to include </w:t>
      </w:r>
      <w:r>
        <w:t>One Health</w:t>
      </w:r>
      <w:r>
        <w:rPr>
          <w:rFonts w:ascii="Calibri" w:eastAsia="Calibri" w:hAnsi="Calibri" w:cs="Calibri"/>
        </w:rPr>
        <w:t xml:space="preserve">. </w:t>
      </w:r>
      <w:r>
        <w:t xml:space="preserve">Globally, the Quadripartite consisting of WHO, FAO, </w:t>
      </w:r>
      <w:r w:rsidR="004F5933">
        <w:t>World Organisation for Animal Health (</w:t>
      </w:r>
      <w:r>
        <w:t>WOAH</w:t>
      </w:r>
      <w:r w:rsidR="004F5933">
        <w:t>)</w:t>
      </w:r>
      <w:r>
        <w:t xml:space="preserve"> and</w:t>
      </w:r>
      <w:r w:rsidR="004F5933">
        <w:t xml:space="preserve"> the United Nations Environment Programme (</w:t>
      </w:r>
      <w:r>
        <w:t>UNEP</w:t>
      </w:r>
      <w:r w:rsidR="004F5933">
        <w:t>)</w:t>
      </w:r>
      <w:r>
        <w:t xml:space="preserve"> </w:t>
      </w:r>
      <w:r w:rsidR="003A4CEF">
        <w:t>has</w:t>
      </w:r>
      <w:r>
        <w:t xml:space="preserve"> endorsed One Health </w:t>
      </w:r>
      <w:r w:rsidR="00902D5F">
        <w:t xml:space="preserve">and </w:t>
      </w:r>
      <w:r>
        <w:t xml:space="preserve">are working together to mainstream One Health </w:t>
      </w:r>
      <w:r w:rsidR="00902D5F">
        <w:t xml:space="preserve">to </w:t>
      </w:r>
      <w:r>
        <w:t>better prepare</w:t>
      </w:r>
      <w:r w:rsidR="00902D5F">
        <w:t xml:space="preserve"> </w:t>
      </w:r>
      <w:r>
        <w:t xml:space="preserve">to prevent, predict, detect, and respond to global health threats and promote sustainable development. As such, at a national level, multisectoral One Health coordination is now a key component of strengthening health systems and has </w:t>
      </w:r>
      <w:r w:rsidR="003A4CEF">
        <w:t xml:space="preserve">thus </w:t>
      </w:r>
      <w:r>
        <w:t>been included in the MTR’s framework of analysis.</w:t>
      </w:r>
    </w:p>
    <w:p w14:paraId="366B0332" w14:textId="6C9B1680" w:rsidR="00E91F25" w:rsidRDefault="00E91F25" w:rsidP="00FB402C">
      <w:pPr>
        <w:spacing w:after="120" w:line="240" w:lineRule="auto"/>
      </w:pPr>
      <w:r>
        <w:t xml:space="preserve">In mapping Australian-funded activities against the WHO’s </w:t>
      </w:r>
      <w:r w:rsidR="003A4CEF">
        <w:t>Framework</w:t>
      </w:r>
      <w:r>
        <w:t>, the MTR Team found that Australia’s funding for COVID-19 as well as other health sector support ha</w:t>
      </w:r>
      <w:r w:rsidR="003A4CEF">
        <w:t>d</w:t>
      </w:r>
      <w:r>
        <w:t xml:space="preserve"> made a significant contribution to the strengthening of human and animal health systems in Indonesia in certain areas. The focus of HSS activities has been in the building blocks of service delivery, health information systems</w:t>
      </w:r>
      <w:r w:rsidR="00554DF8">
        <w:t>,</w:t>
      </w:r>
      <w:r>
        <w:t xml:space="preserve"> One </w:t>
      </w:r>
      <w:proofErr w:type="gramStart"/>
      <w:r>
        <w:t>Health</w:t>
      </w:r>
      <w:proofErr w:type="gramEnd"/>
      <w:r w:rsidR="00554DF8">
        <w:t xml:space="preserve"> and health workforce</w:t>
      </w:r>
      <w:r>
        <w:t xml:space="preserve">, with less of a focus on leadership/governance and access to essential medicines and no focus on health financing (although this </w:t>
      </w:r>
      <w:r w:rsidR="001A3DC9">
        <w:t xml:space="preserve">was planned and </w:t>
      </w:r>
      <w:r>
        <w:t xml:space="preserve">has been supported by </w:t>
      </w:r>
      <w:r w:rsidR="003A4CEF">
        <w:t xml:space="preserve">Australia through </w:t>
      </w:r>
      <w:r>
        <w:t xml:space="preserve">work undertaken by the World Bank). </w:t>
      </w:r>
    </w:p>
    <w:p w14:paraId="399296E3" w14:textId="136C4CDE" w:rsidR="0022668A" w:rsidRPr="0022668A" w:rsidRDefault="0022668A" w:rsidP="00021A19">
      <w:pPr>
        <w:pStyle w:val="Heading4"/>
      </w:pPr>
      <w:r w:rsidRPr="0022668A">
        <w:t xml:space="preserve">Figure </w:t>
      </w:r>
      <w:r w:rsidR="00E84B57">
        <w:t>1</w:t>
      </w:r>
      <w:r w:rsidRPr="0022668A">
        <w:t>: WHO building blocks of a health system with the addition of One Health</w:t>
      </w:r>
    </w:p>
    <w:p w14:paraId="47B35FAD" w14:textId="77777777" w:rsidR="0022668A" w:rsidRDefault="0022668A" w:rsidP="0022668A">
      <w:r>
        <w:rPr>
          <w:noProof/>
          <w:color w:val="2B579A"/>
          <w:shd w:val="clear" w:color="auto" w:fill="E6E6E6"/>
        </w:rPr>
        <w:drawing>
          <wp:inline distT="0" distB="0" distL="0" distR="0" wp14:anchorId="384AD0A5" wp14:editId="748A0D36">
            <wp:extent cx="5731510" cy="3066603"/>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5731510" cy="3066603"/>
                    </a:xfrm>
                    <a:prstGeom prst="rect">
                      <a:avLst/>
                    </a:prstGeom>
                    <a:ln/>
                  </pic:spPr>
                </pic:pic>
              </a:graphicData>
            </a:graphic>
          </wp:inline>
        </w:drawing>
      </w:r>
    </w:p>
    <w:p w14:paraId="4A5B0776" w14:textId="570079F5" w:rsidR="0022668A" w:rsidRDefault="0022668A" w:rsidP="00FB402C">
      <w:pPr>
        <w:spacing w:after="120" w:line="240" w:lineRule="auto"/>
      </w:pPr>
      <w:r>
        <w:t xml:space="preserve">Under </w:t>
      </w:r>
      <w:r w:rsidR="00927565">
        <w:t xml:space="preserve">the </w:t>
      </w:r>
      <w:r>
        <w:t>service delivery</w:t>
      </w:r>
      <w:r w:rsidR="00927565">
        <w:t xml:space="preserve"> building block</w:t>
      </w:r>
      <w:r>
        <w:t xml:space="preserve">, the main areas that Australia supported were in human and animal health surveillance and laboratory strengthening. Human health surveillance capacity was strengthened </w:t>
      </w:r>
      <w:proofErr w:type="gramStart"/>
      <w:r>
        <w:t>as a result of</w:t>
      </w:r>
      <w:proofErr w:type="gramEnd"/>
      <w:r>
        <w:t xml:space="preserve"> COVID-19, particularly in diagnostic capability, sentinel site surveillance, contact tracing and child protection. Work in animal health surveillance </w:t>
      </w:r>
      <w:r w:rsidR="00F91CF0">
        <w:t>included</w:t>
      </w:r>
      <w:r>
        <w:t xml:space="preserve"> integrating zoonoses surveillance platforms </w:t>
      </w:r>
      <w:r w:rsidR="00F91CF0">
        <w:t xml:space="preserve">including </w:t>
      </w:r>
      <w:proofErr w:type="spellStart"/>
      <w:r w:rsidR="00F91CF0">
        <w:t>iSIKHNAS</w:t>
      </w:r>
      <w:proofErr w:type="spellEnd"/>
      <w:r w:rsidR="00F91CF0">
        <w:t xml:space="preserve"> </w:t>
      </w:r>
      <w:r>
        <w:t>under SIZE</w:t>
      </w:r>
      <w:r w:rsidR="00F91CF0">
        <w:t xml:space="preserve">, although SIZE itself received greater support </w:t>
      </w:r>
      <w:r w:rsidR="00927565">
        <w:t>through</w:t>
      </w:r>
      <w:r w:rsidR="00F91CF0">
        <w:t xml:space="preserve"> WHO and USAID.</w:t>
      </w:r>
      <w:r>
        <w:t xml:space="preserve"> Human health laboratory strengthening </w:t>
      </w:r>
      <w:r w:rsidR="00927565">
        <w:t xml:space="preserve">occurred </w:t>
      </w:r>
      <w:r>
        <w:t>for t</w:t>
      </w:r>
      <w:sdt>
        <w:sdtPr>
          <w:rPr>
            <w:color w:val="2B579A"/>
            <w:shd w:val="clear" w:color="auto" w:fill="E6E6E6"/>
          </w:rPr>
          <w:tag w:val="goog_rdk_16"/>
          <w:id w:val="-442301997"/>
        </w:sdtPr>
        <w:sdtEndPr>
          <w:rPr>
            <w:color w:val="auto"/>
            <w:shd w:val="clear" w:color="auto" w:fill="auto"/>
          </w:rPr>
        </w:sdtEndPr>
        <w:sdtContent/>
      </w:sdt>
      <w:r>
        <w:t xml:space="preserve">he COVID-19 response, including improved capability in PCR testing, WGS, investigation of AEFIs </w:t>
      </w:r>
      <w:r>
        <w:lastRenderedPageBreak/>
        <w:t xml:space="preserve">and participation in external quality assurance. This capability developed for COVID-19 is transferable for use </w:t>
      </w:r>
      <w:r w:rsidR="00927565">
        <w:t>with</w:t>
      </w:r>
      <w:r>
        <w:t xml:space="preserve"> other disease</w:t>
      </w:r>
      <w:r w:rsidR="00927565">
        <w:t xml:space="preserve">s </w:t>
      </w:r>
      <w:r>
        <w:t xml:space="preserve">and emergencies. However, there has been limited progress and mixed </w:t>
      </w:r>
      <w:r w:rsidR="00A05B47">
        <w:t>response to</w:t>
      </w:r>
      <w:r>
        <w:t xml:space="preserve"> the integration </w:t>
      </w:r>
      <w:r w:rsidR="00F91CF0">
        <w:t xml:space="preserve">of platforms </w:t>
      </w:r>
      <w:r>
        <w:t>under SIZE.</w:t>
      </w:r>
    </w:p>
    <w:p w14:paraId="213A0BC4" w14:textId="23243F79" w:rsidR="0022668A" w:rsidRDefault="00927565" w:rsidP="00FB402C">
      <w:pPr>
        <w:spacing w:after="120" w:line="240" w:lineRule="auto"/>
      </w:pPr>
      <w:r>
        <w:t xml:space="preserve">Under the health information system building block, </w:t>
      </w:r>
      <w:r w:rsidR="0022668A">
        <w:t xml:space="preserve">Australia supported the continued strengthening of </w:t>
      </w:r>
      <w:proofErr w:type="spellStart"/>
      <w:r w:rsidR="0022668A">
        <w:t>iSIKHNAS</w:t>
      </w:r>
      <w:proofErr w:type="spellEnd"/>
      <w:r w:rsidR="0022668A">
        <w:t>, including integrating</w:t>
      </w:r>
      <w:r w:rsidR="00441E8C">
        <w:t xml:space="preserve"> </w:t>
      </w:r>
      <w:proofErr w:type="spellStart"/>
      <w:r w:rsidR="00441E8C">
        <w:t>iVLAB</w:t>
      </w:r>
      <w:proofErr w:type="spellEnd"/>
      <w:r w:rsidR="0022668A">
        <w:t xml:space="preserve"> and a logistics management system. However, uptake of </w:t>
      </w:r>
      <w:proofErr w:type="spellStart"/>
      <w:r w:rsidR="0022668A">
        <w:t>iSIKHNAS</w:t>
      </w:r>
      <w:proofErr w:type="spellEnd"/>
      <w:r w:rsidR="0022668A">
        <w:t xml:space="preserve"> and timely data entry of all cases still needs to be improved. Australian support for human health information management systems centred on COVID-19, including data collection for vaccination and contact tracing</w:t>
      </w:r>
      <w:r w:rsidR="002B0BEB">
        <w:t xml:space="preserve">. </w:t>
      </w:r>
      <w:r w:rsidR="0022668A">
        <w:t>Australia also supported systems for monitoring disease outbreaks more broadly, including zoonoses, at a primary health care level.</w:t>
      </w:r>
    </w:p>
    <w:p w14:paraId="4AE22622" w14:textId="381FEE1F" w:rsidR="0022668A" w:rsidRDefault="0022668A" w:rsidP="00FB402C">
      <w:pPr>
        <w:spacing w:after="120" w:line="240" w:lineRule="auto"/>
      </w:pPr>
      <w:r>
        <w:t xml:space="preserve">Australia’s support </w:t>
      </w:r>
      <w:r w:rsidR="003E2FF0">
        <w:t>under the</w:t>
      </w:r>
      <w:r>
        <w:t xml:space="preserve"> leadership</w:t>
      </w:r>
      <w:r w:rsidR="003E2FF0">
        <w:t xml:space="preserve"> and </w:t>
      </w:r>
      <w:r>
        <w:t xml:space="preserve">governance </w:t>
      </w:r>
      <w:r w:rsidR="003E2FF0">
        <w:t xml:space="preserve">building block </w:t>
      </w:r>
      <w:r>
        <w:t>focused on long-term planning in health, digitalisation</w:t>
      </w:r>
      <w:r w:rsidR="002B0BEB">
        <w:t xml:space="preserve">, national </w:t>
      </w:r>
      <w:r>
        <w:t>development and for specific animal diseases such as FMD</w:t>
      </w:r>
      <w:r w:rsidR="003E2FF0">
        <w:t xml:space="preserve"> through support to the </w:t>
      </w:r>
      <w:r w:rsidR="001A3DC9">
        <w:t xml:space="preserve">development of the </w:t>
      </w:r>
      <w:r w:rsidR="003E2FF0">
        <w:t xml:space="preserve">FMD </w:t>
      </w:r>
      <w:r w:rsidR="00E26B63">
        <w:t>Roadmap</w:t>
      </w:r>
      <w:r>
        <w:t xml:space="preserve">. While the digital transformation agenda is well underway, planning documents </w:t>
      </w:r>
      <w:r w:rsidR="002B0BEB">
        <w:t>supported by</w:t>
      </w:r>
      <w:r w:rsidR="003E2FF0">
        <w:t xml:space="preserve"> AIHSP, WHO </w:t>
      </w:r>
      <w:r w:rsidR="002B0BEB">
        <w:t>and</w:t>
      </w:r>
      <w:r w:rsidR="003E2FF0">
        <w:t xml:space="preserve"> UNICEF </w:t>
      </w:r>
      <w:r>
        <w:t>are still being finalised or are at early stages of implementation.</w:t>
      </w:r>
    </w:p>
    <w:p w14:paraId="60DDCE93" w14:textId="70DD7279" w:rsidR="00F24237" w:rsidRDefault="0022668A" w:rsidP="00FB402C">
      <w:pPr>
        <w:spacing w:after="120" w:line="240" w:lineRule="auto"/>
      </w:pPr>
      <w:r>
        <w:t xml:space="preserve">Most activity under </w:t>
      </w:r>
      <w:r w:rsidR="002B0BEB">
        <w:t xml:space="preserve">the </w:t>
      </w:r>
      <w:r>
        <w:t xml:space="preserve">One Health </w:t>
      </w:r>
      <w:r w:rsidR="002B0BEB">
        <w:t>building block</w:t>
      </w:r>
      <w:r>
        <w:t xml:space="preserve"> was in establishing mechanisms for One Health collaboration at a </w:t>
      </w:r>
      <w:r w:rsidR="00CB0B7A">
        <w:t>sub-national</w:t>
      </w:r>
      <w:r>
        <w:t xml:space="preserve"> level. </w:t>
      </w:r>
      <w:r w:rsidR="004A2AF8">
        <w:t>Creating</w:t>
      </w:r>
      <w:r>
        <w:t xml:space="preserve"> and formalising these mechanisms as well as lines of transdisciplinary communication are important early steps in adopting a One Health approach. How these mechanisms work to coordinate an emergency response is yet to be seen, except in the case of rabies control in Bali.</w:t>
      </w:r>
    </w:p>
    <w:p w14:paraId="701CFC18" w14:textId="5FD2623D" w:rsidR="00D83500" w:rsidRDefault="00023A9D" w:rsidP="00FB402C">
      <w:pPr>
        <w:spacing w:after="120" w:line="240" w:lineRule="auto"/>
      </w:pPr>
      <w:r>
        <w:t>T</w:t>
      </w:r>
      <w:r w:rsidR="00D83500">
        <w:t>he service delivery, health information systems</w:t>
      </w:r>
      <w:r w:rsidR="00A20655">
        <w:t xml:space="preserve"> and</w:t>
      </w:r>
      <w:r w:rsidR="00D83500">
        <w:t xml:space="preserve"> One Health building blocks </w:t>
      </w:r>
      <w:r>
        <w:t xml:space="preserve">all </w:t>
      </w:r>
      <w:r w:rsidR="00D83500">
        <w:t xml:space="preserve">included activities </w:t>
      </w:r>
      <w:r>
        <w:t>that contributed to strengthening</w:t>
      </w:r>
      <w:r w:rsidR="00D83500">
        <w:t xml:space="preserve"> the health workforce building block, including training, mentoring and other capacity </w:t>
      </w:r>
      <w:r>
        <w:t>and capability development</w:t>
      </w:r>
      <w:r w:rsidR="00D83500">
        <w:t>.</w:t>
      </w:r>
      <w:r>
        <w:t xml:space="preserve"> For example, training was conducted in many areas including in the use of </w:t>
      </w:r>
      <w:proofErr w:type="spellStart"/>
      <w:r>
        <w:t>iSIKHNAS</w:t>
      </w:r>
      <w:proofErr w:type="spellEnd"/>
      <w:r>
        <w:t xml:space="preserve"> and </w:t>
      </w:r>
      <w:proofErr w:type="spellStart"/>
      <w:r>
        <w:t>iVLAB</w:t>
      </w:r>
      <w:proofErr w:type="spellEnd"/>
      <w:r>
        <w:t xml:space="preserve">, vaccination for FMD and LSD, laboratory biosafety, COVID-19 vaccine handling and One Health. Evidence of the outcomes of this training was more apparent </w:t>
      </w:r>
      <w:r w:rsidR="000A4F78">
        <w:t>in the responses to</w:t>
      </w:r>
      <w:r>
        <w:t xml:space="preserve"> human and animal disease outbreaks than in other areas.</w:t>
      </w:r>
    </w:p>
    <w:p w14:paraId="5258914D" w14:textId="3DC379A0" w:rsidR="00893F60" w:rsidRDefault="00E624B9" w:rsidP="00FB402C">
      <w:pPr>
        <w:spacing w:after="120" w:line="240" w:lineRule="auto"/>
      </w:pPr>
      <w:r w:rsidRPr="00E624B9">
        <w:t xml:space="preserve">The MTR Team found that Australia has contributed to short-term, holistic strengthening of the health sector in Indonesia, with activities </w:t>
      </w:r>
      <w:r>
        <w:t>supporting</w:t>
      </w:r>
      <w:r w:rsidRPr="00E624B9">
        <w:t xml:space="preserve"> most of the WHO’s HSS building blocks.</w:t>
      </w:r>
      <w:r>
        <w:t xml:space="preserve"> However, while many activities </w:t>
      </w:r>
      <w:r w:rsidR="00CB4E24">
        <w:t xml:space="preserve">had </w:t>
      </w:r>
      <w:r>
        <w:t xml:space="preserve">provided immediate results in response to COVID-19, such as in surveillance and diagnostics, or </w:t>
      </w:r>
      <w:r w:rsidR="00CB4E24">
        <w:t xml:space="preserve">were in their </w:t>
      </w:r>
      <w:r>
        <w:t xml:space="preserve">early stages such as </w:t>
      </w:r>
      <w:r w:rsidR="00CB4E24">
        <w:t xml:space="preserve">the </w:t>
      </w:r>
      <w:r>
        <w:t xml:space="preserve">policy </w:t>
      </w:r>
      <w:r w:rsidR="00CB4E24">
        <w:t>work</w:t>
      </w:r>
      <w:r>
        <w:t>, the onus is now on the partners to</w:t>
      </w:r>
      <w:r w:rsidR="001A28A2">
        <w:t xml:space="preserve"> work with the </w:t>
      </w:r>
      <w:proofErr w:type="spellStart"/>
      <w:r w:rsidR="001A28A2">
        <w:t>GoI</w:t>
      </w:r>
      <w:proofErr w:type="spellEnd"/>
      <w:r w:rsidR="001A28A2">
        <w:t xml:space="preserve"> to</w:t>
      </w:r>
      <w:r>
        <w:t xml:space="preserve"> translate these short-term improvements into sustainable, long-term changes to the health sector. As noted in the COVID-19 transition and HSS literature, this will require broadening of capability beyond COVID-19 to other diseases, integration of stand-alone COVID-19 processes into </w:t>
      </w:r>
      <w:r w:rsidR="001A28A2">
        <w:t>routine and pre-</w:t>
      </w:r>
      <w:r>
        <w:t>existing health processes and systems</w:t>
      </w:r>
      <w:r w:rsidR="001A28A2">
        <w:t>, follow through in implementation of policy reform</w:t>
      </w:r>
      <w:r>
        <w:t xml:space="preserve"> and ongoing training, follow-up, mentoring, </w:t>
      </w:r>
      <w:proofErr w:type="gramStart"/>
      <w:r>
        <w:t>supervision</w:t>
      </w:r>
      <w:proofErr w:type="gramEnd"/>
      <w:r>
        <w:t xml:space="preserve"> and support to the health workforce. </w:t>
      </w:r>
      <w:r w:rsidR="001A28A2">
        <w:t xml:space="preserve">For the remainder of this phase and for the design of a new investment, this consolidation should be </w:t>
      </w:r>
      <w:r w:rsidR="003326F5">
        <w:t>a</w:t>
      </w:r>
      <w:r w:rsidR="001A28A2">
        <w:t xml:space="preserve"> priority, focusing on the comparative advantage of Australian partners in surveillance, animal health laboratories, health information systems, certain areas of policy reform such as the FMD </w:t>
      </w:r>
      <w:r w:rsidR="00E26B63">
        <w:t>Roadmap</w:t>
      </w:r>
      <w:r w:rsidR="001A28A2">
        <w:t xml:space="preserve"> and One Health implementation. </w:t>
      </w:r>
    </w:p>
    <w:p w14:paraId="157FAC88" w14:textId="0556B9C0" w:rsidR="00C35236" w:rsidRDefault="00C35236">
      <w:r>
        <w:br w:type="page"/>
      </w:r>
    </w:p>
    <w:p w14:paraId="38772D04" w14:textId="683316DE" w:rsidR="00F24237" w:rsidRDefault="00F24237" w:rsidP="00425817">
      <w:pPr>
        <w:pStyle w:val="Heading1"/>
        <w:numPr>
          <w:ilvl w:val="0"/>
          <w:numId w:val="11"/>
        </w:numPr>
      </w:pPr>
      <w:bookmarkStart w:id="91" w:name="_Toc135837426"/>
      <w:r>
        <w:lastRenderedPageBreak/>
        <w:t>Efficiency</w:t>
      </w:r>
      <w:bookmarkEnd w:id="91"/>
    </w:p>
    <w:p w14:paraId="2A19C526" w14:textId="5C9A8015" w:rsidR="000B71D2" w:rsidRPr="000B71D2" w:rsidRDefault="000B71D2" w:rsidP="000B71D2">
      <w:pPr>
        <w:pStyle w:val="Heading2"/>
      </w:pPr>
      <w:bookmarkStart w:id="92" w:name="_Toc135837427"/>
      <w:r>
        <w:t>6.1</w:t>
      </w:r>
      <w:r>
        <w:tab/>
        <w:t>Efficiency of partners</w:t>
      </w:r>
      <w:bookmarkEnd w:id="92"/>
    </w:p>
    <w:p w14:paraId="552D5807" w14:textId="48F2D81A" w:rsidR="00AA4CC2" w:rsidRPr="00CF0126" w:rsidRDefault="00AA4CC2" w:rsidP="00F24237">
      <w:pPr>
        <w:pStyle w:val="Heading2"/>
        <w:shd w:val="clear" w:color="auto" w:fill="D0CECE" w:themeFill="background2" w:themeFillShade="E6"/>
        <w:rPr>
          <w:color w:val="000000" w:themeColor="text1"/>
          <w:sz w:val="24"/>
          <w:szCs w:val="24"/>
        </w:rPr>
      </w:pPr>
      <w:bookmarkStart w:id="93" w:name="_Toc132584618"/>
      <w:bookmarkStart w:id="94" w:name="_Toc135837428"/>
      <w:r w:rsidRPr="00CF0126">
        <w:rPr>
          <w:color w:val="000000" w:themeColor="text1"/>
          <w:sz w:val="24"/>
          <w:szCs w:val="24"/>
        </w:rPr>
        <w:t>KEQ 3.1</w:t>
      </w:r>
      <w:r w:rsidR="002D1FF0" w:rsidRPr="00CF0126">
        <w:rPr>
          <w:color w:val="000000" w:themeColor="text1"/>
          <w:sz w:val="24"/>
          <w:szCs w:val="24"/>
        </w:rPr>
        <w:t>: Did increased funding impact the efficiency of AIHSP?</w:t>
      </w:r>
      <w:bookmarkEnd w:id="93"/>
      <w:bookmarkEnd w:id="94"/>
    </w:p>
    <w:p w14:paraId="40A1FFEA" w14:textId="6AB34469" w:rsidR="002D1FF0" w:rsidRPr="000B71D2" w:rsidRDefault="000B71D2" w:rsidP="00327F0E">
      <w:pPr>
        <w:pStyle w:val="Heading3"/>
        <w:spacing w:line="240" w:lineRule="auto"/>
        <w:rPr>
          <w:rFonts w:cstheme="majorHAnsi"/>
          <w:b/>
          <w:color w:val="002060"/>
        </w:rPr>
      </w:pPr>
      <w:bookmarkStart w:id="95" w:name="_Toc132584619"/>
      <w:bookmarkStart w:id="96" w:name="_Toc135837429"/>
      <w:r w:rsidRPr="000B71D2">
        <w:rPr>
          <w:rFonts w:cstheme="majorHAnsi"/>
          <w:color w:val="002060"/>
        </w:rPr>
        <w:t>6.1.1</w:t>
      </w:r>
      <w:r w:rsidR="006C22CF" w:rsidRPr="000B71D2">
        <w:rPr>
          <w:rFonts w:cstheme="majorHAnsi"/>
          <w:color w:val="002060"/>
        </w:rPr>
        <w:tab/>
      </w:r>
      <w:r w:rsidRPr="000B71D2">
        <w:rPr>
          <w:rFonts w:cstheme="majorHAnsi"/>
          <w:color w:val="002060"/>
        </w:rPr>
        <w:t>Expansion of AIHSP</w:t>
      </w:r>
      <w:bookmarkEnd w:id="95"/>
      <w:bookmarkEnd w:id="96"/>
    </w:p>
    <w:p w14:paraId="21E386E1" w14:textId="6D800261" w:rsidR="002D1FF0" w:rsidRDefault="002D1FF0" w:rsidP="00FB402C">
      <w:pPr>
        <w:spacing w:after="120" w:line="240" w:lineRule="auto"/>
      </w:pPr>
      <w:r>
        <w:t xml:space="preserve">AIHSP did a remarkable job in scaling up rapidly to respond to COVID-19 and </w:t>
      </w:r>
      <w:r w:rsidR="00B94F5D">
        <w:t xml:space="preserve">the </w:t>
      </w:r>
      <w:r>
        <w:t xml:space="preserve">animal disease outbreaks in Indonesia. Its flexibility and responsiveness to </w:t>
      </w:r>
      <w:proofErr w:type="spellStart"/>
      <w:r>
        <w:t>GoI</w:t>
      </w:r>
      <w:proofErr w:type="spellEnd"/>
      <w:r>
        <w:t xml:space="preserve"> requests for assistance were highly appreciated by the government. </w:t>
      </w:r>
      <w:bookmarkStart w:id="97" w:name="_Hlk132477410"/>
      <w:r w:rsidR="00B94F5D">
        <w:t>AIHSP</w:t>
      </w:r>
      <w:r>
        <w:t xml:space="preserve"> began as a </w:t>
      </w:r>
      <w:r w:rsidR="00C5658B">
        <w:t>AUD</w:t>
      </w:r>
      <w:r>
        <w:t>14million program in February 2020, and subsequently received additional tranches of funding through VAHSI for COVID-19 and to respond to LSD and FMD</w:t>
      </w:r>
      <w:r w:rsidR="00B94F5D">
        <w:t>. This brought</w:t>
      </w:r>
      <w:r>
        <w:t xml:space="preserve"> the </w:t>
      </w:r>
      <w:r w:rsidR="00B94F5D">
        <w:t xml:space="preserve">total </w:t>
      </w:r>
      <w:r>
        <w:t xml:space="preserve">program budget to </w:t>
      </w:r>
      <w:r w:rsidR="00C5658B">
        <w:t>AUD</w:t>
      </w:r>
      <w:r>
        <w:t xml:space="preserve">31.5million during 2021-22. Since then, the program </w:t>
      </w:r>
      <w:r w:rsidR="00A05B47">
        <w:t xml:space="preserve">has </w:t>
      </w:r>
      <w:r>
        <w:t xml:space="preserve">continued to </w:t>
      </w:r>
      <w:proofErr w:type="gramStart"/>
      <w:r>
        <w:t>expand</w:t>
      </w:r>
      <w:proofErr w:type="gramEnd"/>
      <w:r>
        <w:t xml:space="preserve"> and the current program budget is </w:t>
      </w:r>
      <w:r w:rsidR="00C5658B">
        <w:t>AUD</w:t>
      </w:r>
      <w:r>
        <w:t>48</w:t>
      </w:r>
      <w:r w:rsidR="00E23E9E">
        <w:t xml:space="preserve"> </w:t>
      </w:r>
      <w:r>
        <w:t>million</w:t>
      </w:r>
      <w:bookmarkEnd w:id="97"/>
      <w:r>
        <w:t xml:space="preserve"> (March 23).</w:t>
      </w:r>
    </w:p>
    <w:p w14:paraId="30BA3B88" w14:textId="776A4238" w:rsidR="002D1FF0" w:rsidRPr="001E7F4D" w:rsidRDefault="002D1FF0" w:rsidP="00FB402C">
      <w:pPr>
        <w:spacing w:after="120" w:line="240" w:lineRule="auto"/>
      </w:pPr>
      <w:r>
        <w:t xml:space="preserve">Most of the additional funding was for emergency response and hence necessitated the rapid disbursement of funds in areas of work outside of the original AIHSP design. This </w:t>
      </w:r>
      <w:r w:rsidR="00B94F5D">
        <w:t>was required of</w:t>
      </w:r>
      <w:r>
        <w:t xml:space="preserve"> an organisational structure unprepared for managing and implementing the scale and nature of funding </w:t>
      </w:r>
      <w:r w:rsidR="000E2E7C">
        <w:t>provided</w:t>
      </w:r>
      <w:r>
        <w:t xml:space="preserve">. According to evidence identified by the MTR, this unique set of circumstances came at a considerable cost. AIHSP’s communication with </w:t>
      </w:r>
      <w:proofErr w:type="spellStart"/>
      <w:r>
        <w:t>GoI</w:t>
      </w:r>
      <w:proofErr w:type="spellEnd"/>
      <w:r>
        <w:t>, its coordination with partners and the team managing activities were negatively impacted by the increases in funding and scope of work</w:t>
      </w:r>
      <w:r w:rsidR="00B229DC">
        <w:t>. According to AIHSP</w:t>
      </w:r>
      <w:r w:rsidR="004E5D36">
        <w:t xml:space="preserve"> </w:t>
      </w:r>
      <w:r w:rsidR="00B229DC">
        <w:t>report</w:t>
      </w:r>
      <w:r w:rsidR="004E5D36">
        <w:t>ing, meeting minutes</w:t>
      </w:r>
      <w:r w:rsidR="001E7F4D">
        <w:t xml:space="preserve"> and DFAT</w:t>
      </w:r>
      <w:r w:rsidR="00B229DC">
        <w:t xml:space="preserve">, there was </w:t>
      </w:r>
      <w:r w:rsidR="00AB5F67">
        <w:t xml:space="preserve">also </w:t>
      </w:r>
      <w:r w:rsidR="00A31436">
        <w:t xml:space="preserve">delayed identification of </w:t>
      </w:r>
      <w:r w:rsidR="00B229DC">
        <w:t>an overspend of AUD</w:t>
      </w:r>
      <w:r w:rsidR="001E7F4D">
        <w:t>700,000</w:t>
      </w:r>
      <w:r w:rsidR="00B229DC">
        <w:t xml:space="preserve"> (</w:t>
      </w:r>
      <w:r w:rsidR="001E7F4D">
        <w:t>Feb 22 to March</w:t>
      </w:r>
      <w:r w:rsidR="00B229DC">
        <w:t xml:space="preserve"> 23)</w:t>
      </w:r>
      <w:r w:rsidR="001E7F4D">
        <w:t xml:space="preserve"> </w:t>
      </w:r>
      <w:r w:rsidR="00B229DC">
        <w:t xml:space="preserve">due </w:t>
      </w:r>
      <w:r w:rsidR="00E50A0F">
        <w:t xml:space="preserve">to delayed payments, late VAT submissions to </w:t>
      </w:r>
      <w:proofErr w:type="spellStart"/>
      <w:r w:rsidR="00E50A0F">
        <w:t>GoI</w:t>
      </w:r>
      <w:proofErr w:type="spellEnd"/>
      <w:r w:rsidR="00E50A0F">
        <w:t xml:space="preserve"> and inaccurate budget forecasting and planning by AIH</w:t>
      </w:r>
      <w:r w:rsidR="00E50A0F" w:rsidRPr="00DF0DFE">
        <w:t>SP</w:t>
      </w:r>
      <w:r w:rsidR="00B229DC" w:rsidRPr="00DF0DFE">
        <w:t>.</w:t>
      </w:r>
      <w:r w:rsidR="001E7F4D" w:rsidRPr="00DF0DFE">
        <w:t xml:space="preserve"> D</w:t>
      </w:r>
      <w:r w:rsidR="001E7F4D">
        <w:t>FAT noted that the overspend was resolved by an additional AUD16.5million in top-up funding for the LSD and FMD response in January 2023</w:t>
      </w:r>
      <w:r w:rsidR="00E50A0F">
        <w:t xml:space="preserve"> and AIHSP staffing has been strengthened to prevent further occurrences</w:t>
      </w:r>
      <w:r w:rsidR="00AB5F67">
        <w:t xml:space="preserve"> of this nature</w:t>
      </w:r>
      <w:r w:rsidR="001E7F4D">
        <w:t>.</w:t>
      </w:r>
    </w:p>
    <w:p w14:paraId="299265FC" w14:textId="4581BB57" w:rsidR="002D1FF0" w:rsidRDefault="002D1FF0" w:rsidP="00FB402C">
      <w:pPr>
        <w:spacing w:after="120" w:line="240" w:lineRule="auto"/>
      </w:pPr>
      <w:r>
        <w:t>During that same period 2020-2022, the DFAT Health Team at the embassy in Jakarta</w:t>
      </w:r>
      <w:r w:rsidR="000E2E7C">
        <w:t>,</w:t>
      </w:r>
      <w:r>
        <w:t xml:space="preserve"> which consisted of 5 FTE</w:t>
      </w:r>
      <w:r w:rsidR="000E2E7C">
        <w:t>,</w:t>
      </w:r>
      <w:r>
        <w:t xml:space="preserve"> did not have adequate capacity to manage the number of agreements and amendments and rapid disbursement of funds that the tranches of funding required. This overstretched the </w:t>
      </w:r>
      <w:proofErr w:type="gramStart"/>
      <w:r>
        <w:t>Health</w:t>
      </w:r>
      <w:proofErr w:type="gramEnd"/>
      <w:r w:rsidR="00C35236">
        <w:t xml:space="preserve"> </w:t>
      </w:r>
      <w:r>
        <w:t xml:space="preserve">Team and limited their ability to </w:t>
      </w:r>
      <w:r w:rsidR="00A05B47">
        <w:t xml:space="preserve">maintain </w:t>
      </w:r>
      <w:r>
        <w:t>oversight of grants and to communicate and strategically engage with the Indonesian Government.</w:t>
      </w:r>
      <w:r w:rsidR="00B94F5D">
        <w:t xml:space="preserve"> </w:t>
      </w:r>
      <w:r>
        <w:t>The specific implications for efficiency that the increased funding had for the AIHSP are described below</w:t>
      </w:r>
      <w:r w:rsidR="00255C3D">
        <w:t>. Opinions are attributed to organisations</w:t>
      </w:r>
      <w:r w:rsidR="00331BD1">
        <w:t>, types of organisations</w:t>
      </w:r>
      <w:r w:rsidR="00255C3D">
        <w:t xml:space="preserve"> or other information sources in </w:t>
      </w:r>
      <w:r w:rsidR="00C02A97">
        <w:t xml:space="preserve">square </w:t>
      </w:r>
      <w:r w:rsidR="00255C3D">
        <w:t xml:space="preserve">brackets </w:t>
      </w:r>
      <w:r w:rsidR="00C02A97">
        <w:t>[]</w:t>
      </w:r>
      <w:r w:rsidR="00331BD1">
        <w:t xml:space="preserve"> in this section only</w:t>
      </w:r>
      <w:r w:rsidR="00255C3D">
        <w:t>.</w:t>
      </w:r>
    </w:p>
    <w:p w14:paraId="705F2E9D" w14:textId="070EA6E3" w:rsidR="002D1FF0" w:rsidRPr="00327F0E" w:rsidRDefault="000B71D2" w:rsidP="00327F0E">
      <w:pPr>
        <w:pStyle w:val="Heading3"/>
        <w:spacing w:line="240" w:lineRule="auto"/>
        <w:rPr>
          <w:rFonts w:eastAsia="Calibri" w:cstheme="majorHAnsi"/>
          <w:color w:val="002060"/>
          <w:sz w:val="22"/>
          <w:szCs w:val="22"/>
          <w:highlight w:val="white"/>
        </w:rPr>
      </w:pPr>
      <w:bookmarkStart w:id="98" w:name="_Toc132584620"/>
      <w:bookmarkStart w:id="99" w:name="_Toc135837430"/>
      <w:r w:rsidRPr="4FCF45F9">
        <w:rPr>
          <w:rFonts w:eastAsia="Calibri"/>
          <w:color w:val="002060"/>
          <w:highlight w:val="white"/>
        </w:rPr>
        <w:t>6.1.2</w:t>
      </w:r>
      <w:r w:rsidR="006C22CF" w:rsidRPr="000B71D2">
        <w:rPr>
          <w:rFonts w:eastAsia="Calibri" w:cstheme="majorHAnsi"/>
          <w:color w:val="002060"/>
          <w:highlight w:val="white"/>
        </w:rPr>
        <w:tab/>
      </w:r>
      <w:r w:rsidR="002D1FF0" w:rsidRPr="4FCF45F9">
        <w:rPr>
          <w:rFonts w:eastAsia="Calibri"/>
          <w:color w:val="002060"/>
          <w:highlight w:val="white"/>
        </w:rPr>
        <w:t xml:space="preserve">Contextual factors that impacted on </w:t>
      </w:r>
      <w:proofErr w:type="gramStart"/>
      <w:r w:rsidR="002D1FF0" w:rsidRPr="4FCF45F9">
        <w:rPr>
          <w:rFonts w:eastAsia="Calibri"/>
          <w:color w:val="002060"/>
          <w:highlight w:val="white"/>
        </w:rPr>
        <w:t>efficiency</w:t>
      </w:r>
      <w:bookmarkEnd w:id="98"/>
      <w:bookmarkEnd w:id="99"/>
      <w:proofErr w:type="gramEnd"/>
    </w:p>
    <w:p w14:paraId="0E8C3479" w14:textId="77777777" w:rsidR="002D1FF0" w:rsidRPr="00DF0DFE" w:rsidRDefault="002D1FF0" w:rsidP="00DF0DFE">
      <w:r w:rsidRPr="00DF0DFE">
        <w:t>The MTR found that there were several contextual factors that are likely to have impacted on the efficiency of AIHSP including:</w:t>
      </w:r>
    </w:p>
    <w:p w14:paraId="33C5CE1D" w14:textId="77777777" w:rsidR="002D1FF0" w:rsidRPr="00DF0DFE" w:rsidRDefault="002D1FF0" w:rsidP="00DF0DFE">
      <w:pPr>
        <w:pStyle w:val="ListParagraph"/>
        <w:numPr>
          <w:ilvl w:val="0"/>
          <w:numId w:val="25"/>
        </w:numPr>
      </w:pPr>
      <w:r w:rsidRPr="00DF0DFE">
        <w:t>The rapid succession of disease outbreaks (COVID-19, FMD and LSD) that needed to be managed concurrently.</w:t>
      </w:r>
    </w:p>
    <w:p w14:paraId="0F6082B5" w14:textId="77777777" w:rsidR="002D1FF0" w:rsidRPr="00DF0DFE" w:rsidRDefault="002D1FF0" w:rsidP="00DF0DFE">
      <w:pPr>
        <w:pStyle w:val="ListParagraph"/>
        <w:numPr>
          <w:ilvl w:val="0"/>
          <w:numId w:val="25"/>
        </w:numPr>
      </w:pPr>
      <w:r w:rsidRPr="00DF0DFE">
        <w:t>The multiple tranches of funding that needed to be rapidly disbursed.</w:t>
      </w:r>
    </w:p>
    <w:p w14:paraId="5EB541D9" w14:textId="371DDAD2" w:rsidR="002D1FF0" w:rsidRPr="00765AB7" w:rsidRDefault="002D1FF0" w:rsidP="48362220">
      <w:pPr>
        <w:pStyle w:val="ListParagraph"/>
        <w:numPr>
          <w:ilvl w:val="0"/>
          <w:numId w:val="2"/>
        </w:numPr>
        <w:pBdr>
          <w:top w:val="nil"/>
          <w:left w:val="nil"/>
          <w:bottom w:val="nil"/>
          <w:right w:val="nil"/>
          <w:between w:val="nil"/>
        </w:pBdr>
        <w:spacing w:after="0" w:line="240" w:lineRule="auto"/>
        <w:rPr>
          <w:color w:val="000000"/>
        </w:rPr>
      </w:pPr>
      <w:r w:rsidRPr="48362220">
        <w:rPr>
          <w:rFonts w:ascii="Calibri" w:eastAsia="Calibri" w:hAnsi="Calibri" w:cs="Calibri"/>
          <w:color w:val="000000" w:themeColor="text1"/>
        </w:rPr>
        <w:t>Political pressure from Indonesia and Australia to expedite the FMD response in Bali due to the imminent G20 meeting and risks to the beef industry in Australia.</w:t>
      </w:r>
    </w:p>
    <w:p w14:paraId="6AAC0ABB" w14:textId="6486CF36" w:rsidR="002D1FF0" w:rsidRPr="00765AB7" w:rsidRDefault="00E23521" w:rsidP="48362220">
      <w:pPr>
        <w:pStyle w:val="ListParagraph"/>
        <w:numPr>
          <w:ilvl w:val="0"/>
          <w:numId w:val="2"/>
        </w:numPr>
        <w:pBdr>
          <w:top w:val="nil"/>
          <w:left w:val="nil"/>
          <w:bottom w:val="nil"/>
          <w:right w:val="nil"/>
          <w:between w:val="nil"/>
        </w:pBdr>
        <w:spacing w:after="0" w:line="240" w:lineRule="auto"/>
        <w:rPr>
          <w:rFonts w:ascii="Calibri" w:eastAsia="Calibri" w:hAnsi="Calibri" w:cs="Calibri"/>
          <w:color w:val="000000" w:themeColor="text1"/>
        </w:rPr>
      </w:pPr>
      <w:r>
        <w:rPr>
          <w:rFonts w:ascii="Calibri" w:eastAsia="Calibri" w:hAnsi="Calibri" w:cs="Calibri"/>
          <w:color w:val="000000" w:themeColor="text1"/>
        </w:rPr>
        <w:t>Limited</w:t>
      </w:r>
      <w:r w:rsidR="002D1FF0" w:rsidRPr="48362220">
        <w:rPr>
          <w:rFonts w:ascii="Calibri" w:eastAsia="Calibri" w:hAnsi="Calibri" w:cs="Calibri"/>
          <w:color w:val="000000" w:themeColor="text1"/>
        </w:rPr>
        <w:t xml:space="preserve"> donor coordination by </w:t>
      </w:r>
      <w:proofErr w:type="spellStart"/>
      <w:r w:rsidR="002D1FF0" w:rsidRPr="48362220">
        <w:rPr>
          <w:rFonts w:ascii="Calibri" w:eastAsia="Calibri" w:hAnsi="Calibri" w:cs="Calibri"/>
          <w:color w:val="000000" w:themeColor="text1"/>
        </w:rPr>
        <w:t>GoI</w:t>
      </w:r>
      <w:proofErr w:type="spellEnd"/>
      <w:r w:rsidR="002D1FF0" w:rsidRPr="48362220">
        <w:rPr>
          <w:rFonts w:ascii="Calibri" w:eastAsia="Calibri" w:hAnsi="Calibri" w:cs="Calibri"/>
          <w:color w:val="000000" w:themeColor="text1"/>
        </w:rPr>
        <w:t xml:space="preserve"> in the early stages of the COVID-19 response that is likely to have reduced efficiency and resulted in some duplication</w:t>
      </w:r>
      <w:r w:rsidR="00680F73" w:rsidRPr="48362220">
        <w:rPr>
          <w:rFonts w:ascii="Calibri" w:eastAsia="Calibri" w:hAnsi="Calibri" w:cs="Calibri"/>
          <w:color w:val="000000" w:themeColor="text1"/>
        </w:rPr>
        <w:t>.</w:t>
      </w:r>
    </w:p>
    <w:p w14:paraId="65248D29" w14:textId="06CFDD2C" w:rsidR="002D1FF0" w:rsidRPr="00765AB7" w:rsidRDefault="002D1FF0" w:rsidP="48362220">
      <w:pPr>
        <w:pStyle w:val="ListParagraph"/>
        <w:numPr>
          <w:ilvl w:val="0"/>
          <w:numId w:val="2"/>
        </w:numPr>
        <w:pBdr>
          <w:top w:val="nil"/>
          <w:left w:val="nil"/>
          <w:bottom w:val="nil"/>
          <w:right w:val="nil"/>
          <w:between w:val="nil"/>
        </w:pBdr>
        <w:spacing w:line="240" w:lineRule="auto"/>
        <w:rPr>
          <w:rFonts w:ascii="Calibri" w:eastAsia="Calibri" w:hAnsi="Calibri" w:cs="Calibri"/>
          <w:color w:val="000000" w:themeColor="text1"/>
        </w:rPr>
      </w:pPr>
      <w:r w:rsidRPr="48362220">
        <w:rPr>
          <w:rFonts w:ascii="Calibri" w:eastAsia="Calibri" w:hAnsi="Calibri" w:cs="Calibri"/>
          <w:color w:val="000000" w:themeColor="text1"/>
        </w:rPr>
        <w:t xml:space="preserve">Several </w:t>
      </w:r>
      <w:proofErr w:type="spellStart"/>
      <w:r w:rsidR="00E23521">
        <w:rPr>
          <w:rFonts w:ascii="Calibri" w:eastAsia="Calibri" w:hAnsi="Calibri" w:cs="Calibri"/>
          <w:color w:val="000000" w:themeColor="text1"/>
        </w:rPr>
        <w:t>GoI</w:t>
      </w:r>
      <w:proofErr w:type="spellEnd"/>
      <w:r w:rsidR="00E23521">
        <w:rPr>
          <w:rFonts w:ascii="Calibri" w:eastAsia="Calibri" w:hAnsi="Calibri" w:cs="Calibri"/>
          <w:color w:val="000000" w:themeColor="text1"/>
        </w:rPr>
        <w:t xml:space="preserve"> </w:t>
      </w:r>
      <w:r w:rsidRPr="48362220">
        <w:rPr>
          <w:rFonts w:ascii="Calibri" w:eastAsia="Calibri" w:hAnsi="Calibri" w:cs="Calibri"/>
          <w:color w:val="000000" w:themeColor="text1"/>
        </w:rPr>
        <w:t>requests for AIHSP to expand into new areas of work.</w:t>
      </w:r>
    </w:p>
    <w:p w14:paraId="464846F2" w14:textId="0DD593A7" w:rsidR="002D1FF0" w:rsidRDefault="002D1FF0" w:rsidP="00FB402C">
      <w:pPr>
        <w:spacing w:after="120" w:line="240" w:lineRule="auto"/>
      </w:pPr>
      <w:r>
        <w:t>The</w:t>
      </w:r>
      <w:r w:rsidR="00680F73">
        <w:t xml:space="preserve">se </w:t>
      </w:r>
      <w:r w:rsidR="00E23521">
        <w:t>competing demands</w:t>
      </w:r>
      <w:r w:rsidR="00680F73">
        <w:t xml:space="preserve"> </w:t>
      </w:r>
      <w:r>
        <w:t xml:space="preserve">meant that optimal administration of agreements and oversight of programs by DFAT and efficient management of programs by AIHSP was not always possible. However, the MTR Team recognises that particularly </w:t>
      </w:r>
      <w:r w:rsidR="00680F73">
        <w:t>during</w:t>
      </w:r>
      <w:r>
        <w:t xml:space="preserve"> COVID-19, the conditions that DFAT and AIHSP were working under were extraordinary and it would have been extremely difficult to maintain efficient administration and management of all programming. </w:t>
      </w:r>
    </w:p>
    <w:p w14:paraId="5DD67EB7" w14:textId="38E737AD" w:rsidR="002D1FF0" w:rsidRPr="000B71D2" w:rsidRDefault="000B71D2" w:rsidP="00327F0E">
      <w:pPr>
        <w:pStyle w:val="Heading3"/>
        <w:spacing w:line="240" w:lineRule="auto"/>
        <w:rPr>
          <w:rFonts w:eastAsia="Calibri" w:cstheme="majorHAnsi"/>
          <w:color w:val="002060"/>
          <w:highlight w:val="white"/>
        </w:rPr>
      </w:pPr>
      <w:bookmarkStart w:id="100" w:name="_Toc132584621"/>
      <w:bookmarkStart w:id="101" w:name="_Toc135837431"/>
      <w:r w:rsidRPr="000B71D2">
        <w:rPr>
          <w:rFonts w:eastAsia="Calibri" w:cstheme="majorHAnsi"/>
          <w:color w:val="002060"/>
          <w:highlight w:val="white"/>
        </w:rPr>
        <w:t>6.1.3</w:t>
      </w:r>
      <w:r w:rsidR="006C22CF" w:rsidRPr="000B71D2">
        <w:rPr>
          <w:rFonts w:eastAsia="Calibri" w:cstheme="majorHAnsi"/>
          <w:color w:val="002060"/>
          <w:highlight w:val="white"/>
        </w:rPr>
        <w:tab/>
      </w:r>
      <w:r w:rsidR="002D1FF0" w:rsidRPr="000B71D2">
        <w:rPr>
          <w:rFonts w:eastAsia="Calibri" w:cstheme="majorHAnsi"/>
          <w:color w:val="002060"/>
          <w:highlight w:val="white"/>
        </w:rPr>
        <w:t>Resourcing by partners and within DFAT </w:t>
      </w:r>
      <w:bookmarkEnd w:id="100"/>
      <w:bookmarkEnd w:id="101"/>
      <w:r w:rsidR="002D1FF0" w:rsidRPr="000B71D2">
        <w:rPr>
          <w:rFonts w:eastAsia="Calibri" w:cstheme="majorHAnsi"/>
          <w:color w:val="002060"/>
          <w:highlight w:val="white"/>
        </w:rPr>
        <w:t> </w:t>
      </w:r>
    </w:p>
    <w:p w14:paraId="08C8134B" w14:textId="31D46DB7" w:rsidR="002D1FF0" w:rsidRPr="004C0121" w:rsidRDefault="002D1FF0" w:rsidP="00476B3D">
      <w:pPr>
        <w:spacing w:after="0" w:line="240" w:lineRule="auto"/>
        <w:rPr>
          <w:rFonts w:asciiTheme="majorHAnsi" w:eastAsia="Dosis" w:hAnsiTheme="majorHAnsi" w:cstheme="majorHAnsi"/>
          <w:i/>
          <w:color w:val="2F5496" w:themeColor="accent1" w:themeShade="BF"/>
          <w:highlight w:val="white"/>
        </w:rPr>
      </w:pPr>
      <w:r w:rsidRPr="004C0121">
        <w:rPr>
          <w:rFonts w:asciiTheme="majorHAnsi" w:eastAsia="Dosis" w:hAnsiTheme="majorHAnsi" w:cstheme="majorHAnsi"/>
          <w:i/>
          <w:color w:val="2F5496" w:themeColor="accent1" w:themeShade="BF"/>
          <w:highlight w:val="white"/>
        </w:rPr>
        <w:t>AIHSP</w:t>
      </w:r>
    </w:p>
    <w:p w14:paraId="7E98CB6E" w14:textId="2AF407A6" w:rsidR="002D1FF0" w:rsidRDefault="002D1FF0" w:rsidP="00FB402C">
      <w:pPr>
        <w:spacing w:after="120" w:line="240" w:lineRule="auto"/>
        <w:rPr>
          <w:color w:val="000000"/>
          <w:highlight w:val="white"/>
        </w:rPr>
      </w:pPr>
      <w:r w:rsidRPr="4FCF45F9">
        <w:rPr>
          <w:color w:val="000000" w:themeColor="text1"/>
          <w:highlight w:val="white"/>
        </w:rPr>
        <w:t xml:space="preserve">AIHSP’s management structure and human resourcing was designed to support a </w:t>
      </w:r>
      <w:r w:rsidR="00C5658B" w:rsidRPr="4FCF45F9">
        <w:rPr>
          <w:color w:val="000000" w:themeColor="text1"/>
          <w:highlight w:val="white"/>
        </w:rPr>
        <w:t>AUD</w:t>
      </w:r>
      <w:r w:rsidRPr="4FCF45F9">
        <w:rPr>
          <w:color w:val="000000" w:themeColor="text1"/>
          <w:highlight w:val="white"/>
        </w:rPr>
        <w:t>14</w:t>
      </w:r>
      <w:r w:rsidR="221E861C" w:rsidRPr="4FCF45F9">
        <w:rPr>
          <w:color w:val="000000" w:themeColor="text1"/>
          <w:highlight w:val="white"/>
        </w:rPr>
        <w:t xml:space="preserve"> </w:t>
      </w:r>
      <w:r w:rsidRPr="4FCF45F9">
        <w:rPr>
          <w:color w:val="000000" w:themeColor="text1"/>
          <w:highlight w:val="white"/>
        </w:rPr>
        <w:t xml:space="preserve">million program which subsequently more than tripled in size during 2021-2023. There were </w:t>
      </w:r>
      <w:r w:rsidR="00923D02" w:rsidRPr="4FCF45F9">
        <w:rPr>
          <w:color w:val="000000" w:themeColor="text1"/>
          <w:highlight w:val="white"/>
        </w:rPr>
        <w:t xml:space="preserve">16 FTE staff </w:t>
      </w:r>
      <w:r w:rsidRPr="4FCF45F9">
        <w:rPr>
          <w:color w:val="000000" w:themeColor="text1"/>
          <w:highlight w:val="white"/>
        </w:rPr>
        <w:t xml:space="preserve">working for AIHSP in Jakarta during </w:t>
      </w:r>
      <w:r w:rsidR="00923D02" w:rsidRPr="4FCF45F9">
        <w:rPr>
          <w:color w:val="000000" w:themeColor="text1"/>
          <w:highlight w:val="white"/>
        </w:rPr>
        <w:t xml:space="preserve">2021-2022 </w:t>
      </w:r>
      <w:r w:rsidRPr="4FCF45F9">
        <w:rPr>
          <w:color w:val="000000" w:themeColor="text1"/>
          <w:highlight w:val="white"/>
        </w:rPr>
        <w:t>and no administrati</w:t>
      </w:r>
      <w:r w:rsidR="00680F73">
        <w:rPr>
          <w:color w:val="000000" w:themeColor="text1"/>
          <w:highlight w:val="white"/>
        </w:rPr>
        <w:t>ve</w:t>
      </w:r>
      <w:r w:rsidRPr="4FCF45F9">
        <w:rPr>
          <w:color w:val="000000" w:themeColor="text1"/>
          <w:highlight w:val="white"/>
        </w:rPr>
        <w:t xml:space="preserve"> staff working at a sub-national </w:t>
      </w:r>
      <w:r w:rsidRPr="4FCF45F9">
        <w:rPr>
          <w:color w:val="000000" w:themeColor="text1"/>
          <w:highlight w:val="white"/>
        </w:rPr>
        <w:lastRenderedPageBreak/>
        <w:t>level</w:t>
      </w:r>
      <w:r w:rsidR="00923D02" w:rsidRPr="4FCF45F9">
        <w:rPr>
          <w:color w:val="000000" w:themeColor="text1"/>
          <w:highlight w:val="white"/>
        </w:rPr>
        <w:t xml:space="preserve"> (only</w:t>
      </w:r>
      <w:r w:rsidR="00631F32" w:rsidRPr="4FCF45F9">
        <w:rPr>
          <w:color w:val="000000" w:themeColor="text1"/>
          <w:highlight w:val="white"/>
        </w:rPr>
        <w:t xml:space="preserve"> short</w:t>
      </w:r>
      <w:r w:rsidR="1252109B" w:rsidRPr="4FCF45F9">
        <w:rPr>
          <w:color w:val="000000" w:themeColor="text1"/>
          <w:highlight w:val="white"/>
        </w:rPr>
        <w:t>-</w:t>
      </w:r>
      <w:r w:rsidR="00631F32" w:rsidRPr="4FCF45F9">
        <w:rPr>
          <w:color w:val="000000" w:themeColor="text1"/>
          <w:highlight w:val="white"/>
        </w:rPr>
        <w:t>term advisors</w:t>
      </w:r>
      <w:r w:rsidR="00923D02" w:rsidRPr="4FCF45F9">
        <w:rPr>
          <w:color w:val="000000" w:themeColor="text1"/>
          <w:highlight w:val="white"/>
        </w:rPr>
        <w:t>)</w:t>
      </w:r>
      <w:r w:rsidRPr="4FCF45F9">
        <w:rPr>
          <w:color w:val="000000" w:themeColor="text1"/>
          <w:highlight w:val="white"/>
        </w:rPr>
        <w:t>. However, much of th</w:t>
      </w:r>
      <w:r w:rsidR="0096076C" w:rsidRPr="4FCF45F9">
        <w:rPr>
          <w:color w:val="000000" w:themeColor="text1"/>
          <w:highlight w:val="white"/>
        </w:rPr>
        <w:t>e</w:t>
      </w:r>
      <w:r w:rsidRPr="4FCF45F9">
        <w:rPr>
          <w:color w:val="000000" w:themeColor="text1"/>
          <w:highlight w:val="white"/>
        </w:rPr>
        <w:t xml:space="preserve"> funding from VAHSI and for the animal health disease outbreaks was designated for programming only and therefore could not be used to increase resourcing for the administration and management of activities</w:t>
      </w:r>
      <w:r w:rsidR="008F5B3C">
        <w:rPr>
          <w:color w:val="000000" w:themeColor="text1"/>
          <w:highlight w:val="white"/>
        </w:rPr>
        <w:t xml:space="preserve">. </w:t>
      </w:r>
      <w:r w:rsidRPr="4FCF45F9">
        <w:rPr>
          <w:color w:val="000000" w:themeColor="text1"/>
          <w:highlight w:val="white"/>
        </w:rPr>
        <w:t xml:space="preserve">The roll out of successive increases in funding put a significant strain on the AIHSP team </w:t>
      </w:r>
      <w:r w:rsidR="00C02A97">
        <w:rPr>
          <w:color w:val="000000" w:themeColor="text1"/>
          <w:highlight w:val="white"/>
        </w:rPr>
        <w:t>[</w:t>
      </w:r>
      <w:r w:rsidRPr="4FCF45F9">
        <w:rPr>
          <w:color w:val="000000" w:themeColor="text1"/>
          <w:highlight w:val="white"/>
        </w:rPr>
        <w:t>AIHSP reporting, AIHSP staff, DFAT</w:t>
      </w:r>
      <w:r w:rsidR="00331BD1">
        <w:rPr>
          <w:color w:val="000000" w:themeColor="text1"/>
          <w:highlight w:val="white"/>
        </w:rPr>
        <w:t>]</w:t>
      </w:r>
      <w:r w:rsidRPr="4FCF45F9">
        <w:rPr>
          <w:color w:val="000000" w:themeColor="text1"/>
          <w:highlight w:val="white"/>
        </w:rPr>
        <w:t>:</w:t>
      </w:r>
    </w:p>
    <w:p w14:paraId="7E04AC35" w14:textId="1159E2E7" w:rsidR="002D1FF0" w:rsidRDefault="00026C5C" w:rsidP="00FB402C">
      <w:pPr>
        <w:spacing w:after="120" w:line="240" w:lineRule="auto"/>
        <w:rPr>
          <w:rFonts w:ascii="Dosis" w:eastAsia="Dosis" w:hAnsi="Dosis" w:cs="Dosis"/>
          <w:color w:val="000000"/>
          <w:sz w:val="20"/>
          <w:szCs w:val="20"/>
          <w:highlight w:val="white"/>
        </w:rPr>
      </w:pPr>
      <w:r>
        <w:rPr>
          <w:rFonts w:eastAsia="Dosis" w:cstheme="minorHAnsi"/>
          <w:i/>
          <w:color w:val="000000"/>
          <w:highlight w:val="white"/>
        </w:rPr>
        <w:t>“</w:t>
      </w:r>
      <w:r w:rsidR="002D1FF0" w:rsidRPr="002D1FF0">
        <w:rPr>
          <w:rFonts w:eastAsia="Dosis" w:cstheme="minorHAnsi"/>
          <w:i/>
          <w:color w:val="000000"/>
          <w:highlight w:val="white"/>
        </w:rPr>
        <w:t>This ongoing expansion placed a huge strain on AIHSP’s very small management and administration teams</w:t>
      </w:r>
      <w:r>
        <w:rPr>
          <w:rFonts w:eastAsia="Dosis" w:cstheme="minorHAnsi"/>
          <w:i/>
          <w:color w:val="000000"/>
          <w:highlight w:val="white"/>
        </w:rPr>
        <w:t>.”</w:t>
      </w:r>
      <w:r w:rsidR="002D1FF0">
        <w:rPr>
          <w:rFonts w:eastAsia="Dosis" w:cstheme="minorHAnsi"/>
          <w:i/>
          <w:color w:val="000000"/>
          <w:highlight w:val="white"/>
        </w:rPr>
        <w:t xml:space="preserve"> </w:t>
      </w:r>
      <w:r>
        <w:rPr>
          <w:rFonts w:eastAsia="Dosis" w:cstheme="minorHAnsi"/>
          <w:i/>
          <w:color w:val="000000"/>
          <w:highlight w:val="white"/>
        </w:rPr>
        <w:t xml:space="preserve">- </w:t>
      </w:r>
      <w:r w:rsidR="002D1FF0" w:rsidRPr="002D1FF0">
        <w:rPr>
          <w:rFonts w:eastAsia="Dosis" w:cstheme="minorHAnsi"/>
          <w:iCs/>
          <w:color w:val="000000"/>
          <w:highlight w:val="white"/>
        </w:rPr>
        <w:t>A</w:t>
      </w:r>
      <w:r w:rsidR="002D1FF0" w:rsidRPr="002D1FF0">
        <w:rPr>
          <w:rFonts w:eastAsia="Dosis" w:cstheme="minorHAnsi"/>
          <w:color w:val="000000"/>
          <w:highlight w:val="white"/>
        </w:rPr>
        <w:t>IHSP Annual Report</w:t>
      </w:r>
      <w:r w:rsidR="00EB2987">
        <w:rPr>
          <w:rFonts w:eastAsia="Dosis" w:cstheme="minorHAnsi"/>
          <w:color w:val="000000"/>
          <w:highlight w:val="white"/>
        </w:rPr>
        <w:t xml:space="preserve"> </w:t>
      </w:r>
      <w:r w:rsidR="00EB2987" w:rsidRPr="002D1FF0">
        <w:rPr>
          <w:rFonts w:eastAsia="Dosis" w:cstheme="minorHAnsi"/>
          <w:color w:val="000000"/>
          <w:highlight w:val="white"/>
        </w:rPr>
        <w:t>2022-23</w:t>
      </w:r>
      <w:r w:rsidR="00B569AE">
        <w:rPr>
          <w:rFonts w:eastAsia="Dosis" w:cstheme="minorHAnsi"/>
          <w:color w:val="000000"/>
          <w:highlight w:val="white"/>
        </w:rPr>
        <w:t>.</w:t>
      </w:r>
    </w:p>
    <w:p w14:paraId="4CC146FC" w14:textId="554F3DE4" w:rsidR="0096076C" w:rsidRDefault="002D1FF0" w:rsidP="00FB402C">
      <w:pPr>
        <w:spacing w:after="120" w:line="240" w:lineRule="auto"/>
        <w:rPr>
          <w:rFonts w:ascii="Calibri" w:eastAsia="Calibri" w:hAnsi="Calibri" w:cs="Calibri"/>
        </w:rPr>
      </w:pPr>
      <w:r>
        <w:rPr>
          <w:color w:val="000000"/>
          <w:highlight w:val="white"/>
        </w:rPr>
        <w:t xml:space="preserve">In late 2022, DFAT was finally able to provide funding to bolster the senior management, </w:t>
      </w:r>
      <w:proofErr w:type="gramStart"/>
      <w:r>
        <w:rPr>
          <w:color w:val="000000"/>
          <w:highlight w:val="white"/>
        </w:rPr>
        <w:t>administration</w:t>
      </w:r>
      <w:proofErr w:type="gramEnd"/>
      <w:r>
        <w:rPr>
          <w:color w:val="000000"/>
          <w:highlight w:val="white"/>
        </w:rPr>
        <w:t xml:space="preserve"> and MEL capacity of AIHSP, and administrative positions </w:t>
      </w:r>
      <w:r w:rsidR="00A05B47">
        <w:rPr>
          <w:color w:val="000000"/>
          <w:highlight w:val="white"/>
        </w:rPr>
        <w:t>were</w:t>
      </w:r>
      <w:r>
        <w:rPr>
          <w:color w:val="000000"/>
          <w:highlight w:val="white"/>
        </w:rPr>
        <w:t xml:space="preserve"> recruited at </w:t>
      </w:r>
      <w:r w:rsidR="0096076C">
        <w:rPr>
          <w:color w:val="000000"/>
          <w:highlight w:val="white"/>
        </w:rPr>
        <w:t>the</w:t>
      </w:r>
      <w:r>
        <w:rPr>
          <w:color w:val="000000"/>
          <w:highlight w:val="white"/>
        </w:rPr>
        <w:t xml:space="preserve"> provincial level. AIHSP now </w:t>
      </w:r>
      <w:r>
        <w:rPr>
          <w:highlight w:val="white"/>
        </w:rPr>
        <w:t>has</w:t>
      </w:r>
      <w:r w:rsidR="00FB51D6">
        <w:rPr>
          <w:rFonts w:ascii="Calibri" w:eastAsia="Calibri" w:hAnsi="Calibri" w:cs="Calibri"/>
          <w:color w:val="000000"/>
        </w:rPr>
        <w:t xml:space="preserve"> </w:t>
      </w:r>
      <w:r>
        <w:rPr>
          <w:rFonts w:ascii="Calibri" w:eastAsia="Calibri" w:hAnsi="Calibri" w:cs="Calibri"/>
        </w:rPr>
        <w:t xml:space="preserve">46 </w:t>
      </w:r>
      <w:r w:rsidR="008F5B3C">
        <w:rPr>
          <w:rFonts w:ascii="Calibri" w:eastAsia="Calibri" w:hAnsi="Calibri" w:cs="Calibri"/>
        </w:rPr>
        <w:t>full-time equivalent employees (</w:t>
      </w:r>
      <w:r>
        <w:rPr>
          <w:rFonts w:ascii="Calibri" w:eastAsia="Calibri" w:hAnsi="Calibri" w:cs="Calibri"/>
        </w:rPr>
        <w:t>FTEs</w:t>
      </w:r>
      <w:r w:rsidR="008F5B3C">
        <w:rPr>
          <w:rFonts w:ascii="Calibri" w:eastAsia="Calibri" w:hAnsi="Calibri" w:cs="Calibri"/>
        </w:rPr>
        <w:t>)</w:t>
      </w:r>
      <w:r>
        <w:rPr>
          <w:rFonts w:ascii="Calibri" w:eastAsia="Calibri" w:hAnsi="Calibri" w:cs="Calibri"/>
        </w:rPr>
        <w:t xml:space="preserve"> and 27 long-term but part-time staff/advisers</w:t>
      </w:r>
      <w:r w:rsidR="008F5B3C">
        <w:rPr>
          <w:rFonts w:ascii="Calibri" w:eastAsia="Calibri" w:hAnsi="Calibri" w:cs="Calibri"/>
        </w:rPr>
        <w:t>;</w:t>
      </w:r>
      <w:r>
        <w:rPr>
          <w:rFonts w:ascii="Calibri" w:eastAsia="Calibri" w:hAnsi="Calibri" w:cs="Calibri"/>
        </w:rPr>
        <w:t xml:space="preserve"> and several additional shorter-term STA staff/advisers. This includes 6 FTE in Bali (1 vacant), 8 FTE in Central Java, 8 FTE in South Sulawesi, 5 FTE in Yogyakarta and 3 FTE in NTT (2 vacant) (March 2023). </w:t>
      </w:r>
    </w:p>
    <w:p w14:paraId="2EEFAC3E" w14:textId="77777777" w:rsidR="0096076C" w:rsidRPr="004C0121" w:rsidRDefault="002D1FF0" w:rsidP="00E91F25">
      <w:pPr>
        <w:spacing w:after="0" w:line="240" w:lineRule="auto"/>
        <w:rPr>
          <w:rFonts w:asciiTheme="majorHAnsi" w:hAnsiTheme="majorHAnsi" w:cstheme="majorHAnsi"/>
          <w:i/>
          <w:color w:val="2F5496" w:themeColor="accent1" w:themeShade="BF"/>
          <w:highlight w:val="white"/>
        </w:rPr>
      </w:pPr>
      <w:r w:rsidRPr="004C0121">
        <w:rPr>
          <w:rFonts w:asciiTheme="majorHAnsi" w:hAnsiTheme="majorHAnsi" w:cstheme="majorHAnsi"/>
          <w:i/>
          <w:color w:val="2F5496" w:themeColor="accent1" w:themeShade="BF"/>
          <w:highlight w:val="white"/>
        </w:rPr>
        <w:t>DFAT</w:t>
      </w:r>
    </w:p>
    <w:p w14:paraId="0D210AC5" w14:textId="3C4DD64A" w:rsidR="002D1FF0" w:rsidRPr="0096076C" w:rsidRDefault="00F36A83" w:rsidP="00FB402C">
      <w:pPr>
        <w:spacing w:after="120" w:line="240" w:lineRule="auto"/>
        <w:rPr>
          <w:i/>
          <w:highlight w:val="white"/>
        </w:rPr>
      </w:pPr>
      <w:r>
        <w:rPr>
          <w:highlight w:val="white"/>
        </w:rPr>
        <w:t>T</w:t>
      </w:r>
      <w:r w:rsidR="002D1FF0">
        <w:rPr>
          <w:highlight w:val="white"/>
        </w:rPr>
        <w:t>he pressure on the DFAT Health Team in Jakarta to respond to disease outbreaks by rapidly identifying and negotiating agreements with partners, disburs</w:t>
      </w:r>
      <w:r>
        <w:rPr>
          <w:highlight w:val="white"/>
        </w:rPr>
        <w:t>ing</w:t>
      </w:r>
      <w:r w:rsidR="002D1FF0">
        <w:rPr>
          <w:highlight w:val="white"/>
        </w:rPr>
        <w:t xml:space="preserve"> funding, coordinat</w:t>
      </w:r>
      <w:r>
        <w:rPr>
          <w:highlight w:val="white"/>
        </w:rPr>
        <w:t>ing</w:t>
      </w:r>
      <w:r w:rsidR="002D1FF0">
        <w:rPr>
          <w:highlight w:val="white"/>
        </w:rPr>
        <w:t xml:space="preserve"> with </w:t>
      </w:r>
      <w:proofErr w:type="spellStart"/>
      <w:r w:rsidR="002D1FF0">
        <w:rPr>
          <w:highlight w:val="white"/>
        </w:rPr>
        <w:t>GoI</w:t>
      </w:r>
      <w:proofErr w:type="spellEnd"/>
      <w:r w:rsidR="002D1FF0">
        <w:rPr>
          <w:highlight w:val="white"/>
        </w:rPr>
        <w:t xml:space="preserve"> </w:t>
      </w:r>
      <w:proofErr w:type="gramStart"/>
      <w:r w:rsidR="002D1FF0">
        <w:rPr>
          <w:highlight w:val="white"/>
        </w:rPr>
        <w:t>ministries</w:t>
      </w:r>
      <w:proofErr w:type="gramEnd"/>
      <w:r w:rsidR="002D1FF0">
        <w:rPr>
          <w:highlight w:val="white"/>
        </w:rPr>
        <w:t xml:space="preserve"> and manag</w:t>
      </w:r>
      <w:r>
        <w:rPr>
          <w:highlight w:val="white"/>
        </w:rPr>
        <w:t>ing</w:t>
      </w:r>
      <w:r w:rsidR="002D1FF0">
        <w:rPr>
          <w:highlight w:val="white"/>
        </w:rPr>
        <w:t xml:space="preserve"> investments </w:t>
      </w:r>
      <w:r w:rsidR="0096076C">
        <w:rPr>
          <w:highlight w:val="white"/>
        </w:rPr>
        <w:t>created a significant</w:t>
      </w:r>
      <w:r w:rsidR="002D1FF0">
        <w:rPr>
          <w:highlight w:val="white"/>
        </w:rPr>
        <w:t xml:space="preserve"> additional administrative workload. This increased the risk of administrative error and reduced DFAT’s ability to be able to adequately coordinate or monitor </w:t>
      </w:r>
      <w:r>
        <w:rPr>
          <w:highlight w:val="white"/>
        </w:rPr>
        <w:t xml:space="preserve">the </w:t>
      </w:r>
      <w:r w:rsidR="002D1FF0">
        <w:rPr>
          <w:highlight w:val="white"/>
        </w:rPr>
        <w:t xml:space="preserve">activities of partners </w:t>
      </w:r>
      <w:r w:rsidR="00C02A97">
        <w:rPr>
          <w:highlight w:val="white"/>
        </w:rPr>
        <w:t>[</w:t>
      </w:r>
      <w:r w:rsidR="002D1FF0">
        <w:rPr>
          <w:highlight w:val="white"/>
        </w:rPr>
        <w:t>DFAT – multiple</w:t>
      </w:r>
      <w:r w:rsidR="00331BD1">
        <w:rPr>
          <w:highlight w:val="white"/>
        </w:rPr>
        <w:t>]</w:t>
      </w:r>
      <w:r w:rsidR="002D1FF0">
        <w:rPr>
          <w:highlight w:val="white"/>
          <w:vertAlign w:val="superscript"/>
        </w:rPr>
        <w:footnoteReference w:id="27"/>
      </w:r>
      <w:r w:rsidR="002D1FF0">
        <w:rPr>
          <w:highlight w:val="white"/>
        </w:rPr>
        <w:t xml:space="preserve">. </w:t>
      </w:r>
      <w:r w:rsidR="00292E09">
        <w:rPr>
          <w:highlight w:val="white"/>
        </w:rPr>
        <w:t>This</w:t>
      </w:r>
      <w:r w:rsidR="007A1B6A">
        <w:rPr>
          <w:highlight w:val="white"/>
        </w:rPr>
        <w:t xml:space="preserve"> resulted in </w:t>
      </w:r>
      <w:r w:rsidR="002D1FF0">
        <w:rPr>
          <w:highlight w:val="white"/>
        </w:rPr>
        <w:t xml:space="preserve">limited time </w:t>
      </w:r>
      <w:r w:rsidR="007A1B6A">
        <w:rPr>
          <w:highlight w:val="white"/>
        </w:rPr>
        <w:t xml:space="preserve">for DFAT </w:t>
      </w:r>
      <w:r w:rsidR="002D1FF0">
        <w:rPr>
          <w:highlight w:val="white"/>
        </w:rPr>
        <w:t xml:space="preserve">to engage with </w:t>
      </w:r>
      <w:proofErr w:type="spellStart"/>
      <w:r w:rsidR="002D1FF0">
        <w:rPr>
          <w:highlight w:val="white"/>
        </w:rPr>
        <w:t>GoI</w:t>
      </w:r>
      <w:proofErr w:type="spellEnd"/>
      <w:r w:rsidR="002D1FF0">
        <w:rPr>
          <w:highlight w:val="white"/>
        </w:rPr>
        <w:t xml:space="preserve">, including strategic engagement, as well as to identify and capitalise on synergies between partners and with other DFAT programs </w:t>
      </w:r>
      <w:r w:rsidR="00C02A97">
        <w:rPr>
          <w:highlight w:val="white"/>
        </w:rPr>
        <w:t>[</w:t>
      </w:r>
      <w:r w:rsidR="002D1FF0">
        <w:rPr>
          <w:highlight w:val="white"/>
        </w:rPr>
        <w:t>DFAT, partners</w:t>
      </w:r>
      <w:r w:rsidR="00331BD1">
        <w:rPr>
          <w:highlight w:val="white"/>
        </w:rPr>
        <w:t>]</w:t>
      </w:r>
      <w:r w:rsidR="002D1FF0">
        <w:rPr>
          <w:highlight w:val="white"/>
        </w:rPr>
        <w:t>.</w:t>
      </w:r>
    </w:p>
    <w:p w14:paraId="47A6D280" w14:textId="77777777" w:rsidR="002D1FF0" w:rsidRPr="004C0121" w:rsidRDefault="002D1FF0" w:rsidP="00476B3D">
      <w:pPr>
        <w:spacing w:after="0" w:line="240" w:lineRule="auto"/>
        <w:rPr>
          <w:rFonts w:asciiTheme="majorHAnsi" w:hAnsiTheme="majorHAnsi" w:cstheme="majorHAnsi"/>
          <w:i/>
          <w:color w:val="2F5496" w:themeColor="accent1" w:themeShade="BF"/>
          <w:highlight w:val="white"/>
        </w:rPr>
      </w:pPr>
      <w:r w:rsidRPr="004C0121">
        <w:rPr>
          <w:rFonts w:asciiTheme="majorHAnsi" w:hAnsiTheme="majorHAnsi" w:cstheme="majorHAnsi"/>
          <w:i/>
          <w:color w:val="2F5496" w:themeColor="accent1" w:themeShade="BF"/>
          <w:highlight w:val="white"/>
        </w:rPr>
        <w:t>UNICEF and WHO</w:t>
      </w:r>
    </w:p>
    <w:p w14:paraId="65E65569" w14:textId="2544C1D8" w:rsidR="002D1FF0" w:rsidRDefault="002D1FF0" w:rsidP="00FB402C">
      <w:pPr>
        <w:spacing w:after="120" w:line="240" w:lineRule="auto"/>
        <w:rPr>
          <w:highlight w:val="white"/>
        </w:rPr>
      </w:pPr>
      <w:r>
        <w:rPr>
          <w:highlight w:val="white"/>
        </w:rPr>
        <w:t xml:space="preserve">As partners with a long-term presence in Indonesia, pre-existing good working relations with </w:t>
      </w:r>
      <w:proofErr w:type="spellStart"/>
      <w:r>
        <w:rPr>
          <w:highlight w:val="white"/>
        </w:rPr>
        <w:t>GoI</w:t>
      </w:r>
      <w:proofErr w:type="spellEnd"/>
      <w:r w:rsidR="0066549B">
        <w:rPr>
          <w:highlight w:val="white"/>
        </w:rPr>
        <w:t>, established emergency response mechanisms, a high level of technical capability among their staff</w:t>
      </w:r>
      <w:r>
        <w:rPr>
          <w:highlight w:val="white"/>
        </w:rPr>
        <w:t xml:space="preserve"> and COVID-19 response planning developed </w:t>
      </w:r>
      <w:r w:rsidR="0066549B">
        <w:rPr>
          <w:highlight w:val="white"/>
        </w:rPr>
        <w:t xml:space="preserve">in the early stages of the pandemic </w:t>
      </w:r>
      <w:r>
        <w:rPr>
          <w:highlight w:val="white"/>
        </w:rPr>
        <w:t xml:space="preserve">in close collaboration with the </w:t>
      </w:r>
      <w:proofErr w:type="spellStart"/>
      <w:r>
        <w:rPr>
          <w:highlight w:val="white"/>
        </w:rPr>
        <w:t>GoI</w:t>
      </w:r>
      <w:proofErr w:type="spellEnd"/>
      <w:r>
        <w:rPr>
          <w:highlight w:val="white"/>
        </w:rPr>
        <w:t xml:space="preserve">, the </w:t>
      </w:r>
      <w:r w:rsidR="0066549B">
        <w:rPr>
          <w:highlight w:val="white"/>
        </w:rPr>
        <w:t xml:space="preserve">choice by DFAT to </w:t>
      </w:r>
      <w:r>
        <w:rPr>
          <w:highlight w:val="white"/>
        </w:rPr>
        <w:t xml:space="preserve">fund these partners </w:t>
      </w:r>
      <w:r w:rsidR="0066549B">
        <w:rPr>
          <w:highlight w:val="white"/>
        </w:rPr>
        <w:t xml:space="preserve">and the process for doing so </w:t>
      </w:r>
      <w:r>
        <w:rPr>
          <w:highlight w:val="white"/>
        </w:rPr>
        <w:t>was straightforward</w:t>
      </w:r>
      <w:r w:rsidR="0096076C">
        <w:rPr>
          <w:highlight w:val="white"/>
        </w:rPr>
        <w:t xml:space="preserve">. </w:t>
      </w:r>
      <w:r>
        <w:rPr>
          <w:highlight w:val="white"/>
        </w:rPr>
        <w:t xml:space="preserve">DFAT funding enabled </w:t>
      </w:r>
      <w:r w:rsidR="00B76DEA">
        <w:rPr>
          <w:highlight w:val="white"/>
        </w:rPr>
        <w:t>the partners</w:t>
      </w:r>
      <w:r>
        <w:rPr>
          <w:highlight w:val="white"/>
        </w:rPr>
        <w:t xml:space="preserve"> to finance unfunded parts of their planning </w:t>
      </w:r>
      <w:r w:rsidR="00C02A97">
        <w:rPr>
          <w:highlight w:val="white"/>
        </w:rPr>
        <w:t>[</w:t>
      </w:r>
      <w:r>
        <w:rPr>
          <w:highlight w:val="white"/>
        </w:rPr>
        <w:t>DFAT</w:t>
      </w:r>
      <w:r w:rsidR="00331BD1">
        <w:rPr>
          <w:highlight w:val="white"/>
        </w:rPr>
        <w:t>]</w:t>
      </w:r>
      <w:r>
        <w:rPr>
          <w:highlight w:val="white"/>
        </w:rPr>
        <w:t xml:space="preserve">. Given the scale of </w:t>
      </w:r>
      <w:r w:rsidR="00B76DEA">
        <w:rPr>
          <w:highlight w:val="white"/>
        </w:rPr>
        <w:t>their work</w:t>
      </w:r>
      <w:r>
        <w:rPr>
          <w:highlight w:val="white"/>
        </w:rPr>
        <w:t xml:space="preserve">, both WHO and UNICEF were able to readily absorb additional tranches of money as they became available and use them for implementing activities that were highly supportive of the COVID-19 response in Indonesia </w:t>
      </w:r>
      <w:r w:rsidR="00C02A97">
        <w:rPr>
          <w:highlight w:val="white"/>
        </w:rPr>
        <w:t>[</w:t>
      </w:r>
      <w:r>
        <w:rPr>
          <w:highlight w:val="white"/>
        </w:rPr>
        <w:t>DFAT, UNICEF and WHO reporting</w:t>
      </w:r>
      <w:r w:rsidR="00331BD1">
        <w:rPr>
          <w:highlight w:val="white"/>
        </w:rPr>
        <w:t>]</w:t>
      </w:r>
      <w:r>
        <w:rPr>
          <w:highlight w:val="white"/>
        </w:rPr>
        <w:t>.</w:t>
      </w:r>
    </w:p>
    <w:p w14:paraId="1D1DF6B0" w14:textId="77777777" w:rsidR="005C53F5" w:rsidRPr="000B71D2" w:rsidRDefault="005C53F5" w:rsidP="005C53F5">
      <w:pPr>
        <w:pStyle w:val="Heading3"/>
        <w:spacing w:line="240" w:lineRule="auto"/>
        <w:rPr>
          <w:rFonts w:eastAsia="Calibri" w:cstheme="majorHAnsi"/>
          <w:color w:val="002060"/>
        </w:rPr>
      </w:pPr>
      <w:bookmarkStart w:id="102" w:name="_Toc135837432"/>
      <w:r w:rsidRPr="000B71D2">
        <w:rPr>
          <w:rFonts w:eastAsia="Calibri" w:cstheme="majorHAnsi"/>
          <w:color w:val="002060"/>
        </w:rPr>
        <w:t>6.1.4</w:t>
      </w:r>
      <w:r w:rsidRPr="000B71D2">
        <w:rPr>
          <w:rFonts w:eastAsia="Calibri" w:cstheme="majorHAnsi"/>
          <w:color w:val="002060"/>
        </w:rPr>
        <w:tab/>
        <w:t>Timeliness of activities</w:t>
      </w:r>
      <w:bookmarkEnd w:id="102"/>
    </w:p>
    <w:p w14:paraId="2DA563B3" w14:textId="32A26827" w:rsidR="002D1FF0" w:rsidRPr="005E3E6A" w:rsidRDefault="005C53F5" w:rsidP="00FB402C">
      <w:pPr>
        <w:spacing w:after="120" w:line="240" w:lineRule="auto"/>
        <w:rPr>
          <w:rFonts w:cstheme="minorHAnsi"/>
        </w:rPr>
      </w:pPr>
      <w:proofErr w:type="gramStart"/>
      <w:r w:rsidRPr="005E3E6A">
        <w:rPr>
          <w:rFonts w:eastAsia="Calibri" w:cstheme="minorHAnsi"/>
        </w:rPr>
        <w:t>A number of</w:t>
      </w:r>
      <w:proofErr w:type="gramEnd"/>
      <w:r w:rsidRPr="005E3E6A">
        <w:rPr>
          <w:rFonts w:eastAsia="Calibri" w:cstheme="minorHAnsi"/>
        </w:rPr>
        <w:t xml:space="preserve"> actors cited the flexibility and responsiveness of DFAT’s support to the </w:t>
      </w:r>
      <w:proofErr w:type="spellStart"/>
      <w:r w:rsidRPr="005E3E6A">
        <w:rPr>
          <w:rFonts w:eastAsia="Calibri" w:cstheme="minorHAnsi"/>
        </w:rPr>
        <w:t>GoI</w:t>
      </w:r>
      <w:proofErr w:type="spellEnd"/>
      <w:r w:rsidRPr="005E3E6A">
        <w:rPr>
          <w:rFonts w:eastAsia="Calibri" w:cstheme="minorHAnsi"/>
        </w:rPr>
        <w:t xml:space="preserve"> for COVID-19, and </w:t>
      </w:r>
      <w:r w:rsidR="005E3E6A">
        <w:rPr>
          <w:rFonts w:eastAsia="Calibri" w:cstheme="minorHAnsi"/>
        </w:rPr>
        <w:t xml:space="preserve">for </w:t>
      </w:r>
      <w:r w:rsidRPr="005E3E6A">
        <w:rPr>
          <w:rFonts w:eastAsia="Calibri" w:cstheme="minorHAnsi"/>
        </w:rPr>
        <w:t xml:space="preserve">the FMD and LSD responses. This was appreciated by the </w:t>
      </w:r>
      <w:proofErr w:type="spellStart"/>
      <w:r w:rsidRPr="005E3E6A">
        <w:rPr>
          <w:rFonts w:eastAsia="Calibri" w:cstheme="minorHAnsi"/>
        </w:rPr>
        <w:t>GoI</w:t>
      </w:r>
      <w:proofErr w:type="spellEnd"/>
      <w:r w:rsidRPr="005E3E6A">
        <w:rPr>
          <w:rFonts w:eastAsia="Calibri" w:cstheme="minorHAnsi"/>
        </w:rPr>
        <w:t xml:space="preserve"> as well as WHO and UNICEF</w:t>
      </w:r>
      <w:r w:rsidR="005E3E6A">
        <w:rPr>
          <w:rFonts w:eastAsia="Calibri" w:cstheme="minorHAnsi"/>
        </w:rPr>
        <w:t xml:space="preserve">. </w:t>
      </w:r>
      <w:r w:rsidR="002D1FF0" w:rsidRPr="005E3E6A">
        <w:rPr>
          <w:rFonts w:eastAsia="Calibri" w:cstheme="minorHAnsi"/>
        </w:rPr>
        <w:t xml:space="preserve">DFAT’s support enabled </w:t>
      </w:r>
      <w:r w:rsidR="005E3E6A">
        <w:rPr>
          <w:rFonts w:eastAsia="Calibri" w:cstheme="minorHAnsi"/>
        </w:rPr>
        <w:t>the partners</w:t>
      </w:r>
      <w:r w:rsidR="002D1FF0" w:rsidRPr="005E3E6A">
        <w:rPr>
          <w:rFonts w:eastAsia="Calibri" w:cstheme="minorHAnsi"/>
        </w:rPr>
        <w:t xml:space="preserve"> to broaden the s</w:t>
      </w:r>
      <w:sdt>
        <w:sdtPr>
          <w:rPr>
            <w:rFonts w:cstheme="minorHAnsi"/>
            <w:color w:val="2B579A"/>
            <w:shd w:val="clear" w:color="auto" w:fill="E6E6E6"/>
          </w:rPr>
          <w:tag w:val="goog_rdk_6"/>
          <w:id w:val="-1941989334"/>
        </w:sdtPr>
        <w:sdtEndPr/>
        <w:sdtContent/>
      </w:sdt>
      <w:r w:rsidR="002D1FF0" w:rsidRPr="005E3E6A">
        <w:rPr>
          <w:rFonts w:eastAsia="Calibri" w:cstheme="minorHAnsi"/>
        </w:rPr>
        <w:t xml:space="preserve">cope of their support </w:t>
      </w:r>
      <w:r w:rsidR="00C02A97">
        <w:rPr>
          <w:rFonts w:eastAsia="Calibri" w:cstheme="minorHAnsi"/>
        </w:rPr>
        <w:t>[</w:t>
      </w:r>
      <w:proofErr w:type="spellStart"/>
      <w:r w:rsidR="002D1FF0" w:rsidRPr="005E3E6A">
        <w:rPr>
          <w:rFonts w:eastAsia="Calibri" w:cstheme="minorHAnsi"/>
        </w:rPr>
        <w:t>GoI</w:t>
      </w:r>
      <w:proofErr w:type="spellEnd"/>
      <w:r w:rsidR="002D1FF0" w:rsidRPr="005E3E6A">
        <w:rPr>
          <w:rFonts w:eastAsia="Calibri" w:cstheme="minorHAnsi"/>
        </w:rPr>
        <w:t>, WHO, UNICEF</w:t>
      </w:r>
      <w:r w:rsidR="00331BD1">
        <w:rPr>
          <w:rFonts w:eastAsia="Calibri" w:cstheme="minorHAnsi"/>
        </w:rPr>
        <w:t>]</w:t>
      </w:r>
      <w:r w:rsidR="002D1FF0" w:rsidRPr="005E3E6A">
        <w:rPr>
          <w:rFonts w:eastAsia="Calibri" w:cstheme="minorHAnsi"/>
        </w:rPr>
        <w:t>.</w:t>
      </w:r>
    </w:p>
    <w:p w14:paraId="3CEEA79D" w14:textId="29DD1E6F" w:rsidR="002D1FF0" w:rsidRPr="005E3E6A" w:rsidRDefault="002D1FF0" w:rsidP="48362220">
      <w:pPr>
        <w:spacing w:after="120" w:line="240" w:lineRule="auto"/>
      </w:pPr>
      <w:r w:rsidRPr="48362220">
        <w:rPr>
          <w:rFonts w:eastAsia="Calibri"/>
        </w:rPr>
        <w:t xml:space="preserve">As noted, AIHSP was able to rapidly pivot and scale-up activities for </w:t>
      </w:r>
      <w:r w:rsidR="005E3E6A" w:rsidRPr="48362220">
        <w:rPr>
          <w:rFonts w:eastAsia="Calibri"/>
        </w:rPr>
        <w:t xml:space="preserve">the </w:t>
      </w:r>
      <w:r w:rsidRPr="48362220">
        <w:rPr>
          <w:rFonts w:eastAsia="Calibri"/>
        </w:rPr>
        <w:t>COVID-19</w:t>
      </w:r>
      <w:r w:rsidR="005E3E6A" w:rsidRPr="48362220">
        <w:rPr>
          <w:rFonts w:eastAsia="Calibri"/>
        </w:rPr>
        <w:t xml:space="preserve">, FMD, LSD and other disease outbreaks. </w:t>
      </w:r>
      <w:r w:rsidRPr="48362220">
        <w:rPr>
          <w:rFonts w:eastAsia="Calibri"/>
        </w:rPr>
        <w:t>The multiple tranches of funding enabled AIHSP to allocate funding through the most relevant and available mechanism</w:t>
      </w:r>
      <w:r w:rsidR="00292E09">
        <w:rPr>
          <w:rFonts w:eastAsia="Calibri"/>
        </w:rPr>
        <w:t>s</w:t>
      </w:r>
      <w:r w:rsidRPr="48362220">
        <w:rPr>
          <w:rFonts w:eastAsia="Calibri"/>
        </w:rPr>
        <w:t xml:space="preserve"> at the time </w:t>
      </w:r>
      <w:r w:rsidR="00C02A97">
        <w:rPr>
          <w:rFonts w:eastAsia="Calibri"/>
        </w:rPr>
        <w:t>[</w:t>
      </w:r>
      <w:r w:rsidRPr="48362220">
        <w:rPr>
          <w:rFonts w:eastAsia="Calibri"/>
        </w:rPr>
        <w:t>DFAT</w:t>
      </w:r>
      <w:r w:rsidR="00331BD1">
        <w:rPr>
          <w:rFonts w:eastAsia="Calibri"/>
        </w:rPr>
        <w:t>]</w:t>
      </w:r>
      <w:r w:rsidRPr="48362220">
        <w:rPr>
          <w:rFonts w:eastAsia="Calibri"/>
        </w:rPr>
        <w:t xml:space="preserve">. However, there were challenges. </w:t>
      </w:r>
      <w:r w:rsidR="005E3E6A" w:rsidRPr="48362220">
        <w:rPr>
          <w:rFonts w:eastAsia="Calibri"/>
        </w:rPr>
        <w:t xml:space="preserve">For </w:t>
      </w:r>
      <w:r w:rsidRPr="48362220">
        <w:rPr>
          <w:rFonts w:eastAsia="Calibri"/>
        </w:rPr>
        <w:t xml:space="preserve">example, by the time reagents supplied by DFAT for ASF detection had reached Indonesia they had expired. </w:t>
      </w:r>
      <w:r w:rsidR="009B3F1B">
        <w:rPr>
          <w:rFonts w:eastAsia="Calibri"/>
        </w:rPr>
        <w:t>According to information available to the MTR Team, t</w:t>
      </w:r>
      <w:r w:rsidRPr="48362220">
        <w:rPr>
          <w:rFonts w:eastAsia="Calibri"/>
        </w:rPr>
        <w:t>his meant that the new LAMP test</w:t>
      </w:r>
      <w:r w:rsidRPr="48362220">
        <w:rPr>
          <w:rFonts w:eastAsia="Calibri"/>
          <w:vertAlign w:val="superscript"/>
        </w:rPr>
        <w:footnoteReference w:id="28"/>
      </w:r>
      <w:r w:rsidRPr="48362220">
        <w:rPr>
          <w:rFonts w:eastAsia="Calibri"/>
        </w:rPr>
        <w:t xml:space="preserve"> could not be used</w:t>
      </w:r>
      <w:r w:rsidR="005E3E6A" w:rsidRPr="48362220">
        <w:rPr>
          <w:rFonts w:eastAsia="Calibri"/>
        </w:rPr>
        <w:t>,</w:t>
      </w:r>
      <w:r w:rsidRPr="48362220">
        <w:rPr>
          <w:rFonts w:eastAsia="Calibri"/>
        </w:rPr>
        <w:t xml:space="preserve"> rendering DFAT’s support ineffective. This delay in the supply of reagents was likely due to administrative processes for approving the import of diagnostic materials into Indonesia.</w:t>
      </w:r>
    </w:p>
    <w:p w14:paraId="2AA106DB" w14:textId="0FCA5A2A" w:rsidR="002D1FF0" w:rsidRPr="000B71D2" w:rsidRDefault="000B71D2" w:rsidP="00327F0E">
      <w:pPr>
        <w:pStyle w:val="Heading3"/>
        <w:spacing w:line="240" w:lineRule="auto"/>
        <w:rPr>
          <w:rFonts w:eastAsia="Calibri" w:cstheme="majorHAnsi"/>
          <w:color w:val="002060"/>
        </w:rPr>
      </w:pPr>
      <w:bookmarkStart w:id="103" w:name="_Toc132584623"/>
      <w:bookmarkStart w:id="104" w:name="_Toc135837433"/>
      <w:r w:rsidRPr="000B71D2">
        <w:rPr>
          <w:rFonts w:eastAsia="Calibri" w:cstheme="majorHAnsi"/>
          <w:color w:val="002060"/>
        </w:rPr>
        <w:t>6.1</w:t>
      </w:r>
      <w:r w:rsidR="006C22CF" w:rsidRPr="000B71D2">
        <w:rPr>
          <w:rFonts w:eastAsia="Calibri" w:cstheme="majorHAnsi"/>
          <w:color w:val="002060"/>
        </w:rPr>
        <w:t>.5</w:t>
      </w:r>
      <w:r w:rsidR="006C22CF" w:rsidRPr="000B71D2">
        <w:rPr>
          <w:rFonts w:eastAsia="Calibri" w:cstheme="majorHAnsi"/>
          <w:color w:val="002060"/>
        </w:rPr>
        <w:tab/>
      </w:r>
      <w:r w:rsidR="002D1FF0" w:rsidRPr="000B71D2">
        <w:rPr>
          <w:rFonts w:eastAsia="Calibri" w:cstheme="majorHAnsi"/>
          <w:color w:val="002060"/>
        </w:rPr>
        <w:t>Process of implementation</w:t>
      </w:r>
      <w:bookmarkEnd w:id="103"/>
      <w:bookmarkEnd w:id="104"/>
    </w:p>
    <w:p w14:paraId="7E90CAB5" w14:textId="17A35E0F" w:rsidR="002D1FF0" w:rsidRDefault="002D1FF0" w:rsidP="00FB402C">
      <w:pPr>
        <w:spacing w:after="120" w:line="240" w:lineRule="auto"/>
      </w:pPr>
      <w:r>
        <w:t>A significant number of interviewees noted inefficiencies in the implementation of AIHSP during 2020-2022 that were likely, at least in part, due to its insufficient management and administrat</w:t>
      </w:r>
      <w:r w:rsidR="0093677C">
        <w:t>ive</w:t>
      </w:r>
      <w:r>
        <w:t xml:space="preserve"> capacity.</w:t>
      </w:r>
    </w:p>
    <w:p w14:paraId="13BD8914" w14:textId="15913127" w:rsidR="002D1FF0" w:rsidRDefault="002D1FF0" w:rsidP="00FB402C">
      <w:pPr>
        <w:spacing w:after="120" w:line="240" w:lineRule="auto"/>
      </w:pPr>
      <w:r>
        <w:rPr>
          <w:b/>
        </w:rPr>
        <w:t>Scope and strategic direction:</w:t>
      </w:r>
      <w:r>
        <w:t xml:space="preserve"> Some interviewees thought that the increased scope of AIHSP’s activities meant that its strategic direction was </w:t>
      </w:r>
      <w:r w:rsidR="00A447AD">
        <w:t>un</w:t>
      </w:r>
      <w:r>
        <w:t xml:space="preserve">clear and that </w:t>
      </w:r>
      <w:r w:rsidR="00792674">
        <w:t>in the future</w:t>
      </w:r>
      <w:r>
        <w:t>, it risked</w:t>
      </w:r>
      <w:r w:rsidR="00792674">
        <w:t>:</w:t>
      </w:r>
      <w:r>
        <w:t xml:space="preserve"> diluting its impact; not following through with scaling up pilot activities; or not having sufficient technical </w:t>
      </w:r>
      <w:r>
        <w:lastRenderedPageBreak/>
        <w:t>expertise to implement all activ</w:t>
      </w:r>
      <w:r w:rsidRPr="00631F32">
        <w:t xml:space="preserve">ities </w:t>
      </w:r>
      <w:r w:rsidR="00C02A97">
        <w:t>[</w:t>
      </w:r>
      <w:proofErr w:type="spellStart"/>
      <w:r w:rsidRPr="00631F32">
        <w:t>MoA</w:t>
      </w:r>
      <w:proofErr w:type="spellEnd"/>
      <w:r w:rsidRPr="00631F32">
        <w:t>, MoH, AIHSP, other actor</w:t>
      </w:r>
      <w:r w:rsidR="00631F32" w:rsidRPr="00631F32">
        <w:t>s</w:t>
      </w:r>
      <w:r w:rsidR="00331BD1">
        <w:t>]</w:t>
      </w:r>
      <w:r w:rsidRPr="00631F32">
        <w:t>. One interviewee noted that AIHSP’s strategic engagement with ot</w:t>
      </w:r>
      <w:r>
        <w:t>her actors</w:t>
      </w:r>
      <w:r w:rsidR="004052DA">
        <w:t xml:space="preserve"> in animal health</w:t>
      </w:r>
      <w:r>
        <w:t xml:space="preserve"> was not very well planned. </w:t>
      </w:r>
      <w:r w:rsidR="00FB51D6">
        <w:t xml:space="preserve">Its </w:t>
      </w:r>
      <w:r>
        <w:t xml:space="preserve">messaging </w:t>
      </w:r>
      <w:r w:rsidR="004052DA">
        <w:t xml:space="preserve">they said was </w:t>
      </w:r>
      <w:r>
        <w:t>confus</w:t>
      </w:r>
      <w:r w:rsidR="00A447AD">
        <w:t>ing</w:t>
      </w:r>
      <w:r>
        <w:t xml:space="preserve"> and </w:t>
      </w:r>
      <w:r w:rsidR="004052DA">
        <w:t xml:space="preserve">its </w:t>
      </w:r>
      <w:r>
        <w:t xml:space="preserve">governance reactive </w:t>
      </w:r>
      <w:r w:rsidR="00C02A97">
        <w:t>[</w:t>
      </w:r>
      <w:r>
        <w:t>partner, DFAT</w:t>
      </w:r>
      <w:r w:rsidR="00331BD1">
        <w:t>]</w:t>
      </w:r>
      <w:r>
        <w:t xml:space="preserve">. Another interviewee pointed to a mismatch between AIHSP’s original design which was to strengthen a One Health approach and its focus instead on animal health disease outbreak response and </w:t>
      </w:r>
      <w:r w:rsidR="001A4B84">
        <w:t>h</w:t>
      </w:r>
      <w:r w:rsidR="0096076C">
        <w:t xml:space="preserve">uman </w:t>
      </w:r>
      <w:r w:rsidR="001A4B84">
        <w:t>h</w:t>
      </w:r>
      <w:r w:rsidR="0096076C">
        <w:t xml:space="preserve">ealth </w:t>
      </w:r>
      <w:r>
        <w:t xml:space="preserve">and </w:t>
      </w:r>
      <w:r w:rsidR="001A4B84">
        <w:t>a</w:t>
      </w:r>
      <w:r w:rsidR="0096076C">
        <w:t xml:space="preserve">nimal </w:t>
      </w:r>
      <w:r w:rsidR="001A4B84">
        <w:t>h</w:t>
      </w:r>
      <w:r w:rsidR="0096076C">
        <w:t xml:space="preserve">ealth </w:t>
      </w:r>
      <w:r>
        <w:t xml:space="preserve">programming </w:t>
      </w:r>
      <w:r w:rsidR="00C02A97">
        <w:t>[</w:t>
      </w:r>
      <w:r w:rsidRPr="00631F32">
        <w:t>DFAT</w:t>
      </w:r>
      <w:r w:rsidR="00331BD1">
        <w:t>]</w:t>
      </w:r>
      <w:r w:rsidRPr="00631F32">
        <w:t>.</w:t>
      </w:r>
      <w:r>
        <w:t xml:space="preserve"> </w:t>
      </w:r>
      <w:r w:rsidR="000D6A52">
        <w:t>However, t</w:t>
      </w:r>
      <w:r>
        <w:t>here has been some progress in the formation of One Health mechanisms at a sub-national level</w:t>
      </w:r>
      <w:r w:rsidR="000D6A52">
        <w:t xml:space="preserve">. </w:t>
      </w:r>
      <w:r>
        <w:t xml:space="preserve">While the response activities were needed and appreciated by </w:t>
      </w:r>
      <w:proofErr w:type="spellStart"/>
      <w:r>
        <w:t>GoI</w:t>
      </w:r>
      <w:proofErr w:type="spellEnd"/>
      <w:r>
        <w:t>, the interviewee did note that AIHSP ha</w:t>
      </w:r>
      <w:r w:rsidR="004052DA">
        <w:t>d</w:t>
      </w:r>
      <w:r>
        <w:t xml:space="preserve"> been pulled in different directions and this had impacted on </w:t>
      </w:r>
      <w:r w:rsidR="0037793B">
        <w:t xml:space="preserve">the original intent of </w:t>
      </w:r>
      <w:r>
        <w:t xml:space="preserve">its </w:t>
      </w:r>
      <w:r w:rsidR="00A447AD">
        <w:t>program</w:t>
      </w:r>
      <w:r>
        <w:t>.</w:t>
      </w:r>
    </w:p>
    <w:p w14:paraId="6940798A" w14:textId="3F47AD1E" w:rsidR="002D1FF0" w:rsidRDefault="002D1FF0" w:rsidP="00FB402C">
      <w:pPr>
        <w:spacing w:after="120" w:line="240" w:lineRule="auto"/>
      </w:pPr>
      <w:r w:rsidRPr="4FCF45F9">
        <w:rPr>
          <w:b/>
          <w:bCs/>
        </w:rPr>
        <w:t>Communication and coordination:</w:t>
      </w:r>
      <w:r>
        <w:t xml:space="preserve"> Several interviewees noted that AIHSP and its sub-partners’ communication and coordination with </w:t>
      </w:r>
      <w:proofErr w:type="spellStart"/>
      <w:r>
        <w:t>GoI</w:t>
      </w:r>
      <w:proofErr w:type="spellEnd"/>
      <w:r>
        <w:t xml:space="preserve">, partners as well as other actors working in the same sectors could have been stronger. A few interviewees cited lack of involvement of relevant actors in AIHSP’s detailed work planning or </w:t>
      </w:r>
      <w:r w:rsidR="00CB4416">
        <w:t xml:space="preserve">their </w:t>
      </w:r>
      <w:r w:rsidR="004A27AA">
        <w:t xml:space="preserve">lack of </w:t>
      </w:r>
      <w:r>
        <w:t>visibility o</w:t>
      </w:r>
      <w:r w:rsidR="004A27AA">
        <w:t>f</w:t>
      </w:r>
      <w:r>
        <w:t xml:space="preserve"> </w:t>
      </w:r>
      <w:r w:rsidR="004A27AA">
        <w:t>AIHSP</w:t>
      </w:r>
      <w:r>
        <w:t xml:space="preserve"> activities, implying that there have been missed opportunities for receiving valuable input (such as for the National Health System review), identifying potential collaborations and/or programming complementary activities </w:t>
      </w:r>
      <w:r w:rsidR="00331BD1">
        <w:t>[</w:t>
      </w:r>
      <w:proofErr w:type="spellStart"/>
      <w:r>
        <w:t>GoI</w:t>
      </w:r>
      <w:proofErr w:type="spellEnd"/>
      <w:r>
        <w:t xml:space="preserve"> ministries, other donor, partners</w:t>
      </w:r>
      <w:r w:rsidR="00331BD1">
        <w:t>]</w:t>
      </w:r>
      <w:r>
        <w:t>. Another example cited was a</w:t>
      </w:r>
      <w:r w:rsidR="004A27AA">
        <w:t>n AIHSP</w:t>
      </w:r>
      <w:r>
        <w:t xml:space="preserve"> sub-partner’s lack of coordination with district authorities for COVID-19 vaccination campaigns – resulting in increased community demand for vaccination but not enough vaccinators on duty to meet the demand </w:t>
      </w:r>
      <w:r w:rsidR="00331BD1">
        <w:t>[</w:t>
      </w:r>
      <w:r>
        <w:t>partner</w:t>
      </w:r>
      <w:r w:rsidR="00331BD1">
        <w:t>]</w:t>
      </w:r>
      <w:r>
        <w:t xml:space="preserve">. </w:t>
      </w:r>
      <w:proofErr w:type="spellStart"/>
      <w:r>
        <w:t>GoI</w:t>
      </w:r>
      <w:proofErr w:type="spellEnd"/>
      <w:r>
        <w:t xml:space="preserve"> interviewees noted that AIHSP could improve its coordination with government and visibility of activities at a national and sub-national level by </w:t>
      </w:r>
      <w:r w:rsidR="004A27AA">
        <w:t>holding</w:t>
      </w:r>
      <w:r>
        <w:t xml:space="preserve"> regular meetings (which were appreciated when held) and through written updates. Further, they noted a disconnect between AIHSP’s central</w:t>
      </w:r>
      <w:r w:rsidR="00CB4416">
        <w:t>-</w:t>
      </w:r>
      <w:r>
        <w:t xml:space="preserve">level plans and what was </w:t>
      </w:r>
      <w:proofErr w:type="gramStart"/>
      <w:r>
        <w:t>actually being</w:t>
      </w:r>
      <w:proofErr w:type="gramEnd"/>
      <w:r>
        <w:t xml:space="preserve"> implemented at a sub-national level </w:t>
      </w:r>
      <w:r w:rsidR="00331BD1">
        <w:t>[</w:t>
      </w:r>
      <w:r>
        <w:t xml:space="preserve">MoH, </w:t>
      </w:r>
      <w:proofErr w:type="spellStart"/>
      <w:r>
        <w:t>MoA</w:t>
      </w:r>
      <w:proofErr w:type="spellEnd"/>
      <w:r w:rsidR="00331BD1">
        <w:t>]</w:t>
      </w:r>
      <w:r>
        <w:t>. A few actors noted duplication of activities as a result inadequate communication,</w:t>
      </w:r>
      <w:r w:rsidR="005A72E5">
        <w:t xml:space="preserve"> </w:t>
      </w:r>
      <w:r>
        <w:t xml:space="preserve">such as in the work of FAO and AIHSP, the rabies response work by </w:t>
      </w:r>
      <w:proofErr w:type="spellStart"/>
      <w:r>
        <w:t>GoI</w:t>
      </w:r>
      <w:proofErr w:type="spellEnd"/>
      <w:r>
        <w:t xml:space="preserve"> and donors in Bali and </w:t>
      </w:r>
      <w:proofErr w:type="spellStart"/>
      <w:r>
        <w:t>Reconstra’s</w:t>
      </w:r>
      <w:proofErr w:type="spellEnd"/>
      <w:r>
        <w:t xml:space="preserve"> </w:t>
      </w:r>
      <w:r w:rsidR="004A27AA">
        <w:t xml:space="preserve">initial </w:t>
      </w:r>
      <w:r>
        <w:t xml:space="preserve">work </w:t>
      </w:r>
      <w:r w:rsidR="004A27AA">
        <w:t>alongside</w:t>
      </w:r>
      <w:r>
        <w:t xml:space="preserve"> the </w:t>
      </w:r>
      <w:r w:rsidR="004A27AA">
        <w:t xml:space="preserve">DTO’s </w:t>
      </w:r>
      <w:r>
        <w:t xml:space="preserve">work on </w:t>
      </w:r>
      <w:r w:rsidR="00C70A96">
        <w:t xml:space="preserve">the integrated health data system </w:t>
      </w:r>
      <w:proofErr w:type="spellStart"/>
      <w:r>
        <w:t>Satusehat</w:t>
      </w:r>
      <w:proofErr w:type="spellEnd"/>
      <w:r w:rsidR="00C70A96">
        <w:rPr>
          <w:rStyle w:val="FootnoteReference"/>
        </w:rPr>
        <w:footnoteReference w:id="29"/>
      </w:r>
      <w:r>
        <w:t xml:space="preserve"> </w:t>
      </w:r>
      <w:r w:rsidR="00331BD1">
        <w:t>[</w:t>
      </w:r>
      <w:r w:rsidR="0030706B">
        <w:t>DAFF</w:t>
      </w:r>
      <w:r>
        <w:t xml:space="preserve">, </w:t>
      </w:r>
      <w:proofErr w:type="spellStart"/>
      <w:r>
        <w:t>GoI</w:t>
      </w:r>
      <w:proofErr w:type="spellEnd"/>
      <w:r w:rsidR="00331BD1">
        <w:t>]</w:t>
      </w:r>
      <w:r>
        <w:t xml:space="preserve">.  </w:t>
      </w:r>
    </w:p>
    <w:p w14:paraId="7535C46D" w14:textId="3CD0E6A3" w:rsidR="002D1FF0" w:rsidRDefault="002D1FF0" w:rsidP="00FB402C">
      <w:pPr>
        <w:spacing w:after="120" w:line="240" w:lineRule="auto"/>
      </w:pPr>
      <w:r>
        <w:rPr>
          <w:b/>
        </w:rPr>
        <w:t xml:space="preserve">Grants: </w:t>
      </w:r>
      <w:r>
        <w:t>AIHSP noted that while using grants was a necessary and efficient mechanism for disbursing funding to sub-partners</w:t>
      </w:r>
      <w:r w:rsidR="008A75D0">
        <w:t xml:space="preserve"> for </w:t>
      </w:r>
      <w:r>
        <w:t xml:space="preserve">emergency response activities, there were some drawbacks. </w:t>
      </w:r>
      <w:r w:rsidR="008A75D0">
        <w:t>T</w:t>
      </w:r>
      <w:r>
        <w:t xml:space="preserve">here were limited requirements for accountability of funds and little incentive for sub-partners to provide information and reporting once they had received </w:t>
      </w:r>
      <w:r w:rsidR="008A75D0">
        <w:t>the</w:t>
      </w:r>
      <w:r>
        <w:t xml:space="preserve"> funds. This was also observed by the MTR Team </w:t>
      </w:r>
      <w:r w:rsidR="008A75D0">
        <w:t>who</w:t>
      </w:r>
      <w:r>
        <w:t xml:space="preserve"> found that several sub-partners </w:t>
      </w:r>
      <w:r w:rsidR="006141D6">
        <w:t>did</w:t>
      </w:r>
      <w:r>
        <w:t xml:space="preserve"> not provide evidence of the efficacy of activities, such as whether training had been used or research findings acted upon. More rigorous MEL and reporting from </w:t>
      </w:r>
      <w:r w:rsidR="008A75D0">
        <w:t>sub-</w:t>
      </w:r>
      <w:r>
        <w:t xml:space="preserve">partners and performance-based funding could be </w:t>
      </w:r>
      <w:r w:rsidR="00955F8E">
        <w:t xml:space="preserve">required </w:t>
      </w:r>
      <w:r>
        <w:t>going forward.</w:t>
      </w:r>
    </w:p>
    <w:p w14:paraId="2ABD872E" w14:textId="065F2F0D" w:rsidR="002D1FF0" w:rsidRDefault="002D1FF0" w:rsidP="00FB402C">
      <w:pPr>
        <w:spacing w:after="120" w:line="240" w:lineRule="auto"/>
      </w:pPr>
      <w:r>
        <w:rPr>
          <w:b/>
        </w:rPr>
        <w:t>Payments and approvals:</w:t>
      </w:r>
      <w:r>
        <w:t xml:space="preserve"> A few interviewees said that some payments and approvals from AIHSP had been significantly delayed </w:t>
      </w:r>
      <w:r w:rsidR="00331BD1">
        <w:t>[</w:t>
      </w:r>
      <w:r>
        <w:t>partner, sub-partner</w:t>
      </w:r>
      <w:r w:rsidR="00331BD1">
        <w:t>]</w:t>
      </w:r>
      <w:r>
        <w:t xml:space="preserve">. In one example, IEC materials developed by a sub-partner took months to be approved by AIHSP and could therefore only be used for a very short time before the project ceased. With extra staff hopefully </w:t>
      </w:r>
      <w:r w:rsidR="004A27AA">
        <w:t>such</w:t>
      </w:r>
      <w:r>
        <w:t xml:space="preserve"> delays will </w:t>
      </w:r>
      <w:r w:rsidR="004A27AA">
        <w:t>be reduced</w:t>
      </w:r>
      <w:r>
        <w:t>.</w:t>
      </w:r>
    </w:p>
    <w:p w14:paraId="43F7B3AC" w14:textId="5810D5EF" w:rsidR="002D1FF0" w:rsidRDefault="002D1FF0" w:rsidP="00FB402C">
      <w:pPr>
        <w:spacing w:after="120" w:line="240" w:lineRule="auto"/>
      </w:pPr>
      <w:r>
        <w:rPr>
          <w:b/>
        </w:rPr>
        <w:t xml:space="preserve">Cross-program collaboration: </w:t>
      </w:r>
      <w:r>
        <w:t xml:space="preserve">A potential inefficiency observed by the MTR Team is that the </w:t>
      </w:r>
      <w:r w:rsidR="0030091D">
        <w:t xml:space="preserve">programs managed by </w:t>
      </w:r>
      <w:r>
        <w:t>DT Global</w:t>
      </w:r>
      <w:r w:rsidR="0030091D">
        <w:t xml:space="preserve"> </w:t>
      </w:r>
      <w:r>
        <w:t>do not meet to identify and work on synergies and points of collaboration. They do meet to share information on programs.</w:t>
      </w:r>
    </w:p>
    <w:p w14:paraId="7C111D81" w14:textId="1DF60496" w:rsidR="002D1FF0" w:rsidRPr="000B71D2" w:rsidRDefault="006C22CF" w:rsidP="00327F0E">
      <w:pPr>
        <w:pStyle w:val="Heading3"/>
        <w:spacing w:line="240" w:lineRule="auto"/>
        <w:rPr>
          <w:rFonts w:eastAsia="Calibri" w:cstheme="majorHAnsi"/>
          <w:color w:val="1F3763"/>
          <w:highlight w:val="white"/>
        </w:rPr>
      </w:pPr>
      <w:bookmarkStart w:id="105" w:name="_Toc132584624"/>
      <w:bookmarkStart w:id="106" w:name="_Toc135837434"/>
      <w:r w:rsidRPr="000B71D2">
        <w:rPr>
          <w:rFonts w:eastAsia="Calibri" w:cstheme="majorHAnsi"/>
          <w:color w:val="002060"/>
          <w:highlight w:val="white"/>
        </w:rPr>
        <w:t>6</w:t>
      </w:r>
      <w:r w:rsidR="000B71D2" w:rsidRPr="000B71D2">
        <w:rPr>
          <w:rFonts w:eastAsia="Calibri" w:cstheme="majorHAnsi"/>
          <w:color w:val="002060"/>
          <w:highlight w:val="white"/>
        </w:rPr>
        <w:t>.1.6</w:t>
      </w:r>
      <w:r w:rsidRPr="000B71D2">
        <w:rPr>
          <w:rFonts w:eastAsia="Calibri" w:cstheme="majorHAnsi"/>
          <w:color w:val="002060"/>
          <w:highlight w:val="white"/>
        </w:rPr>
        <w:tab/>
      </w:r>
      <w:r w:rsidR="002D1FF0" w:rsidRPr="000B71D2">
        <w:rPr>
          <w:rFonts w:eastAsia="Calibri" w:cstheme="majorHAnsi"/>
          <w:color w:val="002060"/>
          <w:highlight w:val="white"/>
        </w:rPr>
        <w:t xml:space="preserve">Responsiveness to emerging needs of </w:t>
      </w:r>
      <w:proofErr w:type="spellStart"/>
      <w:proofErr w:type="gramStart"/>
      <w:r w:rsidR="002D1FF0" w:rsidRPr="000B71D2">
        <w:rPr>
          <w:rFonts w:eastAsia="Calibri" w:cstheme="majorHAnsi"/>
          <w:color w:val="002060"/>
          <w:highlight w:val="white"/>
        </w:rPr>
        <w:t>GoI</w:t>
      </w:r>
      <w:proofErr w:type="spellEnd"/>
      <w:proofErr w:type="gramEnd"/>
      <w:r w:rsidR="002D1FF0" w:rsidRPr="000B71D2">
        <w:rPr>
          <w:rFonts w:eastAsia="Calibri" w:cstheme="majorHAnsi"/>
          <w:color w:val="002060"/>
          <w:highlight w:val="white"/>
        </w:rPr>
        <w:t> </w:t>
      </w:r>
      <w:bookmarkEnd w:id="105"/>
      <w:bookmarkEnd w:id="106"/>
      <w:r w:rsidR="002D1FF0" w:rsidRPr="000B71D2">
        <w:rPr>
          <w:rFonts w:eastAsia="Calibri" w:cstheme="majorHAnsi"/>
          <w:color w:val="002060"/>
          <w:highlight w:val="white"/>
        </w:rPr>
        <w:t> </w:t>
      </w:r>
    </w:p>
    <w:p w14:paraId="11372599" w14:textId="24F75C99" w:rsidR="00026C5C" w:rsidRDefault="002D1FF0" w:rsidP="00327F0E">
      <w:pPr>
        <w:spacing w:line="240" w:lineRule="auto"/>
        <w:rPr>
          <w:color w:val="000000"/>
          <w:highlight w:val="white"/>
        </w:rPr>
      </w:pPr>
      <w:r>
        <w:rPr>
          <w:color w:val="000000"/>
          <w:highlight w:val="white"/>
        </w:rPr>
        <w:t xml:space="preserve">AIHSP has repeatedly responded to requests for support from the </w:t>
      </w:r>
      <w:proofErr w:type="spellStart"/>
      <w:r>
        <w:rPr>
          <w:color w:val="000000"/>
          <w:highlight w:val="white"/>
        </w:rPr>
        <w:t>GoI</w:t>
      </w:r>
      <w:proofErr w:type="spellEnd"/>
      <w:r>
        <w:rPr>
          <w:color w:val="000000"/>
          <w:highlight w:val="white"/>
        </w:rPr>
        <w:t xml:space="preserve"> beyond the scope of its original design, including for COVID-19, FMD, LSD, work in primary health care an</w:t>
      </w:r>
      <w:r>
        <w:rPr>
          <w:color w:val="000000"/>
        </w:rPr>
        <w:t xml:space="preserve">d improved surveillance for emerging infectious diseases at the wildlife interface. This has been highly appreciated by the </w:t>
      </w:r>
      <w:proofErr w:type="spellStart"/>
      <w:r>
        <w:rPr>
          <w:color w:val="000000"/>
        </w:rPr>
        <w:t>GoI</w:t>
      </w:r>
      <w:proofErr w:type="spellEnd"/>
      <w:r>
        <w:rPr>
          <w:color w:val="000000"/>
        </w:rPr>
        <w:t xml:space="preserve"> and signifies a level of trust and value </w:t>
      </w:r>
      <w:r w:rsidR="002505BC">
        <w:rPr>
          <w:color w:val="000000"/>
        </w:rPr>
        <w:t xml:space="preserve">that </w:t>
      </w:r>
      <w:r>
        <w:rPr>
          <w:color w:val="000000"/>
        </w:rPr>
        <w:t xml:space="preserve">the </w:t>
      </w:r>
      <w:proofErr w:type="spellStart"/>
      <w:r>
        <w:rPr>
          <w:color w:val="000000"/>
        </w:rPr>
        <w:t>GoI</w:t>
      </w:r>
      <w:proofErr w:type="spellEnd"/>
      <w:r>
        <w:rPr>
          <w:color w:val="000000"/>
        </w:rPr>
        <w:t xml:space="preserve"> </w:t>
      </w:r>
      <w:r w:rsidR="002505BC">
        <w:rPr>
          <w:color w:val="000000"/>
        </w:rPr>
        <w:t xml:space="preserve">has </w:t>
      </w:r>
      <w:r>
        <w:rPr>
          <w:color w:val="000000"/>
        </w:rPr>
        <w:t xml:space="preserve">placed in Australia </w:t>
      </w:r>
      <w:r w:rsidR="00331BD1">
        <w:rPr>
          <w:color w:val="000000"/>
          <w:highlight w:val="white"/>
        </w:rPr>
        <w:t>[</w:t>
      </w:r>
      <w:r>
        <w:rPr>
          <w:color w:val="000000"/>
          <w:highlight w:val="white"/>
        </w:rPr>
        <w:t xml:space="preserve">DFAT, MoH, </w:t>
      </w:r>
      <w:proofErr w:type="spellStart"/>
      <w:r>
        <w:rPr>
          <w:color w:val="000000"/>
          <w:highlight w:val="white"/>
        </w:rPr>
        <w:t>MoA</w:t>
      </w:r>
      <w:proofErr w:type="spellEnd"/>
      <w:r w:rsidR="00331BD1">
        <w:rPr>
          <w:color w:val="000000"/>
          <w:highlight w:val="white"/>
        </w:rPr>
        <w:t>]</w:t>
      </w:r>
      <w:r>
        <w:rPr>
          <w:color w:val="000000"/>
          <w:highlight w:val="white"/>
        </w:rPr>
        <w:t xml:space="preserve">. However, this has also set high </w:t>
      </w:r>
      <w:proofErr w:type="spellStart"/>
      <w:r>
        <w:rPr>
          <w:color w:val="000000"/>
          <w:highlight w:val="white"/>
        </w:rPr>
        <w:t>GoI</w:t>
      </w:r>
      <w:proofErr w:type="spellEnd"/>
      <w:r>
        <w:rPr>
          <w:color w:val="000000"/>
          <w:highlight w:val="white"/>
        </w:rPr>
        <w:t xml:space="preserve"> expectations and risks diluting the impact of AIHSP’s activities. </w:t>
      </w:r>
    </w:p>
    <w:p w14:paraId="37A5D826" w14:textId="436252AF" w:rsidR="002D1FF0" w:rsidRDefault="002D1FF0" w:rsidP="00EB2987">
      <w:pPr>
        <w:spacing w:line="240" w:lineRule="auto"/>
        <w:rPr>
          <w:i/>
          <w:color w:val="000000"/>
          <w:highlight w:val="white"/>
        </w:rPr>
      </w:pPr>
      <w:r>
        <w:rPr>
          <w:i/>
          <w:color w:val="000000"/>
          <w:highlight w:val="white"/>
        </w:rPr>
        <w:t>“</w:t>
      </w:r>
      <w:r w:rsidR="00026C5C">
        <w:rPr>
          <w:i/>
          <w:color w:val="000000"/>
          <w:highlight w:val="white"/>
        </w:rPr>
        <w:t>E</w:t>
      </w:r>
      <w:r>
        <w:rPr>
          <w:i/>
          <w:color w:val="000000"/>
          <w:highlight w:val="white"/>
        </w:rPr>
        <w:t xml:space="preserve">xpectations need to be managed, as AIHSP does not have the resources to be able to respond to all the requests coming in from </w:t>
      </w:r>
      <w:proofErr w:type="spellStart"/>
      <w:r w:rsidR="00A46A44">
        <w:rPr>
          <w:i/>
          <w:color w:val="000000"/>
          <w:highlight w:val="white"/>
        </w:rPr>
        <w:t>GoI</w:t>
      </w:r>
      <w:proofErr w:type="spellEnd"/>
      <w:r>
        <w:rPr>
          <w:i/>
          <w:color w:val="000000"/>
          <w:highlight w:val="white"/>
        </w:rPr>
        <w:t xml:space="preserve"> for further support.” </w:t>
      </w:r>
      <w:r w:rsidRPr="00EB2987">
        <w:rPr>
          <w:iCs/>
          <w:color w:val="000000"/>
          <w:highlight w:val="white"/>
        </w:rPr>
        <w:t xml:space="preserve">- AIHSP Annual Report </w:t>
      </w:r>
      <w:r w:rsidR="00B569AE">
        <w:rPr>
          <w:iCs/>
          <w:color w:val="000000"/>
          <w:highlight w:val="white"/>
        </w:rPr>
        <w:t>2022-</w:t>
      </w:r>
      <w:r w:rsidRPr="00EB2987">
        <w:rPr>
          <w:iCs/>
          <w:color w:val="000000"/>
          <w:highlight w:val="white"/>
        </w:rPr>
        <w:t>23</w:t>
      </w:r>
      <w:r w:rsidR="00B569AE">
        <w:rPr>
          <w:iCs/>
          <w:color w:val="000000"/>
          <w:highlight w:val="white"/>
        </w:rPr>
        <w:t>.</w:t>
      </w:r>
    </w:p>
    <w:p w14:paraId="77F6C7DB" w14:textId="65F9059E" w:rsidR="002D1FF0" w:rsidRPr="00147A52" w:rsidRDefault="00147A52" w:rsidP="00FB402C">
      <w:pPr>
        <w:spacing w:after="120" w:line="240" w:lineRule="auto"/>
        <w:rPr>
          <w:i/>
          <w:color w:val="000000"/>
          <w:highlight w:val="white"/>
        </w:rPr>
      </w:pPr>
      <w:r>
        <w:rPr>
          <w:color w:val="000000"/>
          <w:highlight w:val="white"/>
        </w:rPr>
        <w:t xml:space="preserve">Going forward, the program will need clearer boundaries. </w:t>
      </w:r>
      <w:r w:rsidR="002D1FF0">
        <w:rPr>
          <w:color w:val="000000"/>
          <w:highlight w:val="white"/>
        </w:rPr>
        <w:t xml:space="preserve">Responding to </w:t>
      </w:r>
      <w:proofErr w:type="spellStart"/>
      <w:r w:rsidR="002D1FF0">
        <w:rPr>
          <w:color w:val="000000"/>
          <w:highlight w:val="white"/>
        </w:rPr>
        <w:t>GoI</w:t>
      </w:r>
      <w:proofErr w:type="spellEnd"/>
      <w:r w:rsidR="002D1FF0">
        <w:rPr>
          <w:color w:val="000000"/>
          <w:highlight w:val="white"/>
        </w:rPr>
        <w:t xml:space="preserve"> needs will need to </w:t>
      </w:r>
      <w:r>
        <w:rPr>
          <w:color w:val="000000"/>
          <w:highlight w:val="white"/>
        </w:rPr>
        <w:t xml:space="preserve">consider </w:t>
      </w:r>
      <w:r w:rsidR="002D1FF0">
        <w:rPr>
          <w:color w:val="000000"/>
          <w:highlight w:val="white"/>
        </w:rPr>
        <w:t xml:space="preserve">AIHSP capacity and capability and will require DFAT to communicate to </w:t>
      </w:r>
      <w:proofErr w:type="spellStart"/>
      <w:r w:rsidR="002D1FF0">
        <w:rPr>
          <w:color w:val="000000"/>
          <w:highlight w:val="white"/>
        </w:rPr>
        <w:t>GoI</w:t>
      </w:r>
      <w:proofErr w:type="spellEnd"/>
      <w:r w:rsidR="002D1FF0">
        <w:rPr>
          <w:color w:val="000000"/>
          <w:highlight w:val="white"/>
        </w:rPr>
        <w:t xml:space="preserve"> when a request </w:t>
      </w:r>
      <w:r w:rsidR="002D1FF0">
        <w:rPr>
          <w:color w:val="000000"/>
          <w:highlight w:val="white"/>
        </w:rPr>
        <w:lastRenderedPageBreak/>
        <w:t xml:space="preserve">isn’t able to be met. Some interviewees suggested that AISHP should re-focus on core areas of health security where there is strong Australian technical expertise – such as surveillance, laboratory strengthening and in One Health. These core areas could be applied to reform of primary health care – which is central to the </w:t>
      </w:r>
      <w:proofErr w:type="spellStart"/>
      <w:r w:rsidR="002D1FF0">
        <w:rPr>
          <w:color w:val="000000"/>
          <w:highlight w:val="white"/>
        </w:rPr>
        <w:t>GoI’s</w:t>
      </w:r>
      <w:proofErr w:type="spellEnd"/>
      <w:r w:rsidR="002D1FF0">
        <w:rPr>
          <w:color w:val="000000"/>
          <w:highlight w:val="white"/>
        </w:rPr>
        <w:t xml:space="preserve"> health transformation agenda and a key component of DFAT’s new Partnerships for a Healthy Region. </w:t>
      </w:r>
      <w:r>
        <w:rPr>
          <w:color w:val="000000" w:themeColor="text1"/>
          <w:highlight w:val="white"/>
        </w:rPr>
        <w:t>In contrast, t</w:t>
      </w:r>
      <w:r w:rsidR="002D1FF0" w:rsidRPr="4FCF45F9">
        <w:rPr>
          <w:color w:val="000000" w:themeColor="text1"/>
          <w:highlight w:val="white"/>
        </w:rPr>
        <w:t xml:space="preserve">he multilateral partners were </w:t>
      </w:r>
      <w:r>
        <w:rPr>
          <w:color w:val="000000" w:themeColor="text1"/>
          <w:highlight w:val="white"/>
        </w:rPr>
        <w:t xml:space="preserve">generally </w:t>
      </w:r>
      <w:r w:rsidR="00980F58">
        <w:rPr>
          <w:color w:val="000000" w:themeColor="text1"/>
          <w:highlight w:val="white"/>
        </w:rPr>
        <w:t>well placed</w:t>
      </w:r>
      <w:r w:rsidR="002D1FF0" w:rsidRPr="4FCF45F9">
        <w:rPr>
          <w:color w:val="000000" w:themeColor="text1"/>
          <w:highlight w:val="white"/>
        </w:rPr>
        <w:t xml:space="preserve"> to respond to </w:t>
      </w:r>
      <w:proofErr w:type="spellStart"/>
      <w:r w:rsidR="002D1FF0" w:rsidRPr="4FCF45F9">
        <w:rPr>
          <w:color w:val="000000" w:themeColor="text1"/>
          <w:highlight w:val="white"/>
        </w:rPr>
        <w:t>GoI</w:t>
      </w:r>
      <w:proofErr w:type="spellEnd"/>
      <w:r w:rsidR="002D1FF0" w:rsidRPr="4FCF45F9">
        <w:rPr>
          <w:color w:val="000000" w:themeColor="text1"/>
          <w:highlight w:val="white"/>
        </w:rPr>
        <w:t xml:space="preserve"> requests in relation to COVID-19 and did so in multiple instances</w:t>
      </w:r>
      <w:r>
        <w:rPr>
          <w:color w:val="000000" w:themeColor="text1"/>
          <w:highlight w:val="white"/>
        </w:rPr>
        <w:t xml:space="preserve">. </w:t>
      </w:r>
    </w:p>
    <w:p w14:paraId="149CBC63" w14:textId="5472EC88" w:rsidR="00F24237" w:rsidRPr="00327F0E" w:rsidRDefault="00AA4CC2" w:rsidP="00AA4CC2">
      <w:pPr>
        <w:pStyle w:val="Heading2"/>
        <w:rPr>
          <w:rFonts w:cstheme="majorHAnsi"/>
          <w:color w:val="002060"/>
        </w:rPr>
      </w:pPr>
      <w:bookmarkStart w:id="107" w:name="_Toc135837435"/>
      <w:r w:rsidRPr="00327F0E">
        <w:rPr>
          <w:rFonts w:cstheme="majorHAnsi"/>
          <w:color w:val="002060"/>
        </w:rPr>
        <w:t>6</w:t>
      </w:r>
      <w:r w:rsidR="000B71D2">
        <w:rPr>
          <w:rFonts w:cstheme="majorHAnsi"/>
          <w:color w:val="002060"/>
        </w:rPr>
        <w:t>.2</w:t>
      </w:r>
      <w:r w:rsidR="006C22CF" w:rsidRPr="00327F0E">
        <w:rPr>
          <w:rFonts w:cstheme="majorHAnsi"/>
          <w:color w:val="002060"/>
        </w:rPr>
        <w:tab/>
      </w:r>
      <w:r w:rsidR="00F24237" w:rsidRPr="00327F0E">
        <w:rPr>
          <w:rFonts w:cstheme="majorHAnsi"/>
          <w:color w:val="002060"/>
        </w:rPr>
        <w:t>Implementation modalities</w:t>
      </w:r>
      <w:bookmarkEnd w:id="107"/>
    </w:p>
    <w:p w14:paraId="4CC6A0B2" w14:textId="76A43546" w:rsidR="00AA4CC2" w:rsidRPr="00CF0126" w:rsidRDefault="00AA4CC2" w:rsidP="004A202F">
      <w:pPr>
        <w:pStyle w:val="Heading2"/>
        <w:shd w:val="clear" w:color="auto" w:fill="D0CECE" w:themeFill="background2" w:themeFillShade="E6"/>
        <w:spacing w:line="240" w:lineRule="auto"/>
        <w:rPr>
          <w:color w:val="000000" w:themeColor="text1"/>
          <w:sz w:val="24"/>
          <w:szCs w:val="24"/>
        </w:rPr>
      </w:pPr>
      <w:bookmarkStart w:id="108" w:name="_Toc132584626"/>
      <w:bookmarkStart w:id="109" w:name="_Toc135837436"/>
      <w:r w:rsidRPr="00CF0126">
        <w:rPr>
          <w:color w:val="000000" w:themeColor="text1"/>
          <w:sz w:val="24"/>
          <w:szCs w:val="24"/>
        </w:rPr>
        <w:t>KEQ 3.2</w:t>
      </w:r>
      <w:r w:rsidR="006C22CF" w:rsidRPr="00CF0126">
        <w:rPr>
          <w:color w:val="000000" w:themeColor="text1"/>
          <w:sz w:val="24"/>
          <w:szCs w:val="24"/>
        </w:rPr>
        <w:t xml:space="preserve"> Findings</w:t>
      </w:r>
      <w:r w:rsidR="00E60D36" w:rsidRPr="00CF0126">
        <w:rPr>
          <w:color w:val="000000" w:themeColor="text1"/>
          <w:sz w:val="24"/>
          <w:szCs w:val="24"/>
        </w:rPr>
        <w:t>: Did mixed modalities impact the efficient delivery of responses to COVID-19 or other health security threats?</w:t>
      </w:r>
      <w:bookmarkEnd w:id="108"/>
      <w:bookmarkEnd w:id="109"/>
    </w:p>
    <w:p w14:paraId="4DD51BF1" w14:textId="0CAA6BDD" w:rsidR="00E60D36" w:rsidRDefault="00E60D36" w:rsidP="00FB402C">
      <w:pPr>
        <w:spacing w:after="120" w:line="240" w:lineRule="auto"/>
        <w:rPr>
          <w:i/>
        </w:rPr>
      </w:pPr>
      <w:r>
        <w:t xml:space="preserve">DFAT made a strategic and effective choice of modalities for the provision of support for COVID-19 and the animal health disease outbreaks from 2020 to 2022. Given the imperative </w:t>
      </w:r>
      <w:r w:rsidR="00FA2455">
        <w:t xml:space="preserve">for DFAT </w:t>
      </w:r>
      <w:r>
        <w:t xml:space="preserve">to respond quickly and at scale, and </w:t>
      </w:r>
      <w:r w:rsidR="00FA2455">
        <w:t xml:space="preserve">that it had a </w:t>
      </w:r>
      <w:r>
        <w:t xml:space="preserve">pre-existing </w:t>
      </w:r>
      <w:r w:rsidR="00FA2455">
        <w:t xml:space="preserve">health </w:t>
      </w:r>
      <w:r>
        <w:t>program</w:t>
      </w:r>
      <w:r w:rsidR="00FA2455">
        <w:t xml:space="preserve"> </w:t>
      </w:r>
      <w:r w:rsidR="00331BD1">
        <w:t>[</w:t>
      </w:r>
      <w:r w:rsidR="00FA2455">
        <w:t>AIHSP</w:t>
      </w:r>
      <w:r w:rsidR="00331BD1">
        <w:t>]</w:t>
      </w:r>
      <w:r>
        <w:t xml:space="preserve"> and agreements with WHO and UNICEF, DFAT’s funding of these modalities for the disease outbreak</w:t>
      </w:r>
      <w:r w:rsidR="00FA2455">
        <w:t xml:space="preserve">s </w:t>
      </w:r>
      <w:r>
        <w:t>was arguably the only choices available</w:t>
      </w:r>
      <w:r w:rsidR="00FA2455">
        <w:t>.</w:t>
      </w:r>
      <w:r>
        <w:t xml:space="preserve"> WHO and UNICEF played well-established and complementary roles in the COVID-19 response,</w:t>
      </w:r>
      <w:r w:rsidR="0058797A">
        <w:t xml:space="preserve"> which were informed by the latest international developments in the disease. Meanwhile, </w:t>
      </w:r>
      <w:r>
        <w:t xml:space="preserve">AISHP addressed additional technical needs, enabled clear Australian branding of </w:t>
      </w:r>
      <w:proofErr w:type="gramStart"/>
      <w:r>
        <w:t>activities</w:t>
      </w:r>
      <w:proofErr w:type="gramEnd"/>
      <w:r>
        <w:t xml:space="preserve"> and supported capacity gaps at a national level and in the five priority provinces. DFAT provided additional support through the World Bank, TGA and other partners. The combination of WHO, UNICEF and AIHSP for the most part worked well, with some instances where efficiency was negatively impacted. </w:t>
      </w:r>
      <w:r>
        <w:rPr>
          <w:i/>
        </w:rPr>
        <w:t xml:space="preserve">See </w:t>
      </w:r>
      <w:r w:rsidR="00712962">
        <w:rPr>
          <w:i/>
        </w:rPr>
        <w:t>section 4</w:t>
      </w:r>
      <w:r>
        <w:rPr>
          <w:i/>
        </w:rPr>
        <w:t xml:space="preserve"> for more detail on the roles played by AIHSP, UNICEF and WHO in the COVID-19 response.</w:t>
      </w:r>
    </w:p>
    <w:p w14:paraId="039DBB01" w14:textId="763DCD05" w:rsidR="00E60D36" w:rsidRPr="000B71D2" w:rsidRDefault="000B71D2" w:rsidP="00327F0E">
      <w:pPr>
        <w:pStyle w:val="Heading3"/>
        <w:spacing w:line="240" w:lineRule="auto"/>
        <w:rPr>
          <w:rFonts w:cstheme="majorHAnsi"/>
          <w:color w:val="002060"/>
        </w:rPr>
      </w:pPr>
      <w:bookmarkStart w:id="110" w:name="_Toc132584627"/>
      <w:bookmarkStart w:id="111" w:name="_Toc135837437"/>
      <w:r w:rsidRPr="000B71D2">
        <w:rPr>
          <w:rFonts w:cstheme="majorHAnsi"/>
          <w:color w:val="002060"/>
        </w:rPr>
        <w:t>6.2.1</w:t>
      </w:r>
      <w:r w:rsidR="006C22CF" w:rsidRPr="000B71D2">
        <w:rPr>
          <w:rFonts w:cstheme="majorHAnsi"/>
          <w:color w:val="002060"/>
        </w:rPr>
        <w:tab/>
      </w:r>
      <w:r w:rsidR="00E60D36" w:rsidRPr="000B71D2">
        <w:rPr>
          <w:rFonts w:cstheme="majorHAnsi"/>
          <w:color w:val="002060"/>
        </w:rPr>
        <w:t>Partner collaboration</w:t>
      </w:r>
      <w:bookmarkEnd w:id="110"/>
      <w:bookmarkEnd w:id="111"/>
    </w:p>
    <w:p w14:paraId="501B4524" w14:textId="618E17A7" w:rsidR="00E60D36" w:rsidRPr="00E84199" w:rsidRDefault="00E60D36" w:rsidP="00FB402C">
      <w:pPr>
        <w:spacing w:after="120" w:line="240" w:lineRule="auto"/>
        <w:rPr>
          <w:rFonts w:ascii="Calibri" w:hAnsi="Calibri" w:cs="Calibri"/>
          <w:color w:val="000000" w:themeColor="text1"/>
          <w:shd w:val="clear" w:color="auto" w:fill="FFFFFF"/>
        </w:rPr>
      </w:pPr>
      <w:r>
        <w:t>WHO and UNICEF collaborated on several COVID-19 activities which contributed to the efficient delivery of the response</w:t>
      </w:r>
      <w:r w:rsidR="005143D5">
        <w:t xml:space="preserve"> and took complementary and mutually supportive roles in many areas. </w:t>
      </w:r>
      <w:r>
        <w:t xml:space="preserve">For example, they both contributed to the development and revision of the COVID-19 National Deployment and Vaccination Plan (NDVP) and associated technical guidance. They also both assisted the </w:t>
      </w:r>
      <w:proofErr w:type="spellStart"/>
      <w:r>
        <w:t>GoI</w:t>
      </w:r>
      <w:proofErr w:type="spellEnd"/>
      <w:r>
        <w:t xml:space="preserve"> to measure the country’s preparedness for delivering COVID-19 vaccines using the VIRAT tool and to establish a VIRAT Dashboard. </w:t>
      </w:r>
      <w:r w:rsidR="00E41883">
        <w:rPr>
          <w:color w:val="000000" w:themeColor="text1"/>
        </w:rPr>
        <w:t>Prior to the COVID-19 vaccination rollout,</w:t>
      </w:r>
      <w:r w:rsidR="00E41883" w:rsidRPr="00E41883">
        <w:rPr>
          <w:color w:val="000000" w:themeColor="text1"/>
        </w:rPr>
        <w:t xml:space="preserve"> </w:t>
      </w:r>
      <w:r w:rsidR="00E41883" w:rsidRPr="00E41883">
        <w:rPr>
          <w:rFonts w:ascii="Calibri" w:hAnsi="Calibri" w:cs="Calibri"/>
          <w:color w:val="000000" w:themeColor="text1"/>
          <w:shd w:val="clear" w:color="auto" w:fill="FFFFFF"/>
        </w:rPr>
        <w:t xml:space="preserve">WHO provided technical </w:t>
      </w:r>
      <w:r w:rsidR="00E41883">
        <w:rPr>
          <w:rFonts w:ascii="Calibri" w:hAnsi="Calibri" w:cs="Calibri"/>
          <w:color w:val="000000" w:themeColor="text1"/>
          <w:shd w:val="clear" w:color="auto" w:fill="FFFFFF"/>
        </w:rPr>
        <w:t>input into</w:t>
      </w:r>
      <w:r w:rsidR="00E41883" w:rsidRPr="00E41883">
        <w:rPr>
          <w:rFonts w:ascii="Calibri" w:hAnsi="Calibri" w:cs="Calibri"/>
          <w:color w:val="000000" w:themeColor="text1"/>
          <w:shd w:val="clear" w:color="auto" w:fill="FFFFFF"/>
        </w:rPr>
        <w:t xml:space="preserve"> a vaccination acceptance study conducted by UNICEF (late 2020).</w:t>
      </w:r>
      <w:r w:rsidR="00E41883">
        <w:rPr>
          <w:rFonts w:ascii="Calibri" w:hAnsi="Calibri" w:cs="Calibri"/>
          <w:color w:val="000000" w:themeColor="text1"/>
          <w:shd w:val="clear" w:color="auto" w:fill="FFFFFF"/>
        </w:rPr>
        <w:t xml:space="preserve"> </w:t>
      </w:r>
      <w:r>
        <w:t>WHO</w:t>
      </w:r>
      <w:r w:rsidR="00E41883">
        <w:t xml:space="preserve"> then</w:t>
      </w:r>
      <w:r>
        <w:t xml:space="preserve"> support</w:t>
      </w:r>
      <w:r w:rsidR="00E41883">
        <w:t>ed</w:t>
      </w:r>
      <w:r>
        <w:t xml:space="preserve"> the emergency use authorisation and UNICEF </w:t>
      </w:r>
      <w:r w:rsidR="00E41883">
        <w:t xml:space="preserve">contributed to </w:t>
      </w:r>
      <w:r>
        <w:t>the procurement</w:t>
      </w:r>
      <w:r w:rsidR="00E41883">
        <w:t>,</w:t>
      </w:r>
      <w:r>
        <w:t xml:space="preserve"> </w:t>
      </w:r>
      <w:proofErr w:type="gramStart"/>
      <w:r w:rsidRPr="00E41883">
        <w:rPr>
          <w:color w:val="000000" w:themeColor="text1"/>
        </w:rPr>
        <w:t>administration</w:t>
      </w:r>
      <w:proofErr w:type="gramEnd"/>
      <w:r w:rsidRPr="00E41883">
        <w:rPr>
          <w:color w:val="000000" w:themeColor="text1"/>
        </w:rPr>
        <w:t xml:space="preserve"> and </w:t>
      </w:r>
      <w:r w:rsidR="00E41883">
        <w:rPr>
          <w:color w:val="000000" w:themeColor="text1"/>
        </w:rPr>
        <w:t xml:space="preserve">cold chain </w:t>
      </w:r>
      <w:r w:rsidRPr="00E41883">
        <w:rPr>
          <w:color w:val="000000" w:themeColor="text1"/>
        </w:rPr>
        <w:t xml:space="preserve">distribution </w:t>
      </w:r>
      <w:r w:rsidR="00E41883">
        <w:rPr>
          <w:color w:val="000000" w:themeColor="text1"/>
        </w:rPr>
        <w:t xml:space="preserve">of </w:t>
      </w:r>
      <w:r w:rsidRPr="00E41883">
        <w:rPr>
          <w:color w:val="000000" w:themeColor="text1"/>
        </w:rPr>
        <w:t>vaccines</w:t>
      </w:r>
      <w:r w:rsidR="00E41883">
        <w:rPr>
          <w:color w:val="000000" w:themeColor="text1"/>
        </w:rPr>
        <w:t xml:space="preserve">. </w:t>
      </w:r>
      <w:r w:rsidR="0033495F" w:rsidRPr="00E41883">
        <w:rPr>
          <w:rFonts w:ascii="Calibri" w:hAnsi="Calibri" w:cs="Calibri"/>
          <w:color w:val="000000" w:themeColor="text1"/>
          <w:shd w:val="clear" w:color="auto" w:fill="FFFFFF"/>
        </w:rPr>
        <w:t xml:space="preserve">WHO requested UNICEF’s technical support for </w:t>
      </w:r>
      <w:r w:rsidR="00E41883" w:rsidRPr="00E41883">
        <w:rPr>
          <w:rFonts w:ascii="Calibri" w:hAnsi="Calibri" w:cs="Calibri"/>
          <w:color w:val="000000" w:themeColor="text1"/>
          <w:shd w:val="clear" w:color="auto" w:fill="FFFFFF"/>
        </w:rPr>
        <w:t xml:space="preserve">vaccination </w:t>
      </w:r>
      <w:r w:rsidR="0033495F" w:rsidRPr="00E41883">
        <w:rPr>
          <w:rFonts w:ascii="Calibri" w:hAnsi="Calibri" w:cs="Calibri"/>
          <w:color w:val="000000" w:themeColor="text1"/>
          <w:shd w:val="clear" w:color="auto" w:fill="FFFFFF"/>
        </w:rPr>
        <w:t xml:space="preserve">supervision, </w:t>
      </w:r>
      <w:r w:rsidR="00E41883" w:rsidRPr="00E41883">
        <w:rPr>
          <w:rFonts w:ascii="Calibri" w:hAnsi="Calibri" w:cs="Calibri"/>
          <w:color w:val="000000" w:themeColor="text1"/>
          <w:shd w:val="clear" w:color="auto" w:fill="FFFFFF"/>
        </w:rPr>
        <w:t>conducting a c</w:t>
      </w:r>
      <w:r w:rsidR="0033495F" w:rsidRPr="00E41883">
        <w:rPr>
          <w:rFonts w:ascii="Calibri" w:hAnsi="Calibri" w:cs="Calibri"/>
          <w:color w:val="000000" w:themeColor="text1"/>
          <w:shd w:val="clear" w:color="auto" w:fill="FFFFFF"/>
        </w:rPr>
        <w:t xml:space="preserve">overage </w:t>
      </w:r>
      <w:r w:rsidR="00E41883" w:rsidRPr="00E41883">
        <w:rPr>
          <w:rFonts w:ascii="Calibri" w:hAnsi="Calibri" w:cs="Calibri"/>
          <w:color w:val="000000" w:themeColor="text1"/>
          <w:shd w:val="clear" w:color="auto" w:fill="FFFFFF"/>
        </w:rPr>
        <w:t>s</w:t>
      </w:r>
      <w:r w:rsidR="0033495F" w:rsidRPr="00E41883">
        <w:rPr>
          <w:rFonts w:ascii="Calibri" w:hAnsi="Calibri" w:cs="Calibri"/>
          <w:color w:val="000000" w:themeColor="text1"/>
          <w:shd w:val="clear" w:color="auto" w:fill="FFFFFF"/>
        </w:rPr>
        <w:t xml:space="preserve">urvey, and </w:t>
      </w:r>
      <w:r w:rsidR="00E41883" w:rsidRPr="00E41883">
        <w:rPr>
          <w:rFonts w:ascii="Calibri" w:hAnsi="Calibri" w:cs="Calibri"/>
          <w:color w:val="000000" w:themeColor="text1"/>
          <w:shd w:val="clear" w:color="auto" w:fill="FFFFFF"/>
        </w:rPr>
        <w:t>for the</w:t>
      </w:r>
      <w:r w:rsidR="00DC13B7">
        <w:rPr>
          <w:rFonts w:ascii="Calibri" w:hAnsi="Calibri" w:cs="Calibri"/>
          <w:color w:val="000000" w:themeColor="text1"/>
          <w:shd w:val="clear" w:color="auto" w:fill="FFFFFF"/>
        </w:rPr>
        <w:t xml:space="preserve"> behavioural and social drivers of </w:t>
      </w:r>
      <w:r w:rsidR="00CD0230">
        <w:rPr>
          <w:rFonts w:ascii="Calibri" w:hAnsi="Calibri" w:cs="Calibri"/>
          <w:color w:val="000000" w:themeColor="text1"/>
          <w:shd w:val="clear" w:color="auto" w:fill="FFFFFF"/>
        </w:rPr>
        <w:t>vaccination</w:t>
      </w:r>
      <w:r w:rsidR="0033495F" w:rsidRPr="00E41883">
        <w:rPr>
          <w:rFonts w:ascii="Calibri" w:hAnsi="Calibri" w:cs="Calibri"/>
          <w:color w:val="000000" w:themeColor="text1"/>
          <w:shd w:val="clear" w:color="auto" w:fill="FFFFFF"/>
        </w:rPr>
        <w:t xml:space="preserve"> survey. UNICEF led the technical development of information materials for COVID-19 </w:t>
      </w:r>
      <w:r w:rsidR="00D510A8" w:rsidRPr="00E41883">
        <w:rPr>
          <w:rFonts w:ascii="Calibri" w:hAnsi="Calibri" w:cs="Calibri"/>
          <w:color w:val="000000" w:themeColor="text1"/>
          <w:shd w:val="clear" w:color="auto" w:fill="FFFFFF"/>
        </w:rPr>
        <w:t>v</w:t>
      </w:r>
      <w:r w:rsidR="0033495F" w:rsidRPr="00E41883">
        <w:rPr>
          <w:rFonts w:ascii="Calibri" w:hAnsi="Calibri" w:cs="Calibri"/>
          <w:color w:val="000000" w:themeColor="text1"/>
          <w:shd w:val="clear" w:color="auto" w:fill="FFFFFF"/>
        </w:rPr>
        <w:t>accination, with WHO supporting the</w:t>
      </w:r>
      <w:r w:rsidR="00E41883" w:rsidRPr="00E41883">
        <w:rPr>
          <w:rFonts w:ascii="Calibri" w:hAnsi="Calibri" w:cs="Calibri"/>
          <w:color w:val="000000" w:themeColor="text1"/>
          <w:shd w:val="clear" w:color="auto" w:fill="FFFFFF"/>
        </w:rPr>
        <w:t>ir</w:t>
      </w:r>
      <w:r w:rsidR="0033495F" w:rsidRPr="00E41883">
        <w:rPr>
          <w:rFonts w:ascii="Calibri" w:hAnsi="Calibri" w:cs="Calibri"/>
          <w:color w:val="000000" w:themeColor="text1"/>
          <w:shd w:val="clear" w:color="auto" w:fill="FFFFFF"/>
        </w:rPr>
        <w:t xml:space="preserve"> production and distribution. </w:t>
      </w:r>
      <w:r>
        <w:t>AIHSP also collaborated with WHO and UNICEF</w:t>
      </w:r>
      <w:r w:rsidR="00BC1E57">
        <w:t xml:space="preserve">, working </w:t>
      </w:r>
      <w:r>
        <w:t xml:space="preserve">with WHO on the One Health </w:t>
      </w:r>
      <w:r w:rsidR="219F0F67">
        <w:t xml:space="preserve">training </w:t>
      </w:r>
      <w:r>
        <w:t xml:space="preserve">and One Health Side Event at the G20 in Bali and shared information with UNICEF through the RCCE Working Group. </w:t>
      </w:r>
    </w:p>
    <w:p w14:paraId="535E55CE" w14:textId="4EA07947" w:rsidR="00E60D36" w:rsidRDefault="00E60D36" w:rsidP="00FB402C">
      <w:pPr>
        <w:spacing w:after="120" w:line="240" w:lineRule="auto"/>
      </w:pPr>
      <w:r>
        <w:t xml:space="preserve">In some instances, such as vaccinating </w:t>
      </w:r>
      <w:r w:rsidR="00CC5FB4">
        <w:t xml:space="preserve">the </w:t>
      </w:r>
      <w:r>
        <w:t>elderly</w:t>
      </w:r>
      <w:r w:rsidR="00CC5FB4">
        <w:t xml:space="preserve"> </w:t>
      </w:r>
      <w:r>
        <w:t>for COVID-19 or maintaining health services for women during COVID-19, the partners played complementary roles. WHO and UNICEF worked at a national level by supporting guidelines and online platforms while AIHSP (and UNICEF) supported on-the</w:t>
      </w:r>
      <w:r w:rsidR="00E84199">
        <w:t>-</w:t>
      </w:r>
      <w:r>
        <w:t>ground implementation. This demonstrates the efficacy of the modalities DFAT supported, where activities were mutually reinforcing by working at different levels of the health system.</w:t>
      </w:r>
    </w:p>
    <w:p w14:paraId="7AD16309" w14:textId="6D083C1F" w:rsidR="00E60D36" w:rsidRPr="000B71D2" w:rsidRDefault="000B71D2" w:rsidP="00327F0E">
      <w:pPr>
        <w:pStyle w:val="Heading3"/>
        <w:spacing w:line="240" w:lineRule="auto"/>
        <w:rPr>
          <w:rFonts w:cstheme="majorHAnsi"/>
          <w:color w:val="002060"/>
        </w:rPr>
      </w:pPr>
      <w:bookmarkStart w:id="112" w:name="_Toc132584628"/>
      <w:bookmarkStart w:id="113" w:name="_Toc135837438"/>
      <w:r w:rsidRPr="000B71D2">
        <w:rPr>
          <w:rFonts w:cstheme="majorHAnsi"/>
          <w:color w:val="002060"/>
        </w:rPr>
        <w:t>6.</w:t>
      </w:r>
      <w:r w:rsidR="006C22CF" w:rsidRPr="000B71D2">
        <w:rPr>
          <w:rFonts w:cstheme="majorHAnsi"/>
          <w:color w:val="002060"/>
        </w:rPr>
        <w:t>2</w:t>
      </w:r>
      <w:r w:rsidRPr="000B71D2">
        <w:rPr>
          <w:rFonts w:cstheme="majorHAnsi"/>
          <w:color w:val="002060"/>
        </w:rPr>
        <w:t>.2</w:t>
      </w:r>
      <w:r w:rsidR="006C22CF" w:rsidRPr="000B71D2">
        <w:rPr>
          <w:rFonts w:cstheme="majorHAnsi"/>
          <w:color w:val="002060"/>
        </w:rPr>
        <w:tab/>
      </w:r>
      <w:r w:rsidR="00E60D36" w:rsidRPr="000B71D2">
        <w:rPr>
          <w:rFonts w:cstheme="majorHAnsi"/>
          <w:color w:val="002060"/>
        </w:rPr>
        <w:t>Partner coordination with donors and actors</w:t>
      </w:r>
      <w:bookmarkEnd w:id="112"/>
      <w:bookmarkEnd w:id="113"/>
    </w:p>
    <w:p w14:paraId="4F95BF84" w14:textId="6FF758F6" w:rsidR="005427E3" w:rsidRDefault="00E60D36" w:rsidP="009F70DB">
      <w:pPr>
        <w:spacing w:after="120" w:line="240" w:lineRule="auto"/>
      </w:pPr>
      <w:r>
        <w:t xml:space="preserve">The partners collaborated with donors and implementing agencies </w:t>
      </w:r>
      <w:proofErr w:type="gramStart"/>
      <w:r>
        <w:t>in order to</w:t>
      </w:r>
      <w:proofErr w:type="gramEnd"/>
      <w:r>
        <w:t xml:space="preserve"> optimise response efforts and minimise duplication. AIHSP coordinated with the Fleming Fund, US CDC, JICA, USAID and others on improving surveillance/information systems, laboratory strengthening and emergency responses across human and animal heal</w:t>
      </w:r>
      <w:sdt>
        <w:sdtPr>
          <w:rPr>
            <w:color w:val="2B579A"/>
            <w:shd w:val="clear" w:color="auto" w:fill="E6E6E6"/>
          </w:rPr>
          <w:tag w:val="goog_rdk_14"/>
          <w:id w:val="-542210813"/>
        </w:sdtPr>
        <w:sdtEndPr>
          <w:rPr>
            <w:color w:val="auto"/>
            <w:shd w:val="clear" w:color="auto" w:fill="auto"/>
          </w:rPr>
        </w:sdtEndPr>
        <w:sdtContent/>
      </w:sdt>
      <w:r>
        <w:t xml:space="preserve">th </w:t>
      </w:r>
      <w:r w:rsidR="00331BD1">
        <w:t>[</w:t>
      </w:r>
      <w:r>
        <w:t>DFAT</w:t>
      </w:r>
      <w:r w:rsidR="00331BD1">
        <w:t>]</w:t>
      </w:r>
      <w:r>
        <w:t xml:space="preserve">. </w:t>
      </w:r>
      <w:r w:rsidR="00F359B1">
        <w:t xml:space="preserve">AIHSP convened a series of </w:t>
      </w:r>
      <w:r w:rsidR="00325D3D">
        <w:t xml:space="preserve">donor </w:t>
      </w:r>
      <w:r w:rsidR="00F359B1">
        <w:t xml:space="preserve">meetings for the </w:t>
      </w:r>
      <w:proofErr w:type="spellStart"/>
      <w:r w:rsidR="00F359B1">
        <w:t>Reconstra</w:t>
      </w:r>
      <w:proofErr w:type="spellEnd"/>
      <w:r w:rsidR="00F359B1">
        <w:t xml:space="preserve"> survey o</w:t>
      </w:r>
      <w:r w:rsidR="00325D3D">
        <w:t>n</w:t>
      </w:r>
      <w:r w:rsidR="00F359B1">
        <w:t xml:space="preserve"> surveillance systems and pilot</w:t>
      </w:r>
      <w:r w:rsidR="00325D3D">
        <w:t>ing</w:t>
      </w:r>
      <w:r w:rsidR="00F359B1">
        <w:t xml:space="preserve"> of SISHIS.</w:t>
      </w:r>
      <w:r w:rsidR="00134EF4">
        <w:t xml:space="preserve"> AIHSP and JICA jointly conducted </w:t>
      </w:r>
      <w:r w:rsidR="005427E3">
        <w:t>a</w:t>
      </w:r>
      <w:r w:rsidR="00134EF4">
        <w:t xml:space="preserve"> training need</w:t>
      </w:r>
      <w:r w:rsidR="007F4699">
        <w:t>s</w:t>
      </w:r>
      <w:r w:rsidR="00134EF4">
        <w:t xml:space="preserve"> assessment</w:t>
      </w:r>
      <w:r w:rsidR="00CD1570">
        <w:t xml:space="preserve">, with JICA adding their provinces </w:t>
      </w:r>
      <w:r w:rsidR="005427E3">
        <w:t>to</w:t>
      </w:r>
      <w:r w:rsidR="00CD1570">
        <w:t xml:space="preserve"> the assessment</w:t>
      </w:r>
      <w:r w:rsidR="00134EF4">
        <w:t>.</w:t>
      </w:r>
      <w:r w:rsidR="00CD1570">
        <w:t xml:space="preserve"> </w:t>
      </w:r>
    </w:p>
    <w:p w14:paraId="1CE437E0" w14:textId="12C7B0BA" w:rsidR="00E60D36" w:rsidRDefault="005427E3" w:rsidP="009F70DB">
      <w:pPr>
        <w:spacing w:after="120" w:line="240" w:lineRule="auto"/>
      </w:pPr>
      <w:r>
        <w:t>There was some coordination with</w:t>
      </w:r>
      <w:r w:rsidR="00134EF4">
        <w:t xml:space="preserve"> UN agencies </w:t>
      </w:r>
      <w:r>
        <w:t>on</w:t>
      </w:r>
      <w:r w:rsidR="00F359B1">
        <w:t xml:space="preserve"> emergency preparedness and response.</w:t>
      </w:r>
      <w:r w:rsidR="00CD1570">
        <w:t xml:space="preserve"> </w:t>
      </w:r>
      <w:r w:rsidR="00F359B1">
        <w:t>AIHSP collaborated with FAO and WHO on the development and delivery of MoH’s One Health training.</w:t>
      </w:r>
      <w:r w:rsidR="00902A0C">
        <w:t xml:space="preserve"> T</w:t>
      </w:r>
      <w:r w:rsidR="00F359B1">
        <w:t xml:space="preserve">he Fleming Fund worked with </w:t>
      </w:r>
      <w:proofErr w:type="spellStart"/>
      <w:r w:rsidR="00F359B1">
        <w:t>Prevalensi</w:t>
      </w:r>
      <w:proofErr w:type="spellEnd"/>
      <w:r w:rsidR="00F359B1">
        <w:t xml:space="preserve"> to develop basic sample handling</w:t>
      </w:r>
      <w:r>
        <w:t xml:space="preserve"> protocols</w:t>
      </w:r>
      <w:r w:rsidR="00F359B1">
        <w:t xml:space="preserve"> in labs and to develop batch/AMR data handling/reporting functionality. </w:t>
      </w:r>
      <w:r w:rsidR="00CD1570">
        <w:t xml:space="preserve">AIHSP collaborated </w:t>
      </w:r>
      <w:r w:rsidR="0026720C">
        <w:t xml:space="preserve">with FAO </w:t>
      </w:r>
      <w:r>
        <w:t>o</w:t>
      </w:r>
      <w:r w:rsidR="00CD1570">
        <w:t xml:space="preserve">n </w:t>
      </w:r>
      <w:r>
        <w:t xml:space="preserve">the </w:t>
      </w:r>
      <w:r w:rsidR="00CD1570">
        <w:t xml:space="preserve">oral rabies vaccine </w:t>
      </w:r>
      <w:r w:rsidR="00F359B1">
        <w:t>trial in Bali</w:t>
      </w:r>
      <w:r w:rsidR="00CD1570">
        <w:t xml:space="preserve">, </w:t>
      </w:r>
      <w:proofErr w:type="spellStart"/>
      <w:r w:rsidR="00F359B1">
        <w:t>iSIKHNAS</w:t>
      </w:r>
      <w:proofErr w:type="spellEnd"/>
      <w:r w:rsidR="00F359B1">
        <w:t xml:space="preserve">/epi training, linking </w:t>
      </w:r>
      <w:proofErr w:type="spellStart"/>
      <w:r w:rsidR="00F359B1">
        <w:t>iSIKHNAS</w:t>
      </w:r>
      <w:proofErr w:type="spellEnd"/>
      <w:r w:rsidR="00F359B1">
        <w:t xml:space="preserve"> with SIZE</w:t>
      </w:r>
      <w:r w:rsidR="00CD1570">
        <w:t xml:space="preserve"> and</w:t>
      </w:r>
      <w:r w:rsidR="00F359B1">
        <w:t xml:space="preserve"> </w:t>
      </w:r>
      <w:r>
        <w:t xml:space="preserve">the </w:t>
      </w:r>
      <w:r w:rsidR="00F359B1">
        <w:t>FMD</w:t>
      </w:r>
      <w:r>
        <w:t xml:space="preserve"> and </w:t>
      </w:r>
      <w:r w:rsidR="00F359B1">
        <w:t xml:space="preserve">LSD </w:t>
      </w:r>
      <w:r w:rsidR="00F359B1">
        <w:lastRenderedPageBreak/>
        <w:t>emergency response</w:t>
      </w:r>
      <w:r>
        <w:t>s</w:t>
      </w:r>
      <w:r w:rsidR="00F359B1">
        <w:t>.</w:t>
      </w:r>
      <w:r w:rsidR="000148CC">
        <w:t xml:space="preserve"> </w:t>
      </w:r>
      <w:r w:rsidR="00E60D36">
        <w:t xml:space="preserve">However, as noted in </w:t>
      </w:r>
      <w:r w:rsidR="007F4699">
        <w:t>section 6.1.5</w:t>
      </w:r>
      <w:r w:rsidR="00E60D36">
        <w:t xml:space="preserve"> above, AIHSP’s communication and coordination with other actors could have been stronger and likely led to inefficiencies</w:t>
      </w:r>
      <w:r w:rsidR="0026720C">
        <w:t>.</w:t>
      </w:r>
    </w:p>
    <w:p w14:paraId="5E052A52" w14:textId="18ACD98A" w:rsidR="00E60D36" w:rsidRDefault="00E60D36" w:rsidP="009F70DB">
      <w:pPr>
        <w:spacing w:after="120" w:line="240" w:lineRule="auto"/>
      </w:pPr>
      <w:r>
        <w:t>DFAT</w:t>
      </w:r>
      <w:r w:rsidR="005427E3">
        <w:t>/AIHSP</w:t>
      </w:r>
      <w:r w:rsidR="00891E29">
        <w:t xml:space="preserve"> </w:t>
      </w:r>
      <w:r w:rsidR="005427E3">
        <w:t>(alongside USAID)</w:t>
      </w:r>
      <w:r>
        <w:t xml:space="preserve"> initiated a regular donor coordination meeting for the Indonesian COVID-19 response, which was subsequently coordinated by the WHO.</w:t>
      </w:r>
      <w:r>
        <w:rPr>
          <w:color w:val="000000"/>
        </w:rPr>
        <w:t xml:space="preserve"> This enabled visibility and consistency in donor support </w:t>
      </w:r>
      <w:r w:rsidR="0026720C">
        <w:rPr>
          <w:color w:val="000000"/>
        </w:rPr>
        <w:t>for the</w:t>
      </w:r>
      <w:r>
        <w:rPr>
          <w:color w:val="000000"/>
        </w:rPr>
        <w:t xml:space="preserve"> </w:t>
      </w:r>
      <w:proofErr w:type="spellStart"/>
      <w:r>
        <w:rPr>
          <w:color w:val="000000"/>
        </w:rPr>
        <w:t>GoI</w:t>
      </w:r>
      <w:proofErr w:type="spellEnd"/>
      <w:r w:rsidR="0026720C">
        <w:rPr>
          <w:color w:val="000000"/>
        </w:rPr>
        <w:t>,</w:t>
      </w:r>
      <w:r>
        <w:rPr>
          <w:color w:val="000000"/>
        </w:rPr>
        <w:t xml:space="preserve"> as well as </w:t>
      </w:r>
      <w:r w:rsidR="0026720C">
        <w:rPr>
          <w:color w:val="000000"/>
        </w:rPr>
        <w:t>for</w:t>
      </w:r>
      <w:r>
        <w:rPr>
          <w:color w:val="000000"/>
        </w:rPr>
        <w:t xml:space="preserve"> UNICEF</w:t>
      </w:r>
      <w:r w:rsidR="0026720C">
        <w:rPr>
          <w:color w:val="000000"/>
        </w:rPr>
        <w:t xml:space="preserve"> and</w:t>
      </w:r>
      <w:r>
        <w:rPr>
          <w:color w:val="000000"/>
        </w:rPr>
        <w:t xml:space="preserve"> WHO</w:t>
      </w:r>
      <w:r w:rsidR="0026720C">
        <w:rPr>
          <w:color w:val="000000"/>
        </w:rPr>
        <w:t>.</w:t>
      </w:r>
      <w:r>
        <w:rPr>
          <w:color w:val="000000"/>
        </w:rPr>
        <w:t xml:space="preserve"> </w:t>
      </w:r>
    </w:p>
    <w:p w14:paraId="4D86D4E5" w14:textId="7F324375" w:rsidR="00E60D36" w:rsidRDefault="00E60D36" w:rsidP="009F70DB">
      <w:pPr>
        <w:spacing w:after="120" w:line="240" w:lineRule="auto"/>
      </w:pPr>
      <w:r>
        <w:t xml:space="preserve">UNICEF co-chaired the RCCE Working Group with IFRC. This group included </w:t>
      </w:r>
      <w:proofErr w:type="spellStart"/>
      <w:r>
        <w:t>GoI</w:t>
      </w:r>
      <w:proofErr w:type="spellEnd"/>
      <w:r>
        <w:t xml:space="preserve">, NGO, multilateral and other representatives with lines of communication from a national to a sub-national level. Multiple interviewees cited the effectiveness of this group in terms of sharing information and coordinating messaging. This </w:t>
      </w:r>
      <w:r w:rsidR="00237EA4">
        <w:t xml:space="preserve">messaging </w:t>
      </w:r>
      <w:r>
        <w:t xml:space="preserve">first </w:t>
      </w:r>
      <w:r w:rsidR="00237EA4">
        <w:t>addressed</w:t>
      </w:r>
      <w:r>
        <w:t xml:space="preserve"> COVID-19 prevention and the 3M messaging for the </w:t>
      </w:r>
      <w:r>
        <w:rPr>
          <w:color w:val="333333"/>
          <w:highlight w:val="white"/>
        </w:rPr>
        <w:t>public to wear masks, wash hands and socially distance</w:t>
      </w:r>
      <w:r w:rsidR="00237EA4">
        <w:rPr>
          <w:color w:val="333333"/>
          <w:highlight w:val="white"/>
        </w:rPr>
        <w:t xml:space="preserve">. It </w:t>
      </w:r>
      <w:r>
        <w:rPr>
          <w:color w:val="333333"/>
          <w:highlight w:val="white"/>
        </w:rPr>
        <w:t>later encourag</w:t>
      </w:r>
      <w:r w:rsidR="00237EA4">
        <w:rPr>
          <w:color w:val="333333"/>
          <w:highlight w:val="white"/>
        </w:rPr>
        <w:t>ed</w:t>
      </w:r>
      <w:r>
        <w:rPr>
          <w:color w:val="333333"/>
          <w:highlight w:val="white"/>
        </w:rPr>
        <w:t xml:space="preserve"> the public to get vaccinated. Coordinating this messaging optimised </w:t>
      </w:r>
      <w:r w:rsidR="00237EA4">
        <w:rPr>
          <w:color w:val="333333"/>
          <w:highlight w:val="white"/>
        </w:rPr>
        <w:t>its</w:t>
      </w:r>
      <w:r>
        <w:rPr>
          <w:color w:val="333333"/>
          <w:highlight w:val="white"/>
        </w:rPr>
        <w:t xml:space="preserve"> reach and impact and minimised the potential for confusion caused by mixed messaging. </w:t>
      </w:r>
      <w:r>
        <w:t xml:space="preserve">However, it was noted, that despite this working group, there was still some duplication of activities </w:t>
      </w:r>
      <w:r w:rsidR="00331BD1">
        <w:t>[</w:t>
      </w:r>
      <w:r>
        <w:t>UNICEF</w:t>
      </w:r>
      <w:r w:rsidR="00331BD1">
        <w:t>]</w:t>
      </w:r>
      <w:r>
        <w:t>.</w:t>
      </w:r>
    </w:p>
    <w:p w14:paraId="6E7BE7DE" w14:textId="11C23934" w:rsidR="00E60D36" w:rsidRPr="000B71D2" w:rsidRDefault="006C22CF" w:rsidP="00327F0E">
      <w:pPr>
        <w:pStyle w:val="Heading3"/>
        <w:spacing w:line="240" w:lineRule="auto"/>
        <w:rPr>
          <w:rFonts w:cstheme="majorHAnsi"/>
          <w:color w:val="002060"/>
        </w:rPr>
      </w:pPr>
      <w:bookmarkStart w:id="114" w:name="_Toc132584629"/>
      <w:bookmarkStart w:id="115" w:name="_Toc135837439"/>
      <w:r w:rsidRPr="000B71D2">
        <w:rPr>
          <w:rFonts w:cstheme="majorHAnsi"/>
          <w:color w:val="002060"/>
        </w:rPr>
        <w:t>6.</w:t>
      </w:r>
      <w:r w:rsidR="000B71D2" w:rsidRPr="000B71D2">
        <w:rPr>
          <w:rFonts w:cstheme="majorHAnsi"/>
          <w:color w:val="002060"/>
        </w:rPr>
        <w:t>2.</w:t>
      </w:r>
      <w:r w:rsidRPr="000B71D2">
        <w:rPr>
          <w:rFonts w:cstheme="majorHAnsi"/>
          <w:color w:val="002060"/>
        </w:rPr>
        <w:t>3</w:t>
      </w:r>
      <w:r w:rsidRPr="000B71D2">
        <w:rPr>
          <w:rFonts w:cstheme="majorHAnsi"/>
          <w:color w:val="002060"/>
        </w:rPr>
        <w:tab/>
      </w:r>
      <w:r w:rsidR="00E60D36" w:rsidRPr="000B71D2">
        <w:rPr>
          <w:rFonts w:cstheme="majorHAnsi"/>
          <w:color w:val="002060"/>
        </w:rPr>
        <w:t>Partners and DFAT</w:t>
      </w:r>
      <w:bookmarkEnd w:id="114"/>
      <w:bookmarkEnd w:id="115"/>
    </w:p>
    <w:p w14:paraId="11BF4650" w14:textId="078B2C8E" w:rsidR="0078228D" w:rsidRPr="002351EA" w:rsidRDefault="00E60D36" w:rsidP="002351EA">
      <w:pPr>
        <w:pStyle w:val="BodyText"/>
        <w:spacing w:line="240" w:lineRule="auto"/>
        <w:ind w:right="-330"/>
        <w:contextualSpacing/>
        <w:rPr>
          <w:rFonts w:cstheme="minorHAnsi"/>
        </w:rPr>
      </w:pPr>
      <w:r w:rsidRPr="002351EA">
        <w:t xml:space="preserve">There </w:t>
      </w:r>
      <w:r w:rsidR="0060418F" w:rsidRPr="002351EA">
        <w:t>we</w:t>
      </w:r>
      <w:r w:rsidRPr="002351EA">
        <w:t xml:space="preserve">re multiple examples of collaboration between the partners, DFAT and other DFAT-funded programs. </w:t>
      </w:r>
      <w:r w:rsidR="000C5435" w:rsidRPr="002351EA">
        <w:t xml:space="preserve">This aspect of programming was effective and enabled DFAT-funded programs to leverage each other’s strengths and amplify and/or expediate impact. </w:t>
      </w:r>
      <w:r w:rsidRPr="002351EA">
        <w:t>AIHSP collaborated with PRISMA on mobile testing for</w:t>
      </w:r>
      <w:r w:rsidR="00F24A48" w:rsidRPr="002351EA">
        <w:t xml:space="preserve"> </w:t>
      </w:r>
      <w:r w:rsidRPr="002351EA">
        <w:t>ASF</w:t>
      </w:r>
      <w:r w:rsidR="0078228D" w:rsidRPr="002351EA">
        <w:t>.</w:t>
      </w:r>
      <w:r w:rsidRPr="002351EA">
        <w:t xml:space="preserve"> </w:t>
      </w:r>
      <w:r w:rsidR="0078228D" w:rsidRPr="002351EA">
        <w:t xml:space="preserve">AIHSP and PRISMA jointly provided LAMP equipment, training and protocols for validation and use. </w:t>
      </w:r>
      <w:r w:rsidR="00D45816" w:rsidRPr="002351EA">
        <w:t>Together w</w:t>
      </w:r>
      <w:r w:rsidR="0078228D" w:rsidRPr="002351EA">
        <w:t xml:space="preserve">ith </w:t>
      </w:r>
      <w:r w:rsidR="00D45816" w:rsidRPr="002351EA">
        <w:t>the Indonesia-Australia Partnership on Food Security in the Red Meat and Cattle Sector (</w:t>
      </w:r>
      <w:r w:rsidRPr="002351EA">
        <w:t>RMCP</w:t>
      </w:r>
      <w:r w:rsidR="00D45816" w:rsidRPr="002351EA">
        <w:t>)</w:t>
      </w:r>
      <w:r w:rsidR="0078228D" w:rsidRPr="002351EA">
        <w:t xml:space="preserve"> and the private sector, AIHSP supported vaccine</w:t>
      </w:r>
      <w:r w:rsidR="0000287F" w:rsidRPr="002351EA">
        <w:t xml:space="preserve">s </w:t>
      </w:r>
      <w:r w:rsidR="0078228D" w:rsidRPr="002351EA">
        <w:t xml:space="preserve">for </w:t>
      </w:r>
      <w:r w:rsidR="0000287F" w:rsidRPr="002351EA">
        <w:t xml:space="preserve">the </w:t>
      </w:r>
      <w:r w:rsidR="0078228D" w:rsidRPr="002351EA">
        <w:t xml:space="preserve">FMD and </w:t>
      </w:r>
      <w:r w:rsidRPr="002351EA">
        <w:t>LSD</w:t>
      </w:r>
      <w:r w:rsidR="0000287F" w:rsidRPr="002351EA">
        <w:t xml:space="preserve"> outbreaks</w:t>
      </w:r>
      <w:r w:rsidR="0078228D" w:rsidRPr="002351EA">
        <w:t>.</w:t>
      </w:r>
      <w:r w:rsidRPr="002351EA">
        <w:t xml:space="preserve"> </w:t>
      </w:r>
      <w:r w:rsidR="0078228D" w:rsidRPr="002351EA">
        <w:t xml:space="preserve">With </w:t>
      </w:r>
      <w:r w:rsidR="002351EA" w:rsidRPr="002351EA">
        <w:t xml:space="preserve">the </w:t>
      </w:r>
      <w:r w:rsidR="00D45816" w:rsidRPr="002351EA">
        <w:rPr>
          <w:rFonts w:cstheme="minorHAnsi"/>
        </w:rPr>
        <w:t>Australia-Indonesia Partnership in Disaster Risk Management (</w:t>
      </w:r>
      <w:r w:rsidRPr="002351EA">
        <w:t>SIAP SIAGA</w:t>
      </w:r>
      <w:r w:rsidR="00D45816" w:rsidRPr="002351EA">
        <w:t>)</w:t>
      </w:r>
      <w:r w:rsidR="0078228D" w:rsidRPr="002351EA">
        <w:t>, AIHSP supported the development of</w:t>
      </w:r>
      <w:r w:rsidRPr="002351EA">
        <w:t xml:space="preserve"> </w:t>
      </w:r>
      <w:r w:rsidR="0078228D" w:rsidRPr="002351EA">
        <w:t>emergency management systems for non-natural disasters</w:t>
      </w:r>
      <w:r w:rsidRPr="002351EA">
        <w:t xml:space="preserve">. It also coordinated with </w:t>
      </w:r>
      <w:r w:rsidR="002351EA" w:rsidRPr="002351EA">
        <w:t xml:space="preserve">the </w:t>
      </w:r>
      <w:r w:rsidR="002351EA" w:rsidRPr="002351EA">
        <w:rPr>
          <w:rFonts w:cstheme="minorHAnsi"/>
        </w:rPr>
        <w:t xml:space="preserve">Australia Indonesia Partnership for Economic Development </w:t>
      </w:r>
      <w:r w:rsidR="002351EA" w:rsidRPr="002351EA">
        <w:t>(</w:t>
      </w:r>
      <w:proofErr w:type="spellStart"/>
      <w:r w:rsidRPr="002351EA">
        <w:t>Prospera</w:t>
      </w:r>
      <w:proofErr w:type="spellEnd"/>
      <w:r w:rsidR="002351EA" w:rsidRPr="002351EA">
        <w:t>)</w:t>
      </w:r>
      <w:r w:rsidRPr="002351EA">
        <w:t>, KOMPAK</w:t>
      </w:r>
      <w:r w:rsidR="002351EA" w:rsidRPr="002351EA">
        <w:t xml:space="preserve"> (Governance for Growth)</w:t>
      </w:r>
      <w:r w:rsidRPr="002351EA">
        <w:t xml:space="preserve"> and </w:t>
      </w:r>
      <w:r w:rsidR="002351EA" w:rsidRPr="002351EA">
        <w:t>the Knowledge Sector Initiative (</w:t>
      </w:r>
      <w:r w:rsidRPr="002351EA">
        <w:t>K</w:t>
      </w:r>
      <w:r w:rsidR="0078228D" w:rsidRPr="002351EA">
        <w:t>SI</w:t>
      </w:r>
      <w:r w:rsidR="002351EA" w:rsidRPr="002351EA">
        <w:t>)</w:t>
      </w:r>
      <w:r w:rsidRPr="002351EA">
        <w:t xml:space="preserve"> on health issues. </w:t>
      </w:r>
      <w:r w:rsidR="00D16F58" w:rsidRPr="002351EA">
        <w:t xml:space="preserve">With </w:t>
      </w:r>
      <w:proofErr w:type="spellStart"/>
      <w:r w:rsidR="00D16F58" w:rsidRPr="002351EA">
        <w:t>Prospera</w:t>
      </w:r>
      <w:proofErr w:type="spellEnd"/>
      <w:r w:rsidR="00D16F58" w:rsidRPr="002351EA">
        <w:t>, a series of coordination meetings in</w:t>
      </w:r>
      <w:r w:rsidR="0000287F" w:rsidRPr="002351EA">
        <w:t>v</w:t>
      </w:r>
      <w:r w:rsidR="00D16F58" w:rsidRPr="002351EA">
        <w:t xml:space="preserve">olving senior DFAT management were conducted to address potential partnership around primary health care strengthening and human resources reform to support </w:t>
      </w:r>
      <w:r w:rsidR="0000287F" w:rsidRPr="002351EA">
        <w:t xml:space="preserve">the </w:t>
      </w:r>
      <w:r w:rsidR="00D16F58" w:rsidRPr="002351EA">
        <w:t xml:space="preserve">MoH. </w:t>
      </w:r>
      <w:r w:rsidRPr="002351EA">
        <w:t>However, there were a few instances where coordination between DFAT-funded programs could have been improved</w:t>
      </w:r>
      <w:r w:rsidR="009F70DB" w:rsidRPr="002351EA">
        <w:t>,</w:t>
      </w:r>
      <w:r w:rsidRPr="002351EA">
        <w:t xml:space="preserve"> </w:t>
      </w:r>
      <w:proofErr w:type="gramStart"/>
      <w:r w:rsidR="009F70DB" w:rsidRPr="002351EA">
        <w:t>e.g.</w:t>
      </w:r>
      <w:proofErr w:type="gramEnd"/>
      <w:r w:rsidR="009F70DB" w:rsidRPr="002351EA">
        <w:t xml:space="preserve"> </w:t>
      </w:r>
      <w:proofErr w:type="spellStart"/>
      <w:r w:rsidRPr="002351EA">
        <w:t>Prospera</w:t>
      </w:r>
      <w:proofErr w:type="spellEnd"/>
      <w:r w:rsidRPr="002351EA">
        <w:t xml:space="preserve"> and AIHSP were both working with the MoH, which initially caused some tension and a lack of clarity for MoH </w:t>
      </w:r>
      <w:r w:rsidR="00331BD1" w:rsidRPr="002351EA">
        <w:t>[</w:t>
      </w:r>
      <w:r w:rsidRPr="002351EA">
        <w:t>AIHSP</w:t>
      </w:r>
      <w:r w:rsidR="00331BD1" w:rsidRPr="002351EA">
        <w:t>]</w:t>
      </w:r>
      <w:r w:rsidRPr="002351EA">
        <w:t xml:space="preserve">. </w:t>
      </w:r>
    </w:p>
    <w:p w14:paraId="188ABDD0" w14:textId="29B2CFA5" w:rsidR="00E60D36" w:rsidRPr="00F61BE1" w:rsidRDefault="00E60D36" w:rsidP="009F70DB">
      <w:pPr>
        <w:spacing w:after="120" w:line="240" w:lineRule="auto"/>
        <w:rPr>
          <w:color w:val="000000"/>
        </w:rPr>
      </w:pPr>
      <w:r>
        <w:rPr>
          <w:color w:val="000000"/>
        </w:rPr>
        <w:t xml:space="preserve">UNICEF facilitated discussion between DFAT and the MoH over DFAT’s commitment to deliver 10.2 million doses of Pfizer COVID-19 vaccines (which were subsequently not required) </w:t>
      </w:r>
      <w:proofErr w:type="gramStart"/>
      <w:r>
        <w:rPr>
          <w:color w:val="000000"/>
        </w:rPr>
        <w:t>and also</w:t>
      </w:r>
      <w:proofErr w:type="gramEnd"/>
      <w:r>
        <w:rPr>
          <w:color w:val="000000"/>
        </w:rPr>
        <w:t xml:space="preserve"> completed delivery of over 40,000 Australian-donated rapid antigen tests to Indonesia </w:t>
      </w:r>
      <w:r w:rsidR="00331BD1">
        <w:rPr>
          <w:color w:val="000000"/>
        </w:rPr>
        <w:t>[</w:t>
      </w:r>
      <w:r>
        <w:rPr>
          <w:color w:val="000000"/>
        </w:rPr>
        <w:t>UNICEF, DFAT</w:t>
      </w:r>
      <w:r w:rsidR="00331BD1">
        <w:rPr>
          <w:color w:val="000000"/>
        </w:rPr>
        <w:t>]</w:t>
      </w:r>
      <w:r>
        <w:rPr>
          <w:color w:val="000000"/>
        </w:rPr>
        <w:t xml:space="preserve">. WHO provided updates in regular meetings with DFAT and found these meetings helpful. </w:t>
      </w:r>
      <w:r>
        <w:t xml:space="preserve">WHO </w:t>
      </w:r>
      <w:r w:rsidR="009F70DB">
        <w:t xml:space="preserve">also </w:t>
      </w:r>
      <w:r>
        <w:t xml:space="preserve">provided </w:t>
      </w:r>
      <w:r w:rsidR="00ED4CC6">
        <w:t xml:space="preserve">weekly </w:t>
      </w:r>
      <w:r>
        <w:t xml:space="preserve">briefings to the </w:t>
      </w:r>
      <w:r w:rsidR="00ED4CC6">
        <w:t xml:space="preserve">ambassadors </w:t>
      </w:r>
      <w:r>
        <w:t>of US, Canada, Australia, UK, New Zealand</w:t>
      </w:r>
      <w:r w:rsidR="00ED4CC6">
        <w:t xml:space="preserve"> during </w:t>
      </w:r>
      <w:r w:rsidR="00F24A48">
        <w:t xml:space="preserve">COVID-19 from </w:t>
      </w:r>
      <w:r w:rsidR="00ED4CC6">
        <w:t xml:space="preserve">mid-2020 </w:t>
      </w:r>
      <w:r w:rsidR="00F24A48">
        <w:t>to</w:t>
      </w:r>
      <w:r w:rsidR="00ED4CC6">
        <w:t xml:space="preserve"> June 2022, and </w:t>
      </w:r>
      <w:r w:rsidR="00494CBC">
        <w:t xml:space="preserve">then </w:t>
      </w:r>
      <w:r w:rsidR="00ED4CC6">
        <w:t>fortnightly until November 2022</w:t>
      </w:r>
      <w:r>
        <w:t xml:space="preserve">. </w:t>
      </w:r>
    </w:p>
    <w:p w14:paraId="369A8AC0" w14:textId="135DACD6" w:rsidR="00E60D36" w:rsidRPr="000B71D2" w:rsidRDefault="006C22CF" w:rsidP="00327F0E">
      <w:pPr>
        <w:pStyle w:val="Heading3"/>
        <w:spacing w:line="240" w:lineRule="auto"/>
        <w:rPr>
          <w:rFonts w:cstheme="majorHAnsi"/>
          <w:color w:val="002060"/>
        </w:rPr>
      </w:pPr>
      <w:bookmarkStart w:id="116" w:name="_Toc132584630"/>
      <w:bookmarkStart w:id="117" w:name="_Toc135837440"/>
      <w:r w:rsidRPr="000B71D2">
        <w:rPr>
          <w:rFonts w:cstheme="majorHAnsi"/>
          <w:color w:val="002060"/>
        </w:rPr>
        <w:t>6.</w:t>
      </w:r>
      <w:r w:rsidR="000B71D2" w:rsidRPr="000B71D2">
        <w:rPr>
          <w:rFonts w:cstheme="majorHAnsi"/>
          <w:color w:val="002060"/>
        </w:rPr>
        <w:t>2.</w:t>
      </w:r>
      <w:r w:rsidRPr="000B71D2">
        <w:rPr>
          <w:rFonts w:cstheme="majorHAnsi"/>
          <w:color w:val="002060"/>
        </w:rPr>
        <w:t>4</w:t>
      </w:r>
      <w:r w:rsidRPr="000B71D2">
        <w:rPr>
          <w:rFonts w:cstheme="majorHAnsi"/>
          <w:color w:val="002060"/>
        </w:rPr>
        <w:tab/>
      </w:r>
      <w:r w:rsidR="00E60D36" w:rsidRPr="000B71D2">
        <w:rPr>
          <w:rFonts w:cstheme="majorHAnsi"/>
          <w:color w:val="002060"/>
        </w:rPr>
        <w:t>Sub-partners</w:t>
      </w:r>
      <w:bookmarkEnd w:id="116"/>
      <w:bookmarkEnd w:id="117"/>
    </w:p>
    <w:p w14:paraId="3E6CFA94" w14:textId="4A9FED8F" w:rsidR="00E60D36" w:rsidRDefault="00E60D36" w:rsidP="009F70DB">
      <w:pPr>
        <w:spacing w:after="120" w:line="240" w:lineRule="auto"/>
      </w:pPr>
      <w:r>
        <w:t xml:space="preserve">Sub-partner activities funded </w:t>
      </w:r>
      <w:r w:rsidR="009F70DB">
        <w:t>through</w:t>
      </w:r>
      <w:r>
        <w:t xml:space="preserve"> AIHSP, WHO, UNICEF </w:t>
      </w:r>
      <w:r w:rsidR="009F70DB">
        <w:t>for</w:t>
      </w:r>
      <w:r>
        <w:t xml:space="preserve"> </w:t>
      </w:r>
      <w:r w:rsidR="002F3484">
        <w:t xml:space="preserve">the </w:t>
      </w:r>
      <w:r>
        <w:t>COVID-19 response were able to rapidly provide many types of support from a national to a village level</w:t>
      </w:r>
      <w:r w:rsidR="009F70DB">
        <w:t xml:space="preserve"> across Indonesia</w:t>
      </w:r>
      <w:r>
        <w:t>. The scale and complexity of Australia’s support through th</w:t>
      </w:r>
      <w:r w:rsidR="009F70DB">
        <w:t>e</w:t>
      </w:r>
      <w:r>
        <w:t>se sub-partners in a very short time was significant and effective. However, many sub-partner grants were short-term in nature and given the rapid roll-out and limited budgets, most did not build in evaluation of outputs and their intermediate outcomes. This was coupled with the limited capacity of DFAT to maintain sufficient oversight of activities</w:t>
      </w:r>
      <w:r w:rsidR="00F24A48">
        <w:t>.</w:t>
      </w:r>
      <w:r>
        <w:t xml:space="preserve"> Thus, there is little evidence (apart from anecdotal) as to how effective many of these grant-based activities were and as noted earlier, </w:t>
      </w:r>
      <w:r w:rsidR="00F24A48">
        <w:t xml:space="preserve">there was </w:t>
      </w:r>
      <w:r>
        <w:t xml:space="preserve">reduced incentive for the sub-partners to report once they had received the funding. It is likely that some activities were ineffective or were not translated into </w:t>
      </w:r>
      <w:r w:rsidR="002F51AF">
        <w:t xml:space="preserve">the intended </w:t>
      </w:r>
      <w:r>
        <w:t>meaningful support for the infectious disease outbreak responses.</w:t>
      </w:r>
    </w:p>
    <w:p w14:paraId="2F8E41B4" w14:textId="4C865C73" w:rsidR="00E60D36" w:rsidRDefault="00E60D36" w:rsidP="009F70DB">
      <w:pPr>
        <w:spacing w:after="120" w:line="240" w:lineRule="auto"/>
      </w:pPr>
      <w:r>
        <w:t>Some sub-partners appeared to be doing similar activities (</w:t>
      </w:r>
      <w:proofErr w:type="gramStart"/>
      <w:r>
        <w:t>e.g.</w:t>
      </w:r>
      <w:proofErr w:type="gramEnd"/>
      <w:r>
        <w:t xml:space="preserve"> RCCE) in different locations but were reinventing the wheel rather than learning from each other and capitalising </w:t>
      </w:r>
      <w:r w:rsidR="00F24A48">
        <w:t>up</w:t>
      </w:r>
      <w:r>
        <w:t xml:space="preserve">on each other’s strengths. While partners were coordinating through the </w:t>
      </w:r>
      <w:r w:rsidR="002F51AF">
        <w:t xml:space="preserve">RCCE </w:t>
      </w:r>
      <w:r>
        <w:t>working group, implementation of many activities seemed to occur in isolation. This potentially led to inefficiencies as sub-partners were not able to learn from others’ mistakes and capitalise on each other’s strengths.</w:t>
      </w:r>
    </w:p>
    <w:p w14:paraId="3968A8D4" w14:textId="33EB9E80" w:rsidR="00E60D36" w:rsidRPr="000B71D2" w:rsidRDefault="006C22CF" w:rsidP="00327F0E">
      <w:pPr>
        <w:pStyle w:val="Heading3"/>
        <w:spacing w:line="240" w:lineRule="auto"/>
        <w:rPr>
          <w:rFonts w:cstheme="majorHAnsi"/>
          <w:color w:val="002060"/>
        </w:rPr>
      </w:pPr>
      <w:bookmarkStart w:id="118" w:name="_Toc132584631"/>
      <w:bookmarkStart w:id="119" w:name="_Toc135837441"/>
      <w:r w:rsidRPr="000B71D2">
        <w:rPr>
          <w:rFonts w:cstheme="majorHAnsi"/>
          <w:color w:val="002060"/>
        </w:rPr>
        <w:lastRenderedPageBreak/>
        <w:t>6.</w:t>
      </w:r>
      <w:r w:rsidR="000B71D2" w:rsidRPr="000B71D2">
        <w:rPr>
          <w:rFonts w:cstheme="majorHAnsi"/>
          <w:color w:val="002060"/>
        </w:rPr>
        <w:t>2.</w:t>
      </w:r>
      <w:r w:rsidRPr="000B71D2">
        <w:rPr>
          <w:rFonts w:cstheme="majorHAnsi"/>
          <w:color w:val="002060"/>
        </w:rPr>
        <w:t>5</w:t>
      </w:r>
      <w:r w:rsidRPr="000B71D2">
        <w:rPr>
          <w:rFonts w:cstheme="majorHAnsi"/>
          <w:color w:val="002060"/>
        </w:rPr>
        <w:tab/>
      </w:r>
      <w:proofErr w:type="spellStart"/>
      <w:r w:rsidR="00E60D36" w:rsidRPr="000B71D2">
        <w:rPr>
          <w:rFonts w:cstheme="majorHAnsi"/>
          <w:color w:val="002060"/>
        </w:rPr>
        <w:t>GoI</w:t>
      </w:r>
      <w:proofErr w:type="spellEnd"/>
      <w:r w:rsidR="00E60D36" w:rsidRPr="000B71D2">
        <w:rPr>
          <w:rFonts w:cstheme="majorHAnsi"/>
          <w:color w:val="002060"/>
        </w:rPr>
        <w:t xml:space="preserve"> </w:t>
      </w:r>
      <w:r w:rsidRPr="000B71D2">
        <w:rPr>
          <w:rFonts w:cstheme="majorHAnsi"/>
          <w:color w:val="002060"/>
        </w:rPr>
        <w:t>p</w:t>
      </w:r>
      <w:r w:rsidR="00E60D36" w:rsidRPr="000B71D2">
        <w:rPr>
          <w:rFonts w:cstheme="majorHAnsi"/>
          <w:color w:val="002060"/>
        </w:rPr>
        <w:t xml:space="preserve">artner </w:t>
      </w:r>
      <w:r w:rsidRPr="000B71D2">
        <w:rPr>
          <w:rFonts w:cstheme="majorHAnsi"/>
          <w:color w:val="002060"/>
        </w:rPr>
        <w:t>c</w:t>
      </w:r>
      <w:r w:rsidR="00E60D36" w:rsidRPr="000B71D2">
        <w:rPr>
          <w:rFonts w:cstheme="majorHAnsi"/>
          <w:color w:val="002060"/>
        </w:rPr>
        <w:t>oordination</w:t>
      </w:r>
      <w:bookmarkEnd w:id="118"/>
      <w:bookmarkEnd w:id="119"/>
    </w:p>
    <w:p w14:paraId="66DD6EFC" w14:textId="3A3736B8" w:rsidR="00E60D36" w:rsidRDefault="00E60D36" w:rsidP="009F70DB">
      <w:pPr>
        <w:spacing w:after="120" w:line="240" w:lineRule="auto"/>
      </w:pPr>
      <w:r>
        <w:t xml:space="preserve">Prior to COVID-19, Indonesia did not have a development partner coordination mechanism and </w:t>
      </w:r>
      <w:r w:rsidR="00342B5A">
        <w:t xml:space="preserve">as </w:t>
      </w:r>
      <w:r>
        <w:t xml:space="preserve">COVID-19 emerged, </w:t>
      </w:r>
      <w:proofErr w:type="spellStart"/>
      <w:r>
        <w:t>GoI</w:t>
      </w:r>
      <w:proofErr w:type="spellEnd"/>
      <w:r>
        <w:t xml:space="preserve"> coordination between donors and implementing partners was initially challenging </w:t>
      </w:r>
      <w:r w:rsidR="00331BD1">
        <w:t>[</w:t>
      </w:r>
      <w:r>
        <w:t>multilateral</w:t>
      </w:r>
      <w:r w:rsidR="00331BD1">
        <w:t>]</w:t>
      </w:r>
      <w:r>
        <w:t xml:space="preserve">. This was compounded by several changes in </w:t>
      </w:r>
      <w:r w:rsidR="00844116">
        <w:t xml:space="preserve">the </w:t>
      </w:r>
      <w:proofErr w:type="spellStart"/>
      <w:r w:rsidR="00342B5A">
        <w:t>GoI</w:t>
      </w:r>
      <w:proofErr w:type="spellEnd"/>
      <w:r w:rsidR="00342B5A">
        <w:t xml:space="preserve"> </w:t>
      </w:r>
      <w:r>
        <w:t>management structure. The COVID-19 Handling Task Force (</w:t>
      </w:r>
      <w:proofErr w:type="spellStart"/>
      <w:r w:rsidRPr="00F61BE1">
        <w:rPr>
          <w:i/>
          <w:iCs/>
        </w:rPr>
        <w:t>Satuan</w:t>
      </w:r>
      <w:proofErr w:type="spellEnd"/>
      <w:r w:rsidRPr="00F61BE1">
        <w:rPr>
          <w:i/>
          <w:iCs/>
        </w:rPr>
        <w:t xml:space="preserve"> </w:t>
      </w:r>
      <w:proofErr w:type="spellStart"/>
      <w:r w:rsidRPr="00F61BE1">
        <w:rPr>
          <w:i/>
          <w:iCs/>
        </w:rPr>
        <w:t>Tugas</w:t>
      </w:r>
      <w:proofErr w:type="spellEnd"/>
      <w:r w:rsidRPr="00F61BE1">
        <w:rPr>
          <w:i/>
          <w:iCs/>
        </w:rPr>
        <w:t xml:space="preserve"> </w:t>
      </w:r>
      <w:proofErr w:type="spellStart"/>
      <w:r w:rsidRPr="00F61BE1">
        <w:rPr>
          <w:i/>
          <w:iCs/>
        </w:rPr>
        <w:t>Penanganan</w:t>
      </w:r>
      <w:proofErr w:type="spellEnd"/>
      <w:r w:rsidRPr="00F61BE1">
        <w:rPr>
          <w:i/>
          <w:iCs/>
        </w:rPr>
        <w:t xml:space="preserve"> COVID-19</w:t>
      </w:r>
      <w:r w:rsidR="00331BD1">
        <w:t>]</w:t>
      </w:r>
      <w:r>
        <w:t xml:space="preserve"> at a national level and sub-national taskforces helped to improve coordination among actors involved in the response, including across sectors, and led to increased efficiency and reduced duplication. </w:t>
      </w:r>
      <w:sdt>
        <w:sdtPr>
          <w:rPr>
            <w:color w:val="2B579A"/>
            <w:shd w:val="clear" w:color="auto" w:fill="E6E6E6"/>
          </w:rPr>
          <w:tag w:val="goog_rdk_21"/>
          <w:id w:val="-1575198642"/>
        </w:sdtPr>
        <w:sdtEndPr>
          <w:rPr>
            <w:color w:val="auto"/>
            <w:shd w:val="clear" w:color="auto" w:fill="auto"/>
          </w:rPr>
        </w:sdtEndPr>
        <w:sdtContent/>
      </w:sdt>
      <w:r>
        <w:t xml:space="preserve">WHO supported the national </w:t>
      </w:r>
      <w:proofErr w:type="gramStart"/>
      <w:r>
        <w:t>taskforce</w:t>
      </w:r>
      <w:proofErr w:type="gramEnd"/>
      <w:r>
        <w:t xml:space="preserve"> and </w:t>
      </w:r>
      <w:r w:rsidR="00342B5A">
        <w:t>this</w:t>
      </w:r>
      <w:r>
        <w:t xml:space="preserve"> assisted </w:t>
      </w:r>
      <w:r w:rsidR="00342B5A">
        <w:t xml:space="preserve">partners </w:t>
      </w:r>
      <w:r>
        <w:t>with efficient implementation</w:t>
      </w:r>
      <w:r w:rsidR="00342B5A">
        <w:t>.</w:t>
      </w:r>
      <w:r>
        <w:t xml:space="preserve"> </w:t>
      </w:r>
    </w:p>
    <w:p w14:paraId="46E8C9CD" w14:textId="1AC619B1" w:rsidR="00F24237" w:rsidRDefault="00E60D36" w:rsidP="009F70DB">
      <w:pPr>
        <w:spacing w:after="120" w:line="240" w:lineRule="auto"/>
      </w:pPr>
      <w:r>
        <w:t>WHO also</w:t>
      </w:r>
      <w:r w:rsidR="005A72E5">
        <w:t xml:space="preserve"> </w:t>
      </w:r>
      <w:r>
        <w:t>supported and participated in Indonesia’s Intra Action Review of the COVID-19 response conducted in August 2020 and subsequent IAR monitoring meetings in November 2020, February, April</w:t>
      </w:r>
      <w:r w:rsidR="00844116">
        <w:t xml:space="preserve"> and</w:t>
      </w:r>
      <w:r>
        <w:t xml:space="preserve"> August 2021</w:t>
      </w:r>
      <w:r w:rsidR="005F6C69">
        <w:t>,</w:t>
      </w:r>
      <w:r>
        <w:t xml:space="preserve"> and February and November 2022. This IAR and the subsequent meetings encouraged greater coordination at a </w:t>
      </w:r>
      <w:r w:rsidR="00342B5A">
        <w:t xml:space="preserve">national and </w:t>
      </w:r>
      <w:r>
        <w:t xml:space="preserve">sub-national level </w:t>
      </w:r>
      <w:r w:rsidR="00331BD1">
        <w:t>[</w:t>
      </w:r>
      <w:r>
        <w:t>WHO).</w:t>
      </w:r>
    </w:p>
    <w:p w14:paraId="378CBF0D" w14:textId="2D8A31D0" w:rsidR="00C35236" w:rsidRDefault="00C35236">
      <w:r>
        <w:br w:type="page"/>
      </w:r>
    </w:p>
    <w:p w14:paraId="62860206" w14:textId="77777777" w:rsidR="00F24237" w:rsidRDefault="00F24237" w:rsidP="00425817">
      <w:pPr>
        <w:pStyle w:val="Heading1"/>
        <w:numPr>
          <w:ilvl w:val="0"/>
          <w:numId w:val="11"/>
        </w:numPr>
        <w:spacing w:line="240" w:lineRule="auto"/>
      </w:pPr>
      <w:bookmarkStart w:id="120" w:name="_Toc135837442"/>
      <w:r>
        <w:lastRenderedPageBreak/>
        <w:t>Targeted community groups</w:t>
      </w:r>
      <w:bookmarkEnd w:id="120"/>
    </w:p>
    <w:p w14:paraId="570DB449" w14:textId="47D74822" w:rsidR="00AA4CC2" w:rsidRPr="00CF0126" w:rsidRDefault="00AA4CC2" w:rsidP="003A01FE">
      <w:pPr>
        <w:pStyle w:val="Heading2"/>
        <w:shd w:val="clear" w:color="auto" w:fill="D0CECE" w:themeFill="background2" w:themeFillShade="E6"/>
        <w:spacing w:line="240" w:lineRule="auto"/>
        <w:rPr>
          <w:color w:val="000000" w:themeColor="text1"/>
          <w:sz w:val="24"/>
          <w:szCs w:val="24"/>
        </w:rPr>
      </w:pPr>
      <w:bookmarkStart w:id="121" w:name="_Toc132584633"/>
      <w:bookmarkStart w:id="122" w:name="_Toc135837443"/>
      <w:r w:rsidRPr="4FCF45F9">
        <w:rPr>
          <w:color w:val="000000" w:themeColor="text1"/>
          <w:sz w:val="24"/>
          <w:szCs w:val="24"/>
        </w:rPr>
        <w:t>KEQ 4.1</w:t>
      </w:r>
      <w:r w:rsidR="00A64A09" w:rsidRPr="4FCF45F9">
        <w:rPr>
          <w:color w:val="000000" w:themeColor="text1"/>
          <w:sz w:val="24"/>
          <w:szCs w:val="24"/>
        </w:rPr>
        <w:t>: Are the programs contributing to aspects of the health system that will likely result in improved health outcomes for a) women and girls b) people with disabilit</w:t>
      </w:r>
      <w:r w:rsidR="0003555A">
        <w:rPr>
          <w:color w:val="000000" w:themeColor="text1"/>
          <w:sz w:val="24"/>
          <w:szCs w:val="24"/>
        </w:rPr>
        <w:t>ies</w:t>
      </w:r>
      <w:r w:rsidR="00A64A09" w:rsidRPr="4FCF45F9">
        <w:rPr>
          <w:color w:val="000000" w:themeColor="text1"/>
          <w:sz w:val="24"/>
          <w:szCs w:val="24"/>
        </w:rPr>
        <w:t xml:space="preserve"> c) the elderly? D) other at-risk groups? How?</w:t>
      </w:r>
      <w:bookmarkEnd w:id="121"/>
      <w:bookmarkEnd w:id="122"/>
    </w:p>
    <w:p w14:paraId="68B2F965" w14:textId="365E4E86" w:rsidR="00A64A09" w:rsidRDefault="00A64A09" w:rsidP="009F70DB">
      <w:pPr>
        <w:spacing w:after="120" w:line="240" w:lineRule="auto"/>
      </w:pPr>
      <w:r>
        <w:t>Gender, sex, age</w:t>
      </w:r>
      <w:r w:rsidR="00C530DC">
        <w:t>,</w:t>
      </w:r>
      <w:r>
        <w:t xml:space="preserve"> disability, ethnicity, geographic </w:t>
      </w:r>
      <w:proofErr w:type="gramStart"/>
      <w:r>
        <w:t>location</w:t>
      </w:r>
      <w:proofErr w:type="gramEnd"/>
      <w:r>
        <w:t xml:space="preserve"> and other factors can impact people’s risk of disease burden</w:t>
      </w:r>
      <w:r w:rsidR="005A72E5">
        <w:t>.</w:t>
      </w:r>
      <w:r>
        <w:rPr>
          <w:vertAlign w:val="superscript"/>
        </w:rPr>
        <w:footnoteReference w:id="30"/>
      </w:r>
      <w:r>
        <w:t xml:space="preserve"> During 2020-2023, and particularly during COVID-19, groups considered more at risk of negative health outcomes in Indonesia included women and girls, people with disabilit</w:t>
      </w:r>
      <w:r w:rsidR="0003555A">
        <w:t>ies</w:t>
      </w:r>
      <w:r>
        <w:t>, the elderl</w:t>
      </w:r>
      <w:sdt>
        <w:sdtPr>
          <w:rPr>
            <w:color w:val="2B579A"/>
            <w:shd w:val="clear" w:color="auto" w:fill="E6E6E6"/>
          </w:rPr>
          <w:tag w:val="goog_rdk_0"/>
          <w:id w:val="64458742"/>
          <w:placeholder>
            <w:docPart w:val="DefaultPlaceholder_1081868574"/>
          </w:placeholder>
        </w:sdtPr>
        <w:sdtEndPr>
          <w:rPr>
            <w:color w:val="auto"/>
            <w:shd w:val="clear" w:color="auto" w:fill="auto"/>
          </w:rPr>
        </w:sdtEndPr>
        <w:sdtContent/>
      </w:sdt>
      <w:r>
        <w:t>y, children, youth, refugees and those living in remote areas. This section focuses on the first four of these groups based on partner activities and the evidence available.</w:t>
      </w:r>
    </w:p>
    <w:p w14:paraId="351675CD" w14:textId="6624769C" w:rsidR="00A64A09" w:rsidRPr="006C22CF" w:rsidRDefault="00A64A09" w:rsidP="00425817">
      <w:pPr>
        <w:pStyle w:val="Heading2"/>
        <w:numPr>
          <w:ilvl w:val="1"/>
          <w:numId w:val="11"/>
        </w:numPr>
        <w:spacing w:line="240" w:lineRule="auto"/>
      </w:pPr>
      <w:bookmarkStart w:id="123" w:name="_Toc135837444"/>
      <w:r w:rsidRPr="006C22CF">
        <w:t>Context</w:t>
      </w:r>
      <w:bookmarkEnd w:id="123"/>
    </w:p>
    <w:p w14:paraId="6F1222B4" w14:textId="284FD31C" w:rsidR="005E49F0" w:rsidRDefault="00653C01" w:rsidP="005E49F0">
      <w:pPr>
        <w:pBdr>
          <w:top w:val="nil"/>
          <w:left w:val="nil"/>
          <w:bottom w:val="nil"/>
          <w:right w:val="nil"/>
          <w:between w:val="nil"/>
        </w:pBdr>
        <w:spacing w:after="120" w:line="240" w:lineRule="auto"/>
        <w:rPr>
          <w:rFonts w:ascii="Calibri" w:eastAsia="Calibri" w:hAnsi="Calibri" w:cs="Calibri"/>
          <w:color w:val="000000"/>
        </w:rPr>
      </w:pPr>
      <w:r w:rsidRPr="00EB4D7F">
        <w:rPr>
          <w:rFonts w:ascii="Calibri" w:eastAsia="Calibri" w:hAnsi="Calibri" w:cs="Calibri"/>
          <w:color w:val="000000"/>
        </w:rPr>
        <w:t>Approximately half of the population (49.6%) in Indonesia is female.</w:t>
      </w:r>
      <w:r w:rsidRPr="00EB4D7F">
        <w:rPr>
          <w:rStyle w:val="FootnoteReference"/>
          <w:rFonts w:ascii="Calibri" w:eastAsia="Calibri" w:hAnsi="Calibri" w:cs="Calibri"/>
          <w:color w:val="000000"/>
        </w:rPr>
        <w:footnoteReference w:id="31"/>
      </w:r>
      <w:r w:rsidRPr="00EB4D7F">
        <w:rPr>
          <w:rFonts w:ascii="Calibri" w:eastAsia="Calibri" w:hAnsi="Calibri" w:cs="Calibri"/>
          <w:color w:val="000000"/>
        </w:rPr>
        <w:t xml:space="preserve"> A gender analysis</w:t>
      </w:r>
      <w:r w:rsidR="0058302D" w:rsidRPr="00EB4D7F">
        <w:rPr>
          <w:rStyle w:val="FootnoteReference"/>
          <w:rFonts w:ascii="Calibri" w:eastAsia="Calibri" w:hAnsi="Calibri" w:cs="Calibri"/>
          <w:color w:val="000000"/>
        </w:rPr>
        <w:footnoteReference w:id="32"/>
      </w:r>
      <w:r w:rsidRPr="00EB4D7F">
        <w:rPr>
          <w:rFonts w:ascii="Calibri" w:eastAsia="Calibri" w:hAnsi="Calibri" w:cs="Calibri"/>
          <w:color w:val="000000"/>
        </w:rPr>
        <w:t xml:space="preserve"> conducted by AIHSP in </w:t>
      </w:r>
      <w:r w:rsidR="009A7A5A">
        <w:rPr>
          <w:rFonts w:ascii="Calibri" w:eastAsia="Calibri" w:hAnsi="Calibri" w:cs="Calibri"/>
          <w:color w:val="000000"/>
        </w:rPr>
        <w:t xml:space="preserve">the </w:t>
      </w:r>
      <w:r w:rsidR="00A20B68">
        <w:rPr>
          <w:rFonts w:ascii="Calibri" w:eastAsia="Calibri" w:hAnsi="Calibri" w:cs="Calibri"/>
          <w:color w:val="000000"/>
        </w:rPr>
        <w:t xml:space="preserve">initial </w:t>
      </w:r>
      <w:r w:rsidRPr="00EB4D7F">
        <w:rPr>
          <w:rFonts w:ascii="Calibri" w:eastAsia="Calibri" w:hAnsi="Calibri" w:cs="Calibri"/>
          <w:color w:val="000000"/>
        </w:rPr>
        <w:t xml:space="preserve">four </w:t>
      </w:r>
      <w:r w:rsidR="009A7A5A">
        <w:rPr>
          <w:rFonts w:ascii="Calibri" w:eastAsia="Calibri" w:hAnsi="Calibri" w:cs="Calibri"/>
          <w:color w:val="000000"/>
        </w:rPr>
        <w:t xml:space="preserve">priority </w:t>
      </w:r>
      <w:r w:rsidRPr="00EB4D7F">
        <w:rPr>
          <w:rFonts w:ascii="Calibri" w:eastAsia="Calibri" w:hAnsi="Calibri" w:cs="Calibri"/>
          <w:color w:val="000000"/>
        </w:rPr>
        <w:t xml:space="preserve">provinces (Central Java, </w:t>
      </w:r>
      <w:r w:rsidR="000C5CC4" w:rsidRPr="00EB4D7F">
        <w:rPr>
          <w:rFonts w:ascii="Calibri" w:eastAsia="Calibri" w:hAnsi="Calibri" w:cs="Calibri"/>
          <w:color w:val="000000"/>
        </w:rPr>
        <w:t xml:space="preserve">Yogyakarta, South </w:t>
      </w:r>
      <w:proofErr w:type="gramStart"/>
      <w:r w:rsidR="000C5CC4" w:rsidRPr="00EB4D7F">
        <w:rPr>
          <w:rFonts w:ascii="Calibri" w:eastAsia="Calibri" w:hAnsi="Calibri" w:cs="Calibri"/>
          <w:color w:val="000000"/>
        </w:rPr>
        <w:t>Sulawesi</w:t>
      </w:r>
      <w:proofErr w:type="gramEnd"/>
      <w:r w:rsidR="000C5CC4" w:rsidRPr="00EB4D7F">
        <w:rPr>
          <w:rFonts w:ascii="Calibri" w:eastAsia="Calibri" w:hAnsi="Calibri" w:cs="Calibri"/>
          <w:color w:val="000000"/>
        </w:rPr>
        <w:t xml:space="preserve"> and Bali) found women carried a heavier burden than men in managing both household duties and employment</w:t>
      </w:r>
      <w:r w:rsidR="007023D8" w:rsidRPr="00EB4D7F">
        <w:rPr>
          <w:rFonts w:ascii="Calibri" w:eastAsia="Calibri" w:hAnsi="Calibri" w:cs="Calibri"/>
          <w:color w:val="000000"/>
        </w:rPr>
        <w:t xml:space="preserve">, indicating a need for flexible access for women to health services. All locations noted </w:t>
      </w:r>
      <w:r w:rsidR="009A7A5A">
        <w:rPr>
          <w:rFonts w:ascii="Calibri" w:eastAsia="Calibri" w:hAnsi="Calibri" w:cs="Calibri"/>
          <w:color w:val="000000"/>
        </w:rPr>
        <w:t>that</w:t>
      </w:r>
      <w:r w:rsidR="007023D8" w:rsidRPr="00EB4D7F">
        <w:rPr>
          <w:rFonts w:ascii="Calibri" w:eastAsia="Calibri" w:hAnsi="Calibri" w:cs="Calibri"/>
          <w:color w:val="000000"/>
        </w:rPr>
        <w:t xml:space="preserve"> women had challenges accessing health care. </w:t>
      </w:r>
      <w:r w:rsidR="009A7A5A">
        <w:rPr>
          <w:rFonts w:ascii="Calibri" w:eastAsia="Calibri" w:hAnsi="Calibri" w:cs="Calibri"/>
          <w:color w:val="000000"/>
        </w:rPr>
        <w:t>A</w:t>
      </w:r>
      <w:r w:rsidR="007023D8" w:rsidRPr="00EB4D7F">
        <w:rPr>
          <w:rFonts w:ascii="Calibri" w:eastAsia="Calibri" w:hAnsi="Calibri" w:cs="Calibri"/>
          <w:color w:val="000000"/>
        </w:rPr>
        <w:t xml:space="preserve"> high proportion of women played a role in decision-making about their health care in all four provinces, indicating that health care messages targeting women only could be effective. However, </w:t>
      </w:r>
      <w:r w:rsidR="00E91B57" w:rsidRPr="00EB4D7F">
        <w:rPr>
          <w:rFonts w:ascii="Calibri" w:eastAsia="Calibri" w:hAnsi="Calibri" w:cs="Calibri"/>
          <w:color w:val="000000"/>
        </w:rPr>
        <w:t>generally limited</w:t>
      </w:r>
      <w:r w:rsidR="007023D8" w:rsidRPr="00EB4D7F">
        <w:rPr>
          <w:rFonts w:ascii="Calibri" w:eastAsia="Calibri" w:hAnsi="Calibri" w:cs="Calibri"/>
          <w:color w:val="000000"/>
        </w:rPr>
        <w:t xml:space="preserve"> access to the internet for women across </w:t>
      </w:r>
      <w:r w:rsidR="00E91B57" w:rsidRPr="00EB4D7F">
        <w:rPr>
          <w:rFonts w:ascii="Calibri" w:eastAsia="Calibri" w:hAnsi="Calibri" w:cs="Calibri"/>
          <w:color w:val="000000"/>
        </w:rPr>
        <w:t xml:space="preserve">the </w:t>
      </w:r>
      <w:r w:rsidR="007023D8" w:rsidRPr="00EB4D7F">
        <w:rPr>
          <w:rFonts w:ascii="Calibri" w:eastAsia="Calibri" w:hAnsi="Calibri" w:cs="Calibri"/>
          <w:color w:val="000000"/>
        </w:rPr>
        <w:t>provinces</w:t>
      </w:r>
      <w:r w:rsidR="009A7A5A">
        <w:rPr>
          <w:rFonts w:ascii="Calibri" w:eastAsia="Calibri" w:hAnsi="Calibri" w:cs="Calibri"/>
          <w:color w:val="000000"/>
        </w:rPr>
        <w:t>,</w:t>
      </w:r>
      <w:r w:rsidR="00E91B57" w:rsidRPr="00EB4D7F">
        <w:rPr>
          <w:rFonts w:ascii="Calibri" w:eastAsia="Calibri" w:hAnsi="Calibri" w:cs="Calibri"/>
          <w:color w:val="000000"/>
        </w:rPr>
        <w:t xml:space="preserve"> except Yogyakarta</w:t>
      </w:r>
      <w:r w:rsidR="009A7A5A">
        <w:rPr>
          <w:rFonts w:ascii="Calibri" w:eastAsia="Calibri" w:hAnsi="Calibri" w:cs="Calibri"/>
          <w:color w:val="000000"/>
        </w:rPr>
        <w:t>,</w:t>
      </w:r>
      <w:r w:rsidR="007023D8" w:rsidRPr="00EB4D7F">
        <w:rPr>
          <w:rFonts w:ascii="Calibri" w:eastAsia="Calibri" w:hAnsi="Calibri" w:cs="Calibri"/>
          <w:color w:val="000000"/>
        </w:rPr>
        <w:t xml:space="preserve"> </w:t>
      </w:r>
      <w:r w:rsidR="00E91B57" w:rsidRPr="00EB4D7F">
        <w:rPr>
          <w:rFonts w:ascii="Calibri" w:eastAsia="Calibri" w:hAnsi="Calibri" w:cs="Calibri"/>
          <w:color w:val="000000"/>
        </w:rPr>
        <w:t>demonstrat</w:t>
      </w:r>
      <w:r w:rsidR="009A7A5A">
        <w:rPr>
          <w:rFonts w:ascii="Calibri" w:eastAsia="Calibri" w:hAnsi="Calibri" w:cs="Calibri"/>
          <w:color w:val="000000"/>
        </w:rPr>
        <w:t>ed</w:t>
      </w:r>
      <w:r w:rsidR="00E91B57" w:rsidRPr="00EB4D7F">
        <w:rPr>
          <w:rFonts w:ascii="Calibri" w:eastAsia="Calibri" w:hAnsi="Calibri" w:cs="Calibri"/>
          <w:color w:val="000000"/>
        </w:rPr>
        <w:t xml:space="preserve"> the need for multimodal communication. Violence against women and children was a concern in all four provinces</w:t>
      </w:r>
      <w:r w:rsidR="00310FF1" w:rsidRPr="00EB4D7F">
        <w:rPr>
          <w:rFonts w:ascii="Calibri" w:eastAsia="Calibri" w:hAnsi="Calibri" w:cs="Calibri"/>
          <w:color w:val="000000"/>
        </w:rPr>
        <w:t xml:space="preserve"> and global</w:t>
      </w:r>
      <w:r w:rsidR="003A01FE">
        <w:rPr>
          <w:rFonts w:ascii="Calibri" w:eastAsia="Calibri" w:hAnsi="Calibri" w:cs="Calibri"/>
          <w:color w:val="000000"/>
        </w:rPr>
        <w:t xml:space="preserve">ly </w:t>
      </w:r>
      <w:r w:rsidR="00A20B68">
        <w:rPr>
          <w:rFonts w:ascii="Calibri" w:eastAsia="Calibri" w:hAnsi="Calibri" w:cs="Calibri"/>
          <w:color w:val="000000"/>
        </w:rPr>
        <w:t>such</w:t>
      </w:r>
      <w:r w:rsidR="00310FF1" w:rsidRPr="00EB4D7F">
        <w:rPr>
          <w:rFonts w:ascii="Calibri" w:eastAsia="Calibri" w:hAnsi="Calibri" w:cs="Calibri"/>
          <w:color w:val="000000"/>
        </w:rPr>
        <w:t xml:space="preserve"> forms of violence have intensified since COVID-19.</w:t>
      </w:r>
      <w:r w:rsidR="00310FF1" w:rsidRPr="00EB4D7F">
        <w:rPr>
          <w:rStyle w:val="FootnoteReference"/>
          <w:rFonts w:ascii="Calibri" w:eastAsia="Calibri" w:hAnsi="Calibri" w:cs="Calibri"/>
          <w:color w:val="000000"/>
        </w:rPr>
        <w:footnoteReference w:id="33"/>
      </w:r>
    </w:p>
    <w:p w14:paraId="240CBA6C" w14:textId="6C256506" w:rsidR="00633CC2" w:rsidRPr="00147A52" w:rsidRDefault="00633CC2" w:rsidP="005E49F0">
      <w:pPr>
        <w:pBdr>
          <w:top w:val="nil"/>
          <w:left w:val="nil"/>
          <w:bottom w:val="nil"/>
          <w:right w:val="nil"/>
          <w:between w:val="nil"/>
        </w:pBdr>
        <w:spacing w:after="120" w:line="240" w:lineRule="auto"/>
        <w:rPr>
          <w:rFonts w:eastAsia="Calibri" w:cstheme="minorHAnsi"/>
          <w:color w:val="000000"/>
        </w:rPr>
      </w:pPr>
      <w:r w:rsidRPr="00147A52">
        <w:rPr>
          <w:rFonts w:eastAsia="Calibri" w:cstheme="minorHAnsi"/>
          <w:color w:val="000000"/>
        </w:rPr>
        <w:t xml:space="preserve">Approximately </w:t>
      </w:r>
      <w:r w:rsidR="00A64A09" w:rsidRPr="00147A52">
        <w:rPr>
          <w:rFonts w:eastAsia="Calibri" w:cstheme="minorHAnsi"/>
          <w:color w:val="000000"/>
        </w:rPr>
        <w:t>14.2% of Indonesia’s population have a disability.</w:t>
      </w:r>
      <w:r w:rsidR="007E300D" w:rsidRPr="00147A52">
        <w:rPr>
          <w:rStyle w:val="FootnoteReference"/>
          <w:rFonts w:eastAsia="Calibri" w:cstheme="minorHAnsi"/>
          <w:color w:val="000000"/>
        </w:rPr>
        <w:footnoteReference w:id="34"/>
      </w:r>
      <w:r w:rsidR="00A64A09" w:rsidRPr="00147A52">
        <w:rPr>
          <w:rFonts w:eastAsia="Calibri" w:cstheme="minorHAnsi"/>
          <w:color w:val="000000"/>
        </w:rPr>
        <w:t xml:space="preserve"> The WHO estimates that 1</w:t>
      </w:r>
      <w:r w:rsidR="007E300D" w:rsidRPr="00147A52">
        <w:rPr>
          <w:rFonts w:eastAsia="Calibri" w:cstheme="minorHAnsi"/>
          <w:color w:val="000000"/>
        </w:rPr>
        <w:t>6</w:t>
      </w:r>
      <w:r w:rsidR="00A64A09" w:rsidRPr="00147A52">
        <w:rPr>
          <w:rFonts w:eastAsia="Calibri" w:cstheme="minorHAnsi"/>
          <w:color w:val="000000"/>
        </w:rPr>
        <w:t>% of</w:t>
      </w:r>
      <w:r w:rsidR="002C2EA9" w:rsidRPr="00147A52">
        <w:rPr>
          <w:rFonts w:eastAsia="Calibri" w:cstheme="minorHAnsi"/>
          <w:color w:val="000000"/>
        </w:rPr>
        <w:t xml:space="preserve"> </w:t>
      </w:r>
      <w:r w:rsidR="00A64A09" w:rsidRPr="00147A52">
        <w:rPr>
          <w:rFonts w:eastAsia="Calibri" w:cstheme="minorHAnsi"/>
          <w:color w:val="000000"/>
        </w:rPr>
        <w:t>world’s population live with some form of disability</w:t>
      </w:r>
      <w:r w:rsidR="006B02A1" w:rsidRPr="00147A52">
        <w:rPr>
          <w:rFonts w:eastAsia="Calibri" w:cstheme="minorHAnsi"/>
          <w:color w:val="000000"/>
        </w:rPr>
        <w:t>.</w:t>
      </w:r>
      <w:r w:rsidR="00A64A09" w:rsidRPr="00147A52">
        <w:rPr>
          <w:rFonts w:cstheme="minorHAnsi"/>
          <w:vertAlign w:val="superscript"/>
        </w:rPr>
        <w:footnoteReference w:id="35"/>
      </w:r>
      <w:r w:rsidRPr="00147A52">
        <w:rPr>
          <w:rFonts w:cstheme="minorHAnsi"/>
          <w:color w:val="4472C4"/>
        </w:rPr>
        <w:t xml:space="preserve"> </w:t>
      </w:r>
      <w:r w:rsidR="00A64A09" w:rsidRPr="00147A52">
        <w:rPr>
          <w:rFonts w:eastAsia="Calibri" w:cstheme="minorHAnsi"/>
          <w:color w:val="000000"/>
        </w:rPr>
        <w:t xml:space="preserve">Disability data is not systematically collected by the health system in Indonesia, and hence </w:t>
      </w:r>
      <w:r w:rsidR="00A20B68">
        <w:rPr>
          <w:rFonts w:eastAsia="Calibri" w:cstheme="minorHAnsi"/>
          <w:color w:val="000000"/>
        </w:rPr>
        <w:t xml:space="preserve">it </w:t>
      </w:r>
      <w:r w:rsidR="00A64A09" w:rsidRPr="00147A52">
        <w:rPr>
          <w:rFonts w:eastAsia="Calibri" w:cstheme="minorHAnsi"/>
          <w:color w:val="000000"/>
        </w:rPr>
        <w:t>is largely non-existent or very limite</w:t>
      </w:r>
      <w:sdt>
        <w:sdtPr>
          <w:rPr>
            <w:rFonts w:cstheme="minorHAnsi"/>
            <w:color w:val="2B579A"/>
            <w:shd w:val="clear" w:color="auto" w:fill="E6E6E6"/>
          </w:rPr>
          <w:tag w:val="goog_rdk_1"/>
          <w:id w:val="-158385667"/>
          <w:placeholder>
            <w:docPart w:val="DefaultPlaceholder_1081868574"/>
          </w:placeholder>
        </w:sdtPr>
        <w:sdtEndPr/>
        <w:sdtContent/>
      </w:sdt>
      <w:r w:rsidR="00A64A09" w:rsidRPr="00147A52">
        <w:rPr>
          <w:rFonts w:eastAsia="Calibri" w:cstheme="minorHAnsi"/>
          <w:color w:val="000000"/>
        </w:rPr>
        <w:t>d.</w:t>
      </w:r>
    </w:p>
    <w:p w14:paraId="4FB7E114" w14:textId="68B02FF3" w:rsidR="00A64A09" w:rsidRPr="00147A52" w:rsidRDefault="00633CC2" w:rsidP="009F70DB">
      <w:pPr>
        <w:pBdr>
          <w:top w:val="nil"/>
          <w:left w:val="nil"/>
          <w:bottom w:val="nil"/>
          <w:right w:val="nil"/>
          <w:between w:val="nil"/>
        </w:pBdr>
        <w:spacing w:after="120" w:line="240" w:lineRule="auto"/>
        <w:rPr>
          <w:rFonts w:cstheme="minorHAnsi"/>
          <w:color w:val="000000"/>
        </w:rPr>
      </w:pPr>
      <w:r w:rsidRPr="00147A52">
        <w:rPr>
          <w:rFonts w:eastAsia="Calibri" w:cstheme="minorHAnsi"/>
          <w:color w:val="000000"/>
        </w:rPr>
        <w:t xml:space="preserve">Approximately 10.7% of Indonesia’s population is </w:t>
      </w:r>
      <w:r w:rsidRPr="00147A52">
        <w:rPr>
          <w:rFonts w:eastAsia="Calibri" w:cstheme="minorHAnsi"/>
          <w:color w:val="000000" w:themeColor="text1"/>
        </w:rPr>
        <w:t>elderly</w:t>
      </w:r>
      <w:r w:rsidR="007E300D" w:rsidRPr="00147A52">
        <w:rPr>
          <w:rFonts w:eastAsia="Calibri" w:cstheme="minorHAnsi"/>
          <w:color w:val="000000"/>
        </w:rPr>
        <w:t>.</w:t>
      </w:r>
      <w:r w:rsidR="007E300D" w:rsidRPr="00147A52">
        <w:rPr>
          <w:rStyle w:val="FootnoteReference"/>
          <w:rFonts w:eastAsia="Calibri" w:cstheme="minorHAnsi"/>
          <w:color w:val="000000"/>
        </w:rPr>
        <w:footnoteReference w:id="36"/>
      </w:r>
      <w:r w:rsidRPr="00147A52">
        <w:rPr>
          <w:rFonts w:eastAsia="Calibri" w:cstheme="minorHAnsi"/>
          <w:color w:val="000000"/>
        </w:rPr>
        <w:t xml:space="preserve"> </w:t>
      </w:r>
      <w:r w:rsidR="00A64A09" w:rsidRPr="00147A52">
        <w:rPr>
          <w:rFonts w:eastAsia="Calibri" w:cstheme="minorHAnsi"/>
          <w:color w:val="000000"/>
        </w:rPr>
        <w:t>A significant proportion of elderly people and people with disabilit</w:t>
      </w:r>
      <w:r w:rsidR="0003555A">
        <w:rPr>
          <w:rFonts w:eastAsia="Calibri" w:cstheme="minorHAnsi"/>
          <w:color w:val="000000"/>
        </w:rPr>
        <w:t>ies</w:t>
      </w:r>
      <w:r w:rsidR="00A64A09" w:rsidRPr="00147A52">
        <w:rPr>
          <w:rFonts w:eastAsia="Calibri" w:cstheme="minorHAnsi"/>
          <w:color w:val="000000"/>
        </w:rPr>
        <w:t xml:space="preserve"> are yet to be vaccinated with their third COVID-19 dose</w:t>
      </w:r>
      <w:sdt>
        <w:sdtPr>
          <w:rPr>
            <w:rFonts w:cstheme="minorHAnsi"/>
            <w:color w:val="2B579A"/>
            <w:shd w:val="clear" w:color="auto" w:fill="E6E6E6"/>
          </w:rPr>
          <w:tag w:val="goog_rdk_2"/>
          <w:id w:val="82116943"/>
          <w:placeholder>
            <w:docPart w:val="DefaultPlaceholder_1081868574"/>
          </w:placeholder>
        </w:sdtPr>
        <w:sdtEndPr/>
        <w:sdtContent/>
      </w:sdt>
      <w:sdt>
        <w:sdtPr>
          <w:rPr>
            <w:rFonts w:cstheme="minorHAnsi"/>
            <w:color w:val="2B579A"/>
            <w:shd w:val="clear" w:color="auto" w:fill="E6E6E6"/>
          </w:rPr>
          <w:tag w:val="goog_rdk_3"/>
          <w:id w:val="2135295383"/>
          <w:placeholder>
            <w:docPart w:val="DefaultPlaceholder_1081868574"/>
          </w:placeholder>
          <w:showingPlcHdr/>
        </w:sdtPr>
        <w:sdtEndPr/>
        <w:sdtContent/>
      </w:sdt>
      <w:r w:rsidR="00A64A09" w:rsidRPr="00147A52">
        <w:rPr>
          <w:rFonts w:eastAsia="Calibri" w:cstheme="minorHAnsi"/>
          <w:color w:val="000000"/>
        </w:rPr>
        <w:t xml:space="preserve">. </w:t>
      </w:r>
      <w:r w:rsidR="00D276C2" w:rsidRPr="00147A52">
        <w:rPr>
          <w:rFonts w:eastAsia="Calibri" w:cstheme="minorHAnsi"/>
          <w:color w:val="000000"/>
        </w:rPr>
        <w:t>According to a few interviewees working at a district level in South Sulawesi, t</w:t>
      </w:r>
      <w:r w:rsidR="00A64A09" w:rsidRPr="00147A52">
        <w:rPr>
          <w:rFonts w:eastAsia="Calibri" w:cstheme="minorHAnsi"/>
          <w:color w:val="000000"/>
        </w:rPr>
        <w:t>here is still significant resistance to vaccination</w:t>
      </w:r>
      <w:r w:rsidR="00D276C2" w:rsidRPr="00147A52">
        <w:rPr>
          <w:rFonts w:eastAsia="Calibri" w:cstheme="minorHAnsi"/>
          <w:color w:val="000000"/>
        </w:rPr>
        <w:t xml:space="preserve"> among the elderly and people with disabilities</w:t>
      </w:r>
      <w:r w:rsidR="00A64A09" w:rsidRPr="00147A52">
        <w:rPr>
          <w:rFonts w:eastAsia="Calibri" w:cstheme="minorHAnsi"/>
          <w:color w:val="000000"/>
        </w:rPr>
        <w:t xml:space="preserve">, as </w:t>
      </w:r>
      <w:r w:rsidR="00AF08A3">
        <w:rPr>
          <w:rFonts w:eastAsia="Calibri" w:cstheme="minorHAnsi"/>
          <w:color w:val="000000"/>
        </w:rPr>
        <w:t>these groups and others</w:t>
      </w:r>
      <w:r w:rsidR="00A64A09" w:rsidRPr="00147A52">
        <w:rPr>
          <w:rFonts w:eastAsia="Calibri" w:cstheme="minorHAnsi"/>
          <w:color w:val="000000"/>
        </w:rPr>
        <w:t xml:space="preserve"> believe that COVID-19 is no longer an issue, they confuse other vaccinations with those for COVID-19</w:t>
      </w:r>
      <w:r w:rsidR="00C30C41" w:rsidRPr="00147A52">
        <w:rPr>
          <w:rFonts w:eastAsia="Calibri" w:cstheme="minorHAnsi"/>
          <w:color w:val="000000"/>
        </w:rPr>
        <w:t xml:space="preserve">, </w:t>
      </w:r>
      <w:r w:rsidR="00A64A09" w:rsidRPr="00147A52">
        <w:rPr>
          <w:rFonts w:eastAsia="Calibri" w:cstheme="minorHAnsi"/>
          <w:color w:val="000000"/>
        </w:rPr>
        <w:t xml:space="preserve">and/or </w:t>
      </w:r>
      <w:r w:rsidR="00922A48" w:rsidRPr="00147A52">
        <w:rPr>
          <w:rFonts w:eastAsia="Calibri" w:cstheme="minorHAnsi"/>
          <w:color w:val="000000"/>
        </w:rPr>
        <w:t xml:space="preserve">they </w:t>
      </w:r>
      <w:r w:rsidR="00A64A09" w:rsidRPr="00147A52">
        <w:rPr>
          <w:rFonts w:eastAsia="Calibri" w:cstheme="minorHAnsi"/>
          <w:color w:val="000000"/>
        </w:rPr>
        <w:t>are prone to believing vaccine hoaxes. Intermittent supply of vaccines, limited capacity of health care workers to promote vaccination</w:t>
      </w:r>
      <w:r w:rsidR="00C30C41" w:rsidRPr="00147A52">
        <w:rPr>
          <w:rFonts w:eastAsia="Calibri" w:cstheme="minorHAnsi"/>
          <w:color w:val="000000"/>
        </w:rPr>
        <w:t>, lack of understanding of educational information,</w:t>
      </w:r>
      <w:r w:rsidR="00A64A09" w:rsidRPr="00147A52">
        <w:rPr>
          <w:rFonts w:eastAsia="Calibri" w:cstheme="minorHAnsi"/>
          <w:color w:val="000000"/>
        </w:rPr>
        <w:t xml:space="preserve"> </w:t>
      </w:r>
      <w:r w:rsidR="00C30C41" w:rsidRPr="00147A52">
        <w:rPr>
          <w:rFonts w:eastAsia="Calibri" w:cstheme="minorHAnsi"/>
          <w:color w:val="000000"/>
        </w:rPr>
        <w:t xml:space="preserve">negative attitudes of local leaders to vaccination </w:t>
      </w:r>
      <w:r w:rsidR="00A64A09" w:rsidRPr="00147A52">
        <w:rPr>
          <w:rFonts w:eastAsia="Calibri" w:cstheme="minorHAnsi"/>
          <w:color w:val="000000"/>
        </w:rPr>
        <w:t>and reaching at-risk groups in remote areas have also been issues</w:t>
      </w:r>
      <w:r w:rsidR="00D276C2" w:rsidRPr="00147A52">
        <w:rPr>
          <w:rFonts w:eastAsia="Calibri" w:cstheme="minorHAnsi"/>
          <w:color w:val="000000"/>
        </w:rPr>
        <w:t xml:space="preserve"> for achieving </w:t>
      </w:r>
      <w:r w:rsidR="00C30C41" w:rsidRPr="00147A52">
        <w:rPr>
          <w:rFonts w:eastAsia="Calibri" w:cstheme="minorHAnsi"/>
          <w:color w:val="000000"/>
        </w:rPr>
        <w:t xml:space="preserve">sufficient </w:t>
      </w:r>
      <w:r w:rsidR="00D276C2" w:rsidRPr="00147A52">
        <w:rPr>
          <w:rFonts w:eastAsia="Calibri" w:cstheme="minorHAnsi"/>
          <w:color w:val="000000"/>
        </w:rPr>
        <w:t xml:space="preserve">last mile vaccination </w:t>
      </w:r>
      <w:r w:rsidR="00922A48" w:rsidRPr="00147A52">
        <w:rPr>
          <w:rFonts w:eastAsia="Calibri" w:cstheme="minorHAnsi"/>
          <w:color w:val="000000"/>
        </w:rPr>
        <w:t>of</w:t>
      </w:r>
      <w:r w:rsidR="00D123C1" w:rsidRPr="00147A52">
        <w:rPr>
          <w:rFonts w:eastAsia="Calibri" w:cstheme="minorHAnsi"/>
          <w:color w:val="000000"/>
        </w:rPr>
        <w:t xml:space="preserve"> the general population</w:t>
      </w:r>
      <w:r w:rsidR="00A64A09" w:rsidRPr="00147A52">
        <w:rPr>
          <w:rFonts w:eastAsia="Calibri" w:cstheme="minorHAnsi"/>
          <w:color w:val="000000"/>
        </w:rPr>
        <w:t>.</w:t>
      </w:r>
      <w:r w:rsidR="00D123C1" w:rsidRPr="00147A52">
        <w:rPr>
          <w:rStyle w:val="FootnoteReference"/>
          <w:rFonts w:eastAsia="Calibri" w:cstheme="minorHAnsi"/>
          <w:color w:val="000000"/>
        </w:rPr>
        <w:footnoteReference w:id="37"/>
      </w:r>
    </w:p>
    <w:p w14:paraId="781214B1" w14:textId="09903375" w:rsidR="006C3F89" w:rsidRPr="00147A52" w:rsidRDefault="00922A48" w:rsidP="009F70DB">
      <w:pPr>
        <w:pBdr>
          <w:top w:val="nil"/>
          <w:left w:val="nil"/>
          <w:bottom w:val="nil"/>
          <w:right w:val="nil"/>
          <w:between w:val="nil"/>
        </w:pBdr>
        <w:spacing w:after="120" w:line="240" w:lineRule="auto"/>
        <w:rPr>
          <w:rFonts w:cstheme="minorHAnsi"/>
          <w:color w:val="000000"/>
          <w:sz w:val="24"/>
          <w:szCs w:val="24"/>
        </w:rPr>
      </w:pPr>
      <w:r w:rsidRPr="00147A52">
        <w:rPr>
          <w:rFonts w:eastAsia="Calibri" w:cstheme="minorHAnsi"/>
          <w:color w:val="000000"/>
          <w:highlight w:val="white"/>
        </w:rPr>
        <w:t>Children</w:t>
      </w:r>
      <w:r w:rsidR="00633CC2" w:rsidRPr="00147A52">
        <w:rPr>
          <w:rFonts w:eastAsia="Calibri" w:cstheme="minorHAnsi"/>
          <w:color w:val="000000"/>
          <w:highlight w:val="white"/>
        </w:rPr>
        <w:t xml:space="preserve"> </w:t>
      </w:r>
      <w:r w:rsidR="00452C41">
        <w:rPr>
          <w:rFonts w:eastAsia="Calibri" w:cstheme="minorHAnsi"/>
          <w:color w:val="000000"/>
          <w:highlight w:val="white"/>
        </w:rPr>
        <w:t>a</w:t>
      </w:r>
      <w:r w:rsidR="00633CC2" w:rsidRPr="00147A52">
        <w:rPr>
          <w:rFonts w:eastAsia="Calibri" w:cstheme="minorHAnsi"/>
          <w:color w:val="000000"/>
          <w:highlight w:val="white"/>
        </w:rPr>
        <w:t>re particularly vulnerable to the impacts of COVID-19</w:t>
      </w:r>
      <w:r w:rsidRPr="00147A52">
        <w:rPr>
          <w:rFonts w:eastAsia="Calibri" w:cstheme="minorHAnsi"/>
          <w:color w:val="000000"/>
          <w:highlight w:val="white"/>
        </w:rPr>
        <w:t xml:space="preserve">. </w:t>
      </w:r>
      <w:r w:rsidR="00A64A09" w:rsidRPr="00147A52">
        <w:rPr>
          <w:rFonts w:eastAsia="Calibri" w:cstheme="minorHAnsi"/>
          <w:color w:val="000000"/>
          <w:highlight w:val="white"/>
        </w:rPr>
        <w:t xml:space="preserve">The socio-economic impact caused an </w:t>
      </w:r>
      <w:r w:rsidR="00210C52">
        <w:rPr>
          <w:rFonts w:eastAsia="Calibri" w:cstheme="minorHAnsi"/>
          <w:color w:val="000000"/>
          <w:highlight w:val="white"/>
        </w:rPr>
        <w:t>in</w:t>
      </w:r>
      <w:r w:rsidR="00A64A09" w:rsidRPr="00147A52">
        <w:rPr>
          <w:rFonts w:eastAsia="Calibri" w:cstheme="minorHAnsi"/>
          <w:color w:val="000000"/>
          <w:highlight w:val="white"/>
        </w:rPr>
        <w:t>crease in child severe wasting due to the deteriorating quality of diets and interruptions in nutrition and other essential services.</w:t>
      </w:r>
      <w:r w:rsidR="00633CC2" w:rsidRPr="00147A52">
        <w:rPr>
          <w:rFonts w:cstheme="minorHAnsi"/>
          <w:color w:val="000000"/>
        </w:rPr>
        <w:t xml:space="preserve"> </w:t>
      </w:r>
      <w:r w:rsidRPr="00147A52">
        <w:rPr>
          <w:rFonts w:cstheme="minorHAnsi"/>
          <w:color w:val="000000"/>
        </w:rPr>
        <w:t>V</w:t>
      </w:r>
      <w:r w:rsidR="00511284" w:rsidRPr="00147A52">
        <w:rPr>
          <w:rFonts w:cstheme="minorHAnsi"/>
          <w:color w:val="000000"/>
        </w:rPr>
        <w:t xml:space="preserve">iolence against children intensified. </w:t>
      </w:r>
      <w:r w:rsidR="006C3F89" w:rsidRPr="00147A52">
        <w:rPr>
          <w:rFonts w:cstheme="minorHAnsi"/>
          <w:color w:val="000000" w:themeColor="text1"/>
        </w:rPr>
        <w:t>UNICEF reported that routine vaccination coverage dropped from 80% in 2020 to 50% in 2021 due to COVID</w:t>
      </w:r>
      <w:r w:rsidR="009F70DB">
        <w:rPr>
          <w:rFonts w:cstheme="minorHAnsi"/>
          <w:color w:val="000000" w:themeColor="text1"/>
        </w:rPr>
        <w:t>-19</w:t>
      </w:r>
      <w:r w:rsidR="006C3F89" w:rsidRPr="00147A52">
        <w:rPr>
          <w:rFonts w:cstheme="minorHAnsi"/>
          <w:color w:val="000000" w:themeColor="text1"/>
        </w:rPr>
        <w:t>.</w:t>
      </w:r>
    </w:p>
    <w:p w14:paraId="11443BE8" w14:textId="62307FB2" w:rsidR="005A12C1" w:rsidRDefault="00452C41" w:rsidP="00425817">
      <w:pPr>
        <w:pStyle w:val="Heading2"/>
        <w:numPr>
          <w:ilvl w:val="1"/>
          <w:numId w:val="11"/>
        </w:numPr>
        <w:spacing w:line="240" w:lineRule="auto"/>
      </w:pPr>
      <w:bookmarkStart w:id="124" w:name="_Toc135837445"/>
      <w:r>
        <w:t>Overall p</w:t>
      </w:r>
      <w:r w:rsidR="00BD4844">
        <w:t xml:space="preserve">rogress </w:t>
      </w:r>
      <w:r>
        <w:t xml:space="preserve">on </w:t>
      </w:r>
      <w:r w:rsidR="00BD4844">
        <w:t xml:space="preserve">gender equality, </w:t>
      </w:r>
      <w:proofErr w:type="gramStart"/>
      <w:r w:rsidR="00BD4844">
        <w:t>disability</w:t>
      </w:r>
      <w:proofErr w:type="gramEnd"/>
      <w:r w:rsidR="00BD4844">
        <w:t xml:space="preserve"> and social inclusi</w:t>
      </w:r>
      <w:bookmarkEnd w:id="124"/>
      <w:r>
        <w:t xml:space="preserve">on </w:t>
      </w:r>
    </w:p>
    <w:p w14:paraId="250AAE5B" w14:textId="62177EAC" w:rsidR="00EB4D7F" w:rsidRDefault="00EB4D7F" w:rsidP="009F70DB">
      <w:pPr>
        <w:spacing w:after="120" w:line="240" w:lineRule="auto"/>
      </w:pPr>
      <w:r>
        <w:t xml:space="preserve">AIHSP’s GEDSI Strategy has two tracks – the first track aims to mainstream GEDSI </w:t>
      </w:r>
      <w:proofErr w:type="gramStart"/>
      <w:r>
        <w:t>issues</w:t>
      </w:r>
      <w:proofErr w:type="gramEnd"/>
      <w:r>
        <w:t xml:space="preserve"> and the second track delivers specific activities to better understand and address gender inequalities, disability and social exclusion related to health security.</w:t>
      </w:r>
      <w:r w:rsidR="00DD36A1">
        <w:t xml:space="preserve"> The MTR found that AIHSP ha</w:t>
      </w:r>
      <w:r w:rsidR="00016A0E">
        <w:t>d</w:t>
      </w:r>
      <w:r w:rsidR="00DD36A1">
        <w:t xml:space="preserve"> implemented </w:t>
      </w:r>
      <w:r w:rsidR="007535A3">
        <w:t xml:space="preserve">some </w:t>
      </w:r>
      <w:r w:rsidR="00DD36A1">
        <w:t xml:space="preserve">activities </w:t>
      </w:r>
      <w:r w:rsidR="007535A3">
        <w:t xml:space="preserve">in the Strategy </w:t>
      </w:r>
      <w:r w:rsidR="00DD36A1">
        <w:t>that reflect</w:t>
      </w:r>
      <w:r w:rsidR="00016A0E">
        <w:t>ed</w:t>
      </w:r>
      <w:r w:rsidR="00DD36A1">
        <w:t xml:space="preserve"> both tracks and </w:t>
      </w:r>
      <w:r w:rsidR="007E5C84">
        <w:t>ha</w:t>
      </w:r>
      <w:r w:rsidR="00016A0E">
        <w:t>d</w:t>
      </w:r>
      <w:r w:rsidR="00DD36A1">
        <w:t xml:space="preserve"> responded to </w:t>
      </w:r>
      <w:r w:rsidR="00DD36A1">
        <w:lastRenderedPageBreak/>
        <w:t>inequalities found in their gender analysis</w:t>
      </w:r>
      <w:r w:rsidR="007535A3">
        <w:t>, while other</w:t>
      </w:r>
      <w:r w:rsidR="007E5C84">
        <w:t xml:space="preserve"> </w:t>
      </w:r>
      <w:r w:rsidR="00F209B0">
        <w:t xml:space="preserve">activities </w:t>
      </w:r>
      <w:r w:rsidR="00016A0E">
        <w:t>had</w:t>
      </w:r>
      <w:r w:rsidR="00F209B0">
        <w:t xml:space="preserve"> </w:t>
      </w:r>
      <w:r w:rsidR="00016A0E">
        <w:t xml:space="preserve">not yet </w:t>
      </w:r>
      <w:r w:rsidR="00F209B0">
        <w:t>been actioned</w:t>
      </w:r>
      <w:r w:rsidR="00016A0E">
        <w:t xml:space="preserve">. </w:t>
      </w:r>
      <w:r w:rsidR="00FE5B39">
        <w:t>For example, the Strategy includes</w:t>
      </w:r>
      <w:r w:rsidR="00364995">
        <w:t xml:space="preserve"> work to ensure</w:t>
      </w:r>
      <w:r w:rsidR="00FE5B39">
        <w:t xml:space="preserve"> GEDSI-disaggregated data </w:t>
      </w:r>
      <w:r w:rsidR="00364995">
        <w:t>is</w:t>
      </w:r>
      <w:r w:rsidR="00FE5B39">
        <w:t xml:space="preserve"> included in information management systems</w:t>
      </w:r>
      <w:r w:rsidR="00364995">
        <w:t xml:space="preserve">, and </w:t>
      </w:r>
      <w:r w:rsidR="007535A3">
        <w:t xml:space="preserve">evidence of </w:t>
      </w:r>
      <w:r w:rsidR="007E5C84">
        <w:t xml:space="preserve">this was not identified by the MTR. </w:t>
      </w:r>
      <w:r w:rsidR="00364995">
        <w:t xml:space="preserve">By contrast, there was clear evidence that AIHSP-supported RCCE for COVID-19 had been </w:t>
      </w:r>
      <w:r w:rsidR="007E5C84">
        <w:t>designed and implemented</w:t>
      </w:r>
      <w:r w:rsidR="00364995">
        <w:t xml:space="preserve"> by </w:t>
      </w:r>
      <w:r w:rsidR="007E5C84">
        <w:t xml:space="preserve">provincial-level </w:t>
      </w:r>
      <w:r w:rsidR="00364995">
        <w:t>women</w:t>
      </w:r>
      <w:r w:rsidR="007E5C84">
        <w:t>’s groups</w:t>
      </w:r>
      <w:r w:rsidR="00364995">
        <w:t xml:space="preserve"> and </w:t>
      </w:r>
      <w:r w:rsidR="007E5C84">
        <w:t>OPDs</w:t>
      </w:r>
      <w:r w:rsidR="00364995">
        <w:t xml:space="preserve"> to meet their needs</w:t>
      </w:r>
      <w:r w:rsidR="00435E3D">
        <w:t xml:space="preserve">. Given that this is a mid-term review, it is expected that only some of the </w:t>
      </w:r>
      <w:r w:rsidR="007E5C84">
        <w:t xml:space="preserve">planned </w:t>
      </w:r>
      <w:r w:rsidR="00435E3D">
        <w:t>activities in the Strategy would have been completed.</w:t>
      </w:r>
    </w:p>
    <w:p w14:paraId="50CF9F3E" w14:textId="4D81695C" w:rsidR="005A12C1" w:rsidRDefault="00B408C1" w:rsidP="009F70DB">
      <w:pPr>
        <w:spacing w:after="120" w:line="240" w:lineRule="auto"/>
      </w:pPr>
      <w:r>
        <w:t>I</w:t>
      </w:r>
      <w:r w:rsidR="00014D65">
        <w:t>n</w:t>
      </w:r>
      <w:r>
        <w:t xml:space="preserve"> general, </w:t>
      </w:r>
      <w:r w:rsidR="005A12C1">
        <w:t xml:space="preserve">AIHSP, WHO and UNICEF’s work in inclusive service delivery </w:t>
      </w:r>
      <w:r w:rsidR="003D0456">
        <w:t>was</w:t>
      </w:r>
      <w:r w:rsidR="005A12C1">
        <w:t xml:space="preserve"> one of the primary strengths of DFAT’s health funding from February 2020 to March 2023. </w:t>
      </w:r>
      <w:r w:rsidR="00C869CA">
        <w:t xml:space="preserve">This involved meaningful participation by community group members including women and people with disabilities in the design and implementation of RCCE </w:t>
      </w:r>
      <w:r w:rsidR="0012059B">
        <w:t xml:space="preserve">materials and </w:t>
      </w:r>
      <w:r w:rsidR="00C869CA">
        <w:t xml:space="preserve">events encouraging at-risk groups to be vaccinated for COVID-19. </w:t>
      </w:r>
      <w:r w:rsidR="005A12C1">
        <w:t xml:space="preserve">There are </w:t>
      </w:r>
      <w:r w:rsidR="00F209B0">
        <w:t xml:space="preserve">some </w:t>
      </w:r>
      <w:r w:rsidR="005A12C1">
        <w:t xml:space="preserve">concrete examples </w:t>
      </w:r>
      <w:r w:rsidR="00F538B8">
        <w:t>of</w:t>
      </w:r>
      <w:r w:rsidR="005A12C1">
        <w:t xml:space="preserve"> tangible difference</w:t>
      </w:r>
      <w:r w:rsidR="00F538B8">
        <w:t>s</w:t>
      </w:r>
      <w:r w:rsidR="005A12C1">
        <w:t xml:space="preserve"> to the health outcomes of these groups</w:t>
      </w:r>
      <w:r w:rsidR="00C869CA">
        <w:t xml:space="preserve"> </w:t>
      </w:r>
      <w:proofErr w:type="gramStart"/>
      <w:r w:rsidR="00C869CA">
        <w:t>as a result of</w:t>
      </w:r>
      <w:proofErr w:type="gramEnd"/>
      <w:r w:rsidR="00C869CA">
        <w:t xml:space="preserve"> these activities</w:t>
      </w:r>
      <w:r w:rsidR="005A12C1">
        <w:t>. For example, the coverage of the third COVID-19 vaccine dose in the elderly increased three-fold</w:t>
      </w:r>
      <w:sdt>
        <w:sdtPr>
          <w:rPr>
            <w:color w:val="2B579A"/>
            <w:shd w:val="clear" w:color="auto" w:fill="E6E6E6"/>
          </w:rPr>
          <w:tag w:val="goog_rdk_22"/>
          <w:id w:val="-1132939178"/>
          <w:placeholder>
            <w:docPart w:val="DefaultPlaceholder_1081868574"/>
          </w:placeholder>
          <w:showingPlcHdr/>
        </w:sdtPr>
        <w:sdtEndPr>
          <w:rPr>
            <w:color w:val="auto"/>
            <w:shd w:val="clear" w:color="auto" w:fill="auto"/>
          </w:rPr>
        </w:sdtEndPr>
        <w:sdtContent/>
      </w:sdt>
      <w:r w:rsidR="005A12C1">
        <w:t xml:space="preserve"> in Central Java and South Sulawesi over an </w:t>
      </w:r>
      <w:proofErr w:type="gramStart"/>
      <w:r w:rsidR="005A12C1">
        <w:t>8-9 month</w:t>
      </w:r>
      <w:proofErr w:type="gramEnd"/>
      <w:r w:rsidR="005A12C1">
        <w:t xml:space="preserve"> period. As of January 2023, vaccination coverage rates in 13 out of 14 AIHSP districts had outperformed non-supported districts among the elderly</w:t>
      </w:r>
      <w:r w:rsidR="00F538B8">
        <w:t xml:space="preserve"> </w:t>
      </w:r>
      <w:r w:rsidR="005A12C1">
        <w:t>in South Sulawesi</w:t>
      </w:r>
      <w:r w:rsidR="009E338A">
        <w:t>.</w:t>
      </w:r>
      <w:r w:rsidR="009E338A">
        <w:rPr>
          <w:rStyle w:val="FootnoteReference"/>
        </w:rPr>
        <w:footnoteReference w:id="38"/>
      </w:r>
      <w:r w:rsidR="00D61A46">
        <w:rPr>
          <w:vertAlign w:val="superscript"/>
        </w:rPr>
        <w:t>,</w:t>
      </w:r>
      <w:r w:rsidR="0012059B">
        <w:rPr>
          <w:rStyle w:val="FootnoteReference"/>
        </w:rPr>
        <w:footnoteReference w:id="39"/>
      </w:r>
      <w:r w:rsidR="00FC456F">
        <w:t xml:space="preserve"> </w:t>
      </w:r>
    </w:p>
    <w:p w14:paraId="416EC397" w14:textId="31B07E60" w:rsidR="00BE3DD7" w:rsidRDefault="00435E3D" w:rsidP="009F70DB">
      <w:pPr>
        <w:pBdr>
          <w:top w:val="nil"/>
          <w:left w:val="nil"/>
          <w:bottom w:val="nil"/>
          <w:right w:val="nil"/>
          <w:between w:val="nil"/>
        </w:pBdr>
        <w:spacing w:after="120" w:line="240" w:lineRule="auto"/>
        <w:rPr>
          <w:rFonts w:ascii="Calibri" w:eastAsia="Calibri" w:hAnsi="Calibri" w:cs="Calibri"/>
          <w:color w:val="000000"/>
        </w:rPr>
      </w:pPr>
      <w:r w:rsidRPr="00901012">
        <w:rPr>
          <w:rFonts w:ascii="Calibri" w:eastAsia="Calibri" w:hAnsi="Calibri" w:cs="Calibri"/>
          <w:color w:val="000000"/>
        </w:rPr>
        <w:t xml:space="preserve">However, </w:t>
      </w:r>
      <w:r w:rsidR="00D60B27">
        <w:rPr>
          <w:rFonts w:ascii="Calibri" w:eastAsia="Calibri" w:hAnsi="Calibri" w:cs="Calibri"/>
          <w:color w:val="000000"/>
        </w:rPr>
        <w:t>there was</w:t>
      </w:r>
      <w:r w:rsidRPr="00901012">
        <w:rPr>
          <w:rFonts w:ascii="Calibri" w:eastAsia="Calibri" w:hAnsi="Calibri" w:cs="Calibri"/>
          <w:color w:val="000000"/>
        </w:rPr>
        <w:t xml:space="preserve"> little to no evidence in AIHSP</w:t>
      </w:r>
      <w:r w:rsidR="00FC2B7C">
        <w:rPr>
          <w:rFonts w:ascii="Calibri" w:eastAsia="Calibri" w:hAnsi="Calibri" w:cs="Calibri"/>
          <w:color w:val="000000"/>
        </w:rPr>
        <w:t>’s</w:t>
      </w:r>
      <w:r w:rsidRPr="00901012">
        <w:rPr>
          <w:rFonts w:ascii="Calibri" w:eastAsia="Calibri" w:hAnsi="Calibri" w:cs="Calibri"/>
          <w:color w:val="000000"/>
        </w:rPr>
        <w:t xml:space="preserve"> reporting of </w:t>
      </w:r>
      <w:r w:rsidR="00D60B27">
        <w:rPr>
          <w:rFonts w:ascii="Calibri" w:eastAsia="Calibri" w:hAnsi="Calibri" w:cs="Calibri"/>
          <w:color w:val="000000"/>
        </w:rPr>
        <w:t>the</w:t>
      </w:r>
      <w:r w:rsidRPr="00901012">
        <w:rPr>
          <w:rFonts w:ascii="Calibri" w:eastAsia="Calibri" w:hAnsi="Calibri" w:cs="Calibri"/>
          <w:color w:val="000000"/>
        </w:rPr>
        <w:t xml:space="preserve"> </w:t>
      </w:r>
      <w:r w:rsidR="006141D6">
        <w:rPr>
          <w:rFonts w:ascii="Calibri" w:eastAsia="Calibri" w:hAnsi="Calibri" w:cs="Calibri"/>
          <w:color w:val="000000"/>
        </w:rPr>
        <w:t>outcomes</w:t>
      </w:r>
      <w:r w:rsidR="00D60B27">
        <w:rPr>
          <w:rFonts w:ascii="Calibri" w:eastAsia="Calibri" w:hAnsi="Calibri" w:cs="Calibri"/>
          <w:color w:val="000000"/>
        </w:rPr>
        <w:t xml:space="preserve"> of some activities</w:t>
      </w:r>
      <w:r w:rsidRPr="00901012">
        <w:rPr>
          <w:rFonts w:ascii="Calibri" w:eastAsia="Calibri" w:hAnsi="Calibri" w:cs="Calibri"/>
          <w:color w:val="000000"/>
        </w:rPr>
        <w:t xml:space="preserve">. For example, </w:t>
      </w:r>
      <w:r w:rsidR="00F538B8">
        <w:rPr>
          <w:rFonts w:ascii="Calibri" w:eastAsia="Calibri" w:hAnsi="Calibri" w:cs="Calibri"/>
          <w:color w:val="000000"/>
        </w:rPr>
        <w:t xml:space="preserve">it was unclear </w:t>
      </w:r>
      <w:r w:rsidRPr="00901012">
        <w:rPr>
          <w:rFonts w:ascii="Calibri" w:eastAsia="Calibri" w:hAnsi="Calibri" w:cs="Calibri"/>
          <w:color w:val="000000"/>
        </w:rPr>
        <w:t xml:space="preserve">whether encouraging women to be vaccinated for COVID-19 </w:t>
      </w:r>
      <w:proofErr w:type="gramStart"/>
      <w:r w:rsidRPr="00901012">
        <w:rPr>
          <w:rFonts w:ascii="Calibri" w:eastAsia="Calibri" w:hAnsi="Calibri" w:cs="Calibri"/>
          <w:color w:val="000000"/>
        </w:rPr>
        <w:t>actually contributed</w:t>
      </w:r>
      <w:proofErr w:type="gramEnd"/>
      <w:r w:rsidRPr="00901012">
        <w:rPr>
          <w:rFonts w:ascii="Calibri" w:eastAsia="Calibri" w:hAnsi="Calibri" w:cs="Calibri"/>
          <w:color w:val="000000"/>
        </w:rPr>
        <w:t xml:space="preserve"> to increased vaccination rates or whether training of government partners resulted in improvements in practice regarding gender equality. </w:t>
      </w:r>
    </w:p>
    <w:p w14:paraId="5BA2718F" w14:textId="2EEAD18A" w:rsidR="00901012" w:rsidRPr="00D12AD9" w:rsidRDefault="00C12796" w:rsidP="009F70DB">
      <w:pPr>
        <w:pBdr>
          <w:top w:val="nil"/>
          <w:left w:val="nil"/>
          <w:bottom w:val="nil"/>
          <w:right w:val="nil"/>
          <w:between w:val="nil"/>
        </w:pBdr>
        <w:spacing w:after="120" w:line="240" w:lineRule="auto"/>
        <w:rPr>
          <w:color w:val="000000"/>
        </w:rPr>
      </w:pPr>
      <w:r w:rsidRPr="4FCF45F9">
        <w:rPr>
          <w:rFonts w:ascii="Calibri" w:eastAsia="Calibri" w:hAnsi="Calibri" w:cs="Calibri"/>
          <w:color w:val="000000" w:themeColor="text1"/>
        </w:rPr>
        <w:t xml:space="preserve">There </w:t>
      </w:r>
      <w:r w:rsidR="00FC2B7C">
        <w:rPr>
          <w:rFonts w:ascii="Calibri" w:eastAsia="Calibri" w:hAnsi="Calibri" w:cs="Calibri"/>
          <w:color w:val="000000" w:themeColor="text1"/>
        </w:rPr>
        <w:t>we</w:t>
      </w:r>
      <w:r w:rsidRPr="4FCF45F9">
        <w:rPr>
          <w:rFonts w:ascii="Calibri" w:eastAsia="Calibri" w:hAnsi="Calibri" w:cs="Calibri"/>
          <w:color w:val="000000" w:themeColor="text1"/>
        </w:rPr>
        <w:t>re</w:t>
      </w:r>
      <w:r w:rsidR="006F0E6B">
        <w:rPr>
          <w:rFonts w:ascii="Calibri" w:eastAsia="Calibri" w:hAnsi="Calibri" w:cs="Calibri"/>
          <w:color w:val="000000" w:themeColor="text1"/>
        </w:rPr>
        <w:t xml:space="preserve"> </w:t>
      </w:r>
      <w:r w:rsidRPr="4FCF45F9">
        <w:rPr>
          <w:rFonts w:ascii="Calibri" w:eastAsia="Calibri" w:hAnsi="Calibri" w:cs="Calibri"/>
          <w:color w:val="000000" w:themeColor="text1"/>
        </w:rPr>
        <w:t xml:space="preserve">some </w:t>
      </w:r>
      <w:r w:rsidR="00BE3DD7" w:rsidRPr="4FCF45F9">
        <w:rPr>
          <w:rFonts w:ascii="Calibri" w:eastAsia="Calibri" w:hAnsi="Calibri" w:cs="Calibri"/>
          <w:color w:val="000000" w:themeColor="text1"/>
        </w:rPr>
        <w:t xml:space="preserve">early, </w:t>
      </w:r>
      <w:r w:rsidRPr="4FCF45F9">
        <w:rPr>
          <w:rFonts w:ascii="Calibri" w:eastAsia="Calibri" w:hAnsi="Calibri" w:cs="Calibri"/>
          <w:color w:val="000000" w:themeColor="text1"/>
        </w:rPr>
        <w:t xml:space="preserve">positive signs </w:t>
      </w:r>
      <w:r w:rsidR="00901012" w:rsidRPr="4FCF45F9">
        <w:rPr>
          <w:rFonts w:ascii="Calibri" w:eastAsia="Calibri" w:hAnsi="Calibri" w:cs="Calibri"/>
          <w:color w:val="000000" w:themeColor="text1"/>
        </w:rPr>
        <w:t xml:space="preserve">of </w:t>
      </w:r>
      <w:r w:rsidR="00E87B85">
        <w:rPr>
          <w:rFonts w:ascii="Calibri" w:eastAsia="Calibri" w:hAnsi="Calibri" w:cs="Calibri"/>
          <w:color w:val="000000" w:themeColor="text1"/>
        </w:rPr>
        <w:t xml:space="preserve">inclusive service delivery </w:t>
      </w:r>
      <w:r w:rsidR="00901012" w:rsidRPr="4FCF45F9">
        <w:rPr>
          <w:rFonts w:ascii="Calibri" w:eastAsia="Calibri" w:hAnsi="Calibri" w:cs="Calibri"/>
          <w:color w:val="000000" w:themeColor="text1"/>
        </w:rPr>
        <w:t xml:space="preserve">outcomes being sustained, </w:t>
      </w:r>
      <w:r w:rsidRPr="4FCF45F9">
        <w:rPr>
          <w:rFonts w:ascii="Calibri" w:eastAsia="Calibri" w:hAnsi="Calibri" w:cs="Calibri"/>
          <w:color w:val="000000" w:themeColor="text1"/>
        </w:rPr>
        <w:t xml:space="preserve">such as the South Sulawesi government </w:t>
      </w:r>
      <w:r w:rsidR="000B22A5">
        <w:rPr>
          <w:rFonts w:ascii="Calibri" w:eastAsia="Calibri" w:hAnsi="Calibri" w:cs="Calibri"/>
          <w:color w:val="000000" w:themeColor="text1"/>
        </w:rPr>
        <w:t>replicating</w:t>
      </w:r>
      <w:r w:rsidR="000B22A5" w:rsidRPr="4FCF45F9">
        <w:rPr>
          <w:rFonts w:ascii="Calibri" w:eastAsia="Calibri" w:hAnsi="Calibri" w:cs="Calibri"/>
          <w:color w:val="000000" w:themeColor="text1"/>
        </w:rPr>
        <w:t xml:space="preserve"> </w:t>
      </w:r>
      <w:r w:rsidRPr="4FCF45F9">
        <w:rPr>
          <w:rFonts w:ascii="Calibri" w:eastAsia="Calibri" w:hAnsi="Calibri" w:cs="Calibri"/>
          <w:color w:val="000000" w:themeColor="text1"/>
        </w:rPr>
        <w:t xml:space="preserve">the </w:t>
      </w:r>
      <w:r w:rsidR="00016C09">
        <w:rPr>
          <w:rFonts w:ascii="Calibri" w:eastAsia="Calibri" w:hAnsi="Calibri" w:cs="Calibri"/>
          <w:color w:val="000000" w:themeColor="text1"/>
        </w:rPr>
        <w:t xml:space="preserve">inclusive </w:t>
      </w:r>
      <w:r w:rsidRPr="4FCF45F9">
        <w:rPr>
          <w:rFonts w:ascii="Calibri" w:eastAsia="Calibri" w:hAnsi="Calibri" w:cs="Calibri"/>
          <w:color w:val="000000" w:themeColor="text1"/>
        </w:rPr>
        <w:t xml:space="preserve">approach </w:t>
      </w:r>
      <w:r>
        <w:t>to</w:t>
      </w:r>
      <w:r w:rsidRPr="4FCF45F9">
        <w:rPr>
          <w:rFonts w:ascii="Calibri" w:eastAsia="Calibri" w:hAnsi="Calibri" w:cs="Calibri"/>
          <w:color w:val="000000" w:themeColor="text1"/>
        </w:rPr>
        <w:t xml:space="preserve"> RCCE </w:t>
      </w:r>
      <w:r w:rsidR="00FC2B7C">
        <w:rPr>
          <w:rFonts w:ascii="Calibri" w:eastAsia="Calibri" w:hAnsi="Calibri" w:cs="Calibri"/>
          <w:color w:val="000000" w:themeColor="text1"/>
        </w:rPr>
        <w:t>in</w:t>
      </w:r>
      <w:r w:rsidRPr="4FCF45F9">
        <w:rPr>
          <w:rFonts w:ascii="Calibri" w:eastAsia="Calibri" w:hAnsi="Calibri" w:cs="Calibri"/>
          <w:color w:val="000000" w:themeColor="text1"/>
        </w:rPr>
        <w:t xml:space="preserve"> all other districts</w:t>
      </w:r>
      <w:r w:rsidR="000B22A5">
        <w:rPr>
          <w:rFonts w:ascii="Calibri" w:eastAsia="Calibri" w:hAnsi="Calibri" w:cs="Calibri"/>
          <w:color w:val="000000" w:themeColor="text1"/>
        </w:rPr>
        <w:t xml:space="preserve"> in the province</w:t>
      </w:r>
      <w:r w:rsidRPr="4FCF45F9">
        <w:rPr>
          <w:rFonts w:ascii="Calibri" w:eastAsia="Calibri" w:hAnsi="Calibri" w:cs="Calibri"/>
          <w:color w:val="000000" w:themeColor="text1"/>
        </w:rPr>
        <w:t>.</w:t>
      </w:r>
      <w:r w:rsidR="00901012" w:rsidRPr="4FCF45F9">
        <w:rPr>
          <w:rFonts w:ascii="Calibri" w:eastAsia="Calibri" w:hAnsi="Calibri" w:cs="Calibri"/>
          <w:color w:val="000000" w:themeColor="text1"/>
        </w:rPr>
        <w:t xml:space="preserve"> In another example, AIHSP sub-partner </w:t>
      </w:r>
      <w:proofErr w:type="gramStart"/>
      <w:r w:rsidR="00901012" w:rsidRPr="4FCF45F9">
        <w:rPr>
          <w:rFonts w:ascii="Calibri" w:eastAsia="Calibri" w:hAnsi="Calibri" w:cs="Calibri"/>
          <w:color w:val="000000" w:themeColor="text1"/>
        </w:rPr>
        <w:t>ID.COMM</w:t>
      </w:r>
      <w:proofErr w:type="gramEnd"/>
      <w:r w:rsidR="00901012" w:rsidRPr="4FCF45F9">
        <w:rPr>
          <w:rFonts w:ascii="Calibri" w:eastAsia="Calibri" w:hAnsi="Calibri" w:cs="Calibri"/>
          <w:color w:val="000000" w:themeColor="text1"/>
        </w:rPr>
        <w:t xml:space="preserve"> worked with government and community groups to develop </w:t>
      </w:r>
      <w:r w:rsidR="00994764">
        <w:rPr>
          <w:rFonts w:ascii="Calibri" w:eastAsia="Calibri" w:hAnsi="Calibri" w:cs="Calibri"/>
          <w:color w:val="000000" w:themeColor="text1"/>
        </w:rPr>
        <w:t>a guidebook</w:t>
      </w:r>
      <w:r w:rsidR="00901012" w:rsidRPr="4FCF45F9">
        <w:rPr>
          <w:rFonts w:ascii="Calibri" w:eastAsia="Calibri" w:hAnsi="Calibri" w:cs="Calibri"/>
          <w:color w:val="000000" w:themeColor="text1"/>
        </w:rPr>
        <w:t xml:space="preserve"> for conducting inclusive vaccination events and risk communication campaigns for local governments. Th</w:t>
      </w:r>
      <w:r w:rsidR="00530A0F">
        <w:rPr>
          <w:rFonts w:ascii="Calibri" w:eastAsia="Calibri" w:hAnsi="Calibri" w:cs="Calibri"/>
          <w:color w:val="000000" w:themeColor="text1"/>
        </w:rPr>
        <w:t>is</w:t>
      </w:r>
      <w:r w:rsidR="00901012" w:rsidRPr="4FCF45F9">
        <w:rPr>
          <w:rFonts w:ascii="Calibri" w:eastAsia="Calibri" w:hAnsi="Calibri" w:cs="Calibri"/>
          <w:color w:val="000000" w:themeColor="text1"/>
        </w:rPr>
        <w:t xml:space="preserve"> guide</w:t>
      </w:r>
      <w:r w:rsidR="00530A0F">
        <w:rPr>
          <w:rFonts w:ascii="Calibri" w:eastAsia="Calibri" w:hAnsi="Calibri" w:cs="Calibri"/>
          <w:color w:val="000000" w:themeColor="text1"/>
        </w:rPr>
        <w:t>book</w:t>
      </w:r>
      <w:r w:rsidR="00901012" w:rsidRPr="4FCF45F9">
        <w:rPr>
          <w:rFonts w:ascii="Calibri" w:eastAsia="Calibri" w:hAnsi="Calibri" w:cs="Calibri"/>
          <w:color w:val="000000" w:themeColor="text1"/>
        </w:rPr>
        <w:t xml:space="preserve"> address</w:t>
      </w:r>
      <w:r w:rsidR="00530A0F">
        <w:rPr>
          <w:rFonts w:ascii="Calibri" w:eastAsia="Calibri" w:hAnsi="Calibri" w:cs="Calibri"/>
          <w:color w:val="000000" w:themeColor="text1"/>
        </w:rPr>
        <w:t>es</w:t>
      </w:r>
      <w:r w:rsidR="00901012" w:rsidRPr="4FCF45F9">
        <w:rPr>
          <w:rFonts w:ascii="Calibri" w:eastAsia="Calibri" w:hAnsi="Calibri" w:cs="Calibri"/>
          <w:color w:val="000000" w:themeColor="text1"/>
        </w:rPr>
        <w:t xml:space="preserve"> the needs of </w:t>
      </w:r>
      <w:r w:rsidR="00BE7314">
        <w:rPr>
          <w:rFonts w:ascii="Calibri" w:eastAsia="Calibri" w:hAnsi="Calibri" w:cs="Calibri"/>
          <w:color w:val="000000" w:themeColor="text1"/>
        </w:rPr>
        <w:t>the elderly</w:t>
      </w:r>
      <w:r w:rsidR="00901012" w:rsidRPr="4FCF45F9">
        <w:rPr>
          <w:rFonts w:ascii="Calibri" w:eastAsia="Calibri" w:hAnsi="Calibri" w:cs="Calibri"/>
          <w:color w:val="000000" w:themeColor="text1"/>
        </w:rPr>
        <w:t xml:space="preserve"> and people with disabilities. </w:t>
      </w:r>
      <w:r w:rsidR="005C209A" w:rsidRPr="4FCF45F9">
        <w:rPr>
          <w:rFonts w:ascii="Calibri" w:eastAsia="Calibri" w:hAnsi="Calibri" w:cs="Calibri"/>
          <w:color w:val="000000" w:themeColor="text1"/>
        </w:rPr>
        <w:t>The</w:t>
      </w:r>
      <w:r w:rsidR="009C774B">
        <w:rPr>
          <w:rFonts w:ascii="Calibri" w:eastAsia="Calibri" w:hAnsi="Calibri" w:cs="Calibri"/>
          <w:color w:val="000000" w:themeColor="text1"/>
        </w:rPr>
        <w:t xml:space="preserve"> guide</w:t>
      </w:r>
      <w:r w:rsidR="00530A0F">
        <w:rPr>
          <w:rFonts w:ascii="Calibri" w:eastAsia="Calibri" w:hAnsi="Calibri" w:cs="Calibri"/>
          <w:color w:val="000000" w:themeColor="text1"/>
        </w:rPr>
        <w:t>book</w:t>
      </w:r>
      <w:r w:rsidR="00901012" w:rsidRPr="4FCF45F9">
        <w:rPr>
          <w:rFonts w:ascii="Calibri" w:eastAsia="Calibri" w:hAnsi="Calibri" w:cs="Calibri"/>
          <w:color w:val="000000" w:themeColor="text1"/>
        </w:rPr>
        <w:t xml:space="preserve"> </w:t>
      </w:r>
      <w:r w:rsidR="009C774B">
        <w:rPr>
          <w:rFonts w:ascii="Calibri" w:eastAsia="Calibri" w:hAnsi="Calibri" w:cs="Calibri"/>
          <w:color w:val="000000" w:themeColor="text1"/>
        </w:rPr>
        <w:t>could enable the</w:t>
      </w:r>
      <w:r w:rsidR="00901012" w:rsidRPr="4FCF45F9">
        <w:rPr>
          <w:rFonts w:ascii="Calibri" w:eastAsia="Calibri" w:hAnsi="Calibri" w:cs="Calibri"/>
          <w:color w:val="000000" w:themeColor="text1"/>
        </w:rPr>
        <w:t xml:space="preserve"> learning from AIHSP’s </w:t>
      </w:r>
      <w:r w:rsidR="00D12AD9" w:rsidRPr="4FCF45F9">
        <w:rPr>
          <w:rFonts w:ascii="Calibri" w:eastAsia="Calibri" w:hAnsi="Calibri" w:cs="Calibri"/>
          <w:color w:val="000000" w:themeColor="text1"/>
        </w:rPr>
        <w:t>inclusive vaccination</w:t>
      </w:r>
      <w:r w:rsidR="00901012" w:rsidRPr="4FCF45F9">
        <w:rPr>
          <w:rFonts w:ascii="Calibri" w:eastAsia="Calibri" w:hAnsi="Calibri" w:cs="Calibri"/>
          <w:color w:val="000000" w:themeColor="text1"/>
        </w:rPr>
        <w:t xml:space="preserve"> </w:t>
      </w:r>
      <w:r w:rsidR="00BE7314">
        <w:rPr>
          <w:rFonts w:ascii="Calibri" w:eastAsia="Calibri" w:hAnsi="Calibri" w:cs="Calibri"/>
          <w:color w:val="000000" w:themeColor="text1"/>
        </w:rPr>
        <w:t>events</w:t>
      </w:r>
      <w:r w:rsidR="00901012" w:rsidRPr="4FCF45F9">
        <w:rPr>
          <w:rFonts w:ascii="Calibri" w:eastAsia="Calibri" w:hAnsi="Calibri" w:cs="Calibri"/>
          <w:color w:val="000000" w:themeColor="text1"/>
        </w:rPr>
        <w:t xml:space="preserve"> </w:t>
      </w:r>
      <w:r w:rsidR="009C774B">
        <w:rPr>
          <w:rFonts w:ascii="Calibri" w:eastAsia="Calibri" w:hAnsi="Calibri" w:cs="Calibri"/>
          <w:color w:val="000000" w:themeColor="text1"/>
        </w:rPr>
        <w:t xml:space="preserve">to be replicated </w:t>
      </w:r>
      <w:r w:rsidR="00D12AD9" w:rsidRPr="4FCF45F9">
        <w:rPr>
          <w:rFonts w:ascii="Calibri" w:eastAsia="Calibri" w:hAnsi="Calibri" w:cs="Calibri"/>
          <w:color w:val="000000" w:themeColor="text1"/>
        </w:rPr>
        <w:t>beyond the five provinces</w:t>
      </w:r>
      <w:r w:rsidR="00901012" w:rsidRPr="4FCF45F9">
        <w:rPr>
          <w:rFonts w:ascii="Calibri" w:eastAsia="Calibri" w:hAnsi="Calibri" w:cs="Calibri"/>
          <w:color w:val="000000" w:themeColor="text1"/>
        </w:rPr>
        <w:t xml:space="preserve"> and translate</w:t>
      </w:r>
      <w:r w:rsidR="009C774B">
        <w:rPr>
          <w:rFonts w:ascii="Calibri" w:eastAsia="Calibri" w:hAnsi="Calibri" w:cs="Calibri"/>
          <w:color w:val="000000" w:themeColor="text1"/>
        </w:rPr>
        <w:t>d</w:t>
      </w:r>
      <w:r w:rsidR="00901012" w:rsidRPr="4FCF45F9">
        <w:rPr>
          <w:rFonts w:ascii="Calibri" w:eastAsia="Calibri" w:hAnsi="Calibri" w:cs="Calibri"/>
          <w:color w:val="000000" w:themeColor="text1"/>
        </w:rPr>
        <w:t xml:space="preserve"> to other health service delivery</w:t>
      </w:r>
      <w:r w:rsidR="00BE7314">
        <w:rPr>
          <w:rFonts w:ascii="Calibri" w:eastAsia="Calibri" w:hAnsi="Calibri" w:cs="Calibri"/>
          <w:color w:val="000000" w:themeColor="text1"/>
        </w:rPr>
        <w:t>. D</w:t>
      </w:r>
      <w:r w:rsidR="00D12AD9" w:rsidRPr="4FCF45F9">
        <w:rPr>
          <w:rFonts w:ascii="Calibri" w:eastAsia="Calibri" w:hAnsi="Calibri" w:cs="Calibri"/>
          <w:color w:val="000000" w:themeColor="text1"/>
        </w:rPr>
        <w:t>uring the interviews,</w:t>
      </w:r>
      <w:r w:rsidR="00D12AD9" w:rsidRPr="4FCF45F9">
        <w:rPr>
          <w:rFonts w:eastAsia="Calibri"/>
          <w:color w:val="000000" w:themeColor="text1"/>
        </w:rPr>
        <w:t xml:space="preserve"> </w:t>
      </w:r>
      <w:r w:rsidR="00D12AD9" w:rsidRPr="4FCF45F9">
        <w:rPr>
          <w:rStyle w:val="cf01"/>
          <w:rFonts w:asciiTheme="minorHAnsi" w:hAnsiTheme="minorHAnsi" w:cstheme="minorBidi"/>
          <w:sz w:val="22"/>
          <w:szCs w:val="22"/>
        </w:rPr>
        <w:t>the MoH expressed an interest in AIHSP sharing its approach with the ministry.</w:t>
      </w:r>
      <w:r w:rsidR="00901012" w:rsidRPr="4FCF45F9">
        <w:rPr>
          <w:rFonts w:eastAsia="Calibri"/>
          <w:color w:val="000000" w:themeColor="text1"/>
        </w:rPr>
        <w:t xml:space="preserve"> H</w:t>
      </w:r>
      <w:r w:rsidR="00901012" w:rsidRPr="4FCF45F9">
        <w:rPr>
          <w:rFonts w:ascii="Calibri" w:eastAsia="Calibri" w:hAnsi="Calibri" w:cs="Calibri"/>
          <w:color w:val="000000" w:themeColor="text1"/>
        </w:rPr>
        <w:t>owever, it was unclear how widely th</w:t>
      </w:r>
      <w:r w:rsidR="00530A0F">
        <w:rPr>
          <w:rFonts w:ascii="Calibri" w:eastAsia="Calibri" w:hAnsi="Calibri" w:cs="Calibri"/>
          <w:color w:val="000000" w:themeColor="text1"/>
        </w:rPr>
        <w:t>is guidebook</w:t>
      </w:r>
      <w:r w:rsidR="00901012" w:rsidRPr="4FCF45F9">
        <w:rPr>
          <w:rFonts w:ascii="Calibri" w:eastAsia="Calibri" w:hAnsi="Calibri" w:cs="Calibri"/>
          <w:color w:val="000000" w:themeColor="text1"/>
        </w:rPr>
        <w:t xml:space="preserve"> had been disseminated or used.</w:t>
      </w:r>
      <w:r w:rsidR="00D12AD9" w:rsidRPr="4FCF45F9">
        <w:rPr>
          <w:rFonts w:ascii="Calibri" w:eastAsia="Calibri" w:hAnsi="Calibri" w:cs="Calibri"/>
          <w:color w:val="000000" w:themeColor="text1"/>
        </w:rPr>
        <w:t xml:space="preserve"> </w:t>
      </w:r>
    </w:p>
    <w:p w14:paraId="1437F6F3" w14:textId="2C5C6005" w:rsidR="00435E3D" w:rsidRPr="005A12C1" w:rsidRDefault="00435E3D" w:rsidP="009F70DB">
      <w:pPr>
        <w:pBdr>
          <w:top w:val="nil"/>
          <w:left w:val="nil"/>
          <w:bottom w:val="nil"/>
          <w:right w:val="nil"/>
          <w:between w:val="nil"/>
        </w:pBdr>
        <w:spacing w:after="120" w:line="240" w:lineRule="auto"/>
      </w:pPr>
      <w:r>
        <w:rPr>
          <w:rFonts w:ascii="Calibri" w:eastAsia="Calibri" w:hAnsi="Calibri" w:cs="Calibri"/>
          <w:color w:val="000000"/>
        </w:rPr>
        <w:t>While during a</w:t>
      </w:r>
      <w:r w:rsidR="00FE3954">
        <w:rPr>
          <w:rFonts w:ascii="Calibri" w:eastAsia="Calibri" w:hAnsi="Calibri" w:cs="Calibri"/>
          <w:color w:val="000000"/>
        </w:rPr>
        <w:t xml:space="preserve">n </w:t>
      </w:r>
      <w:r>
        <w:rPr>
          <w:rFonts w:ascii="Calibri" w:eastAsia="Calibri" w:hAnsi="Calibri" w:cs="Calibri"/>
          <w:color w:val="000000"/>
        </w:rPr>
        <w:t xml:space="preserve">emergency, monitoring </w:t>
      </w:r>
      <w:r w:rsidR="00FE3954">
        <w:rPr>
          <w:rFonts w:ascii="Calibri" w:eastAsia="Calibri" w:hAnsi="Calibri" w:cs="Calibri"/>
          <w:color w:val="000000"/>
        </w:rPr>
        <w:t>of outcomes</w:t>
      </w:r>
      <w:r>
        <w:rPr>
          <w:rFonts w:ascii="Calibri" w:eastAsia="Calibri" w:hAnsi="Calibri" w:cs="Calibri"/>
          <w:color w:val="000000"/>
        </w:rPr>
        <w:t xml:space="preserve"> is challenging, AIHSP should </w:t>
      </w:r>
      <w:r w:rsidR="00FE3954">
        <w:rPr>
          <w:rFonts w:ascii="Calibri" w:eastAsia="Calibri" w:hAnsi="Calibri" w:cs="Calibri"/>
          <w:color w:val="000000"/>
        </w:rPr>
        <w:t xml:space="preserve">improve its </w:t>
      </w:r>
      <w:r>
        <w:rPr>
          <w:rFonts w:ascii="Calibri" w:eastAsia="Calibri" w:hAnsi="Calibri" w:cs="Calibri"/>
          <w:color w:val="000000"/>
        </w:rPr>
        <w:t xml:space="preserve">MEL reporting of </w:t>
      </w:r>
      <w:r w:rsidR="00FE3954">
        <w:rPr>
          <w:rFonts w:ascii="Calibri" w:eastAsia="Calibri" w:hAnsi="Calibri" w:cs="Calibri"/>
          <w:color w:val="000000"/>
        </w:rPr>
        <w:t xml:space="preserve">GEDSI </w:t>
      </w:r>
      <w:r>
        <w:rPr>
          <w:rFonts w:ascii="Calibri" w:eastAsia="Calibri" w:hAnsi="Calibri" w:cs="Calibri"/>
          <w:color w:val="000000"/>
        </w:rPr>
        <w:t xml:space="preserve">outcomes. </w:t>
      </w:r>
      <w:r w:rsidR="008B4DB1">
        <w:rPr>
          <w:rFonts w:ascii="Calibri" w:eastAsia="Calibri" w:hAnsi="Calibri" w:cs="Calibri"/>
          <w:color w:val="000000"/>
        </w:rPr>
        <w:t>AIHSP’s employment of a GEDSI Advisor and GEDSI Coordinator</w:t>
      </w:r>
      <w:r w:rsidR="00E83FE0">
        <w:rPr>
          <w:rFonts w:ascii="Calibri" w:eastAsia="Calibri" w:hAnsi="Calibri" w:cs="Calibri"/>
          <w:color w:val="000000"/>
        </w:rPr>
        <w:t xml:space="preserve">, </w:t>
      </w:r>
      <w:r w:rsidR="008B4DB1">
        <w:rPr>
          <w:rFonts w:ascii="Calibri" w:eastAsia="Calibri" w:hAnsi="Calibri" w:cs="Calibri"/>
          <w:color w:val="000000"/>
        </w:rPr>
        <w:t>evidence of allocation of resources to specific activities addressing GEDSI</w:t>
      </w:r>
      <w:r w:rsidR="00E83FE0">
        <w:rPr>
          <w:rFonts w:ascii="Calibri" w:eastAsia="Calibri" w:hAnsi="Calibri" w:cs="Calibri"/>
          <w:color w:val="000000"/>
        </w:rPr>
        <w:t xml:space="preserve"> and a GEDSI budget line item in later reporting</w:t>
      </w:r>
      <w:r w:rsidR="008B4DB1">
        <w:rPr>
          <w:rFonts w:ascii="Calibri" w:eastAsia="Calibri" w:hAnsi="Calibri" w:cs="Calibri"/>
          <w:color w:val="000000"/>
        </w:rPr>
        <w:t xml:space="preserve"> demonstrate</w:t>
      </w:r>
      <w:r w:rsidR="00E83FE0">
        <w:rPr>
          <w:rFonts w:ascii="Calibri" w:eastAsia="Calibri" w:hAnsi="Calibri" w:cs="Calibri"/>
          <w:color w:val="000000"/>
        </w:rPr>
        <w:t xml:space="preserve"> a commitment by AIHSP to adequately resourc</w:t>
      </w:r>
      <w:r w:rsidR="00FC2B7C">
        <w:rPr>
          <w:rFonts w:ascii="Calibri" w:eastAsia="Calibri" w:hAnsi="Calibri" w:cs="Calibri"/>
          <w:color w:val="000000"/>
        </w:rPr>
        <w:t>ing</w:t>
      </w:r>
      <w:r w:rsidR="00E83FE0">
        <w:rPr>
          <w:rFonts w:ascii="Calibri" w:eastAsia="Calibri" w:hAnsi="Calibri" w:cs="Calibri"/>
          <w:color w:val="000000"/>
        </w:rPr>
        <w:t xml:space="preserve"> GEDSI.</w:t>
      </w:r>
      <w:r w:rsidR="008B4DB1">
        <w:rPr>
          <w:rFonts w:ascii="Calibri" w:eastAsia="Calibri" w:hAnsi="Calibri" w:cs="Calibri"/>
          <w:color w:val="000000"/>
        </w:rPr>
        <w:t xml:space="preserve"> </w:t>
      </w:r>
    </w:p>
    <w:p w14:paraId="582ABC9F" w14:textId="2A1019CD" w:rsidR="00A64A09" w:rsidRPr="006C22CF" w:rsidRDefault="005A12C1" w:rsidP="00425817">
      <w:pPr>
        <w:pStyle w:val="Heading2"/>
        <w:numPr>
          <w:ilvl w:val="1"/>
          <w:numId w:val="11"/>
        </w:numPr>
        <w:spacing w:line="240" w:lineRule="auto"/>
      </w:pPr>
      <w:bookmarkStart w:id="125" w:name="_Toc135837446"/>
      <w:r>
        <w:t>Gender equality</w:t>
      </w:r>
      <w:bookmarkEnd w:id="125"/>
    </w:p>
    <w:p w14:paraId="635D0326" w14:textId="52DC69E1" w:rsidR="00CA07C2" w:rsidRPr="00F71DB8" w:rsidRDefault="00A64A09" w:rsidP="009F70DB">
      <w:pPr>
        <w:spacing w:after="120" w:line="240" w:lineRule="auto"/>
      </w:pPr>
      <w:r>
        <w:t>From 2020</w:t>
      </w:r>
      <w:r w:rsidR="00E45A6B">
        <w:t xml:space="preserve"> to </w:t>
      </w:r>
      <w:r>
        <w:t xml:space="preserve">2022, AIHSP, WHO and UNICEF all addressed gender equality through targeted activities. </w:t>
      </w:r>
      <w:r w:rsidR="005A12C1" w:rsidRPr="001E1E18">
        <w:rPr>
          <w:color w:val="000000"/>
        </w:rPr>
        <w:t>AIHSP focused on improving women’s access to COVID-19 vaccination</w:t>
      </w:r>
      <w:r w:rsidR="00F71DB8">
        <w:rPr>
          <w:color w:val="000000"/>
        </w:rPr>
        <w:t>,</w:t>
      </w:r>
      <w:r w:rsidR="005A12C1" w:rsidRPr="001E1E18">
        <w:rPr>
          <w:color w:val="000000"/>
        </w:rPr>
        <w:t xml:space="preserve"> promoting awareness of rabies among </w:t>
      </w:r>
      <w:proofErr w:type="gramStart"/>
      <w:r w:rsidR="005A12C1" w:rsidRPr="001E1E18">
        <w:rPr>
          <w:color w:val="000000"/>
        </w:rPr>
        <w:t>women</w:t>
      </w:r>
      <w:proofErr w:type="gramEnd"/>
      <w:r w:rsidR="005A12C1" w:rsidRPr="001E1E18">
        <w:rPr>
          <w:color w:val="000000"/>
        </w:rPr>
        <w:t xml:space="preserve"> and involving </w:t>
      </w:r>
      <w:r w:rsidR="00CA07C2">
        <w:rPr>
          <w:color w:val="000000"/>
        </w:rPr>
        <w:t>transgender</w:t>
      </w:r>
      <w:r w:rsidR="00CA07C2" w:rsidRPr="001E1E18">
        <w:rPr>
          <w:color w:val="000000"/>
        </w:rPr>
        <w:t xml:space="preserve"> </w:t>
      </w:r>
      <w:r w:rsidR="00CA07C2">
        <w:rPr>
          <w:color w:val="000000"/>
        </w:rPr>
        <w:t xml:space="preserve">and </w:t>
      </w:r>
      <w:r w:rsidR="005A12C1" w:rsidRPr="001E1E18">
        <w:rPr>
          <w:color w:val="000000"/>
        </w:rPr>
        <w:t>women’s</w:t>
      </w:r>
      <w:r w:rsidR="00CA07C2">
        <w:rPr>
          <w:color w:val="000000"/>
        </w:rPr>
        <w:t xml:space="preserve"> </w:t>
      </w:r>
      <w:r w:rsidR="005A12C1" w:rsidRPr="001E1E18">
        <w:rPr>
          <w:color w:val="000000"/>
        </w:rPr>
        <w:t>organisations in design and delivery</w:t>
      </w:r>
      <w:r w:rsidR="00F71DB8">
        <w:rPr>
          <w:color w:val="000000"/>
        </w:rPr>
        <w:t xml:space="preserve"> of activities</w:t>
      </w:r>
      <w:r w:rsidR="005A12C1" w:rsidRPr="001E1E18">
        <w:rPr>
          <w:color w:val="000000"/>
        </w:rPr>
        <w:t xml:space="preserve">. </w:t>
      </w:r>
      <w:r w:rsidR="00F71DB8">
        <w:rPr>
          <w:color w:val="000000"/>
        </w:rPr>
        <w:t xml:space="preserve">Sub-partner </w:t>
      </w:r>
      <w:r w:rsidR="00DE33AA">
        <w:rPr>
          <w:rFonts w:ascii="Calibri" w:eastAsia="Calibri" w:hAnsi="Calibri" w:cs="Calibri"/>
          <w:color w:val="000000"/>
        </w:rPr>
        <w:t xml:space="preserve">gender-specific activities </w:t>
      </w:r>
      <w:r w:rsidR="001E1E18" w:rsidRPr="001E1E18">
        <w:rPr>
          <w:rFonts w:ascii="Calibri" w:eastAsia="Calibri" w:hAnsi="Calibri" w:cs="Calibri"/>
          <w:color w:val="000000"/>
        </w:rPr>
        <w:t>provide</w:t>
      </w:r>
      <w:r w:rsidR="001E1E18">
        <w:rPr>
          <w:rFonts w:ascii="Calibri" w:eastAsia="Calibri" w:hAnsi="Calibri" w:cs="Calibri"/>
          <w:color w:val="000000"/>
        </w:rPr>
        <w:t>d</w:t>
      </w:r>
      <w:r w:rsidR="001E1E18" w:rsidRPr="001E1E18">
        <w:rPr>
          <w:rFonts w:ascii="Calibri" w:eastAsia="Calibri" w:hAnsi="Calibri" w:cs="Calibri"/>
          <w:color w:val="000000"/>
        </w:rPr>
        <w:t xml:space="preserve"> guidance for isolation</w:t>
      </w:r>
      <w:r w:rsidR="00F71DB8">
        <w:rPr>
          <w:rFonts w:ascii="Calibri" w:eastAsia="Calibri" w:hAnsi="Calibri" w:cs="Calibri"/>
          <w:color w:val="000000"/>
        </w:rPr>
        <w:t xml:space="preserve"> </w:t>
      </w:r>
      <w:r w:rsidR="001E1E18">
        <w:rPr>
          <w:rFonts w:ascii="Calibri" w:eastAsia="Calibri" w:hAnsi="Calibri" w:cs="Calibri"/>
          <w:color w:val="000000"/>
        </w:rPr>
        <w:t>and inform</w:t>
      </w:r>
      <w:r w:rsidR="00DE33AA">
        <w:rPr>
          <w:rFonts w:ascii="Calibri" w:eastAsia="Calibri" w:hAnsi="Calibri" w:cs="Calibri"/>
          <w:color w:val="000000"/>
        </w:rPr>
        <w:t>ed</w:t>
      </w:r>
      <w:r w:rsidR="001E1E18" w:rsidRPr="001E1E18">
        <w:rPr>
          <w:rFonts w:ascii="Calibri" w:eastAsia="Calibri" w:hAnsi="Calibri" w:cs="Calibri"/>
          <w:color w:val="000000"/>
        </w:rPr>
        <w:t xml:space="preserve"> health emergency preparedness coordination and interpersonal communication capacity building for</w:t>
      </w:r>
      <w:r w:rsidR="00150A5D">
        <w:rPr>
          <w:rFonts w:ascii="Calibri" w:eastAsia="Calibri" w:hAnsi="Calibri" w:cs="Calibri"/>
          <w:color w:val="000000"/>
        </w:rPr>
        <w:t xml:space="preserve"> </w:t>
      </w:r>
      <w:r w:rsidR="00CA07C2">
        <w:rPr>
          <w:rFonts w:ascii="Calibri" w:eastAsia="Calibri" w:hAnsi="Calibri" w:cs="Calibri"/>
          <w:color w:val="000000"/>
        </w:rPr>
        <w:t xml:space="preserve">government partners </w:t>
      </w:r>
      <w:r w:rsidR="00150A5D">
        <w:rPr>
          <w:rFonts w:ascii="Calibri" w:eastAsia="Calibri" w:hAnsi="Calibri" w:cs="Calibri"/>
          <w:color w:val="000000"/>
        </w:rPr>
        <w:t>in</w:t>
      </w:r>
      <w:r w:rsidR="001E1E18" w:rsidRPr="001E1E18">
        <w:rPr>
          <w:rFonts w:ascii="Calibri" w:eastAsia="Calibri" w:hAnsi="Calibri" w:cs="Calibri"/>
          <w:color w:val="000000"/>
        </w:rPr>
        <w:t xml:space="preserve"> infectious diseases</w:t>
      </w:r>
      <w:r w:rsidR="00CA07C2">
        <w:rPr>
          <w:rFonts w:ascii="Calibri" w:eastAsia="Calibri" w:hAnsi="Calibri" w:cs="Calibri"/>
          <w:color w:val="000000"/>
        </w:rPr>
        <w:t xml:space="preserve"> including COVID-19</w:t>
      </w:r>
      <w:r w:rsidR="001E1E18" w:rsidRPr="001E1E18">
        <w:rPr>
          <w:rFonts w:ascii="Calibri" w:eastAsia="Calibri" w:hAnsi="Calibri" w:cs="Calibri"/>
          <w:color w:val="000000"/>
        </w:rPr>
        <w:t>.</w:t>
      </w:r>
      <w:r w:rsidR="00527B2A">
        <w:t xml:space="preserve"> </w:t>
      </w:r>
      <w:r w:rsidR="00527B2A" w:rsidRPr="001E1E18">
        <w:rPr>
          <w:color w:val="000000"/>
        </w:rPr>
        <w:t>These activities demonstrate</w:t>
      </w:r>
      <w:r w:rsidR="00F71DB8">
        <w:rPr>
          <w:color w:val="000000"/>
        </w:rPr>
        <w:t>d</w:t>
      </w:r>
      <w:r w:rsidR="00527B2A" w:rsidRPr="001E1E18">
        <w:rPr>
          <w:color w:val="000000"/>
        </w:rPr>
        <w:t xml:space="preserve"> a gender mainstreaming approach to programming</w:t>
      </w:r>
      <w:r w:rsidR="00527B2A">
        <w:rPr>
          <w:color w:val="000000"/>
        </w:rPr>
        <w:t xml:space="preserve"> (track one of the GEDSI Strategy) </w:t>
      </w:r>
      <w:r w:rsidR="00F71DB8">
        <w:rPr>
          <w:color w:val="000000"/>
        </w:rPr>
        <w:t>and used</w:t>
      </w:r>
      <w:r w:rsidR="00527B2A">
        <w:rPr>
          <w:color w:val="000000"/>
        </w:rPr>
        <w:t xml:space="preserve"> targeted activities (track two)</w:t>
      </w:r>
      <w:r w:rsidR="00F71DB8">
        <w:rPr>
          <w:color w:val="000000"/>
        </w:rPr>
        <w:t xml:space="preserve">. This approach </w:t>
      </w:r>
      <w:r w:rsidR="00527B2A" w:rsidRPr="001E1E18">
        <w:rPr>
          <w:color w:val="000000"/>
        </w:rPr>
        <w:t xml:space="preserve">was reinforced by </w:t>
      </w:r>
      <w:r w:rsidR="00527B2A" w:rsidRPr="001E1E18">
        <w:rPr>
          <w:rFonts w:ascii="Calibri" w:eastAsia="Calibri" w:hAnsi="Calibri" w:cs="Calibri"/>
          <w:color w:val="000000"/>
          <w:highlight w:val="white"/>
        </w:rPr>
        <w:t xml:space="preserve">AIHSP through monthly GEDSI training for staff to incorporate a gender lens into programming and administration. </w:t>
      </w:r>
      <w:r w:rsidR="008B4DB1">
        <w:rPr>
          <w:rFonts w:ascii="Calibri" w:eastAsia="Calibri" w:hAnsi="Calibri" w:cs="Calibri"/>
          <w:color w:val="000000"/>
        </w:rPr>
        <w:t xml:space="preserve">However, as noted above, there was little </w:t>
      </w:r>
      <w:r w:rsidR="006141D6">
        <w:rPr>
          <w:rFonts w:ascii="Calibri" w:eastAsia="Calibri" w:hAnsi="Calibri" w:cs="Calibri"/>
          <w:color w:val="000000"/>
        </w:rPr>
        <w:t xml:space="preserve">available </w:t>
      </w:r>
      <w:r w:rsidR="008B4DB1">
        <w:rPr>
          <w:rFonts w:ascii="Calibri" w:eastAsia="Calibri" w:hAnsi="Calibri" w:cs="Calibri"/>
          <w:color w:val="000000"/>
        </w:rPr>
        <w:t>evidence that these activities resulted in the</w:t>
      </w:r>
      <w:r w:rsidR="00DE33AA">
        <w:rPr>
          <w:rFonts w:ascii="Calibri" w:eastAsia="Calibri" w:hAnsi="Calibri" w:cs="Calibri"/>
          <w:color w:val="000000"/>
        </w:rPr>
        <w:t>ir</w:t>
      </w:r>
      <w:r w:rsidR="008B4DB1">
        <w:rPr>
          <w:rFonts w:ascii="Calibri" w:eastAsia="Calibri" w:hAnsi="Calibri" w:cs="Calibri"/>
          <w:color w:val="000000"/>
        </w:rPr>
        <w:t xml:space="preserve"> intended outcomes, such as changes in behaviour of women in response to the rabies communication.</w:t>
      </w:r>
    </w:p>
    <w:p w14:paraId="1B16EB1B" w14:textId="16C010C3" w:rsidR="00901012" w:rsidRDefault="00732015" w:rsidP="009F70DB">
      <w:pPr>
        <w:pBdr>
          <w:top w:val="nil"/>
          <w:left w:val="nil"/>
          <w:bottom w:val="nil"/>
          <w:right w:val="nil"/>
          <w:between w:val="nil"/>
        </w:pBdr>
        <w:spacing w:after="120" w:line="240" w:lineRule="auto"/>
        <w:rPr>
          <w:rFonts w:ascii="Calibri" w:eastAsia="Calibri" w:hAnsi="Calibri" w:cs="Calibri"/>
          <w:color w:val="000000"/>
        </w:rPr>
      </w:pPr>
      <w:r w:rsidRPr="00BD4050">
        <w:rPr>
          <w:color w:val="000000"/>
        </w:rPr>
        <w:t xml:space="preserve">UNICEF’s work yielded some effective results. It </w:t>
      </w:r>
      <w:r w:rsidRPr="00BD4050">
        <w:rPr>
          <w:rFonts w:ascii="Calibri" w:eastAsia="Calibri" w:hAnsi="Calibri" w:cs="Calibri"/>
          <w:color w:val="000000"/>
        </w:rPr>
        <w:t>collaborated with the Indonesian Breastfeeding Mothers (AIMI) and Fathers (</w:t>
      </w:r>
      <w:proofErr w:type="spellStart"/>
      <w:r w:rsidRPr="00BD4050">
        <w:rPr>
          <w:rFonts w:ascii="Calibri" w:eastAsia="Calibri" w:hAnsi="Calibri" w:cs="Calibri"/>
          <w:color w:val="000000"/>
        </w:rPr>
        <w:t>AyahASI</w:t>
      </w:r>
      <w:proofErr w:type="spellEnd"/>
      <w:r w:rsidRPr="00BD4050">
        <w:rPr>
          <w:rFonts w:ascii="Calibri" w:eastAsia="Calibri" w:hAnsi="Calibri" w:cs="Calibri"/>
          <w:color w:val="000000"/>
        </w:rPr>
        <w:t xml:space="preserve">) Associations to support MoH in establishing the first-ever national online platform to report violations against the International Code of </w:t>
      </w:r>
      <w:r w:rsidR="00CB1EA3">
        <w:rPr>
          <w:rFonts w:ascii="Calibri" w:eastAsia="Calibri" w:hAnsi="Calibri" w:cs="Calibri"/>
          <w:color w:val="000000"/>
        </w:rPr>
        <w:t>M</w:t>
      </w:r>
      <w:r w:rsidRPr="00BD4050">
        <w:rPr>
          <w:rFonts w:ascii="Calibri" w:eastAsia="Calibri" w:hAnsi="Calibri" w:cs="Calibri"/>
          <w:color w:val="000000"/>
        </w:rPr>
        <w:t xml:space="preserve">arketing of </w:t>
      </w:r>
      <w:r w:rsidR="00CB1EA3">
        <w:rPr>
          <w:rFonts w:ascii="Calibri" w:eastAsia="Calibri" w:hAnsi="Calibri" w:cs="Calibri"/>
          <w:color w:val="000000"/>
        </w:rPr>
        <w:t>B</w:t>
      </w:r>
      <w:r w:rsidRPr="00BD4050">
        <w:rPr>
          <w:rFonts w:ascii="Calibri" w:eastAsia="Calibri" w:hAnsi="Calibri" w:cs="Calibri"/>
          <w:color w:val="000000"/>
        </w:rPr>
        <w:t xml:space="preserve">reastmilk </w:t>
      </w:r>
      <w:r w:rsidR="00CB1EA3">
        <w:rPr>
          <w:rFonts w:ascii="Calibri" w:eastAsia="Calibri" w:hAnsi="Calibri" w:cs="Calibri"/>
          <w:color w:val="000000"/>
        </w:rPr>
        <w:t>S</w:t>
      </w:r>
      <w:r w:rsidRPr="00BD4050">
        <w:rPr>
          <w:rFonts w:ascii="Calibri" w:eastAsia="Calibri" w:hAnsi="Calibri" w:cs="Calibri"/>
          <w:color w:val="000000"/>
        </w:rPr>
        <w:t xml:space="preserve">ubstitutes. Since the </w:t>
      </w:r>
      <w:r w:rsidR="00C30AF3">
        <w:rPr>
          <w:rFonts w:ascii="Calibri" w:eastAsia="Calibri" w:hAnsi="Calibri" w:cs="Calibri"/>
          <w:color w:val="000000"/>
        </w:rPr>
        <w:t xml:space="preserve">platform’s </w:t>
      </w:r>
      <w:r w:rsidRPr="00BD4050">
        <w:rPr>
          <w:rFonts w:ascii="Calibri" w:eastAsia="Calibri" w:hAnsi="Calibri" w:cs="Calibri"/>
          <w:color w:val="000000"/>
        </w:rPr>
        <w:t>launch</w:t>
      </w:r>
      <w:r w:rsidR="00C30AF3">
        <w:rPr>
          <w:rFonts w:ascii="Calibri" w:eastAsia="Calibri" w:hAnsi="Calibri" w:cs="Calibri"/>
          <w:color w:val="000000"/>
        </w:rPr>
        <w:t>,</w:t>
      </w:r>
      <w:r w:rsidRPr="00BD4050">
        <w:rPr>
          <w:rFonts w:ascii="Calibri" w:eastAsia="Calibri" w:hAnsi="Calibri" w:cs="Calibri"/>
          <w:color w:val="000000"/>
        </w:rPr>
        <w:t xml:space="preserve"> 926 verified cases of Code violations were reported by the public</w:t>
      </w:r>
      <w:r w:rsidR="002F67AF">
        <w:rPr>
          <w:rFonts w:ascii="Calibri" w:eastAsia="Calibri" w:hAnsi="Calibri" w:cs="Calibri"/>
          <w:color w:val="000000"/>
        </w:rPr>
        <w:t>. These</w:t>
      </w:r>
      <w:r w:rsidRPr="00BD4050">
        <w:rPr>
          <w:rFonts w:ascii="Calibri" w:eastAsia="Calibri" w:hAnsi="Calibri" w:cs="Calibri"/>
          <w:color w:val="000000"/>
        </w:rPr>
        <w:t xml:space="preserve"> were compiled and shared with MoH and the Food and Drug Association for follow-up action (2021). Also in 2021, </w:t>
      </w:r>
      <w:r w:rsidRPr="00BD4050">
        <w:rPr>
          <w:rFonts w:ascii="Calibri" w:eastAsia="Calibri" w:hAnsi="Calibri" w:cs="Calibri"/>
          <w:color w:val="000000"/>
          <w:highlight w:val="white"/>
        </w:rPr>
        <w:t xml:space="preserve">UNICEF provided technical support to finalise </w:t>
      </w:r>
      <w:r w:rsidRPr="00BD4050">
        <w:rPr>
          <w:rFonts w:ascii="Calibri" w:eastAsia="Calibri" w:hAnsi="Calibri" w:cs="Calibri"/>
          <w:color w:val="000000"/>
          <w:highlight w:val="white"/>
        </w:rPr>
        <w:lastRenderedPageBreak/>
        <w:t>antenatal care guidelines</w:t>
      </w:r>
      <w:r w:rsidR="00FF62D9">
        <w:rPr>
          <w:rFonts w:ascii="Calibri" w:eastAsia="Calibri" w:hAnsi="Calibri" w:cs="Calibri"/>
          <w:color w:val="000000"/>
          <w:highlight w:val="white"/>
        </w:rPr>
        <w:t xml:space="preserve"> which</w:t>
      </w:r>
      <w:r w:rsidRPr="00BD4050">
        <w:rPr>
          <w:rFonts w:ascii="Calibri" w:eastAsia="Calibri" w:hAnsi="Calibri" w:cs="Calibri"/>
          <w:color w:val="000000"/>
          <w:highlight w:val="white"/>
        </w:rPr>
        <w:t xml:space="preserve"> led to an increase in the average number of antenatal contacts from four to</w:t>
      </w:r>
      <w:sdt>
        <w:sdtPr>
          <w:rPr>
            <w:color w:val="2B579A"/>
            <w:shd w:val="clear" w:color="auto" w:fill="E6E6E6"/>
          </w:rPr>
          <w:tag w:val="goog_rdk_7"/>
          <w:id w:val="1168141424"/>
        </w:sdtPr>
        <w:sdtEndPr>
          <w:rPr>
            <w:color w:val="auto"/>
            <w:shd w:val="clear" w:color="auto" w:fill="auto"/>
          </w:rPr>
        </w:sdtEndPr>
        <w:sdtContent/>
      </w:sdt>
      <w:r w:rsidRPr="00BD4050">
        <w:rPr>
          <w:rFonts w:ascii="Calibri" w:eastAsia="Calibri" w:hAnsi="Calibri" w:cs="Calibri"/>
          <w:color w:val="000000"/>
          <w:highlight w:val="white"/>
        </w:rPr>
        <w:t xml:space="preserve"> six visits. Th</w:t>
      </w:r>
      <w:r w:rsidR="00C30AF3">
        <w:rPr>
          <w:rFonts w:ascii="Calibri" w:eastAsia="Calibri" w:hAnsi="Calibri" w:cs="Calibri"/>
          <w:color w:val="000000"/>
          <w:highlight w:val="white"/>
        </w:rPr>
        <w:t>is</w:t>
      </w:r>
      <w:r w:rsidRPr="00BD4050">
        <w:rPr>
          <w:rFonts w:ascii="Calibri" w:eastAsia="Calibri" w:hAnsi="Calibri" w:cs="Calibri"/>
          <w:color w:val="000000"/>
          <w:highlight w:val="white"/>
        </w:rPr>
        <w:t xml:space="preserve"> </w:t>
      </w:r>
      <w:r w:rsidR="00FF62D9">
        <w:rPr>
          <w:rFonts w:ascii="Calibri" w:eastAsia="Calibri" w:hAnsi="Calibri" w:cs="Calibri"/>
          <w:color w:val="000000"/>
          <w:highlight w:val="white"/>
        </w:rPr>
        <w:t>helped</w:t>
      </w:r>
      <w:r w:rsidR="00C30AF3">
        <w:rPr>
          <w:rFonts w:ascii="Calibri" w:eastAsia="Calibri" w:hAnsi="Calibri" w:cs="Calibri"/>
          <w:color w:val="000000"/>
          <w:highlight w:val="white"/>
        </w:rPr>
        <w:t xml:space="preserve"> to </w:t>
      </w:r>
      <w:r w:rsidRPr="00BD4050">
        <w:rPr>
          <w:rFonts w:ascii="Calibri" w:eastAsia="Calibri" w:hAnsi="Calibri" w:cs="Calibri"/>
          <w:color w:val="000000"/>
          <w:highlight w:val="white"/>
        </w:rPr>
        <w:t>maint</w:t>
      </w:r>
      <w:r w:rsidR="00FF62D9">
        <w:rPr>
          <w:rFonts w:ascii="Calibri" w:eastAsia="Calibri" w:hAnsi="Calibri" w:cs="Calibri"/>
          <w:color w:val="000000"/>
          <w:highlight w:val="white"/>
        </w:rPr>
        <w:t>ain</w:t>
      </w:r>
      <w:r w:rsidRPr="00BD4050">
        <w:rPr>
          <w:rFonts w:ascii="Calibri" w:eastAsia="Calibri" w:hAnsi="Calibri" w:cs="Calibri"/>
          <w:color w:val="000000"/>
          <w:highlight w:val="white"/>
        </w:rPr>
        <w:t xml:space="preserve"> maternal and newborn services during COVID-19. </w:t>
      </w:r>
    </w:p>
    <w:p w14:paraId="382B8079" w14:textId="7E4234B2" w:rsidR="00C741D8" w:rsidRPr="00BD4050" w:rsidRDefault="00C30AF3" w:rsidP="009F70DB">
      <w:pPr>
        <w:pBdr>
          <w:top w:val="nil"/>
          <w:left w:val="nil"/>
          <w:bottom w:val="nil"/>
          <w:right w:val="nil"/>
          <w:between w:val="nil"/>
        </w:pBdr>
        <w:spacing w:after="120" w:line="240" w:lineRule="auto"/>
        <w:rPr>
          <w:highlight w:val="white"/>
        </w:rPr>
      </w:pPr>
      <w:r>
        <w:rPr>
          <w:rFonts w:ascii="Calibri" w:eastAsia="Calibri" w:hAnsi="Calibri" w:cs="Calibri"/>
          <w:color w:val="000000"/>
        </w:rPr>
        <w:t xml:space="preserve">From 2020, </w:t>
      </w:r>
      <w:r w:rsidR="00C741D8" w:rsidRPr="00BD4050">
        <w:rPr>
          <w:rFonts w:ascii="Calibri" w:eastAsia="Calibri" w:hAnsi="Calibri" w:cs="Calibri"/>
          <w:color w:val="000000"/>
        </w:rPr>
        <w:t xml:space="preserve">UNICEF ensured </w:t>
      </w:r>
      <w:r>
        <w:rPr>
          <w:rFonts w:ascii="Calibri" w:eastAsia="Calibri" w:hAnsi="Calibri" w:cs="Calibri"/>
          <w:color w:val="000000"/>
        </w:rPr>
        <w:t xml:space="preserve">that </w:t>
      </w:r>
      <w:r w:rsidR="00C741D8" w:rsidRPr="00BD4050">
        <w:rPr>
          <w:rFonts w:ascii="Calibri" w:eastAsia="Calibri" w:hAnsi="Calibri" w:cs="Calibri"/>
          <w:color w:val="000000"/>
        </w:rPr>
        <w:t xml:space="preserve">over 2.7 million women and children remained connected to critical basic health services during COVID-19 including pre- and postnatal care, medical care for childhood illnesses and life-saving vaccination. </w:t>
      </w:r>
      <w:r w:rsidR="00BD4050" w:rsidRPr="00BD4050">
        <w:rPr>
          <w:highlight w:val="white"/>
        </w:rPr>
        <w:t xml:space="preserve">In 2021, UNICEF supported </w:t>
      </w:r>
      <w:proofErr w:type="spellStart"/>
      <w:r w:rsidR="00BD4050" w:rsidRPr="00BD4050">
        <w:rPr>
          <w:highlight w:val="white"/>
        </w:rPr>
        <w:t>GoI</w:t>
      </w:r>
      <w:proofErr w:type="spellEnd"/>
      <w:r w:rsidR="00BD4050" w:rsidRPr="00BD4050">
        <w:rPr>
          <w:highlight w:val="white"/>
        </w:rPr>
        <w:t xml:space="preserve"> to finalise and roll out a system for maternal perinatal death surveillance.</w:t>
      </w:r>
      <w:r w:rsidR="00BD4050">
        <w:t xml:space="preserve"> </w:t>
      </w:r>
      <w:r w:rsidR="00C741D8" w:rsidRPr="00BD4050">
        <w:rPr>
          <w:rFonts w:ascii="Calibri" w:eastAsia="Calibri" w:hAnsi="Calibri" w:cs="Calibri"/>
          <w:color w:val="000000"/>
        </w:rPr>
        <w:t xml:space="preserve">However, the MTR Team did not have access to health service data to be able to verify </w:t>
      </w:r>
      <w:r w:rsidR="00BD4050" w:rsidRPr="00BD4050">
        <w:rPr>
          <w:rFonts w:ascii="Calibri" w:eastAsia="Calibri" w:hAnsi="Calibri" w:cs="Calibri"/>
          <w:color w:val="000000"/>
        </w:rPr>
        <w:t xml:space="preserve">how effective the basic health service activities had been nor </w:t>
      </w:r>
      <w:r>
        <w:rPr>
          <w:rFonts w:ascii="Calibri" w:eastAsia="Calibri" w:hAnsi="Calibri" w:cs="Calibri"/>
          <w:color w:val="000000"/>
        </w:rPr>
        <w:t>how widely th</w:t>
      </w:r>
      <w:r w:rsidR="00BD4050" w:rsidRPr="00BD4050">
        <w:rPr>
          <w:rFonts w:ascii="Calibri" w:eastAsia="Calibri" w:hAnsi="Calibri" w:cs="Calibri"/>
          <w:color w:val="000000"/>
        </w:rPr>
        <w:t>e surveillance system</w:t>
      </w:r>
      <w:r>
        <w:rPr>
          <w:rFonts w:ascii="Calibri" w:eastAsia="Calibri" w:hAnsi="Calibri" w:cs="Calibri"/>
          <w:color w:val="000000"/>
        </w:rPr>
        <w:t xml:space="preserve"> </w:t>
      </w:r>
      <w:r w:rsidR="006C61FF">
        <w:rPr>
          <w:rFonts w:ascii="Calibri" w:eastAsia="Calibri" w:hAnsi="Calibri" w:cs="Calibri"/>
          <w:color w:val="000000"/>
        </w:rPr>
        <w:t>had been</w:t>
      </w:r>
      <w:r>
        <w:rPr>
          <w:rFonts w:ascii="Calibri" w:eastAsia="Calibri" w:hAnsi="Calibri" w:cs="Calibri"/>
          <w:color w:val="000000"/>
        </w:rPr>
        <w:t xml:space="preserve"> used</w:t>
      </w:r>
      <w:r w:rsidR="00C741D8" w:rsidRPr="00BD4050">
        <w:rPr>
          <w:rFonts w:ascii="Calibri" w:eastAsia="Calibri" w:hAnsi="Calibri" w:cs="Calibri"/>
          <w:color w:val="000000"/>
        </w:rPr>
        <w:t xml:space="preserve">. </w:t>
      </w:r>
    </w:p>
    <w:p w14:paraId="400ECA4A" w14:textId="19CDAD9C" w:rsidR="00C741D8" w:rsidRDefault="00C741D8" w:rsidP="009F70DB">
      <w:pPr>
        <w:pBdr>
          <w:top w:val="nil"/>
          <w:left w:val="nil"/>
          <w:bottom w:val="nil"/>
          <w:right w:val="nil"/>
          <w:between w:val="nil"/>
        </w:pBdr>
        <w:spacing w:after="120" w:line="240" w:lineRule="auto"/>
      </w:pPr>
      <w:r w:rsidRPr="4FCF45F9">
        <w:rPr>
          <w:rFonts w:ascii="Calibri" w:eastAsia="Calibri" w:hAnsi="Calibri" w:cs="Calibri"/>
          <w:color w:val="000000" w:themeColor="text1"/>
        </w:rPr>
        <w:t xml:space="preserve">In 2020, UNICEF teamed with Yayasan </w:t>
      </w:r>
      <w:proofErr w:type="spellStart"/>
      <w:r w:rsidRPr="4FCF45F9">
        <w:rPr>
          <w:rFonts w:ascii="Calibri" w:eastAsia="Calibri" w:hAnsi="Calibri" w:cs="Calibri"/>
          <w:color w:val="000000" w:themeColor="text1"/>
        </w:rPr>
        <w:t>Teman</w:t>
      </w:r>
      <w:proofErr w:type="spellEnd"/>
      <w:r w:rsidRPr="4FCF45F9">
        <w:rPr>
          <w:rFonts w:ascii="Calibri" w:eastAsia="Calibri" w:hAnsi="Calibri" w:cs="Calibri"/>
          <w:color w:val="000000" w:themeColor="text1"/>
        </w:rPr>
        <w:t xml:space="preserve"> </w:t>
      </w:r>
      <w:proofErr w:type="spellStart"/>
      <w:r w:rsidRPr="4FCF45F9">
        <w:rPr>
          <w:rFonts w:ascii="Calibri" w:eastAsia="Calibri" w:hAnsi="Calibri" w:cs="Calibri"/>
          <w:color w:val="000000" w:themeColor="text1"/>
        </w:rPr>
        <w:t>Baik</w:t>
      </w:r>
      <w:proofErr w:type="spellEnd"/>
      <w:r w:rsidRPr="4FCF45F9">
        <w:rPr>
          <w:rFonts w:ascii="Calibri" w:eastAsia="Calibri" w:hAnsi="Calibri" w:cs="Calibri"/>
          <w:color w:val="000000" w:themeColor="text1"/>
        </w:rPr>
        <w:t xml:space="preserve"> (Friends International – Indonesia or YTB) to train civil society staff in </w:t>
      </w:r>
      <w:r w:rsidR="007876E0">
        <w:rPr>
          <w:rFonts w:ascii="Calibri" w:eastAsia="Calibri" w:hAnsi="Calibri" w:cs="Calibri"/>
          <w:color w:val="000000" w:themeColor="text1"/>
        </w:rPr>
        <w:t>gender-based violence (</w:t>
      </w:r>
      <w:r w:rsidRPr="4FCF45F9">
        <w:rPr>
          <w:rFonts w:ascii="Calibri" w:eastAsia="Calibri" w:hAnsi="Calibri" w:cs="Calibri"/>
          <w:color w:val="000000" w:themeColor="text1"/>
        </w:rPr>
        <w:t>GBV</w:t>
      </w:r>
      <w:r w:rsidR="007876E0">
        <w:rPr>
          <w:rFonts w:ascii="Calibri" w:eastAsia="Calibri" w:hAnsi="Calibri" w:cs="Calibri"/>
          <w:color w:val="000000" w:themeColor="text1"/>
        </w:rPr>
        <w:t>)</w:t>
      </w:r>
      <w:r w:rsidRPr="4FCF45F9">
        <w:rPr>
          <w:rFonts w:ascii="Calibri" w:eastAsia="Calibri" w:hAnsi="Calibri" w:cs="Calibri"/>
          <w:color w:val="000000" w:themeColor="text1"/>
        </w:rPr>
        <w:t xml:space="preserve"> risk mitigation and protection from sexual exploitation and abuse (PSEA). These staff </w:t>
      </w:r>
      <w:r w:rsidR="00767EC5">
        <w:rPr>
          <w:rFonts w:ascii="Calibri" w:eastAsia="Calibri" w:hAnsi="Calibri" w:cs="Calibri"/>
          <w:color w:val="000000" w:themeColor="text1"/>
        </w:rPr>
        <w:t xml:space="preserve">then </w:t>
      </w:r>
      <w:r w:rsidRPr="4FCF45F9">
        <w:rPr>
          <w:rFonts w:ascii="Calibri" w:eastAsia="Calibri" w:hAnsi="Calibri" w:cs="Calibri"/>
          <w:color w:val="000000" w:themeColor="text1"/>
        </w:rPr>
        <w:t>trained 6,000 frontline volunteers, health providers, psychologists and teachers working with children and other at-risk groups.</w:t>
      </w:r>
      <w:r w:rsidR="00BD4050" w:rsidRPr="4FCF45F9">
        <w:rPr>
          <w:rFonts w:ascii="Calibri" w:eastAsia="Calibri" w:hAnsi="Calibri" w:cs="Calibri"/>
          <w:color w:val="000000" w:themeColor="text1"/>
        </w:rPr>
        <w:t xml:space="preserve"> WHO collaborated with UNIFEM</w:t>
      </w:r>
      <w:r w:rsidR="007876E0">
        <w:rPr>
          <w:rFonts w:ascii="Calibri" w:eastAsia="Calibri" w:hAnsi="Calibri" w:cs="Calibri"/>
          <w:color w:val="000000" w:themeColor="text1"/>
        </w:rPr>
        <w:t xml:space="preserve"> and</w:t>
      </w:r>
      <w:r w:rsidR="00BD4050" w:rsidRPr="4FCF45F9">
        <w:rPr>
          <w:rFonts w:ascii="Calibri" w:eastAsia="Calibri" w:hAnsi="Calibri" w:cs="Calibri"/>
          <w:color w:val="000000" w:themeColor="text1"/>
        </w:rPr>
        <w:t xml:space="preserve"> UNFPA to develop the RESPECT tool to combat violence against women. However, the MTR Team </w:t>
      </w:r>
      <w:r w:rsidR="004A2440">
        <w:rPr>
          <w:rFonts w:ascii="Calibri" w:eastAsia="Calibri" w:hAnsi="Calibri" w:cs="Calibri"/>
          <w:color w:val="000000" w:themeColor="text1"/>
        </w:rPr>
        <w:t>did not</w:t>
      </w:r>
      <w:r w:rsidR="007876E0">
        <w:rPr>
          <w:rFonts w:ascii="Calibri" w:eastAsia="Calibri" w:hAnsi="Calibri" w:cs="Calibri"/>
          <w:color w:val="000000" w:themeColor="text1"/>
        </w:rPr>
        <w:t xml:space="preserve"> </w:t>
      </w:r>
      <w:r w:rsidR="004A2440">
        <w:rPr>
          <w:rFonts w:ascii="Calibri" w:eastAsia="Calibri" w:hAnsi="Calibri" w:cs="Calibri"/>
          <w:color w:val="000000" w:themeColor="text1"/>
        </w:rPr>
        <w:t>find</w:t>
      </w:r>
      <w:r w:rsidR="00BB1E8D">
        <w:rPr>
          <w:rFonts w:ascii="Calibri" w:eastAsia="Calibri" w:hAnsi="Calibri" w:cs="Calibri"/>
          <w:color w:val="000000" w:themeColor="text1"/>
        </w:rPr>
        <w:t xml:space="preserve"> </w:t>
      </w:r>
      <w:r w:rsidR="00390D04">
        <w:rPr>
          <w:rFonts w:ascii="Calibri" w:eastAsia="Calibri" w:hAnsi="Calibri" w:cs="Calibri"/>
          <w:color w:val="000000" w:themeColor="text1"/>
        </w:rPr>
        <w:t xml:space="preserve">causal </w:t>
      </w:r>
      <w:r w:rsidR="00267A78">
        <w:rPr>
          <w:rFonts w:ascii="Calibri" w:eastAsia="Calibri" w:hAnsi="Calibri" w:cs="Calibri"/>
          <w:color w:val="000000" w:themeColor="text1"/>
        </w:rPr>
        <w:t>evidence</w:t>
      </w:r>
      <w:r w:rsidR="00BB1E8D">
        <w:rPr>
          <w:rFonts w:ascii="Calibri" w:eastAsia="Calibri" w:hAnsi="Calibri" w:cs="Calibri"/>
          <w:color w:val="000000" w:themeColor="text1"/>
        </w:rPr>
        <w:t xml:space="preserve"> </w:t>
      </w:r>
      <w:r w:rsidR="004A2440">
        <w:rPr>
          <w:rFonts w:ascii="Calibri" w:eastAsia="Calibri" w:hAnsi="Calibri" w:cs="Calibri"/>
          <w:color w:val="000000" w:themeColor="text1"/>
        </w:rPr>
        <w:t>that</w:t>
      </w:r>
      <w:r w:rsidR="00BD4050" w:rsidRPr="4FCF45F9">
        <w:rPr>
          <w:rFonts w:ascii="Calibri" w:eastAsia="Calibri" w:hAnsi="Calibri" w:cs="Calibri"/>
          <w:color w:val="000000" w:themeColor="text1"/>
        </w:rPr>
        <w:t xml:space="preserve"> this tool and </w:t>
      </w:r>
      <w:r w:rsidR="007876E0">
        <w:rPr>
          <w:rFonts w:ascii="Calibri" w:eastAsia="Calibri" w:hAnsi="Calibri" w:cs="Calibri"/>
          <w:color w:val="000000" w:themeColor="text1"/>
        </w:rPr>
        <w:t xml:space="preserve">the </w:t>
      </w:r>
      <w:r w:rsidR="00BD4050" w:rsidRPr="4FCF45F9">
        <w:rPr>
          <w:rFonts w:ascii="Calibri" w:eastAsia="Calibri" w:hAnsi="Calibri" w:cs="Calibri"/>
          <w:color w:val="000000" w:themeColor="text1"/>
        </w:rPr>
        <w:t xml:space="preserve">training </w:t>
      </w:r>
      <w:r w:rsidR="004A2440">
        <w:rPr>
          <w:rFonts w:ascii="Calibri" w:eastAsia="Calibri" w:hAnsi="Calibri" w:cs="Calibri"/>
          <w:color w:val="000000" w:themeColor="text1"/>
        </w:rPr>
        <w:t xml:space="preserve">had </w:t>
      </w:r>
      <w:r w:rsidR="00BD4050" w:rsidRPr="4FCF45F9">
        <w:rPr>
          <w:rFonts w:ascii="Calibri" w:eastAsia="Calibri" w:hAnsi="Calibri" w:cs="Calibri"/>
          <w:color w:val="000000" w:themeColor="text1"/>
        </w:rPr>
        <w:t>translated into improved risk mitigation and protection from GBV for women in Indonesia.</w:t>
      </w:r>
    </w:p>
    <w:p w14:paraId="73A7FDCD" w14:textId="2593295F" w:rsidR="001E1E18" w:rsidRPr="00BD4050" w:rsidRDefault="005A12C1" w:rsidP="009F70DB">
      <w:pPr>
        <w:pBdr>
          <w:top w:val="nil"/>
          <w:left w:val="nil"/>
          <w:bottom w:val="nil"/>
          <w:right w:val="nil"/>
          <w:between w:val="nil"/>
        </w:pBdr>
        <w:spacing w:after="120" w:line="240" w:lineRule="auto"/>
        <w:rPr>
          <w:color w:val="000000"/>
        </w:rPr>
      </w:pPr>
      <w:r w:rsidRPr="00BD4050">
        <w:rPr>
          <w:color w:val="000000"/>
        </w:rPr>
        <w:t xml:space="preserve">It is possible that </w:t>
      </w:r>
      <w:r w:rsidR="00BD4050">
        <w:rPr>
          <w:color w:val="000000"/>
        </w:rPr>
        <w:t xml:space="preserve">at least some of these activities, such as the platform for reporting breastmilk substitutes, the antenatal care guidelines and the RESPECT Tool </w:t>
      </w:r>
      <w:r w:rsidR="004A2440">
        <w:rPr>
          <w:color w:val="000000"/>
        </w:rPr>
        <w:t>might</w:t>
      </w:r>
      <w:r w:rsidRPr="00BD4050">
        <w:rPr>
          <w:color w:val="000000"/>
        </w:rPr>
        <w:t xml:space="preserve"> continue to be used </w:t>
      </w:r>
      <w:r w:rsidR="00BD4050">
        <w:rPr>
          <w:color w:val="000000"/>
        </w:rPr>
        <w:t xml:space="preserve">beyond this program. This will require ongoing monitoring of the guidelines and promotion of the platform and </w:t>
      </w:r>
      <w:r w:rsidR="00210C24">
        <w:rPr>
          <w:color w:val="000000"/>
        </w:rPr>
        <w:t>t</w:t>
      </w:r>
      <w:r w:rsidR="00BD4050">
        <w:rPr>
          <w:color w:val="000000"/>
        </w:rPr>
        <w:t xml:space="preserve">ool. Training will need to be followed up, </w:t>
      </w:r>
      <w:proofErr w:type="gramStart"/>
      <w:r w:rsidR="00BD4050">
        <w:rPr>
          <w:color w:val="000000"/>
        </w:rPr>
        <w:t>repeated</w:t>
      </w:r>
      <w:proofErr w:type="gramEnd"/>
      <w:r w:rsidR="00BD4050">
        <w:rPr>
          <w:color w:val="000000"/>
        </w:rPr>
        <w:t xml:space="preserve"> and supported. The MTR encourages reporting by the partners</w:t>
      </w:r>
      <w:r w:rsidR="00210C24">
        <w:rPr>
          <w:color w:val="000000"/>
        </w:rPr>
        <w:t xml:space="preserve"> o</w:t>
      </w:r>
      <w:r w:rsidR="00713C52">
        <w:rPr>
          <w:color w:val="000000"/>
        </w:rPr>
        <w:t>n</w:t>
      </w:r>
      <w:r w:rsidR="00210C24">
        <w:rPr>
          <w:color w:val="000000"/>
        </w:rPr>
        <w:t xml:space="preserve"> the outcomes of </w:t>
      </w:r>
      <w:r w:rsidR="00BD4050">
        <w:rPr>
          <w:color w:val="000000"/>
        </w:rPr>
        <w:t xml:space="preserve">these activities </w:t>
      </w:r>
      <w:r w:rsidR="00210C24">
        <w:rPr>
          <w:color w:val="000000"/>
        </w:rPr>
        <w:t xml:space="preserve">and how they will be sustained. </w:t>
      </w:r>
    </w:p>
    <w:p w14:paraId="70AB664D" w14:textId="26E40DDE" w:rsidR="00A64A09" w:rsidRPr="006C22CF" w:rsidRDefault="00A64A09" w:rsidP="00425817">
      <w:pPr>
        <w:pStyle w:val="Heading2"/>
        <w:numPr>
          <w:ilvl w:val="1"/>
          <w:numId w:val="11"/>
        </w:numPr>
        <w:spacing w:line="240" w:lineRule="auto"/>
      </w:pPr>
      <w:bookmarkStart w:id="126" w:name="_Toc135837447"/>
      <w:r w:rsidRPr="006C22CF">
        <w:t>People with disabilit</w:t>
      </w:r>
      <w:sdt>
        <w:sdtPr>
          <w:rPr>
            <w:color w:val="2B579A"/>
            <w:shd w:val="clear" w:color="auto" w:fill="E6E6E6"/>
          </w:rPr>
          <w:tag w:val="goog_rdk_11"/>
          <w:id w:val="1701429866"/>
        </w:sdtPr>
        <w:sdtEndPr>
          <w:rPr>
            <w:color w:val="2F5496" w:themeColor="accent1" w:themeShade="BF"/>
            <w:shd w:val="clear" w:color="auto" w:fill="auto"/>
          </w:rPr>
        </w:sdtEndPr>
        <w:sdtContent/>
      </w:sdt>
      <w:r w:rsidRPr="006C22CF">
        <w:t>ies</w:t>
      </w:r>
      <w:bookmarkEnd w:id="126"/>
    </w:p>
    <w:p w14:paraId="282CCAD9" w14:textId="65E63F0D" w:rsidR="006432A3" w:rsidRDefault="00A64A09" w:rsidP="009F70DB">
      <w:pPr>
        <w:pBdr>
          <w:top w:val="nil"/>
          <w:left w:val="nil"/>
          <w:bottom w:val="nil"/>
          <w:right w:val="nil"/>
          <w:between w:val="nil"/>
        </w:pBdr>
        <w:spacing w:after="120" w:line="240" w:lineRule="auto"/>
      </w:pPr>
      <w:r>
        <w:t>From 2020</w:t>
      </w:r>
      <w:r w:rsidR="00F07041">
        <w:t xml:space="preserve"> to </w:t>
      </w:r>
      <w:r>
        <w:t xml:space="preserve">2022, </w:t>
      </w:r>
      <w:r w:rsidR="00D26450">
        <w:t xml:space="preserve">a key strength of AIHSP’s programming was the promotion of </w:t>
      </w:r>
      <w:r>
        <w:t>meaningful involvement of people with disabilities</w:t>
      </w:r>
      <w:r w:rsidR="004B716E">
        <w:t xml:space="preserve"> in health activities</w:t>
      </w:r>
      <w:r w:rsidR="00D26450">
        <w:t>.</w:t>
      </w:r>
      <w:r>
        <w:t xml:space="preserve"> </w:t>
      </w:r>
      <w:r w:rsidR="004B716E">
        <w:t xml:space="preserve">In 2022, </w:t>
      </w:r>
      <w:r w:rsidR="00D26450" w:rsidRPr="00D26450">
        <w:rPr>
          <w:rFonts w:ascii="Calibri" w:eastAsia="Calibri" w:hAnsi="Calibri" w:cs="Calibri"/>
          <w:color w:val="000000"/>
        </w:rPr>
        <w:t xml:space="preserve">AIHSP ran planning workshops and training in South Sulawesi </w:t>
      </w:r>
      <w:r w:rsidR="004B716E">
        <w:rPr>
          <w:rFonts w:ascii="Calibri" w:eastAsia="Calibri" w:hAnsi="Calibri" w:cs="Calibri"/>
          <w:color w:val="000000"/>
        </w:rPr>
        <w:t xml:space="preserve">for OPDs </w:t>
      </w:r>
      <w:r w:rsidR="00D26450" w:rsidRPr="00D26450">
        <w:rPr>
          <w:rFonts w:ascii="Calibri" w:eastAsia="Calibri" w:hAnsi="Calibri" w:cs="Calibri"/>
          <w:color w:val="000000"/>
        </w:rPr>
        <w:t xml:space="preserve">and district and provincial health offices on developing disability inclusive approaches to COVID-19 vaccinations. </w:t>
      </w:r>
      <w:r w:rsidR="00D26450" w:rsidRPr="4FCF45F9">
        <w:rPr>
          <w:rFonts w:ascii="Calibri" w:eastAsia="Calibri" w:hAnsi="Calibri" w:cs="Calibri"/>
          <w:color w:val="000000" w:themeColor="text1"/>
        </w:rPr>
        <w:t xml:space="preserve">AIHSP ensured input from </w:t>
      </w:r>
      <w:r w:rsidR="00FD42BA" w:rsidRPr="4FCF45F9">
        <w:rPr>
          <w:rFonts w:ascii="Calibri" w:eastAsia="Calibri" w:hAnsi="Calibri" w:cs="Calibri"/>
          <w:color w:val="000000" w:themeColor="text1"/>
        </w:rPr>
        <w:t>OPD</w:t>
      </w:r>
      <w:r w:rsidR="00D26450" w:rsidRPr="4FCF45F9">
        <w:rPr>
          <w:rFonts w:ascii="Calibri" w:eastAsia="Calibri" w:hAnsi="Calibri" w:cs="Calibri"/>
          <w:color w:val="000000" w:themeColor="text1"/>
        </w:rPr>
        <w:t>s in every risk communication activit</w:t>
      </w:r>
      <w:sdt>
        <w:sdtPr>
          <w:rPr>
            <w:color w:val="2B579A"/>
            <w:shd w:val="clear" w:color="auto" w:fill="E6E6E6"/>
          </w:rPr>
          <w:tag w:val="goog_rdk_14"/>
          <w:id w:val="-857194284"/>
          <w:placeholder>
            <w:docPart w:val="DefaultPlaceholder_1081868574"/>
          </w:placeholder>
        </w:sdtPr>
        <w:sdtEndPr>
          <w:rPr>
            <w:color w:val="auto"/>
            <w:shd w:val="clear" w:color="auto" w:fill="auto"/>
          </w:rPr>
        </w:sdtEndPr>
        <w:sdtContent/>
      </w:sdt>
      <w:r w:rsidR="00D26450" w:rsidRPr="4FCF45F9">
        <w:rPr>
          <w:rFonts w:ascii="Calibri" w:eastAsia="Calibri" w:hAnsi="Calibri" w:cs="Calibri"/>
          <w:color w:val="000000" w:themeColor="text1"/>
        </w:rPr>
        <w:t xml:space="preserve">y. </w:t>
      </w:r>
      <w:r w:rsidR="003E6F13">
        <w:rPr>
          <w:color w:val="000000" w:themeColor="text1"/>
        </w:rPr>
        <w:t>This</w:t>
      </w:r>
      <w:r w:rsidR="00D26450" w:rsidRPr="4FCF45F9">
        <w:rPr>
          <w:color w:val="000000" w:themeColor="text1"/>
        </w:rPr>
        <w:t xml:space="preserve"> </w:t>
      </w:r>
      <w:r w:rsidR="00D26450" w:rsidRPr="4FCF45F9">
        <w:rPr>
          <w:rFonts w:ascii="Calibri" w:eastAsia="Calibri" w:hAnsi="Calibri" w:cs="Calibri"/>
          <w:color w:val="000000" w:themeColor="text1"/>
        </w:rPr>
        <w:t xml:space="preserve">included co-development of knowledge products and train-the-trainer for people with disabilities to train peers in COVID-19 health promotion. As a result, risk communication materials produced by government agencies and other partners were more inclusive. </w:t>
      </w:r>
      <w:r w:rsidR="00FD42BA" w:rsidRPr="4FCF45F9">
        <w:rPr>
          <w:rFonts w:ascii="Calibri" w:eastAsia="Calibri" w:hAnsi="Calibri" w:cs="Calibri"/>
          <w:color w:val="000000" w:themeColor="text1"/>
        </w:rPr>
        <w:t>OPD</w:t>
      </w:r>
      <w:r w:rsidR="001E4A19">
        <w:rPr>
          <w:rFonts w:ascii="Calibri" w:eastAsia="Calibri" w:hAnsi="Calibri" w:cs="Calibri"/>
          <w:color w:val="000000" w:themeColor="text1"/>
        </w:rPr>
        <w:t xml:space="preserve"> representative</w:t>
      </w:r>
      <w:r w:rsidR="00D26450" w:rsidRPr="4FCF45F9">
        <w:rPr>
          <w:rFonts w:ascii="Calibri" w:eastAsia="Calibri" w:hAnsi="Calibri" w:cs="Calibri"/>
          <w:color w:val="000000" w:themeColor="text1"/>
        </w:rPr>
        <w:t>s</w:t>
      </w:r>
      <w:r w:rsidR="001E4A19">
        <w:rPr>
          <w:rFonts w:ascii="Calibri" w:eastAsia="Calibri" w:hAnsi="Calibri" w:cs="Calibri"/>
          <w:color w:val="000000" w:themeColor="text1"/>
        </w:rPr>
        <w:t xml:space="preserve"> interviewed</w:t>
      </w:r>
      <w:r w:rsidR="00D26450" w:rsidRPr="4FCF45F9">
        <w:rPr>
          <w:rFonts w:ascii="Calibri" w:eastAsia="Calibri" w:hAnsi="Calibri" w:cs="Calibri"/>
          <w:color w:val="000000" w:themeColor="text1"/>
        </w:rPr>
        <w:t xml:space="preserve"> in South Sulawesi confirmed </w:t>
      </w:r>
      <w:r w:rsidR="001E4A19">
        <w:rPr>
          <w:rFonts w:ascii="Calibri" w:eastAsia="Calibri" w:hAnsi="Calibri" w:cs="Calibri"/>
          <w:color w:val="000000" w:themeColor="text1"/>
        </w:rPr>
        <w:t xml:space="preserve">that </w:t>
      </w:r>
      <w:r w:rsidR="003E6F13">
        <w:rPr>
          <w:rFonts w:ascii="Calibri" w:eastAsia="Calibri" w:hAnsi="Calibri" w:cs="Calibri"/>
          <w:color w:val="000000" w:themeColor="text1"/>
        </w:rPr>
        <w:t xml:space="preserve">the </w:t>
      </w:r>
      <w:r w:rsidR="00D26450" w:rsidRPr="4FCF45F9">
        <w:rPr>
          <w:rFonts w:ascii="Calibri" w:eastAsia="Calibri" w:hAnsi="Calibri" w:cs="Calibri"/>
          <w:color w:val="000000" w:themeColor="text1"/>
        </w:rPr>
        <w:t>knowledge product</w:t>
      </w:r>
      <w:r w:rsidR="003E6F13">
        <w:rPr>
          <w:rFonts w:ascii="Calibri" w:eastAsia="Calibri" w:hAnsi="Calibri" w:cs="Calibri"/>
          <w:color w:val="000000" w:themeColor="text1"/>
        </w:rPr>
        <w:t>s they</w:t>
      </w:r>
      <w:r w:rsidR="00D26450" w:rsidRPr="4FCF45F9">
        <w:rPr>
          <w:rFonts w:ascii="Calibri" w:eastAsia="Calibri" w:hAnsi="Calibri" w:cs="Calibri"/>
          <w:color w:val="000000" w:themeColor="text1"/>
        </w:rPr>
        <w:t xml:space="preserve"> design</w:t>
      </w:r>
      <w:r w:rsidR="003E6F13">
        <w:rPr>
          <w:rFonts w:ascii="Calibri" w:eastAsia="Calibri" w:hAnsi="Calibri" w:cs="Calibri"/>
          <w:color w:val="000000" w:themeColor="text1"/>
        </w:rPr>
        <w:t xml:space="preserve">ed were accessible for people with disabilities </w:t>
      </w:r>
      <w:r w:rsidR="00D26450" w:rsidRPr="4FCF45F9">
        <w:rPr>
          <w:rFonts w:ascii="Calibri" w:eastAsia="Calibri" w:hAnsi="Calibri" w:cs="Calibri"/>
          <w:color w:val="000000" w:themeColor="text1"/>
        </w:rPr>
        <w:t xml:space="preserve">and that their role as peer trainers in health promotion for COVID-19 was appropriate and effective. </w:t>
      </w:r>
    </w:p>
    <w:p w14:paraId="0C38464A" w14:textId="4DD87CF1" w:rsidR="00AF1E18" w:rsidRDefault="00D26450" w:rsidP="009F70DB">
      <w:pPr>
        <w:pBdr>
          <w:top w:val="nil"/>
          <w:left w:val="nil"/>
          <w:bottom w:val="nil"/>
          <w:right w:val="nil"/>
          <w:between w:val="nil"/>
        </w:pBdr>
        <w:spacing w:after="120" w:line="240" w:lineRule="auto"/>
        <w:rPr>
          <w:rFonts w:ascii="Calibri" w:eastAsia="Calibri" w:hAnsi="Calibri" w:cs="Calibri"/>
          <w:color w:val="000000" w:themeColor="text1"/>
        </w:rPr>
      </w:pPr>
      <w:r w:rsidRPr="00AB39D8">
        <w:rPr>
          <w:rFonts w:ascii="Calibri" w:eastAsia="Calibri" w:hAnsi="Calibri" w:cs="Calibri"/>
          <w:color w:val="000000" w:themeColor="text1"/>
        </w:rPr>
        <w:t>Th</w:t>
      </w:r>
      <w:r w:rsidR="00AF1E18">
        <w:rPr>
          <w:rFonts w:ascii="Calibri" w:eastAsia="Calibri" w:hAnsi="Calibri" w:cs="Calibri"/>
          <w:color w:val="000000" w:themeColor="text1"/>
        </w:rPr>
        <w:t xml:space="preserve">e workshops and involvement of people with disabilities </w:t>
      </w:r>
      <w:r w:rsidRPr="00AB39D8">
        <w:rPr>
          <w:rFonts w:ascii="Calibri" w:eastAsia="Calibri" w:hAnsi="Calibri" w:cs="Calibri"/>
          <w:color w:val="000000" w:themeColor="text1"/>
        </w:rPr>
        <w:t>resulted in disability inclusive COVID-19 vaccination events which increased the proportion of people with disabilities being registered and vaccinated (AIHSP).</w:t>
      </w:r>
      <w:r w:rsidR="00AF1E18">
        <w:rPr>
          <w:rFonts w:ascii="Calibri" w:eastAsia="Calibri" w:hAnsi="Calibri" w:cs="Calibri"/>
          <w:color w:val="000000" w:themeColor="text1"/>
        </w:rPr>
        <w:t xml:space="preserve"> AIHSP reported that </w:t>
      </w:r>
      <w:r w:rsidR="00AF1E18">
        <w:t>a total of</w:t>
      </w:r>
      <w:r w:rsidR="00AF1E18" w:rsidRPr="00AF1E18">
        <w:t xml:space="preserve"> 1,684 people with disabilities were vaccinated against COVID-19 th</w:t>
      </w:r>
      <w:r w:rsidR="00AF1E18">
        <w:t xml:space="preserve">rough the AIHSP Last Mile project and with VAHSI support (March 2023). </w:t>
      </w:r>
      <w:r w:rsidR="00F911F6">
        <w:t xml:space="preserve">While this is commendable, this likely represents a small proportion of the population of people with disabilities in the targeted districts. </w:t>
      </w:r>
    </w:p>
    <w:p w14:paraId="1353AB40" w14:textId="5C0E5246" w:rsidR="00D51E3E" w:rsidRPr="00AF1E18" w:rsidRDefault="00AF1E18" w:rsidP="009F70DB">
      <w:pPr>
        <w:spacing w:after="120" w:line="240" w:lineRule="auto"/>
      </w:pPr>
      <w:r w:rsidRPr="48362220">
        <w:rPr>
          <w:rFonts w:ascii="Calibri" w:eastAsia="Calibri" w:hAnsi="Calibri" w:cs="Calibri"/>
          <w:color w:val="000000" w:themeColor="text1"/>
        </w:rPr>
        <w:t xml:space="preserve">AIHSP’s approach to disability inclusiveness in the COVID-19 response appears to have been meaningful and systematic. </w:t>
      </w:r>
      <w:r w:rsidR="006432A3">
        <w:t>T</w:t>
      </w:r>
      <w:r w:rsidR="00D51E3E">
        <w:t xml:space="preserve">here is the potential for longer-term outcomes from this work. As AIHSP supported the registration of people with disabilities alongside vaccination, this will assist </w:t>
      </w:r>
      <w:r w:rsidR="006432A3">
        <w:t>those registered</w:t>
      </w:r>
      <w:r w:rsidR="00D51E3E">
        <w:t xml:space="preserve"> with </w:t>
      </w:r>
      <w:r w:rsidRPr="48362220">
        <w:rPr>
          <w:rFonts w:ascii="Calibri" w:eastAsia="Calibri" w:hAnsi="Calibri" w:cs="Calibri"/>
          <w:color w:val="000000" w:themeColor="text1"/>
        </w:rPr>
        <w:t xml:space="preserve">future access to health services. </w:t>
      </w:r>
      <w:r w:rsidR="00D51E3E" w:rsidRPr="48362220">
        <w:rPr>
          <w:rFonts w:ascii="Calibri" w:eastAsia="Calibri" w:hAnsi="Calibri" w:cs="Calibri"/>
          <w:color w:val="000000" w:themeColor="text1"/>
        </w:rPr>
        <w:t>AIHSP’s activities have</w:t>
      </w:r>
      <w:r w:rsidR="006432A3" w:rsidRPr="48362220">
        <w:rPr>
          <w:rFonts w:ascii="Calibri" w:eastAsia="Calibri" w:hAnsi="Calibri" w:cs="Calibri"/>
          <w:color w:val="000000" w:themeColor="text1"/>
        </w:rPr>
        <w:t xml:space="preserve"> </w:t>
      </w:r>
      <w:r w:rsidR="00D81C90">
        <w:rPr>
          <w:rFonts w:ascii="Calibri" w:eastAsia="Calibri" w:hAnsi="Calibri" w:cs="Calibri"/>
          <w:color w:val="000000" w:themeColor="text1"/>
        </w:rPr>
        <w:t>likely</w:t>
      </w:r>
      <w:r w:rsidR="00D51E3E" w:rsidRPr="48362220">
        <w:rPr>
          <w:rFonts w:ascii="Calibri" w:eastAsia="Calibri" w:hAnsi="Calibri" w:cs="Calibri"/>
          <w:color w:val="000000" w:themeColor="text1"/>
        </w:rPr>
        <w:t xml:space="preserve"> improved the capacity of people with disabilities as well as government offices to take a disability inclusive approach to future social and behaviour change activities in health. However, this will require follow-up and support during the remainder of the program to be sustained.</w:t>
      </w:r>
    </w:p>
    <w:p w14:paraId="632FBBE8" w14:textId="29D400B6" w:rsidR="007C30E7" w:rsidRDefault="006432A3" w:rsidP="009F70DB">
      <w:p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D</w:t>
      </w:r>
      <w:r w:rsidR="00D51E3E">
        <w:rPr>
          <w:rFonts w:ascii="Calibri" w:eastAsia="Calibri" w:hAnsi="Calibri" w:cs="Calibri"/>
          <w:color w:val="000000"/>
        </w:rPr>
        <w:t>espite these significant achievements, AIHSP</w:t>
      </w:r>
      <w:r w:rsidR="005E4203">
        <w:rPr>
          <w:rFonts w:ascii="Calibri" w:eastAsia="Calibri" w:hAnsi="Calibri" w:cs="Calibri"/>
          <w:color w:val="000000"/>
        </w:rPr>
        <w:t xml:space="preserve"> sub-partner</w:t>
      </w:r>
      <w:r w:rsidR="00D51E3E">
        <w:rPr>
          <w:rFonts w:ascii="Calibri" w:eastAsia="Calibri" w:hAnsi="Calibri" w:cs="Calibri"/>
          <w:color w:val="000000"/>
        </w:rPr>
        <w:t xml:space="preserve"> targets for COVID-19 vaccination for people with disabilities</w:t>
      </w:r>
      <w:r w:rsidR="006E3E1A">
        <w:rPr>
          <w:rFonts w:ascii="Calibri" w:eastAsia="Calibri" w:hAnsi="Calibri" w:cs="Calibri"/>
          <w:color w:val="000000"/>
        </w:rPr>
        <w:t xml:space="preserve"> </w:t>
      </w:r>
      <w:r w:rsidR="005E4203">
        <w:rPr>
          <w:rFonts w:ascii="Calibri" w:eastAsia="Calibri" w:hAnsi="Calibri" w:cs="Calibri"/>
          <w:color w:val="000000"/>
        </w:rPr>
        <w:t>were not</w:t>
      </w:r>
      <w:r w:rsidR="006E3E1A">
        <w:rPr>
          <w:rFonts w:ascii="Calibri" w:eastAsia="Calibri" w:hAnsi="Calibri" w:cs="Calibri"/>
          <w:color w:val="000000"/>
        </w:rPr>
        <w:t xml:space="preserve"> met.</w:t>
      </w:r>
      <w:r w:rsidR="00737917">
        <w:rPr>
          <w:rFonts w:ascii="Calibri" w:eastAsia="Calibri" w:hAnsi="Calibri" w:cs="Calibri"/>
          <w:color w:val="000000"/>
        </w:rPr>
        <w:t xml:space="preserve"> For example</w:t>
      </w:r>
      <w:r w:rsidR="00737917" w:rsidRPr="005E4203">
        <w:rPr>
          <w:rFonts w:eastAsia="Calibri" w:cstheme="minorHAnsi"/>
          <w:color w:val="000000"/>
        </w:rPr>
        <w:t xml:space="preserve">, Central Java PMI had a </w:t>
      </w:r>
      <w:r w:rsidR="003D1438">
        <w:rPr>
          <w:rFonts w:eastAsia="Calibri" w:cstheme="minorHAnsi"/>
          <w:color w:val="000000"/>
        </w:rPr>
        <w:t xml:space="preserve">combined </w:t>
      </w:r>
      <w:r w:rsidR="00D81C90">
        <w:rPr>
          <w:rFonts w:eastAsia="Calibri" w:cstheme="minorHAnsi"/>
          <w:color w:val="000000"/>
        </w:rPr>
        <w:t xml:space="preserve">vaccination </w:t>
      </w:r>
      <w:r w:rsidR="00737917" w:rsidRPr="005E4203">
        <w:rPr>
          <w:rFonts w:eastAsia="Calibri" w:cstheme="minorHAnsi"/>
          <w:color w:val="000000"/>
        </w:rPr>
        <w:t xml:space="preserve">target of </w:t>
      </w:r>
      <w:r w:rsidR="003D1438">
        <w:rPr>
          <w:rFonts w:eastAsia="Calibri" w:cstheme="minorHAnsi"/>
          <w:color w:val="000000"/>
        </w:rPr>
        <w:t>144,000 elderly and</w:t>
      </w:r>
      <w:r w:rsidR="00737917" w:rsidRPr="005E4203">
        <w:rPr>
          <w:rFonts w:eastAsia="Calibri" w:cstheme="minorHAnsi"/>
          <w:color w:val="000000"/>
        </w:rPr>
        <w:t xml:space="preserve"> people with disabilities</w:t>
      </w:r>
      <w:r w:rsidR="005E4203" w:rsidRPr="005E4203">
        <w:rPr>
          <w:rFonts w:eastAsia="Calibri" w:cstheme="minorHAnsi"/>
          <w:color w:val="000000"/>
        </w:rPr>
        <w:t xml:space="preserve"> for Central Java and </w:t>
      </w:r>
      <w:r w:rsidR="005E4203" w:rsidRPr="005E4203">
        <w:rPr>
          <w:rFonts w:cstheme="minorHAnsi"/>
        </w:rPr>
        <w:t xml:space="preserve">IKM-IKK </w:t>
      </w:r>
      <w:proofErr w:type="spellStart"/>
      <w:r w:rsidR="005E4203" w:rsidRPr="005E4203">
        <w:rPr>
          <w:rFonts w:cstheme="minorHAnsi"/>
        </w:rPr>
        <w:t>Unhas</w:t>
      </w:r>
      <w:proofErr w:type="spellEnd"/>
      <w:r w:rsidR="005E4203" w:rsidRPr="005E4203">
        <w:rPr>
          <w:rFonts w:eastAsia="Calibri" w:cstheme="minorHAnsi"/>
          <w:color w:val="000000"/>
        </w:rPr>
        <w:t xml:space="preserve"> had a </w:t>
      </w:r>
      <w:r w:rsidR="003D1438">
        <w:rPr>
          <w:rFonts w:eastAsia="Calibri" w:cstheme="minorHAnsi"/>
          <w:color w:val="000000"/>
        </w:rPr>
        <w:t xml:space="preserve">combined </w:t>
      </w:r>
      <w:r w:rsidR="005E4203" w:rsidRPr="005E4203">
        <w:rPr>
          <w:rFonts w:eastAsia="Calibri" w:cstheme="minorHAnsi"/>
          <w:color w:val="000000"/>
        </w:rPr>
        <w:t>targ</w:t>
      </w:r>
      <w:r w:rsidR="005E4203">
        <w:rPr>
          <w:rFonts w:ascii="Calibri" w:eastAsia="Calibri" w:hAnsi="Calibri" w:cs="Calibri"/>
          <w:color w:val="000000"/>
        </w:rPr>
        <w:t>et of 50,000</w:t>
      </w:r>
      <w:r w:rsidR="003D1438">
        <w:rPr>
          <w:rFonts w:ascii="Calibri" w:eastAsia="Calibri" w:hAnsi="Calibri" w:cs="Calibri"/>
          <w:color w:val="000000"/>
        </w:rPr>
        <w:t xml:space="preserve"> elderly and people with disabilities </w:t>
      </w:r>
      <w:r w:rsidR="005E4203">
        <w:rPr>
          <w:rFonts w:ascii="Calibri" w:eastAsia="Calibri" w:hAnsi="Calibri" w:cs="Calibri"/>
          <w:color w:val="000000"/>
        </w:rPr>
        <w:t>in Maros (South Sulawesi).</w:t>
      </w:r>
      <w:r w:rsidR="00737917">
        <w:rPr>
          <w:rStyle w:val="FootnoteReference"/>
          <w:rFonts w:ascii="Calibri" w:eastAsia="Calibri" w:hAnsi="Calibri" w:cs="Calibri"/>
          <w:color w:val="000000"/>
        </w:rPr>
        <w:footnoteReference w:id="40"/>
      </w:r>
      <w:r w:rsidR="006E3E1A">
        <w:rPr>
          <w:rFonts w:ascii="Calibri" w:eastAsia="Calibri" w:hAnsi="Calibri" w:cs="Calibri"/>
          <w:color w:val="000000"/>
        </w:rPr>
        <w:t xml:space="preserve"> </w:t>
      </w:r>
      <w:r w:rsidR="005E4203">
        <w:rPr>
          <w:rFonts w:ascii="Calibri" w:eastAsia="Calibri" w:hAnsi="Calibri" w:cs="Calibri"/>
          <w:color w:val="000000"/>
        </w:rPr>
        <w:t>By January 2023</w:t>
      </w:r>
      <w:r w:rsidR="005E4203" w:rsidRPr="003D1438">
        <w:rPr>
          <w:rFonts w:eastAsia="Calibri" w:cstheme="minorHAnsi"/>
          <w:color w:val="000000"/>
        </w:rPr>
        <w:t xml:space="preserve">, </w:t>
      </w:r>
      <w:r w:rsidR="003D1438" w:rsidRPr="003D1438">
        <w:rPr>
          <w:rStyle w:val="cf01"/>
          <w:rFonts w:asciiTheme="minorHAnsi" w:hAnsiTheme="minorHAnsi" w:cstheme="minorHAnsi"/>
          <w:sz w:val="22"/>
          <w:szCs w:val="22"/>
        </w:rPr>
        <w:t xml:space="preserve">only 21,142 elderly and </w:t>
      </w:r>
      <w:r w:rsidR="005E4203" w:rsidRPr="003D1438">
        <w:rPr>
          <w:rFonts w:eastAsia="Calibri" w:cstheme="minorHAnsi"/>
          <w:color w:val="000000"/>
        </w:rPr>
        <w:t>2</w:t>
      </w:r>
      <w:r w:rsidR="005E4203">
        <w:rPr>
          <w:rFonts w:ascii="Calibri" w:eastAsia="Calibri" w:hAnsi="Calibri" w:cs="Calibri"/>
          <w:color w:val="000000"/>
        </w:rPr>
        <w:t xml:space="preserve">29 people with </w:t>
      </w:r>
      <w:r w:rsidR="0003555A">
        <w:rPr>
          <w:rFonts w:ascii="Calibri" w:eastAsia="Calibri" w:hAnsi="Calibri" w:cs="Calibri"/>
          <w:color w:val="000000"/>
        </w:rPr>
        <w:t xml:space="preserve">disabilities </w:t>
      </w:r>
      <w:r w:rsidR="005E4203">
        <w:rPr>
          <w:rFonts w:ascii="Calibri" w:eastAsia="Calibri" w:hAnsi="Calibri" w:cs="Calibri"/>
          <w:color w:val="000000"/>
        </w:rPr>
        <w:t xml:space="preserve">were vaccinated in Central Java; and </w:t>
      </w:r>
      <w:r w:rsidR="003D1438" w:rsidRPr="003D1438">
        <w:rPr>
          <w:rStyle w:val="cf01"/>
          <w:rFonts w:asciiTheme="minorHAnsi" w:hAnsiTheme="minorHAnsi" w:cstheme="minorHAnsi"/>
          <w:sz w:val="22"/>
          <w:szCs w:val="22"/>
        </w:rPr>
        <w:t xml:space="preserve">1,386 elderly and </w:t>
      </w:r>
      <w:r w:rsidR="005E4203" w:rsidRPr="003D1438">
        <w:rPr>
          <w:rFonts w:eastAsia="Calibri" w:cstheme="minorHAnsi"/>
          <w:color w:val="000000"/>
        </w:rPr>
        <w:t xml:space="preserve">45 people </w:t>
      </w:r>
      <w:r w:rsidR="005E4203">
        <w:rPr>
          <w:rFonts w:ascii="Calibri" w:eastAsia="Calibri" w:hAnsi="Calibri" w:cs="Calibri"/>
          <w:color w:val="000000"/>
        </w:rPr>
        <w:t xml:space="preserve">with </w:t>
      </w:r>
      <w:r w:rsidR="0003555A">
        <w:rPr>
          <w:rFonts w:ascii="Calibri" w:eastAsia="Calibri" w:hAnsi="Calibri" w:cs="Calibri"/>
          <w:color w:val="000000"/>
        </w:rPr>
        <w:t xml:space="preserve">disabilities </w:t>
      </w:r>
      <w:r w:rsidR="005E4203">
        <w:rPr>
          <w:rFonts w:ascii="Calibri" w:eastAsia="Calibri" w:hAnsi="Calibri" w:cs="Calibri"/>
          <w:color w:val="000000"/>
        </w:rPr>
        <w:t xml:space="preserve">in Maros. </w:t>
      </w:r>
      <w:r w:rsidR="006E3E1A">
        <w:rPr>
          <w:rFonts w:ascii="Calibri" w:eastAsia="Calibri" w:hAnsi="Calibri" w:cs="Calibri"/>
          <w:color w:val="000000"/>
        </w:rPr>
        <w:t>According to several interviewees, this is for the reasons outlined in section</w:t>
      </w:r>
      <w:r>
        <w:rPr>
          <w:rFonts w:ascii="Calibri" w:eastAsia="Calibri" w:hAnsi="Calibri" w:cs="Calibri"/>
          <w:color w:val="000000"/>
        </w:rPr>
        <w:t xml:space="preserve"> 7.1</w:t>
      </w:r>
      <w:r w:rsidR="006E3E1A">
        <w:rPr>
          <w:rFonts w:ascii="Calibri" w:eastAsia="Calibri" w:hAnsi="Calibri" w:cs="Calibri"/>
          <w:color w:val="000000"/>
        </w:rPr>
        <w:t xml:space="preserve"> and are largely out of the control of the program</w:t>
      </w:r>
      <w:r>
        <w:rPr>
          <w:rFonts w:ascii="Calibri" w:eastAsia="Calibri" w:hAnsi="Calibri" w:cs="Calibri"/>
          <w:color w:val="000000"/>
        </w:rPr>
        <w:t xml:space="preserve">. However, </w:t>
      </w:r>
      <w:r w:rsidR="00F0741F">
        <w:rPr>
          <w:rFonts w:ascii="Calibri" w:eastAsia="Calibri" w:hAnsi="Calibri" w:cs="Calibri"/>
          <w:color w:val="000000"/>
        </w:rPr>
        <w:lastRenderedPageBreak/>
        <w:t xml:space="preserve">AIHSP </w:t>
      </w:r>
      <w:r>
        <w:rPr>
          <w:rFonts w:ascii="Calibri" w:eastAsia="Calibri" w:hAnsi="Calibri" w:cs="Calibri"/>
          <w:color w:val="000000"/>
        </w:rPr>
        <w:t>reported</w:t>
      </w:r>
      <w:r w:rsidR="00F0741F">
        <w:rPr>
          <w:rFonts w:ascii="Calibri" w:eastAsia="Calibri" w:hAnsi="Calibri" w:cs="Calibri"/>
          <w:color w:val="000000"/>
        </w:rPr>
        <w:t xml:space="preserve"> that partners need to strengthen their approaches to reaching people with disabilities</w:t>
      </w:r>
      <w:r w:rsidR="005E787B">
        <w:rPr>
          <w:rFonts w:ascii="Calibri" w:eastAsia="Calibri" w:hAnsi="Calibri" w:cs="Calibri"/>
          <w:color w:val="000000"/>
        </w:rPr>
        <w:t xml:space="preserve"> and the elderly</w:t>
      </w:r>
      <w:r w:rsidR="006E3E1A">
        <w:rPr>
          <w:rFonts w:ascii="Calibri" w:eastAsia="Calibri" w:hAnsi="Calibri" w:cs="Calibri"/>
          <w:color w:val="000000"/>
        </w:rPr>
        <w:t xml:space="preserve">. </w:t>
      </w:r>
      <w:r w:rsidR="005E4203">
        <w:rPr>
          <w:rFonts w:ascii="Calibri" w:eastAsia="Calibri" w:hAnsi="Calibri" w:cs="Calibri"/>
          <w:color w:val="000000"/>
        </w:rPr>
        <w:t xml:space="preserve">Targets are also likely to have been overestimated, given </w:t>
      </w:r>
      <w:r w:rsidR="00D81C90">
        <w:rPr>
          <w:rFonts w:ascii="Calibri" w:eastAsia="Calibri" w:hAnsi="Calibri" w:cs="Calibri"/>
          <w:color w:val="000000"/>
        </w:rPr>
        <w:t xml:space="preserve">limited </w:t>
      </w:r>
      <w:r w:rsidR="005E4203">
        <w:rPr>
          <w:rFonts w:ascii="Calibri" w:eastAsia="Calibri" w:hAnsi="Calibri" w:cs="Calibri"/>
          <w:color w:val="000000"/>
        </w:rPr>
        <w:t xml:space="preserve">district capacity. </w:t>
      </w:r>
      <w:r w:rsidR="006E3E1A">
        <w:rPr>
          <w:rFonts w:ascii="Calibri" w:eastAsia="Calibri" w:hAnsi="Calibri" w:cs="Calibri"/>
          <w:color w:val="000000"/>
        </w:rPr>
        <w:t xml:space="preserve">This points to the need for improved support </w:t>
      </w:r>
      <w:r w:rsidR="00F0741F">
        <w:rPr>
          <w:rFonts w:ascii="Calibri" w:eastAsia="Calibri" w:hAnsi="Calibri" w:cs="Calibri"/>
          <w:color w:val="000000"/>
        </w:rPr>
        <w:t>by AIHSP for</w:t>
      </w:r>
      <w:r w:rsidR="006E3E1A">
        <w:rPr>
          <w:rFonts w:ascii="Calibri" w:eastAsia="Calibri" w:hAnsi="Calibri" w:cs="Calibri"/>
          <w:color w:val="000000"/>
        </w:rPr>
        <w:t xml:space="preserve"> last mile vaccin</w:t>
      </w:r>
      <w:r w:rsidR="00D81C90">
        <w:rPr>
          <w:rFonts w:ascii="Calibri" w:eastAsia="Calibri" w:hAnsi="Calibri" w:cs="Calibri"/>
          <w:color w:val="000000"/>
        </w:rPr>
        <w:t xml:space="preserve">ation. </w:t>
      </w:r>
    </w:p>
    <w:p w14:paraId="20518B45" w14:textId="7ED241B5" w:rsidR="00D26450" w:rsidRDefault="006E3E1A" w:rsidP="009F70DB">
      <w:p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Another </w:t>
      </w:r>
      <w:r w:rsidR="00D26450">
        <w:rPr>
          <w:rFonts w:ascii="Calibri" w:eastAsia="Calibri" w:hAnsi="Calibri" w:cs="Calibri"/>
          <w:color w:val="000000"/>
        </w:rPr>
        <w:t xml:space="preserve">challenge </w:t>
      </w:r>
      <w:r>
        <w:rPr>
          <w:rFonts w:ascii="Calibri" w:eastAsia="Calibri" w:hAnsi="Calibri" w:cs="Calibri"/>
          <w:color w:val="000000"/>
        </w:rPr>
        <w:t xml:space="preserve">is </w:t>
      </w:r>
      <w:r w:rsidR="00D26450">
        <w:rPr>
          <w:rFonts w:ascii="Calibri" w:eastAsia="Calibri" w:hAnsi="Calibri" w:cs="Calibri"/>
          <w:color w:val="000000"/>
        </w:rPr>
        <w:t xml:space="preserve">the limited disability data available. </w:t>
      </w:r>
      <w:r>
        <w:rPr>
          <w:rFonts w:ascii="Calibri" w:eastAsia="Calibri" w:hAnsi="Calibri" w:cs="Calibri"/>
          <w:color w:val="000000"/>
        </w:rPr>
        <w:t>COVID-19 vaccination</w:t>
      </w:r>
      <w:r w:rsidR="005049E0">
        <w:rPr>
          <w:rFonts w:ascii="Calibri" w:eastAsia="Calibri" w:hAnsi="Calibri" w:cs="Calibri"/>
          <w:color w:val="000000"/>
        </w:rPr>
        <w:t xml:space="preserve"> and other health service delivery</w:t>
      </w:r>
      <w:r>
        <w:rPr>
          <w:rFonts w:ascii="Calibri" w:eastAsia="Calibri" w:hAnsi="Calibri" w:cs="Calibri"/>
          <w:color w:val="000000"/>
        </w:rPr>
        <w:t xml:space="preserve"> data is currently not disaggregated for people with disabilities. This makes it </w:t>
      </w:r>
      <w:r w:rsidR="00D26450">
        <w:rPr>
          <w:rFonts w:ascii="Calibri" w:eastAsia="Calibri" w:hAnsi="Calibri" w:cs="Calibri"/>
          <w:color w:val="000000"/>
        </w:rPr>
        <w:t xml:space="preserve">challenging </w:t>
      </w:r>
      <w:r>
        <w:rPr>
          <w:rFonts w:ascii="Calibri" w:eastAsia="Calibri" w:hAnsi="Calibri" w:cs="Calibri"/>
          <w:color w:val="000000"/>
        </w:rPr>
        <w:t xml:space="preserve">for local authorities to </w:t>
      </w:r>
      <w:r w:rsidR="005049E0">
        <w:rPr>
          <w:rFonts w:ascii="Calibri" w:eastAsia="Calibri" w:hAnsi="Calibri" w:cs="Calibri"/>
          <w:color w:val="000000"/>
        </w:rPr>
        <w:t>locate and follow-up</w:t>
      </w:r>
      <w:r>
        <w:rPr>
          <w:rFonts w:ascii="Calibri" w:eastAsia="Calibri" w:hAnsi="Calibri" w:cs="Calibri"/>
          <w:color w:val="000000"/>
        </w:rPr>
        <w:t xml:space="preserve"> people with disabilities who are still in need of COVID-19 vaccination and more generally, </w:t>
      </w:r>
      <w:r w:rsidR="00D26450">
        <w:rPr>
          <w:rFonts w:ascii="Calibri" w:eastAsia="Calibri" w:hAnsi="Calibri" w:cs="Calibri"/>
          <w:color w:val="000000"/>
        </w:rPr>
        <w:t xml:space="preserve">for national and sub-national planning to accurately </w:t>
      </w:r>
      <w:r>
        <w:rPr>
          <w:rFonts w:ascii="Calibri" w:eastAsia="Calibri" w:hAnsi="Calibri" w:cs="Calibri"/>
          <w:color w:val="000000"/>
        </w:rPr>
        <w:t xml:space="preserve">identify, monitor and </w:t>
      </w:r>
      <w:r w:rsidR="00D26450">
        <w:rPr>
          <w:rFonts w:ascii="Calibri" w:eastAsia="Calibri" w:hAnsi="Calibri" w:cs="Calibri"/>
          <w:color w:val="000000"/>
        </w:rPr>
        <w:t xml:space="preserve">address the health needs of people with disabilities. </w:t>
      </w:r>
      <w:r w:rsidR="006432A3">
        <w:rPr>
          <w:rFonts w:ascii="Calibri" w:eastAsia="Calibri" w:hAnsi="Calibri" w:cs="Calibri"/>
          <w:color w:val="000000"/>
        </w:rPr>
        <w:t>T</w:t>
      </w:r>
      <w:r w:rsidR="00381710">
        <w:rPr>
          <w:rFonts w:ascii="Calibri" w:eastAsia="Calibri" w:hAnsi="Calibri" w:cs="Calibri"/>
          <w:color w:val="000000"/>
        </w:rPr>
        <w:t xml:space="preserve">his is a systemic issue that needs to be addressed at a national level. AIHSP could advocate alongside </w:t>
      </w:r>
      <w:r w:rsidR="006432A3">
        <w:rPr>
          <w:rFonts w:ascii="Calibri" w:eastAsia="Calibri" w:hAnsi="Calibri" w:cs="Calibri"/>
          <w:color w:val="000000"/>
        </w:rPr>
        <w:t xml:space="preserve">WHO, UNICEF and others </w:t>
      </w:r>
      <w:r w:rsidR="00381710">
        <w:rPr>
          <w:rFonts w:ascii="Calibri" w:eastAsia="Calibri" w:hAnsi="Calibri" w:cs="Calibri"/>
          <w:color w:val="000000"/>
        </w:rPr>
        <w:t>for disability data to be collected for health service delivery.</w:t>
      </w:r>
    </w:p>
    <w:p w14:paraId="2101A591" w14:textId="7A3BB2E0" w:rsidR="00A64A09" w:rsidRPr="00F15151" w:rsidRDefault="00A64A09" w:rsidP="009F70DB">
      <w:pPr>
        <w:pBdr>
          <w:top w:val="nil"/>
          <w:left w:val="nil"/>
          <w:bottom w:val="nil"/>
          <w:right w:val="nil"/>
          <w:between w:val="nil"/>
        </w:pBdr>
        <w:spacing w:after="120" w:line="240" w:lineRule="auto"/>
        <w:rPr>
          <w:color w:val="000000"/>
        </w:rPr>
      </w:pPr>
      <w:r w:rsidRPr="00381710">
        <w:rPr>
          <w:rFonts w:ascii="Calibri" w:eastAsia="Calibri" w:hAnsi="Calibri" w:cs="Calibri"/>
          <w:color w:val="000000"/>
        </w:rPr>
        <w:t xml:space="preserve">UNICEF </w:t>
      </w:r>
      <w:r w:rsidR="00381710">
        <w:rPr>
          <w:rFonts w:ascii="Calibri" w:eastAsia="Calibri" w:hAnsi="Calibri" w:cs="Calibri"/>
          <w:color w:val="000000"/>
        </w:rPr>
        <w:t xml:space="preserve">implemented a limited number of activities to address disability inclusion. </w:t>
      </w:r>
      <w:r w:rsidR="00CB77AD">
        <w:rPr>
          <w:rFonts w:ascii="Calibri" w:eastAsia="Calibri" w:hAnsi="Calibri" w:cs="Calibri"/>
          <w:color w:val="000000"/>
        </w:rPr>
        <w:t xml:space="preserve">In developing </w:t>
      </w:r>
      <w:r w:rsidRPr="00381710">
        <w:rPr>
          <w:rFonts w:ascii="Calibri" w:eastAsia="Calibri" w:hAnsi="Calibri" w:cs="Calibri"/>
          <w:color w:val="000000"/>
        </w:rPr>
        <w:t xml:space="preserve">the </w:t>
      </w:r>
      <w:proofErr w:type="spellStart"/>
      <w:r w:rsidRPr="00381710">
        <w:rPr>
          <w:rFonts w:ascii="Calibri" w:eastAsia="Calibri" w:hAnsi="Calibri" w:cs="Calibri"/>
          <w:color w:val="000000"/>
        </w:rPr>
        <w:t>GoI’s</w:t>
      </w:r>
      <w:proofErr w:type="spellEnd"/>
      <w:r w:rsidRPr="00381710">
        <w:rPr>
          <w:rFonts w:ascii="Calibri" w:eastAsia="Calibri" w:hAnsi="Calibri" w:cs="Calibri"/>
          <w:color w:val="000000"/>
        </w:rPr>
        <w:t xml:space="preserve"> official COVID-19 website &lt;covid19.go.id&gt;, </w:t>
      </w:r>
      <w:r w:rsidR="00CB77AD">
        <w:rPr>
          <w:rFonts w:ascii="Calibri" w:eastAsia="Calibri" w:hAnsi="Calibri" w:cs="Calibri"/>
          <w:color w:val="000000"/>
        </w:rPr>
        <w:t xml:space="preserve">UNICEF </w:t>
      </w:r>
      <w:r w:rsidR="00381710" w:rsidRPr="00381710">
        <w:rPr>
          <w:rFonts w:ascii="Calibri" w:eastAsia="Calibri" w:hAnsi="Calibri" w:cs="Calibri"/>
          <w:color w:val="000000"/>
        </w:rPr>
        <w:t>ensur</w:t>
      </w:r>
      <w:r w:rsidR="00CB77AD">
        <w:rPr>
          <w:rFonts w:ascii="Calibri" w:eastAsia="Calibri" w:hAnsi="Calibri" w:cs="Calibri"/>
          <w:color w:val="000000"/>
        </w:rPr>
        <w:t>ed that it was</w:t>
      </w:r>
      <w:r w:rsidRPr="00381710">
        <w:rPr>
          <w:rFonts w:ascii="Calibri" w:eastAsia="Calibri" w:hAnsi="Calibri" w:cs="Calibri"/>
          <w:color w:val="000000"/>
        </w:rPr>
        <w:t xml:space="preserve"> accessib</w:t>
      </w:r>
      <w:r w:rsidR="00CB77AD">
        <w:rPr>
          <w:rFonts w:ascii="Calibri" w:eastAsia="Calibri" w:hAnsi="Calibri" w:cs="Calibri"/>
          <w:color w:val="000000"/>
        </w:rPr>
        <w:t>le</w:t>
      </w:r>
      <w:r w:rsidRPr="00381710">
        <w:rPr>
          <w:rFonts w:ascii="Calibri" w:eastAsia="Calibri" w:hAnsi="Calibri" w:cs="Calibri"/>
          <w:color w:val="000000"/>
        </w:rPr>
        <w:t xml:space="preserve"> for people with disabilities. UNICEF </w:t>
      </w:r>
      <w:r w:rsidR="00F15151">
        <w:rPr>
          <w:rFonts w:ascii="Calibri" w:eastAsia="Calibri" w:hAnsi="Calibri" w:cs="Calibri"/>
          <w:color w:val="000000"/>
        </w:rPr>
        <w:t xml:space="preserve">also </w:t>
      </w:r>
      <w:r w:rsidRPr="00381710">
        <w:rPr>
          <w:rFonts w:ascii="Calibri" w:eastAsia="Calibri" w:hAnsi="Calibri" w:cs="Calibri"/>
          <w:color w:val="000000"/>
        </w:rPr>
        <w:t xml:space="preserve">advocated for a field for disability data in the </w:t>
      </w:r>
      <w:r w:rsidR="004D4DD7">
        <w:rPr>
          <w:rFonts w:ascii="Calibri" w:eastAsia="Calibri" w:hAnsi="Calibri" w:cs="Calibri"/>
          <w:color w:val="000000"/>
        </w:rPr>
        <w:t xml:space="preserve">COVID-19 </w:t>
      </w:r>
      <w:proofErr w:type="spellStart"/>
      <w:r w:rsidR="004D4DD7">
        <w:rPr>
          <w:rFonts w:ascii="Calibri" w:eastAsia="Calibri" w:hAnsi="Calibri" w:cs="Calibri"/>
          <w:color w:val="000000"/>
        </w:rPr>
        <w:t>PeduliLindungi</w:t>
      </w:r>
      <w:proofErr w:type="spellEnd"/>
      <w:r w:rsidR="004D4DD7">
        <w:rPr>
          <w:rFonts w:ascii="Calibri" w:eastAsia="Calibri" w:hAnsi="Calibri" w:cs="Calibri"/>
          <w:color w:val="000000"/>
        </w:rPr>
        <w:t xml:space="preserve"> mobile app </w:t>
      </w:r>
      <w:r w:rsidRPr="00381710">
        <w:rPr>
          <w:rFonts w:ascii="Calibri" w:eastAsia="Calibri" w:hAnsi="Calibri" w:cs="Calibri"/>
          <w:color w:val="000000"/>
        </w:rPr>
        <w:t xml:space="preserve">which </w:t>
      </w:r>
      <w:r w:rsidR="004D4DD7">
        <w:rPr>
          <w:rFonts w:ascii="Calibri" w:eastAsia="Calibri" w:hAnsi="Calibri" w:cs="Calibri"/>
          <w:color w:val="000000"/>
        </w:rPr>
        <w:t xml:space="preserve">at the time of the MTR was to </w:t>
      </w:r>
      <w:r w:rsidRPr="00381710">
        <w:rPr>
          <w:rFonts w:ascii="Calibri" w:eastAsia="Calibri" w:hAnsi="Calibri" w:cs="Calibri"/>
          <w:color w:val="000000"/>
        </w:rPr>
        <w:t>be included.</w:t>
      </w:r>
      <w:r w:rsidR="00F15151">
        <w:rPr>
          <w:rFonts w:ascii="Calibri" w:eastAsia="Calibri" w:hAnsi="Calibri" w:cs="Calibri"/>
          <w:color w:val="000000"/>
        </w:rPr>
        <w:t xml:space="preserve"> </w:t>
      </w:r>
      <w:r w:rsidR="00CB77AD">
        <w:rPr>
          <w:rFonts w:ascii="Calibri" w:eastAsia="Calibri" w:hAnsi="Calibri" w:cs="Calibri"/>
          <w:color w:val="000000"/>
        </w:rPr>
        <w:t>However,</w:t>
      </w:r>
      <w:r w:rsidR="00F15151">
        <w:rPr>
          <w:rFonts w:ascii="Calibri" w:eastAsia="Calibri" w:hAnsi="Calibri" w:cs="Calibri"/>
          <w:color w:val="000000"/>
        </w:rPr>
        <w:t xml:space="preserve"> there was no evidence available to the MTR Team on how and if this data was subsequently used.</w:t>
      </w:r>
      <w:r w:rsidRPr="00381710">
        <w:rPr>
          <w:rFonts w:ascii="Calibri" w:eastAsia="Calibri" w:hAnsi="Calibri" w:cs="Calibri"/>
          <w:color w:val="000000"/>
        </w:rPr>
        <w:t xml:space="preserve"> </w:t>
      </w:r>
      <w:r w:rsidRPr="00F15151">
        <w:rPr>
          <w:rFonts w:ascii="Calibri" w:eastAsia="Calibri" w:hAnsi="Calibri" w:cs="Calibri"/>
          <w:color w:val="000000"/>
        </w:rPr>
        <w:t xml:space="preserve"> </w:t>
      </w:r>
    </w:p>
    <w:p w14:paraId="228C0414" w14:textId="6FEBE9FD" w:rsidR="00A64A09" w:rsidRPr="006C22CF" w:rsidRDefault="00A64A09" w:rsidP="00425817">
      <w:pPr>
        <w:pStyle w:val="Heading2"/>
        <w:numPr>
          <w:ilvl w:val="1"/>
          <w:numId w:val="11"/>
        </w:numPr>
        <w:spacing w:line="240" w:lineRule="auto"/>
      </w:pPr>
      <w:bookmarkStart w:id="127" w:name="_Toc135837448"/>
      <w:r w:rsidRPr="006C22CF">
        <w:t>The elderly</w:t>
      </w:r>
      <w:bookmarkEnd w:id="127"/>
    </w:p>
    <w:p w14:paraId="7AFAEB14" w14:textId="7E77E56A" w:rsidR="00C35236" w:rsidRDefault="00A64A09" w:rsidP="009F70DB">
      <w:pPr>
        <w:spacing w:after="120" w:line="240" w:lineRule="auto"/>
        <w:rPr>
          <w:rFonts w:eastAsia="Calibri" w:cstheme="minorHAnsi"/>
          <w:color w:val="000000"/>
        </w:rPr>
      </w:pPr>
      <w:r>
        <w:t xml:space="preserve">The elderly was an early priority group for COVID-19 vaccination </w:t>
      </w:r>
      <w:r w:rsidR="006C6A40">
        <w:t xml:space="preserve">in Indonesia </w:t>
      </w:r>
      <w:r>
        <w:t>and as such, partner activities focus</w:t>
      </w:r>
      <w:r w:rsidR="006C6A40">
        <w:t>ed</w:t>
      </w:r>
      <w:r>
        <w:t xml:space="preserve"> on this</w:t>
      </w:r>
      <w:sdt>
        <w:sdtPr>
          <w:rPr>
            <w:color w:val="2B579A"/>
            <w:shd w:val="clear" w:color="auto" w:fill="E6E6E6"/>
          </w:rPr>
          <w:tag w:val="goog_rdk_15"/>
          <w:id w:val="-1296833518"/>
        </w:sdtPr>
        <w:sdtEndPr>
          <w:rPr>
            <w:color w:val="auto"/>
            <w:shd w:val="clear" w:color="auto" w:fill="auto"/>
          </w:rPr>
        </w:sdtEndPr>
        <w:sdtContent/>
      </w:sdt>
      <w:r>
        <w:t xml:space="preserve">. </w:t>
      </w:r>
      <w:r w:rsidR="006C6A40" w:rsidRPr="006C6A40">
        <w:rPr>
          <w:rFonts w:eastAsia="Calibri" w:cstheme="minorHAnsi"/>
          <w:color w:val="000000"/>
        </w:rPr>
        <w:t xml:space="preserve">WHO developed guidance for </w:t>
      </w:r>
      <w:proofErr w:type="spellStart"/>
      <w:r w:rsidR="006C6A40" w:rsidRPr="006C6A40">
        <w:rPr>
          <w:rFonts w:eastAsia="Calibri" w:cstheme="minorHAnsi"/>
          <w:color w:val="000000"/>
        </w:rPr>
        <w:t>GoI</w:t>
      </w:r>
      <w:proofErr w:type="spellEnd"/>
      <w:r w:rsidR="006C6A40" w:rsidRPr="006C6A40">
        <w:rPr>
          <w:rFonts w:eastAsia="Calibri" w:cstheme="minorHAnsi"/>
          <w:color w:val="000000"/>
        </w:rPr>
        <w:t xml:space="preserve"> for vaccination of population groups including the elderly. Meanwhile, UNICEF (2022) provided technical expertise for the roll-out of booster doses, initially prioriti</w:t>
      </w:r>
      <w:r w:rsidR="00CA3C58">
        <w:rPr>
          <w:rFonts w:eastAsia="Calibri" w:cstheme="minorHAnsi"/>
          <w:color w:val="000000"/>
        </w:rPr>
        <w:t>s</w:t>
      </w:r>
      <w:r w:rsidR="006C6A40" w:rsidRPr="006C6A40">
        <w:rPr>
          <w:rFonts w:eastAsia="Calibri" w:cstheme="minorHAnsi"/>
          <w:color w:val="000000"/>
        </w:rPr>
        <w:t xml:space="preserve">ing the elderly, front-line </w:t>
      </w:r>
      <w:proofErr w:type="gramStart"/>
      <w:r w:rsidR="006C6A40" w:rsidRPr="006C6A40">
        <w:rPr>
          <w:rFonts w:eastAsia="Calibri" w:cstheme="minorHAnsi"/>
          <w:color w:val="000000"/>
        </w:rPr>
        <w:t>workers</w:t>
      </w:r>
      <w:proofErr w:type="gramEnd"/>
      <w:r w:rsidR="006C6A40" w:rsidRPr="006C6A40">
        <w:rPr>
          <w:rFonts w:eastAsia="Calibri" w:cstheme="minorHAnsi"/>
          <w:color w:val="000000"/>
        </w:rPr>
        <w:t xml:space="preserve"> and </w:t>
      </w:r>
      <w:r w:rsidR="00E767EA">
        <w:rPr>
          <w:rFonts w:eastAsia="Calibri" w:cstheme="minorHAnsi"/>
          <w:color w:val="000000"/>
        </w:rPr>
        <w:t xml:space="preserve">other </w:t>
      </w:r>
      <w:r w:rsidR="006C6A40" w:rsidRPr="006C6A40">
        <w:rPr>
          <w:rFonts w:cstheme="minorHAnsi"/>
          <w:color w:val="000000"/>
        </w:rPr>
        <w:t xml:space="preserve">at-risk </w:t>
      </w:r>
      <w:r w:rsidR="006C6A40" w:rsidRPr="006C6A40">
        <w:rPr>
          <w:rFonts w:eastAsia="Calibri" w:cstheme="minorHAnsi"/>
          <w:color w:val="000000"/>
        </w:rPr>
        <w:t>groups</w:t>
      </w:r>
      <w:r w:rsidR="00CA3C58">
        <w:rPr>
          <w:rFonts w:eastAsia="Calibri" w:cstheme="minorHAnsi"/>
          <w:color w:val="000000"/>
        </w:rPr>
        <w:t>.</w:t>
      </w:r>
      <w:r w:rsidR="006C6A40" w:rsidRPr="006C6A40">
        <w:rPr>
          <w:rFonts w:eastAsia="Calibri" w:cstheme="minorHAnsi"/>
          <w:color w:val="000000"/>
        </w:rPr>
        <w:t xml:space="preserve"> </w:t>
      </w:r>
    </w:p>
    <w:p w14:paraId="5EC9C7E9" w14:textId="25AE8B4A" w:rsidR="00C35236" w:rsidRPr="00C35236" w:rsidRDefault="006C6A40" w:rsidP="009F70DB">
      <w:pPr>
        <w:spacing w:after="120" w:line="240" w:lineRule="auto"/>
        <w:rPr>
          <w:rFonts w:eastAsia="Calibri" w:cstheme="minorHAnsi"/>
          <w:color w:val="000000"/>
        </w:rPr>
      </w:pPr>
      <w:r>
        <w:t xml:space="preserve">AIHSP and UNICEF worked to ensure accessibility of the vaccine for elderly people in priority provinces. </w:t>
      </w:r>
      <w:r w:rsidR="00A26761">
        <w:t>They took</w:t>
      </w:r>
      <w:r>
        <w:t xml:space="preserve"> an effective, complementary approach</w:t>
      </w:r>
      <w:r w:rsidRPr="006C6A40">
        <w:t xml:space="preserve">. </w:t>
      </w:r>
      <w:r w:rsidRPr="006C6A40">
        <w:rPr>
          <w:rFonts w:cstheme="minorHAnsi"/>
        </w:rPr>
        <w:t xml:space="preserve">A total of 39,350 elderly people were vaccinated against COVID-19 through the AIHSP Last Mile project and with VAHSI support (March 2023). </w:t>
      </w:r>
      <w:r w:rsidRPr="006C6A40">
        <w:rPr>
          <w:rFonts w:eastAsia="Calibri" w:cstheme="minorHAnsi"/>
          <w:color w:val="000000"/>
        </w:rPr>
        <w:t xml:space="preserve">The </w:t>
      </w:r>
      <w:r w:rsidR="00CA3C58">
        <w:rPr>
          <w:rFonts w:eastAsia="Calibri" w:cstheme="minorHAnsi"/>
          <w:color w:val="000000"/>
        </w:rPr>
        <w:t xml:space="preserve">tangible outcomes of this work are noted in section 7.2. </w:t>
      </w:r>
    </w:p>
    <w:p w14:paraId="6BA964BC" w14:textId="69838730" w:rsidR="00A64A09" w:rsidRPr="00C35236" w:rsidRDefault="006C6A40" w:rsidP="009F70DB">
      <w:pPr>
        <w:pBdr>
          <w:top w:val="nil"/>
          <w:left w:val="nil"/>
          <w:bottom w:val="nil"/>
          <w:right w:val="nil"/>
          <w:between w:val="nil"/>
        </w:pBdr>
        <w:spacing w:after="120" w:line="240" w:lineRule="auto"/>
        <w:rPr>
          <w:rFonts w:cstheme="minorHAnsi"/>
        </w:rPr>
      </w:pPr>
      <w:r w:rsidRPr="006C6A40">
        <w:t>How</w:t>
      </w:r>
      <w:r>
        <w:t xml:space="preserve">ever, AIHSP supported activities to vaccinate the elderly fell short of AIHSP and </w:t>
      </w:r>
      <w:proofErr w:type="spellStart"/>
      <w:r>
        <w:t>GoI</w:t>
      </w:r>
      <w:proofErr w:type="spellEnd"/>
      <w:r>
        <w:t xml:space="preserve"> targets for the reasons outlined in section</w:t>
      </w:r>
      <w:r w:rsidR="00CA3C58">
        <w:t xml:space="preserve"> 7.1</w:t>
      </w:r>
      <w:r>
        <w:t xml:space="preserve"> and only took place in a limited number of districts and provinces</w:t>
      </w:r>
      <w:r w:rsidR="00994764">
        <w:t xml:space="preserve"> </w:t>
      </w:r>
      <w:r w:rsidR="00994764" w:rsidRPr="00994764">
        <w:rPr>
          <w:i/>
          <w:iCs/>
        </w:rPr>
        <w:t xml:space="preserve">(see </w:t>
      </w:r>
      <w:r w:rsidR="00A26761">
        <w:rPr>
          <w:i/>
          <w:iCs/>
        </w:rPr>
        <w:t>section</w:t>
      </w:r>
      <w:r w:rsidR="00994764" w:rsidRPr="00994764">
        <w:rPr>
          <w:i/>
          <w:iCs/>
        </w:rPr>
        <w:t xml:space="preserve"> 7.4 above)</w:t>
      </w:r>
      <w:r>
        <w:t xml:space="preserve">. </w:t>
      </w:r>
      <w:r w:rsidR="00CA3C58">
        <w:t>F</w:t>
      </w:r>
      <w:r>
        <w:t>urther work will be needed to increase vaccination rates among the elderly for the remainder of the program. However, in only working in four to five provinces, AIHSP</w:t>
      </w:r>
      <w:r w:rsidR="008438EB">
        <w:t xml:space="preserve">’s impact on elderly vaccination rates </w:t>
      </w:r>
      <w:r w:rsidR="00CA3C58">
        <w:t xml:space="preserve">in Indonesia </w:t>
      </w:r>
      <w:r w:rsidR="008438EB">
        <w:t>will be nonetheless limited.</w:t>
      </w:r>
    </w:p>
    <w:p w14:paraId="6470BA0B" w14:textId="30715341" w:rsidR="00A64A09" w:rsidRPr="006C22CF" w:rsidRDefault="00A64A09" w:rsidP="00425817">
      <w:pPr>
        <w:pStyle w:val="Heading2"/>
        <w:numPr>
          <w:ilvl w:val="1"/>
          <w:numId w:val="11"/>
        </w:numPr>
        <w:spacing w:line="240" w:lineRule="auto"/>
      </w:pPr>
      <w:bookmarkStart w:id="128" w:name="_Toc135837449"/>
      <w:r w:rsidRPr="006C22CF">
        <w:t>Children</w:t>
      </w:r>
      <w:bookmarkEnd w:id="128"/>
    </w:p>
    <w:p w14:paraId="7A9C608C" w14:textId="1ADC9C92" w:rsidR="00997229" w:rsidRPr="00322C78" w:rsidRDefault="00A64A09" w:rsidP="009F70DB">
      <w:pPr>
        <w:spacing w:after="120" w:line="240" w:lineRule="auto"/>
        <w:rPr>
          <w:color w:val="000000"/>
        </w:rPr>
      </w:pPr>
      <w:r>
        <w:t>UNICEF played a critical role in offset</w:t>
      </w:r>
      <w:r w:rsidR="001E4A19">
        <w:t>ting</w:t>
      </w:r>
      <w:r>
        <w:t xml:space="preserve"> the damaging secondary impacts of COVID-19 on children in Indonesia. </w:t>
      </w:r>
      <w:r w:rsidR="00322C78">
        <w:t xml:space="preserve">It </w:t>
      </w:r>
      <w:r w:rsidR="00BB1E8D">
        <w:rPr>
          <w:rFonts w:ascii="Calibri" w:eastAsia="Calibri" w:hAnsi="Calibri" w:cs="Calibri"/>
          <w:color w:val="000000"/>
        </w:rPr>
        <w:t xml:space="preserve">supported </w:t>
      </w:r>
      <w:r w:rsidR="005C6E7C" w:rsidRPr="005C209A">
        <w:rPr>
          <w:rFonts w:ascii="Calibri" w:eastAsia="Calibri" w:hAnsi="Calibri" w:cs="Calibri"/>
          <w:color w:val="000000"/>
        </w:rPr>
        <w:t>t</w:t>
      </w:r>
      <w:r w:rsidR="005C6E7C" w:rsidRPr="00322C78">
        <w:rPr>
          <w:rFonts w:ascii="Calibri" w:eastAsia="Calibri" w:hAnsi="Calibri" w:cs="Calibri"/>
          <w:color w:val="000000"/>
        </w:rPr>
        <w:t xml:space="preserve">he </w:t>
      </w:r>
      <w:r w:rsidR="00B57261" w:rsidRPr="00322C78">
        <w:rPr>
          <w:rFonts w:ascii="Calibri" w:eastAsia="Calibri" w:hAnsi="Calibri" w:cs="Calibri"/>
          <w:color w:val="000000"/>
        </w:rPr>
        <w:t xml:space="preserve">Ministry of Women Empowerment and Child Protection </w:t>
      </w:r>
      <w:r w:rsidR="00B57261">
        <w:rPr>
          <w:rFonts w:ascii="Calibri" w:eastAsia="Calibri" w:hAnsi="Calibri" w:cs="Calibri"/>
          <w:color w:val="000000"/>
        </w:rPr>
        <w:t>(</w:t>
      </w:r>
      <w:proofErr w:type="spellStart"/>
      <w:r w:rsidR="005C6E7C" w:rsidRPr="005C209A">
        <w:rPr>
          <w:rFonts w:ascii="Calibri" w:eastAsia="Calibri" w:hAnsi="Calibri" w:cs="Calibri"/>
          <w:color w:val="000000"/>
        </w:rPr>
        <w:t>MoWECP</w:t>
      </w:r>
      <w:proofErr w:type="spellEnd"/>
      <w:r w:rsidR="00B57261">
        <w:rPr>
          <w:rFonts w:ascii="Calibri" w:eastAsia="Calibri" w:hAnsi="Calibri" w:cs="Calibri"/>
          <w:color w:val="000000"/>
        </w:rPr>
        <w:t>) to</w:t>
      </w:r>
      <w:r w:rsidR="005C6E7C" w:rsidRPr="005C209A">
        <w:rPr>
          <w:rFonts w:ascii="Calibri" w:eastAsia="Calibri" w:hAnsi="Calibri" w:cs="Calibri"/>
          <w:color w:val="000000"/>
        </w:rPr>
        <w:t xml:space="preserve"> identify children who lost their parents/caregivers due to COVID-19 </w:t>
      </w:r>
      <w:r w:rsidR="00B57261">
        <w:rPr>
          <w:rFonts w:ascii="Calibri" w:eastAsia="Calibri" w:hAnsi="Calibri" w:cs="Calibri"/>
          <w:color w:val="000000"/>
        </w:rPr>
        <w:t>using</w:t>
      </w:r>
      <w:r w:rsidR="005C6E7C" w:rsidRPr="005C209A">
        <w:rPr>
          <w:rFonts w:ascii="Calibri" w:eastAsia="Calibri" w:hAnsi="Calibri" w:cs="Calibri"/>
          <w:color w:val="000000"/>
        </w:rPr>
        <w:t xml:space="preserve"> the </w:t>
      </w:r>
      <w:proofErr w:type="spellStart"/>
      <w:r w:rsidR="005C6E7C" w:rsidRPr="005C209A">
        <w:rPr>
          <w:rFonts w:ascii="Calibri" w:eastAsia="Calibri" w:hAnsi="Calibri" w:cs="Calibri"/>
          <w:color w:val="000000"/>
        </w:rPr>
        <w:t>RapidPro</w:t>
      </w:r>
      <w:proofErr w:type="spellEnd"/>
      <w:r w:rsidR="005C6E7C" w:rsidRPr="005C209A">
        <w:rPr>
          <w:rFonts w:ascii="Calibri" w:eastAsia="Calibri" w:hAnsi="Calibri" w:cs="Calibri"/>
          <w:color w:val="000000"/>
        </w:rPr>
        <w:t xml:space="preserve"> digital platform.</w:t>
      </w:r>
      <w:r w:rsidR="0084780C" w:rsidRPr="005C209A">
        <w:rPr>
          <w:rFonts w:ascii="Calibri" w:eastAsia="Calibri" w:hAnsi="Calibri" w:cs="Calibri"/>
          <w:color w:val="000000"/>
        </w:rPr>
        <w:t xml:space="preserve"> </w:t>
      </w:r>
      <w:r w:rsidR="00997229" w:rsidRPr="005C209A">
        <w:rPr>
          <w:rFonts w:ascii="Calibri" w:eastAsia="Calibri" w:hAnsi="Calibri" w:cs="Calibri"/>
          <w:color w:val="000000"/>
        </w:rPr>
        <w:t xml:space="preserve">A total of 1,026,661 persons (330,803 children, 695,858 caregivers), including 472,264 girls and women, were reached with targeted mental health and psychosocial support (MHPSS) messages. </w:t>
      </w:r>
      <w:r w:rsidR="00322C78">
        <w:rPr>
          <w:rFonts w:ascii="Calibri" w:eastAsia="Calibri" w:hAnsi="Calibri" w:cs="Calibri"/>
          <w:color w:val="000000"/>
        </w:rPr>
        <w:t>F</w:t>
      </w:r>
      <w:r w:rsidR="00997229" w:rsidRPr="005C209A">
        <w:rPr>
          <w:rFonts w:ascii="Calibri" w:eastAsia="Calibri" w:hAnsi="Calibri" w:cs="Calibri"/>
          <w:color w:val="000000"/>
        </w:rPr>
        <w:t xml:space="preserve">ront-line workers and government officials were trained in child protection and psychological first aid (PFA) by the </w:t>
      </w:r>
      <w:r w:rsidR="00B57261">
        <w:rPr>
          <w:rFonts w:ascii="Calibri" w:eastAsia="Calibri" w:hAnsi="Calibri" w:cs="Calibri"/>
          <w:color w:val="000000"/>
        </w:rPr>
        <w:t>WECP</w:t>
      </w:r>
      <w:r w:rsidR="00997229" w:rsidRPr="005C209A">
        <w:rPr>
          <w:rFonts w:ascii="Calibri" w:eastAsia="Calibri" w:hAnsi="Calibri" w:cs="Calibri"/>
          <w:color w:val="000000"/>
        </w:rPr>
        <w:t xml:space="preserve"> Provincial Office (2021). </w:t>
      </w:r>
    </w:p>
    <w:p w14:paraId="692ADE7B" w14:textId="1D586B96" w:rsidR="0084780C" w:rsidRPr="001A0331" w:rsidRDefault="00997229" w:rsidP="009F70DB">
      <w:pPr>
        <w:pBdr>
          <w:top w:val="nil"/>
          <w:left w:val="nil"/>
          <w:bottom w:val="nil"/>
          <w:right w:val="nil"/>
          <w:between w:val="nil"/>
        </w:pBdr>
        <w:spacing w:after="120" w:line="240" w:lineRule="auto"/>
        <w:rPr>
          <w:rFonts w:ascii="Calibri" w:eastAsia="Calibri" w:hAnsi="Calibri" w:cs="Calibri"/>
          <w:bCs/>
          <w:color w:val="000000"/>
          <w:highlight w:val="white"/>
        </w:rPr>
      </w:pPr>
      <w:r w:rsidRPr="001636AD">
        <w:rPr>
          <w:rFonts w:ascii="Calibri" w:eastAsia="Calibri" w:hAnsi="Calibri" w:cs="Calibri"/>
          <w:color w:val="000000"/>
          <w:highlight w:val="white"/>
        </w:rPr>
        <w:t xml:space="preserve">UNICEF supported MoH to promote </w:t>
      </w:r>
      <w:r w:rsidRPr="005C209A">
        <w:rPr>
          <w:rFonts w:ascii="Calibri" w:eastAsia="Calibri" w:hAnsi="Calibri" w:cs="Calibri"/>
          <w:bCs/>
          <w:color w:val="000000"/>
          <w:highlight w:val="white"/>
        </w:rPr>
        <w:t>the catch-up of routine vaccination</w:t>
      </w:r>
      <w:r w:rsidR="00322C78">
        <w:rPr>
          <w:rFonts w:ascii="Calibri" w:eastAsia="Calibri" w:hAnsi="Calibri" w:cs="Calibri"/>
          <w:bCs/>
          <w:color w:val="000000"/>
          <w:highlight w:val="white"/>
        </w:rPr>
        <w:t xml:space="preserve">. </w:t>
      </w:r>
      <w:r w:rsidRPr="005C209A">
        <w:rPr>
          <w:rFonts w:ascii="Calibri" w:eastAsia="Calibri" w:hAnsi="Calibri" w:cs="Calibri"/>
          <w:bCs/>
          <w:color w:val="000000"/>
          <w:highlight w:val="white"/>
        </w:rPr>
        <w:t>In 2022, 26 million children had received a catch-up dose of the measles-rubella vaccine.</w:t>
      </w:r>
      <w:r w:rsidR="009F70DB">
        <w:rPr>
          <w:rFonts w:ascii="Calibri" w:eastAsia="Calibri" w:hAnsi="Calibri" w:cs="Calibri"/>
          <w:bCs/>
          <w:color w:val="000000"/>
          <w:highlight w:val="white"/>
        </w:rPr>
        <w:t xml:space="preserve"> </w:t>
      </w:r>
      <w:r w:rsidR="0084780C" w:rsidRPr="005C209A">
        <w:rPr>
          <w:rFonts w:ascii="Calibri" w:eastAsia="Calibri" w:hAnsi="Calibri" w:cs="Calibri"/>
          <w:bCs/>
          <w:color w:val="000000"/>
          <w:highlight w:val="white"/>
        </w:rPr>
        <w:t xml:space="preserve">UNICEF trained more than 1,600 community health volunteers and 5,640 parents/caregivers </w:t>
      </w:r>
      <w:r w:rsidR="004D522E">
        <w:rPr>
          <w:rFonts w:ascii="Calibri" w:eastAsia="Calibri" w:hAnsi="Calibri" w:cs="Calibri"/>
          <w:bCs/>
          <w:color w:val="000000"/>
          <w:highlight w:val="white"/>
        </w:rPr>
        <w:t>nationally</w:t>
      </w:r>
      <w:r w:rsidR="0084780C" w:rsidRPr="005C209A">
        <w:rPr>
          <w:rFonts w:ascii="Calibri" w:eastAsia="Calibri" w:hAnsi="Calibri" w:cs="Calibri"/>
          <w:bCs/>
          <w:color w:val="000000"/>
          <w:highlight w:val="white"/>
        </w:rPr>
        <w:t xml:space="preserve"> on home-based early detection of child wasting. </w:t>
      </w:r>
      <w:r w:rsidR="004D522E">
        <w:rPr>
          <w:rFonts w:ascii="Calibri" w:eastAsia="Calibri" w:hAnsi="Calibri" w:cs="Calibri"/>
          <w:bCs/>
          <w:color w:val="000000"/>
          <w:highlight w:val="white"/>
        </w:rPr>
        <w:t>M</w:t>
      </w:r>
      <w:r w:rsidR="0084780C" w:rsidRPr="005C209A">
        <w:rPr>
          <w:rFonts w:ascii="Calibri" w:eastAsia="Calibri" w:hAnsi="Calibri" w:cs="Calibri"/>
          <w:bCs/>
          <w:color w:val="000000"/>
          <w:highlight w:val="white"/>
        </w:rPr>
        <w:t xml:space="preserve">ore than 16 million people were reached with nutrition messages. </w:t>
      </w:r>
    </w:p>
    <w:p w14:paraId="65C8F304" w14:textId="0B7341C7" w:rsidR="00321AF6" w:rsidRPr="00321AF6" w:rsidRDefault="00321AF6" w:rsidP="009F70DB">
      <w:pPr>
        <w:pBdr>
          <w:top w:val="nil"/>
          <w:left w:val="nil"/>
          <w:bottom w:val="nil"/>
          <w:right w:val="nil"/>
          <w:between w:val="nil"/>
        </w:pBdr>
        <w:spacing w:after="120" w:line="240" w:lineRule="auto"/>
        <w:rPr>
          <w:color w:val="000000"/>
        </w:rPr>
      </w:pPr>
      <w:r w:rsidRPr="005C209A">
        <w:rPr>
          <w:rFonts w:ascii="Calibri" w:eastAsia="Calibri" w:hAnsi="Calibri" w:cs="Calibri"/>
          <w:bCs/>
          <w:color w:val="000000"/>
        </w:rPr>
        <w:t>In combatting violence against children</w:t>
      </w:r>
      <w:r w:rsidR="002C4E2C">
        <w:rPr>
          <w:rFonts w:ascii="Calibri" w:eastAsia="Calibri" w:hAnsi="Calibri" w:cs="Calibri"/>
          <w:bCs/>
          <w:color w:val="000000"/>
        </w:rPr>
        <w:t xml:space="preserve"> which increased during COVID-19</w:t>
      </w:r>
      <w:r w:rsidRPr="005C209A">
        <w:rPr>
          <w:rFonts w:ascii="Calibri" w:eastAsia="Calibri" w:hAnsi="Calibri" w:cs="Calibri"/>
          <w:bCs/>
          <w:color w:val="000000"/>
        </w:rPr>
        <w:t xml:space="preserve">, UNICEF and CSOs in Central Java and East Java </w:t>
      </w:r>
      <w:r w:rsidR="007B1305">
        <w:rPr>
          <w:rFonts w:ascii="Calibri" w:eastAsia="Calibri" w:hAnsi="Calibri" w:cs="Calibri"/>
          <w:bCs/>
          <w:color w:val="000000"/>
        </w:rPr>
        <w:t>trained</w:t>
      </w:r>
      <w:r w:rsidRPr="005C209A">
        <w:rPr>
          <w:rFonts w:ascii="Calibri" w:eastAsia="Calibri" w:hAnsi="Calibri" w:cs="Calibri"/>
          <w:bCs/>
          <w:color w:val="000000"/>
        </w:rPr>
        <w:t xml:space="preserve"> social workers, government officials </w:t>
      </w:r>
      <w:r w:rsidR="005C209A">
        <w:rPr>
          <w:rFonts w:ascii="Calibri" w:eastAsia="Calibri" w:hAnsi="Calibri" w:cs="Calibri"/>
          <w:bCs/>
          <w:color w:val="000000"/>
        </w:rPr>
        <w:t xml:space="preserve">and </w:t>
      </w:r>
      <w:r w:rsidR="007B1305">
        <w:rPr>
          <w:rFonts w:ascii="Calibri" w:eastAsia="Calibri" w:hAnsi="Calibri" w:cs="Calibri"/>
          <w:bCs/>
          <w:color w:val="000000"/>
        </w:rPr>
        <w:t>others</w:t>
      </w:r>
      <w:r w:rsidRPr="005C209A">
        <w:rPr>
          <w:rFonts w:ascii="Calibri" w:eastAsia="Calibri" w:hAnsi="Calibri" w:cs="Calibri"/>
          <w:bCs/>
          <w:color w:val="000000"/>
        </w:rPr>
        <w:t xml:space="preserve"> on positive parenting, </w:t>
      </w:r>
      <w:r w:rsidR="00997229" w:rsidRPr="005C209A">
        <w:rPr>
          <w:rFonts w:ascii="Calibri" w:eastAsia="Calibri" w:hAnsi="Calibri" w:cs="Calibri"/>
          <w:bCs/>
          <w:color w:val="000000"/>
        </w:rPr>
        <w:t>PFA</w:t>
      </w:r>
      <w:r w:rsidRPr="005C209A">
        <w:rPr>
          <w:rFonts w:ascii="Calibri" w:eastAsia="Calibri" w:hAnsi="Calibri" w:cs="Calibri"/>
          <w:bCs/>
          <w:color w:val="000000"/>
        </w:rPr>
        <w:t>, how to identify vulnerable groups and how to prevent and manage child victims of violence and child marriage</w:t>
      </w:r>
      <w:r w:rsidRPr="00321AF6">
        <w:rPr>
          <w:rFonts w:ascii="Calibri" w:eastAsia="Calibri" w:hAnsi="Calibri" w:cs="Calibri"/>
          <w:color w:val="000000"/>
        </w:rPr>
        <w:t xml:space="preserve">. </w:t>
      </w:r>
      <w:r w:rsidR="0054030F">
        <w:rPr>
          <w:rFonts w:ascii="Calibri" w:eastAsia="Calibri" w:hAnsi="Calibri" w:cs="Calibri"/>
          <w:color w:val="000000"/>
        </w:rPr>
        <w:t>This</w:t>
      </w:r>
      <w:r w:rsidRPr="00321AF6">
        <w:rPr>
          <w:rFonts w:ascii="Calibri" w:eastAsia="Calibri" w:hAnsi="Calibri" w:cs="Calibri"/>
          <w:color w:val="000000"/>
        </w:rPr>
        <w:t xml:space="preserve"> support reached over 100,000 girls and boys with improved child protection and welfare services through early detection</w:t>
      </w:r>
      <w:r w:rsidR="0054030F">
        <w:rPr>
          <w:rFonts w:ascii="Calibri" w:eastAsia="Calibri" w:hAnsi="Calibri" w:cs="Calibri"/>
          <w:color w:val="000000"/>
        </w:rPr>
        <w:t xml:space="preserve"> </w:t>
      </w:r>
      <w:r w:rsidRPr="00321AF6">
        <w:rPr>
          <w:rFonts w:ascii="Calibri" w:eastAsia="Calibri" w:hAnsi="Calibri" w:cs="Calibri"/>
          <w:color w:val="000000"/>
        </w:rPr>
        <w:t>and referrals for child protection cases. </w:t>
      </w:r>
    </w:p>
    <w:p w14:paraId="75215E21" w14:textId="5339869B" w:rsidR="00C35236" w:rsidRDefault="007B1305" w:rsidP="0054030F">
      <w:pPr>
        <w:spacing w:after="120" w:line="240" w:lineRule="auto"/>
      </w:pPr>
      <w:r>
        <w:t>As</w:t>
      </w:r>
      <w:r w:rsidR="00BE3DD7">
        <w:t xml:space="preserve"> much of </w:t>
      </w:r>
      <w:r>
        <w:t>UNICEF’s</w:t>
      </w:r>
      <w:r w:rsidR="00BE3DD7">
        <w:t xml:space="preserve"> reporting was centred around training and messaging, it would be useful to understand the longer-term </w:t>
      </w:r>
      <w:r w:rsidR="005C209A">
        <w:t>outcomes</w:t>
      </w:r>
      <w:r w:rsidR="00BE3DD7">
        <w:t xml:space="preserve"> of such activities on child </w:t>
      </w:r>
      <w:r w:rsidR="00997229">
        <w:t xml:space="preserve">mental and physical </w:t>
      </w:r>
      <w:r w:rsidR="00BE3DD7">
        <w:t xml:space="preserve">health. </w:t>
      </w:r>
      <w:r w:rsidR="00C35236">
        <w:br w:type="page"/>
      </w:r>
    </w:p>
    <w:p w14:paraId="54A65B87" w14:textId="117AE2D1" w:rsidR="00D426B3" w:rsidRPr="00F24237" w:rsidRDefault="00D727F6" w:rsidP="00425817">
      <w:pPr>
        <w:pStyle w:val="Heading1"/>
        <w:numPr>
          <w:ilvl w:val="0"/>
          <w:numId w:val="11"/>
        </w:numPr>
        <w:spacing w:line="240" w:lineRule="auto"/>
      </w:pPr>
      <w:bookmarkStart w:id="129" w:name="_Toc135837450"/>
      <w:r w:rsidRPr="00F24237">
        <w:lastRenderedPageBreak/>
        <w:t>Future Consideration</w:t>
      </w:r>
      <w:r w:rsidR="00644453">
        <w:t>s</w:t>
      </w:r>
      <w:r w:rsidRPr="00F24237">
        <w:t xml:space="preserve"> and </w:t>
      </w:r>
      <w:r w:rsidR="00D426B3" w:rsidRPr="00F24237">
        <w:t>Recommendations</w:t>
      </w:r>
      <w:bookmarkEnd w:id="129"/>
    </w:p>
    <w:p w14:paraId="4750E4F9" w14:textId="6528D307" w:rsidR="00D727F6" w:rsidRPr="00F24237" w:rsidRDefault="003516FA" w:rsidP="003516FA">
      <w:pPr>
        <w:pStyle w:val="Heading2"/>
      </w:pPr>
      <w:bookmarkStart w:id="130" w:name="_Toc135837451"/>
      <w:r>
        <w:t>8.1</w:t>
      </w:r>
      <w:r>
        <w:tab/>
      </w:r>
      <w:r w:rsidR="00D727F6" w:rsidRPr="00F24237">
        <w:t xml:space="preserve">Future </w:t>
      </w:r>
      <w:r>
        <w:t>c</w:t>
      </w:r>
      <w:r w:rsidR="00D727F6" w:rsidRPr="00F24237">
        <w:t>onsiderations</w:t>
      </w:r>
      <w:bookmarkEnd w:id="130"/>
    </w:p>
    <w:p w14:paraId="056D0A37" w14:textId="5D7E0955" w:rsidR="00D727F6" w:rsidRDefault="00D727F6" w:rsidP="00034AED">
      <w:pPr>
        <w:spacing w:after="120" w:line="240" w:lineRule="auto"/>
      </w:pPr>
      <w:r>
        <w:t xml:space="preserve">This section outlines key developments and trends that need to be considered in Australia’s future support for the health sector in Indonesia. These provide the context </w:t>
      </w:r>
      <w:proofErr w:type="gramStart"/>
      <w:r>
        <w:t>for, and</w:t>
      </w:r>
      <w:proofErr w:type="gramEnd"/>
      <w:r>
        <w:t xml:space="preserve"> have informed the </w:t>
      </w:r>
      <w:r w:rsidR="00AF1B15">
        <w:t xml:space="preserve">MTR </w:t>
      </w:r>
      <w:r>
        <w:t>recommendations.</w:t>
      </w:r>
    </w:p>
    <w:p w14:paraId="432D86B8" w14:textId="625319F1" w:rsidR="00D727F6" w:rsidRPr="006C22CF" w:rsidRDefault="003516FA" w:rsidP="003516FA">
      <w:pPr>
        <w:pStyle w:val="Heading3"/>
      </w:pPr>
      <w:bookmarkStart w:id="131" w:name="_Toc132584644"/>
      <w:bookmarkStart w:id="132" w:name="_Toc135837452"/>
      <w:r>
        <w:t>8.1.1</w:t>
      </w:r>
      <w:r>
        <w:tab/>
      </w:r>
      <w:r w:rsidR="00D727F6" w:rsidRPr="006C22CF">
        <w:t xml:space="preserve">Australia’s </w:t>
      </w:r>
      <w:r>
        <w:t>s</w:t>
      </w:r>
      <w:r w:rsidR="00D727F6" w:rsidRPr="006C22CF">
        <w:t xml:space="preserve">trategic </w:t>
      </w:r>
      <w:r>
        <w:t>d</w:t>
      </w:r>
      <w:r w:rsidR="00D727F6" w:rsidRPr="006C22CF">
        <w:t>irection</w:t>
      </w:r>
      <w:bookmarkEnd w:id="131"/>
      <w:bookmarkEnd w:id="132"/>
      <w:r w:rsidR="00D727F6" w:rsidRPr="006C22CF">
        <w:t xml:space="preserve"> </w:t>
      </w:r>
    </w:p>
    <w:p w14:paraId="44961729" w14:textId="2B4FEDDE" w:rsidR="00D727F6" w:rsidRDefault="00D727F6" w:rsidP="00034AED">
      <w:pPr>
        <w:spacing w:after="120" w:line="240" w:lineRule="auto"/>
      </w:pPr>
      <w:r>
        <w:t xml:space="preserve">Australia </w:t>
      </w:r>
      <w:r w:rsidR="00012997">
        <w:t>will</w:t>
      </w:r>
      <w:r>
        <w:t xml:space="preserve"> release its new Development Policy in the coming months. It recently launched its Partnerships for a Healthy Region (PHR) initiative (2022-23 to 2026-27) which outlines Australia’s</w:t>
      </w:r>
      <w:r w:rsidR="4F75A64F">
        <w:t xml:space="preserve"> regional</w:t>
      </w:r>
      <w:r>
        <w:t xml:space="preserve"> priorities for development aid in health. Thematic priorities in communicable disease control include, but are not limited to, infection prevention and control, surveillance, emergency operations and laboratory strengthening. Higher priority will be given to programming related to health information systems, community-based disease prevention and preparedness, </w:t>
      </w:r>
      <w:proofErr w:type="gramStart"/>
      <w:r>
        <w:t>immunisation</w:t>
      </w:r>
      <w:proofErr w:type="gramEnd"/>
      <w:r>
        <w:t xml:space="preserve"> and vaccine risk communication. </w:t>
      </w:r>
      <w:r w:rsidR="00761576">
        <w:t xml:space="preserve">Non-communicable diseases </w:t>
      </w:r>
      <w:proofErr w:type="gramStart"/>
      <w:r w:rsidR="00761576">
        <w:t>has</w:t>
      </w:r>
      <w:proofErr w:type="gramEnd"/>
      <w:r w:rsidR="00761576">
        <w:t xml:space="preserve"> also been included as a priority. </w:t>
      </w:r>
      <w:r>
        <w:t xml:space="preserve">Cross-cutting priorities include One Health, </w:t>
      </w:r>
      <w:r w:rsidR="00FD58B6">
        <w:t>c</w:t>
      </w:r>
      <w:r>
        <w:t>limate and environmental change, gender equality, disability and social inclusion and First Nations perspectives.</w:t>
      </w:r>
      <w:r>
        <w:rPr>
          <w:vertAlign w:val="superscript"/>
        </w:rPr>
        <w:footnoteReference w:id="41"/>
      </w:r>
    </w:p>
    <w:p w14:paraId="4D036353" w14:textId="78C5461C" w:rsidR="00D727F6" w:rsidRPr="006C22CF" w:rsidRDefault="003516FA" w:rsidP="003516FA">
      <w:pPr>
        <w:pStyle w:val="Heading3"/>
      </w:pPr>
      <w:bookmarkStart w:id="133" w:name="_Toc132584645"/>
      <w:bookmarkStart w:id="134" w:name="_Toc135837453"/>
      <w:r>
        <w:t>8.1.2</w:t>
      </w:r>
      <w:r>
        <w:tab/>
      </w:r>
      <w:r w:rsidR="00D727F6" w:rsidRPr="006C22CF">
        <w:t xml:space="preserve">Indonesian </w:t>
      </w:r>
      <w:r>
        <w:t>e</w:t>
      </w:r>
      <w:r w:rsidR="00D727F6" w:rsidRPr="006C22CF">
        <w:t>lections</w:t>
      </w:r>
      <w:bookmarkEnd w:id="133"/>
      <w:bookmarkEnd w:id="134"/>
    </w:p>
    <w:p w14:paraId="1606426B" w14:textId="35B6BAA5" w:rsidR="00D727F6" w:rsidRDefault="00D727F6" w:rsidP="48362220">
      <w:pPr>
        <w:spacing w:after="120" w:line="240" w:lineRule="auto"/>
        <w:rPr>
          <w:i/>
          <w:iCs/>
        </w:rPr>
      </w:pPr>
      <w:r>
        <w:t xml:space="preserve">The </w:t>
      </w:r>
      <w:r w:rsidR="00FD58B6">
        <w:t xml:space="preserve">Indonesian </w:t>
      </w:r>
      <w:r>
        <w:t>elections will decide the country’s president, vice president, People's Consultative Assembly (MPR) and members of local legislative bodies at a provincial and district level.</w:t>
      </w:r>
      <w:r w:rsidRPr="48362220">
        <w:rPr>
          <w:b/>
          <w:bCs/>
        </w:rPr>
        <w:t xml:space="preserve"> </w:t>
      </w:r>
      <w:r>
        <w:t xml:space="preserve">The </w:t>
      </w:r>
      <w:r w:rsidR="00FD58B6">
        <w:t>e</w:t>
      </w:r>
      <w:r>
        <w:t xml:space="preserve">lection will be held on 14 February 2024 and inauguration </w:t>
      </w:r>
      <w:r w:rsidR="00761576">
        <w:t>i</w:t>
      </w:r>
      <w:r>
        <w:t xml:space="preserve">n Oct </w:t>
      </w:r>
      <w:r w:rsidR="00FD58B6">
        <w:t>20</w:t>
      </w:r>
      <w:r>
        <w:t xml:space="preserve">24. This </w:t>
      </w:r>
      <w:r w:rsidR="227F1E42">
        <w:t>will</w:t>
      </w:r>
      <w:r>
        <w:t xml:space="preserve"> impact current aid programming decisions by donors and will influence this phase of programming for</w:t>
      </w:r>
      <w:r w:rsidR="17B28FDF">
        <w:t xml:space="preserve"> partners </w:t>
      </w:r>
      <w:r w:rsidR="00FD58B6">
        <w:t>as well as the</w:t>
      </w:r>
      <w:r w:rsidR="17B28FDF">
        <w:t xml:space="preserve"> design context for</w:t>
      </w:r>
      <w:r w:rsidR="00D2402C">
        <w:t xml:space="preserve"> </w:t>
      </w:r>
      <w:r>
        <w:t xml:space="preserve">AIHSP, including whether policy/legislative work can be completed. </w:t>
      </w:r>
    </w:p>
    <w:p w14:paraId="092EBF7E" w14:textId="22BCA219" w:rsidR="00D727F6" w:rsidRPr="006C22CF" w:rsidRDefault="003516FA" w:rsidP="003516FA">
      <w:pPr>
        <w:pStyle w:val="Heading3"/>
      </w:pPr>
      <w:bookmarkStart w:id="135" w:name="_Toc132584646"/>
      <w:bookmarkStart w:id="136" w:name="_Toc135837454"/>
      <w:r>
        <w:t>8.1.3</w:t>
      </w:r>
      <w:r>
        <w:tab/>
      </w:r>
      <w:r w:rsidR="00D727F6" w:rsidRPr="006C22CF">
        <w:t xml:space="preserve">Indonesia’s </w:t>
      </w:r>
      <w:r>
        <w:t>s</w:t>
      </w:r>
      <w:r w:rsidR="00D727F6" w:rsidRPr="006C22CF">
        <w:t xml:space="preserve">trategic </w:t>
      </w:r>
      <w:r>
        <w:t>d</w:t>
      </w:r>
      <w:r w:rsidR="00D727F6" w:rsidRPr="006C22CF">
        <w:t>irection</w:t>
      </w:r>
      <w:bookmarkEnd w:id="135"/>
      <w:bookmarkEnd w:id="136"/>
    </w:p>
    <w:p w14:paraId="6174F639" w14:textId="3174E762" w:rsidR="00D727F6" w:rsidRDefault="00D727F6" w:rsidP="00034AED">
      <w:pPr>
        <w:spacing w:after="120" w:line="240" w:lineRule="auto"/>
      </w:pPr>
      <w:r>
        <w:t>Indonesia’s new Medium-Term Development Plan (2024-2029) and its Long-Term Development Plan (2025-2050) will inform the Indonesia’s future development priorities. Strengthening health systems emerged as a priority out of the sectoral review conducted by BAPPENAS for health which will inform the plans.</w:t>
      </w:r>
      <w:r w:rsidR="0039571C">
        <w:t xml:space="preserve"> A new JEE will be conducted this year, which might also impact Indonesia’s strategic direction in health security.</w:t>
      </w:r>
      <w:r>
        <w:t xml:space="preserve"> </w:t>
      </w:r>
    </w:p>
    <w:p w14:paraId="5F16E469" w14:textId="1EE357BD" w:rsidR="00D727F6" w:rsidRPr="001C5FC6" w:rsidRDefault="003516FA" w:rsidP="003516FA">
      <w:pPr>
        <w:pStyle w:val="Heading3"/>
      </w:pPr>
      <w:bookmarkStart w:id="137" w:name="_Toc132584647"/>
      <w:bookmarkStart w:id="138" w:name="_Toc135837455"/>
      <w:r>
        <w:t>8.1.4</w:t>
      </w:r>
      <w:r>
        <w:tab/>
      </w:r>
      <w:r w:rsidR="00D727F6" w:rsidRPr="001C5FC6">
        <w:t>One Healt</w:t>
      </w:r>
      <w:sdt>
        <w:sdtPr>
          <w:rPr>
            <w:color w:val="2B579A"/>
            <w:shd w:val="clear" w:color="auto" w:fill="E6E6E6"/>
          </w:rPr>
          <w:tag w:val="goog_rdk_0"/>
          <w:id w:val="1193887414"/>
        </w:sdtPr>
        <w:sdtEndPr>
          <w:rPr>
            <w:color w:val="1F3763" w:themeColor="accent1" w:themeShade="7F"/>
            <w:shd w:val="clear" w:color="auto" w:fill="auto"/>
          </w:rPr>
        </w:sdtEndPr>
        <w:sdtContent/>
      </w:sdt>
      <w:sdt>
        <w:sdtPr>
          <w:rPr>
            <w:color w:val="2B579A"/>
            <w:shd w:val="clear" w:color="auto" w:fill="E6E6E6"/>
          </w:rPr>
          <w:tag w:val="goog_rdk_1"/>
          <w:id w:val="202222311"/>
        </w:sdtPr>
        <w:sdtEndPr>
          <w:rPr>
            <w:color w:val="1F3763" w:themeColor="accent1" w:themeShade="7F"/>
            <w:shd w:val="clear" w:color="auto" w:fill="auto"/>
          </w:rPr>
        </w:sdtEndPr>
        <w:sdtContent/>
      </w:sdt>
      <w:r w:rsidR="00D727F6" w:rsidRPr="001C5FC6">
        <w:t>h</w:t>
      </w:r>
      <w:bookmarkEnd w:id="137"/>
      <w:bookmarkEnd w:id="138"/>
    </w:p>
    <w:p w14:paraId="469FEFE5" w14:textId="2A6E8660" w:rsidR="00D727F6" w:rsidRDefault="00D727F6" w:rsidP="00034AED">
      <w:pPr>
        <w:spacing w:after="120" w:line="240" w:lineRule="auto"/>
      </w:pPr>
      <w:r>
        <w:t xml:space="preserve">Indonesia has embraced </w:t>
      </w:r>
      <w:r w:rsidR="00215D7F">
        <w:t>a</w:t>
      </w:r>
      <w:r>
        <w:t xml:space="preserve"> One Health approach and has increased its engagement in a range of activities that bring together various sectors involved in human, animal and environmental </w:t>
      </w:r>
      <w:proofErr w:type="gramStart"/>
      <w:r>
        <w:t>health</w:t>
      </w:r>
      <w:r w:rsidR="007C74CE">
        <w:t xml:space="preserve">, </w:t>
      </w:r>
      <w:r>
        <w:t xml:space="preserve"> including</w:t>
      </w:r>
      <w:proofErr w:type="gramEnd"/>
      <w:r>
        <w:t xml:space="preserve"> the wildlife sector. The</w:t>
      </w:r>
      <w:r w:rsidRPr="00761576">
        <w:t xml:space="preserve"> major </w:t>
      </w:r>
      <w:r>
        <w:t>emphasis has been on establishing multisectoral mechanisms largely consistent with the principles outlined in the Tripartite Zoonoses Guide.</w:t>
      </w:r>
      <w:r>
        <w:rPr>
          <w:vertAlign w:val="superscript"/>
        </w:rPr>
        <w:footnoteReference w:id="42"/>
      </w:r>
      <w:r>
        <w:t xml:space="preserve"> Three </w:t>
      </w:r>
      <w:r w:rsidR="008F60F2">
        <w:t>o</w:t>
      </w:r>
      <w:r>
        <w:t xml:space="preserve">perational </w:t>
      </w:r>
      <w:r w:rsidR="008F60F2">
        <w:t>t</w:t>
      </w:r>
      <w:r>
        <w:t xml:space="preserve">ools </w:t>
      </w:r>
      <w:r w:rsidR="008F60F2">
        <w:t>were</w:t>
      </w:r>
      <w:r>
        <w:t xml:space="preserve"> developed to support national </w:t>
      </w:r>
      <w:proofErr w:type="spellStart"/>
      <w:r w:rsidR="007C74CE">
        <w:t>GoI</w:t>
      </w:r>
      <w:proofErr w:type="spellEnd"/>
      <w:r w:rsidR="007C74CE">
        <w:t xml:space="preserve"> </w:t>
      </w:r>
      <w:r>
        <w:t>staff in these efforts</w:t>
      </w:r>
      <w:r w:rsidR="008F60F2">
        <w:t xml:space="preserve"> and</w:t>
      </w:r>
      <w:r>
        <w:t xml:space="preserve"> Indonesia was one of the first countries </w:t>
      </w:r>
      <w:r w:rsidR="008F60F2">
        <w:t xml:space="preserve">in the region </w:t>
      </w:r>
      <w:r>
        <w:t xml:space="preserve">to pilot </w:t>
      </w:r>
      <w:r w:rsidR="008F60F2">
        <w:t xml:space="preserve">some of these tools. </w:t>
      </w:r>
      <w:r>
        <w:t xml:space="preserve">In addition, Indonesia has demonstrated its leadership in One Health in the region by hosting a One Health side event at the G20 in 2022 and promoting One Health during its Presidency of ASEAN in 2023. However, these are early steps in a much longer journey to apply </w:t>
      </w:r>
      <w:r w:rsidR="007C74CE">
        <w:t>a</w:t>
      </w:r>
      <w:r>
        <w:t xml:space="preserve"> whole One Health approach in Indonesia.</w:t>
      </w:r>
    </w:p>
    <w:p w14:paraId="456D2109" w14:textId="48E7F9AE" w:rsidR="00D727F6" w:rsidRPr="001C5FC6" w:rsidRDefault="00D727F6" w:rsidP="00425817">
      <w:pPr>
        <w:pStyle w:val="Heading3"/>
        <w:numPr>
          <w:ilvl w:val="2"/>
          <w:numId w:val="12"/>
        </w:numPr>
      </w:pPr>
      <w:bookmarkStart w:id="139" w:name="_Toc132584648"/>
      <w:bookmarkStart w:id="140" w:name="_Toc135837456"/>
      <w:r w:rsidRPr="001C5FC6">
        <w:t xml:space="preserve">Australia’s </w:t>
      </w:r>
      <w:r w:rsidR="003516FA">
        <w:t>w</w:t>
      </w:r>
      <w:r w:rsidRPr="001C5FC6">
        <w:t xml:space="preserve">ork with </w:t>
      </w:r>
      <w:proofErr w:type="spellStart"/>
      <w:r w:rsidRPr="001C5FC6">
        <w:t>GoI</w:t>
      </w:r>
      <w:bookmarkEnd w:id="139"/>
      <w:bookmarkEnd w:id="140"/>
      <w:proofErr w:type="spellEnd"/>
    </w:p>
    <w:p w14:paraId="069928FF" w14:textId="5E9F9156" w:rsidR="00D727F6" w:rsidRDefault="00D727F6" w:rsidP="00034AED">
      <w:pPr>
        <w:spacing w:after="120" w:line="240" w:lineRule="auto"/>
      </w:pPr>
      <w:r>
        <w:t>Australia</w:t>
      </w:r>
      <w:r w:rsidR="001106C9">
        <w:t>’s</w:t>
      </w:r>
      <w:r w:rsidR="00F913EE">
        <w:t xml:space="preserve"> bilateral health program</w:t>
      </w:r>
      <w:r>
        <w:t xml:space="preserve"> currently has </w:t>
      </w:r>
      <w:r w:rsidR="4076760C">
        <w:t xml:space="preserve">Subsidiary </w:t>
      </w:r>
      <w:r w:rsidR="00317BFC">
        <w:t xml:space="preserve">Arrangements </w:t>
      </w:r>
      <w:r>
        <w:t xml:space="preserve">with the MoH and </w:t>
      </w:r>
      <w:proofErr w:type="spellStart"/>
      <w:r>
        <w:t>MoA</w:t>
      </w:r>
      <w:proofErr w:type="spellEnd"/>
      <w:r>
        <w:t>, which will need to be renewed soo</w:t>
      </w:r>
      <w:r w:rsidRPr="00761576">
        <w:t xml:space="preserve">n. </w:t>
      </w:r>
      <w:r w:rsidR="00E46FBF" w:rsidRPr="48362220">
        <w:rPr>
          <w:color w:val="000000" w:themeColor="text1"/>
        </w:rPr>
        <w:t>Other Australian programs have arrangements to coordinate with one or two other ministries</w:t>
      </w:r>
      <w:r w:rsidR="0008029B">
        <w:rPr>
          <w:color w:val="000000" w:themeColor="text1"/>
        </w:rPr>
        <w:t xml:space="preserve"> and there are many options for doing so</w:t>
      </w:r>
      <w:r w:rsidR="00E46FBF" w:rsidRPr="48362220">
        <w:rPr>
          <w:color w:val="000000" w:themeColor="text1"/>
        </w:rPr>
        <w:t>.</w:t>
      </w:r>
      <w:r w:rsidR="00E46FBF">
        <w:rPr>
          <w:color w:val="000000" w:themeColor="text1"/>
        </w:rPr>
        <w:t xml:space="preserve"> </w:t>
      </w:r>
      <w:proofErr w:type="spellStart"/>
      <w:r>
        <w:t>Kemenko</w:t>
      </w:r>
      <w:proofErr w:type="spellEnd"/>
      <w:r>
        <w:t xml:space="preserve"> PMK (Ministry for Human Development and Culture) monitors the implementation of </w:t>
      </w:r>
      <w:r w:rsidRPr="48362220">
        <w:rPr>
          <w:color w:val="000000" w:themeColor="text1"/>
        </w:rPr>
        <w:t xml:space="preserve">Presidential Instruction No.4/2019 on </w:t>
      </w:r>
      <w:r>
        <w:t xml:space="preserve">One Health and the subsequent </w:t>
      </w:r>
      <w:proofErr w:type="spellStart"/>
      <w:r w:rsidR="00F121BA" w:rsidRPr="48362220">
        <w:rPr>
          <w:color w:val="000000" w:themeColor="text1"/>
        </w:rPr>
        <w:t>Per</w:t>
      </w:r>
      <w:r w:rsidRPr="48362220">
        <w:rPr>
          <w:color w:val="000000" w:themeColor="text1"/>
        </w:rPr>
        <w:t>menko</w:t>
      </w:r>
      <w:proofErr w:type="spellEnd"/>
      <w:r w:rsidRPr="48362220">
        <w:rPr>
          <w:color w:val="000000" w:themeColor="text1"/>
        </w:rPr>
        <w:t xml:space="preserve"> PMK </w:t>
      </w:r>
      <w:r w:rsidR="00B659CB">
        <w:rPr>
          <w:color w:val="000000" w:themeColor="text1"/>
        </w:rPr>
        <w:t>R</w:t>
      </w:r>
      <w:r w:rsidRPr="48362220">
        <w:rPr>
          <w:color w:val="000000" w:themeColor="text1"/>
        </w:rPr>
        <w:t xml:space="preserve">egulation No.7/2022 on the </w:t>
      </w:r>
      <w:proofErr w:type="spellStart"/>
      <w:r w:rsidRPr="48362220">
        <w:rPr>
          <w:color w:val="000000" w:themeColor="text1"/>
        </w:rPr>
        <w:t>Pedoman</w:t>
      </w:r>
      <w:proofErr w:type="spellEnd"/>
      <w:r w:rsidRPr="48362220">
        <w:rPr>
          <w:color w:val="000000" w:themeColor="text1"/>
        </w:rPr>
        <w:t xml:space="preserve"> </w:t>
      </w:r>
      <w:proofErr w:type="spellStart"/>
      <w:r w:rsidRPr="48362220">
        <w:rPr>
          <w:color w:val="000000" w:themeColor="text1"/>
        </w:rPr>
        <w:t>Pencegahan</w:t>
      </w:r>
      <w:proofErr w:type="spellEnd"/>
      <w:r w:rsidRPr="48362220">
        <w:rPr>
          <w:color w:val="000000" w:themeColor="text1"/>
        </w:rPr>
        <w:t xml:space="preserve"> dan </w:t>
      </w:r>
      <w:proofErr w:type="spellStart"/>
      <w:r w:rsidRPr="48362220">
        <w:rPr>
          <w:color w:val="000000" w:themeColor="text1"/>
        </w:rPr>
        <w:t>Pengendalian</w:t>
      </w:r>
      <w:proofErr w:type="spellEnd"/>
      <w:r w:rsidRPr="48362220">
        <w:rPr>
          <w:color w:val="000000" w:themeColor="text1"/>
        </w:rPr>
        <w:t xml:space="preserve"> </w:t>
      </w:r>
      <w:proofErr w:type="spellStart"/>
      <w:r w:rsidRPr="48362220">
        <w:rPr>
          <w:color w:val="000000" w:themeColor="text1"/>
        </w:rPr>
        <w:t>Penyakit</w:t>
      </w:r>
      <w:proofErr w:type="spellEnd"/>
      <w:r w:rsidRPr="48362220">
        <w:rPr>
          <w:color w:val="000000" w:themeColor="text1"/>
        </w:rPr>
        <w:t xml:space="preserve"> </w:t>
      </w:r>
      <w:r w:rsidR="00342F84">
        <w:rPr>
          <w:color w:val="000000" w:themeColor="text1"/>
        </w:rPr>
        <w:t>–</w:t>
      </w:r>
      <w:r w:rsidRPr="48362220">
        <w:rPr>
          <w:color w:val="000000" w:themeColor="text1"/>
        </w:rPr>
        <w:t xml:space="preserve"> </w:t>
      </w:r>
      <w:r w:rsidR="00342F84">
        <w:rPr>
          <w:color w:val="000000" w:themeColor="text1"/>
        </w:rPr>
        <w:t xml:space="preserve">Disease Prevention and Control Guidelines for </w:t>
      </w:r>
      <w:r w:rsidRPr="48362220">
        <w:rPr>
          <w:color w:val="000000" w:themeColor="text1"/>
        </w:rPr>
        <w:t>Zoonos</w:t>
      </w:r>
      <w:r w:rsidR="004D310D">
        <w:rPr>
          <w:color w:val="000000" w:themeColor="text1"/>
        </w:rPr>
        <w:t>e</w:t>
      </w:r>
      <w:r w:rsidRPr="48362220">
        <w:rPr>
          <w:color w:val="000000" w:themeColor="text1"/>
        </w:rPr>
        <w:t>s and Infectious Diseases.</w:t>
      </w:r>
      <w:r>
        <w:t xml:space="preserve"> </w:t>
      </w:r>
      <w:proofErr w:type="spellStart"/>
      <w:r>
        <w:t>MoHA</w:t>
      </w:r>
      <w:proofErr w:type="spellEnd"/>
      <w:r>
        <w:t xml:space="preserve"> has responsibility for primary health care at the </w:t>
      </w:r>
      <w:proofErr w:type="spellStart"/>
      <w:r w:rsidR="004427D5">
        <w:t>posyandu</w:t>
      </w:r>
      <w:proofErr w:type="spellEnd"/>
      <w:r>
        <w:t xml:space="preserve"> level, </w:t>
      </w:r>
      <w:r w:rsidR="00790E2C">
        <w:t xml:space="preserve">while </w:t>
      </w:r>
      <w:proofErr w:type="spellStart"/>
      <w:r>
        <w:t>MoEF</w:t>
      </w:r>
      <w:proofErr w:type="spellEnd"/>
      <w:r>
        <w:t xml:space="preserve"> </w:t>
      </w:r>
      <w:r w:rsidR="00790E2C">
        <w:t>is</w:t>
      </w:r>
      <w:r>
        <w:t xml:space="preserve"> involved in the wildlife interface and One Health disease surveillance </w:t>
      </w:r>
      <w:r w:rsidR="0008029B">
        <w:t>as well as</w:t>
      </w:r>
      <w:r>
        <w:t xml:space="preserve"> climate change/land use and health</w:t>
      </w:r>
      <w:r w:rsidR="0008029B">
        <w:t xml:space="preserve"> alongside other ministries</w:t>
      </w:r>
      <w:r w:rsidR="00790E2C">
        <w:t xml:space="preserve">. </w:t>
      </w:r>
      <w:r>
        <w:t xml:space="preserve">BAPPENAS (Ministry of National </w:t>
      </w:r>
      <w:r>
        <w:lastRenderedPageBreak/>
        <w:t>Development Planning</w:t>
      </w:r>
      <w:r w:rsidR="0008029B">
        <w:t>) is</w:t>
      </w:r>
      <w:r>
        <w:t xml:space="preserve"> responsible for Indonesia’s national development plans. These ministries </w:t>
      </w:r>
      <w:r w:rsidR="0008029B">
        <w:t xml:space="preserve">are likely to be relevant </w:t>
      </w:r>
      <w:r>
        <w:t>to Australia’s future support to the Indonesian health sector.</w:t>
      </w:r>
    </w:p>
    <w:p w14:paraId="3CC66021" w14:textId="0D60B7FC" w:rsidR="00D727F6" w:rsidRPr="001C5FC6" w:rsidRDefault="003516FA" w:rsidP="003516FA">
      <w:pPr>
        <w:pStyle w:val="Heading3"/>
      </w:pPr>
      <w:bookmarkStart w:id="141" w:name="_Toc132584649"/>
      <w:bookmarkStart w:id="142" w:name="_Toc135837457"/>
      <w:r>
        <w:t>8.1.6</w:t>
      </w:r>
      <w:r>
        <w:tab/>
      </w:r>
      <w:r w:rsidR="00D727F6">
        <w:t xml:space="preserve">The </w:t>
      </w:r>
      <w:r>
        <w:t>h</w:t>
      </w:r>
      <w:r w:rsidR="00D727F6">
        <w:t xml:space="preserve">ealth </w:t>
      </w:r>
      <w:r>
        <w:t>t</w:t>
      </w:r>
      <w:r w:rsidR="00D727F6">
        <w:t xml:space="preserve">ransformation </w:t>
      </w:r>
      <w:r>
        <w:t>a</w:t>
      </w:r>
      <w:r w:rsidR="00D727F6">
        <w:t>genda</w:t>
      </w:r>
      <w:bookmarkEnd w:id="141"/>
      <w:bookmarkEnd w:id="142"/>
    </w:p>
    <w:p w14:paraId="5A18CBC0" w14:textId="342D94C0" w:rsidR="00900451" w:rsidRDefault="00900451" w:rsidP="00034AED">
      <w:pPr>
        <w:spacing w:after="120" w:line="240" w:lineRule="auto"/>
      </w:pPr>
      <w:bookmarkStart w:id="143" w:name="_Toc132584650"/>
      <w:r>
        <w:t xml:space="preserve">The MoH has been implementing a radical transformation of the health sector in Indonesia which is being progressed through an imminent new loan between </w:t>
      </w:r>
      <w:proofErr w:type="spellStart"/>
      <w:r>
        <w:t>GoI</w:t>
      </w:r>
      <w:proofErr w:type="spellEnd"/>
      <w:r>
        <w:t xml:space="preserve"> and the World Bank</w:t>
      </w:r>
      <w:r w:rsidR="00DB3862">
        <w:t>. A</w:t>
      </w:r>
      <w:r>
        <w:t xml:space="preserve"> new Multi-Donor Trust Fund will support the roll-out of th</w:t>
      </w:r>
      <w:r w:rsidR="00DB3862">
        <w:t>is</w:t>
      </w:r>
      <w:r>
        <w:t xml:space="preserve"> loan. The reform agenda includes a shift in focus</w:t>
      </w:r>
      <w:r w:rsidR="00D37C0F">
        <w:t xml:space="preserve"> </w:t>
      </w:r>
      <w:proofErr w:type="gramStart"/>
      <w:r w:rsidR="00D37C0F">
        <w:t>to:</w:t>
      </w:r>
      <w:proofErr w:type="gramEnd"/>
      <w:r>
        <w:t xml:space="preserve"> </w:t>
      </w:r>
      <w:r w:rsidR="00D37C0F">
        <w:t>primary health care including</w:t>
      </w:r>
      <w:r>
        <w:t xml:space="preserve"> tripling the number of </w:t>
      </w:r>
      <w:proofErr w:type="spellStart"/>
      <w:r w:rsidR="00A06CC2">
        <w:t>puskesmas</w:t>
      </w:r>
      <w:proofErr w:type="spellEnd"/>
      <w:r w:rsidR="00032B2D">
        <w:t>;</w:t>
      </w:r>
      <w:r>
        <w:t xml:space="preserve"> building more hospitals</w:t>
      </w:r>
      <w:r w:rsidR="00032B2D">
        <w:t>;</w:t>
      </w:r>
      <w:r>
        <w:t xml:space="preserve"> health worker and health technology transformation</w:t>
      </w:r>
      <w:r w:rsidR="00032B2D">
        <w:t>;</w:t>
      </w:r>
      <w:r>
        <w:t xml:space="preserve"> health financing</w:t>
      </w:r>
      <w:r w:rsidR="00032B2D">
        <w:t>;</w:t>
      </w:r>
      <w:r>
        <w:t xml:space="preserve"> increasing domestic drug manufacturing capacity in active ingredients, medical products and vaccines</w:t>
      </w:r>
      <w:r w:rsidR="00032B2D">
        <w:t xml:space="preserve">; and </w:t>
      </w:r>
      <w:r w:rsidR="00DB3862">
        <w:t xml:space="preserve">a reorientation of focus </w:t>
      </w:r>
      <w:r w:rsidR="00032B2D">
        <w:t>from treatment to prevention</w:t>
      </w:r>
      <w:r>
        <w:t xml:space="preserve">. </w:t>
      </w:r>
      <w:r w:rsidR="00032B2D">
        <w:t xml:space="preserve">In relation to primary health care, future Australian support could involve areas of technical strength such as community-based surveillance or district and </w:t>
      </w:r>
      <w:proofErr w:type="spellStart"/>
      <w:r w:rsidR="00032B2D">
        <w:t>puskesmas</w:t>
      </w:r>
      <w:proofErr w:type="spellEnd"/>
      <w:r w:rsidR="00032B2D">
        <w:t xml:space="preserve">-level laboratory strengthening. Such support would require working with the Ministry of Home Affairs, which is responsible for </w:t>
      </w:r>
      <w:proofErr w:type="spellStart"/>
      <w:r w:rsidR="00032B2D">
        <w:t>posyandu</w:t>
      </w:r>
      <w:proofErr w:type="spellEnd"/>
      <w:r w:rsidR="00032B2D">
        <w:t xml:space="preserve">-level health care. </w:t>
      </w:r>
      <w:r w:rsidR="00836A3D" w:rsidRPr="4FCF45F9">
        <w:rPr>
          <w:rFonts w:ascii="Calibri" w:eastAsia="Calibri" w:hAnsi="Calibri" w:cs="Calibri"/>
          <w:color w:val="000000" w:themeColor="text1"/>
        </w:rPr>
        <w:t xml:space="preserve">The MTR Team notes the importance of the current development of an Omnibus Health Bill that will potentially bring sweeping changes to the health sector in Indonesia. </w:t>
      </w:r>
    </w:p>
    <w:p w14:paraId="618FED80" w14:textId="682BD6F9" w:rsidR="00D727F6" w:rsidRPr="001C5FC6" w:rsidRDefault="003516FA" w:rsidP="003516FA">
      <w:pPr>
        <w:pStyle w:val="Heading3"/>
      </w:pPr>
      <w:bookmarkStart w:id="144" w:name="_Toc132584651"/>
      <w:bookmarkStart w:id="145" w:name="_Toc135837459"/>
      <w:bookmarkEnd w:id="143"/>
      <w:r>
        <w:t>8.1.</w:t>
      </w:r>
      <w:r w:rsidR="002F618A">
        <w:t>7</w:t>
      </w:r>
      <w:r>
        <w:tab/>
      </w:r>
      <w:r w:rsidR="00D727F6" w:rsidRPr="001C5FC6">
        <w:t xml:space="preserve">Geographic </w:t>
      </w:r>
      <w:r w:rsidR="00CB4AF4">
        <w:t>s</w:t>
      </w:r>
      <w:r w:rsidR="00D727F6" w:rsidRPr="001C5FC6">
        <w:t>pread</w:t>
      </w:r>
      <w:bookmarkEnd w:id="144"/>
      <w:bookmarkEnd w:id="145"/>
    </w:p>
    <w:p w14:paraId="69973AD0" w14:textId="0CC2487D" w:rsidR="00D727F6" w:rsidRDefault="00D727F6" w:rsidP="00034AED">
      <w:pPr>
        <w:spacing w:after="120" w:line="240" w:lineRule="auto"/>
      </w:pPr>
      <w:r>
        <w:t xml:space="preserve">AIHSP-funded activities have concentrated in the Eastern provinces. There is significant unmet need in the Western provinces, particularly Western Sumatra as a key entry point for animal infectious diseases. </w:t>
      </w:r>
    </w:p>
    <w:p w14:paraId="59889802" w14:textId="25968C5B" w:rsidR="00D727F6" w:rsidRPr="00FB7330" w:rsidRDefault="003516FA" w:rsidP="005B7659">
      <w:pPr>
        <w:pStyle w:val="ListParagraph"/>
        <w:spacing w:after="120" w:line="240" w:lineRule="auto"/>
        <w:ind w:left="0"/>
        <w:rPr>
          <w:color w:val="000000"/>
        </w:rPr>
      </w:pPr>
      <w:bookmarkStart w:id="146" w:name="_Toc135837460"/>
      <w:bookmarkStart w:id="147" w:name="_Toc132584652"/>
      <w:r w:rsidRPr="48362220">
        <w:rPr>
          <w:rStyle w:val="Heading2Char"/>
          <w:sz w:val="24"/>
          <w:szCs w:val="24"/>
        </w:rPr>
        <w:t>8.1.</w:t>
      </w:r>
      <w:r w:rsidR="002F618A">
        <w:rPr>
          <w:rStyle w:val="Heading2Char"/>
          <w:sz w:val="24"/>
          <w:szCs w:val="24"/>
        </w:rPr>
        <w:t>8</w:t>
      </w:r>
      <w:r>
        <w:tab/>
      </w:r>
      <w:r w:rsidR="00D727F6" w:rsidRPr="48362220">
        <w:rPr>
          <w:rStyle w:val="Heading2Char"/>
          <w:sz w:val="24"/>
          <w:szCs w:val="24"/>
        </w:rPr>
        <w:t xml:space="preserve">Animal </w:t>
      </w:r>
      <w:r w:rsidR="00CB4AF4" w:rsidRPr="48362220">
        <w:rPr>
          <w:rStyle w:val="Heading2Char"/>
          <w:sz w:val="24"/>
          <w:szCs w:val="24"/>
        </w:rPr>
        <w:t>v</w:t>
      </w:r>
      <w:r w:rsidR="00D727F6" w:rsidRPr="48362220">
        <w:rPr>
          <w:rStyle w:val="Heading2Char"/>
          <w:sz w:val="24"/>
          <w:szCs w:val="24"/>
        </w:rPr>
        <w:t xml:space="preserve">accine </w:t>
      </w:r>
      <w:r w:rsidR="00CB4AF4" w:rsidRPr="48362220">
        <w:rPr>
          <w:rStyle w:val="Heading2Char"/>
          <w:sz w:val="24"/>
          <w:szCs w:val="24"/>
        </w:rPr>
        <w:t>p</w:t>
      </w:r>
      <w:r w:rsidR="00D727F6" w:rsidRPr="48362220">
        <w:rPr>
          <w:rStyle w:val="Heading2Char"/>
          <w:sz w:val="24"/>
          <w:szCs w:val="24"/>
        </w:rPr>
        <w:t xml:space="preserve">rocurement and </w:t>
      </w:r>
      <w:r w:rsidR="00CB4AF4" w:rsidRPr="48362220">
        <w:rPr>
          <w:rStyle w:val="Heading2Char"/>
          <w:sz w:val="24"/>
          <w:szCs w:val="24"/>
        </w:rPr>
        <w:t>o</w:t>
      </w:r>
      <w:r w:rsidR="00D727F6" w:rsidRPr="48362220">
        <w:rPr>
          <w:rStyle w:val="Heading2Char"/>
          <w:sz w:val="24"/>
          <w:szCs w:val="24"/>
        </w:rPr>
        <w:t xml:space="preserve">perational </w:t>
      </w:r>
      <w:r w:rsidR="00CB4AF4" w:rsidRPr="48362220">
        <w:rPr>
          <w:rStyle w:val="Heading2Char"/>
          <w:sz w:val="24"/>
          <w:szCs w:val="24"/>
        </w:rPr>
        <w:t>s</w:t>
      </w:r>
      <w:r w:rsidR="00D727F6" w:rsidRPr="48362220">
        <w:rPr>
          <w:rStyle w:val="Heading2Char"/>
          <w:sz w:val="24"/>
          <w:szCs w:val="24"/>
        </w:rPr>
        <w:t>upport</w:t>
      </w:r>
      <w:bookmarkEnd w:id="146"/>
      <w:r>
        <w:br/>
      </w:r>
      <w:r w:rsidR="00D727F6" w:rsidRPr="48362220">
        <w:rPr>
          <w:color w:val="000000" w:themeColor="text1"/>
        </w:rPr>
        <w:t xml:space="preserve">Australia has supported several animal health disease outbreaks </w:t>
      </w:r>
      <w:r w:rsidR="002927A2" w:rsidRPr="48362220">
        <w:rPr>
          <w:color w:val="000000" w:themeColor="text1"/>
        </w:rPr>
        <w:t xml:space="preserve">in Indonesia </w:t>
      </w:r>
      <w:r w:rsidR="00D727F6" w:rsidRPr="48362220">
        <w:rPr>
          <w:color w:val="000000" w:themeColor="text1"/>
        </w:rPr>
        <w:t xml:space="preserve">with </w:t>
      </w:r>
      <w:r w:rsidR="002927A2" w:rsidRPr="48362220">
        <w:rPr>
          <w:color w:val="000000" w:themeColor="text1"/>
        </w:rPr>
        <w:t xml:space="preserve">emergency </w:t>
      </w:r>
      <w:r w:rsidR="00D727F6" w:rsidRPr="48362220">
        <w:rPr>
          <w:color w:val="000000" w:themeColor="text1"/>
        </w:rPr>
        <w:t>suppl</w:t>
      </w:r>
      <w:r w:rsidR="002927A2" w:rsidRPr="48362220">
        <w:rPr>
          <w:color w:val="000000" w:themeColor="text1"/>
        </w:rPr>
        <w:t>ies</w:t>
      </w:r>
      <w:r w:rsidR="00D727F6" w:rsidRPr="48362220">
        <w:rPr>
          <w:color w:val="000000" w:themeColor="text1"/>
        </w:rPr>
        <w:t xml:space="preserve"> of vaccines. For the remainder of this phase of AIHSP, and for a new investment in health, there is likely to be </w:t>
      </w:r>
      <w:r w:rsidR="004525CB">
        <w:rPr>
          <w:color w:val="000000" w:themeColor="text1"/>
        </w:rPr>
        <w:t xml:space="preserve">emphasis on </w:t>
      </w:r>
      <w:r w:rsidR="00D727F6" w:rsidRPr="48362220">
        <w:rPr>
          <w:color w:val="000000" w:themeColor="text1"/>
        </w:rPr>
        <w:t>health systems strengthening</w:t>
      </w:r>
      <w:r w:rsidR="00D727F6" w:rsidRPr="004525CB">
        <w:t xml:space="preserve">. </w:t>
      </w:r>
      <w:r w:rsidR="00D727F6" w:rsidRPr="48362220">
        <w:rPr>
          <w:color w:val="000000" w:themeColor="text1"/>
        </w:rPr>
        <w:t xml:space="preserve">Generally, Australia has limited its operational support to the supply of consumables, </w:t>
      </w:r>
      <w:r w:rsidR="00DB3862">
        <w:rPr>
          <w:color w:val="000000" w:themeColor="text1"/>
        </w:rPr>
        <w:t xml:space="preserve">vaccine </w:t>
      </w:r>
      <w:r w:rsidR="00D727F6" w:rsidRPr="48362220">
        <w:rPr>
          <w:color w:val="000000" w:themeColor="text1"/>
        </w:rPr>
        <w:t xml:space="preserve">distribution planning and training of vaccinators. </w:t>
      </w:r>
      <w:r w:rsidR="5B5F0CD7" w:rsidRPr="48362220">
        <w:rPr>
          <w:color w:val="000000" w:themeColor="text1"/>
        </w:rPr>
        <w:t>Some p</w:t>
      </w:r>
      <w:r w:rsidR="00D727F6" w:rsidRPr="48362220">
        <w:rPr>
          <w:color w:val="000000" w:themeColor="text1"/>
        </w:rPr>
        <w:t>rovinces and districts have funded operational support for animal vaccines. As with vaccine procurement, any future consideration of this area should factor in models that are sustainable.</w:t>
      </w:r>
      <w:bookmarkEnd w:id="147"/>
    </w:p>
    <w:p w14:paraId="683C5F3D" w14:textId="2E3E7F69" w:rsidR="00D727F6" w:rsidRPr="001C5FC6" w:rsidRDefault="003516FA" w:rsidP="003516FA">
      <w:pPr>
        <w:pStyle w:val="Heading3"/>
      </w:pPr>
      <w:bookmarkStart w:id="148" w:name="_Toc132584653"/>
      <w:bookmarkStart w:id="149" w:name="_Toc135837461"/>
      <w:r>
        <w:t>8.1.</w:t>
      </w:r>
      <w:r w:rsidR="002F618A">
        <w:t>9</w:t>
      </w:r>
      <w:r>
        <w:tab/>
      </w:r>
      <w:r w:rsidR="00D727F6" w:rsidRPr="001C5FC6">
        <w:t xml:space="preserve">Animal </w:t>
      </w:r>
      <w:r w:rsidR="00CB4AF4">
        <w:t>v</w:t>
      </w:r>
      <w:r w:rsidR="00D727F6" w:rsidRPr="001C5FC6">
        <w:t xml:space="preserve">accine </w:t>
      </w:r>
      <w:r w:rsidR="00CB4AF4">
        <w:t>p</w:t>
      </w:r>
      <w:r w:rsidR="00D727F6" w:rsidRPr="001C5FC6">
        <w:t>roduction</w:t>
      </w:r>
      <w:bookmarkEnd w:id="148"/>
      <w:bookmarkEnd w:id="149"/>
    </w:p>
    <w:p w14:paraId="6F1E912E" w14:textId="3F7F4E16" w:rsidR="00D727F6" w:rsidRDefault="00D727F6" w:rsidP="00034AED">
      <w:pPr>
        <w:spacing w:after="120" w:line="240" w:lineRule="auto"/>
      </w:pPr>
      <w:r w:rsidRPr="48362220">
        <w:rPr>
          <w:color w:val="000000" w:themeColor="text1"/>
        </w:rPr>
        <w:t xml:space="preserve">Globally, </w:t>
      </w:r>
      <w:r w:rsidR="00DC292D" w:rsidRPr="48362220">
        <w:rPr>
          <w:color w:val="000000" w:themeColor="text1"/>
        </w:rPr>
        <w:t>multinational companies produce many animal vaccines</w:t>
      </w:r>
      <w:r w:rsidRPr="48362220">
        <w:rPr>
          <w:color w:val="000000" w:themeColor="text1"/>
        </w:rPr>
        <w:t xml:space="preserve">. </w:t>
      </w:r>
      <w:r>
        <w:t xml:space="preserve">DAFF has previously hired a technical consultant to scope out what would be needed for </w:t>
      </w:r>
      <w:proofErr w:type="spellStart"/>
      <w:r w:rsidR="00A56679">
        <w:t>Pusvetma</w:t>
      </w:r>
      <w:proofErr w:type="spellEnd"/>
      <w:r w:rsidR="00A56679">
        <w:t xml:space="preserve"> </w:t>
      </w:r>
      <w:r>
        <w:t xml:space="preserve">(Directorate General of Livestock and Animal Health) to improve its vaccine production. The </w:t>
      </w:r>
      <w:proofErr w:type="spellStart"/>
      <w:r>
        <w:t>MoA</w:t>
      </w:r>
      <w:proofErr w:type="spellEnd"/>
      <w:r>
        <w:t xml:space="preserve"> is interested in increasing </w:t>
      </w:r>
      <w:proofErr w:type="spellStart"/>
      <w:r w:rsidR="00A56679">
        <w:t>Pusvetma’s</w:t>
      </w:r>
      <w:proofErr w:type="spellEnd"/>
      <w:r w:rsidR="00A56679">
        <w:t xml:space="preserve"> </w:t>
      </w:r>
      <w:r>
        <w:t xml:space="preserve">capacity to manufacture vaccines, including for FMD. It is </w:t>
      </w:r>
      <w:r w:rsidR="003B2849">
        <w:t>understood by</w:t>
      </w:r>
      <w:r>
        <w:t xml:space="preserve"> the MTR Team that considerable infrastructure support and the involvement of private enterprise would be needed, and FMD vaccines are difficult to produce. </w:t>
      </w:r>
      <w:r w:rsidRPr="00133F44">
        <w:t>Substandard vaccine production</w:t>
      </w:r>
      <w:r>
        <w:t xml:space="preserve"> </w:t>
      </w:r>
      <w:r w:rsidR="1E5FA924">
        <w:t>c</w:t>
      </w:r>
      <w:r>
        <w:t>ould risk rapid loss of the trust of farmers in domestically produced vaccines. There is interest by other donors in building local vaccine manufacturing capacity</w:t>
      </w:r>
      <w:r w:rsidRPr="00032B2D">
        <w:t xml:space="preserve">. </w:t>
      </w:r>
    </w:p>
    <w:p w14:paraId="02B492BE" w14:textId="62B05972" w:rsidR="00D727F6" w:rsidRPr="001C5FC6" w:rsidRDefault="003516FA" w:rsidP="003516FA">
      <w:pPr>
        <w:pStyle w:val="Heading3"/>
      </w:pPr>
      <w:bookmarkStart w:id="150" w:name="_Toc132584654"/>
      <w:bookmarkStart w:id="151" w:name="_Toc135837462"/>
      <w:r>
        <w:t>8.1.1</w:t>
      </w:r>
      <w:r w:rsidR="002F618A">
        <w:t>0</w:t>
      </w:r>
      <w:r>
        <w:tab/>
      </w:r>
      <w:r w:rsidR="00D727F6" w:rsidRPr="001C5FC6">
        <w:t xml:space="preserve">Digital </w:t>
      </w:r>
      <w:r w:rsidR="00CB4AF4">
        <w:t>h</w:t>
      </w:r>
      <w:r w:rsidR="00D727F6" w:rsidRPr="001C5FC6">
        <w:t xml:space="preserve">ealth </w:t>
      </w:r>
      <w:r w:rsidR="00CB4AF4">
        <w:t>t</w:t>
      </w:r>
      <w:r w:rsidR="00D727F6" w:rsidRPr="001C5FC6">
        <w:t>ransformation</w:t>
      </w:r>
      <w:bookmarkEnd w:id="150"/>
      <w:bookmarkEnd w:id="151"/>
    </w:p>
    <w:p w14:paraId="646E2E68" w14:textId="3B7EDE88" w:rsidR="00D727F6" w:rsidRDefault="00D727F6" w:rsidP="00034AED">
      <w:pPr>
        <w:spacing w:after="120" w:line="240" w:lineRule="auto"/>
      </w:pPr>
      <w:r>
        <w:t xml:space="preserve">The DTO’s implementation of the Digital Transformation Agenda will continue for the remainder of the current phase of AIHSP and beyond. According to the DTO, in 2023 the focus will be on the implementation of integrated healthcare and focuses will include </w:t>
      </w:r>
      <w:proofErr w:type="spellStart"/>
      <w:r>
        <w:t>puskesmas</w:t>
      </w:r>
      <w:proofErr w:type="spellEnd"/>
      <w:r>
        <w:t xml:space="preserve"> and hospitals. In 2024, the information systems of integrated health facilities will be expanded, </w:t>
      </w:r>
      <w:r w:rsidR="003B2849">
        <w:t xml:space="preserve">and </w:t>
      </w:r>
      <w:r>
        <w:t xml:space="preserve">laboratories, clinics, </w:t>
      </w:r>
      <w:proofErr w:type="gramStart"/>
      <w:r>
        <w:t>pharmacies</w:t>
      </w:r>
      <w:proofErr w:type="gramEnd"/>
      <w:r>
        <w:t xml:space="preserve"> and more primary health care </w:t>
      </w:r>
      <w:r w:rsidR="003B2849">
        <w:t xml:space="preserve">facilities </w:t>
      </w:r>
      <w:r>
        <w:t xml:space="preserve">will be integrated. Beyond 2024, the DTO will look to integrate animal health and non-communicable diseases. This digital transformation will need to be supported with strengthened capacity in governance, human </w:t>
      </w:r>
      <w:proofErr w:type="gramStart"/>
      <w:r>
        <w:t>resources</w:t>
      </w:r>
      <w:proofErr w:type="gramEnd"/>
      <w:r>
        <w:t xml:space="preserve"> and training to improve digital literacy to the village level, processes that will take time to achieve.</w:t>
      </w:r>
    </w:p>
    <w:p w14:paraId="71F72C23" w14:textId="7FC8932C" w:rsidR="00D727F6" w:rsidRPr="001C5FC6" w:rsidRDefault="003516FA" w:rsidP="003516FA">
      <w:pPr>
        <w:pStyle w:val="Heading3"/>
      </w:pPr>
      <w:bookmarkStart w:id="152" w:name="_Toc132584655"/>
      <w:bookmarkStart w:id="153" w:name="_Toc135837463"/>
      <w:r>
        <w:t>8.1.1</w:t>
      </w:r>
      <w:r w:rsidR="002F618A">
        <w:t>1</w:t>
      </w:r>
      <w:r>
        <w:tab/>
      </w:r>
      <w:r w:rsidR="00D727F6" w:rsidRPr="001C5FC6">
        <w:t xml:space="preserve">Regional </w:t>
      </w:r>
      <w:r w:rsidR="00CB4AF4">
        <w:t>s</w:t>
      </w:r>
      <w:r w:rsidR="00D727F6" w:rsidRPr="001C5FC6">
        <w:t xml:space="preserve">urveillance </w:t>
      </w:r>
      <w:r w:rsidR="00CB4AF4">
        <w:t>n</w:t>
      </w:r>
      <w:r w:rsidR="00D727F6" w:rsidRPr="001C5FC6">
        <w:t>etwork</w:t>
      </w:r>
      <w:bookmarkEnd w:id="152"/>
      <w:bookmarkEnd w:id="153"/>
    </w:p>
    <w:p w14:paraId="32654230" w14:textId="2F749DE3" w:rsidR="00D727F6" w:rsidRPr="002D4206" w:rsidRDefault="00CB4AF4" w:rsidP="48362220">
      <w:pPr>
        <w:spacing w:after="120" w:line="240" w:lineRule="auto"/>
        <w:rPr>
          <w:rFonts w:ascii="Calibri" w:eastAsia="Calibri" w:hAnsi="Calibri" w:cs="Calibri"/>
        </w:rPr>
      </w:pPr>
      <w:r w:rsidRPr="48362220">
        <w:rPr>
          <w:rFonts w:ascii="Calibri" w:eastAsia="Calibri" w:hAnsi="Calibri" w:cs="Calibri"/>
        </w:rPr>
        <w:t>T</w:t>
      </w:r>
      <w:r w:rsidR="00D727F6" w:rsidRPr="48362220">
        <w:rPr>
          <w:rFonts w:ascii="Calibri" w:eastAsia="Calibri" w:hAnsi="Calibri" w:cs="Calibri"/>
        </w:rPr>
        <w:t>he ASEAN Centre for Public Health Emergencies</w:t>
      </w:r>
      <w:r w:rsidR="235609C2" w:rsidRPr="48362220">
        <w:rPr>
          <w:rFonts w:ascii="Calibri" w:eastAsia="Calibri" w:hAnsi="Calibri" w:cs="Calibri"/>
        </w:rPr>
        <w:t xml:space="preserve"> and Emerging Disease</w:t>
      </w:r>
      <w:r w:rsidR="00D727F6" w:rsidRPr="48362220">
        <w:rPr>
          <w:rFonts w:ascii="Calibri" w:eastAsia="Calibri" w:hAnsi="Calibri" w:cs="Calibri"/>
        </w:rPr>
        <w:t xml:space="preserve"> (ACPHE</w:t>
      </w:r>
      <w:r w:rsidR="1E3BD04F" w:rsidRPr="48362220">
        <w:rPr>
          <w:rFonts w:ascii="Calibri" w:eastAsia="Calibri" w:hAnsi="Calibri" w:cs="Calibri"/>
        </w:rPr>
        <w:t>E</w:t>
      </w:r>
      <w:r w:rsidR="00D727F6" w:rsidRPr="48362220">
        <w:rPr>
          <w:rFonts w:ascii="Calibri" w:eastAsia="Calibri" w:hAnsi="Calibri" w:cs="Calibri"/>
        </w:rPr>
        <w:t xml:space="preserve">D) surveillance and risk assessment </w:t>
      </w:r>
      <w:r w:rsidR="348034C4" w:rsidRPr="48362220">
        <w:rPr>
          <w:rFonts w:ascii="Calibri" w:eastAsia="Calibri" w:hAnsi="Calibri" w:cs="Calibri"/>
        </w:rPr>
        <w:t>pillar</w:t>
      </w:r>
      <w:r w:rsidR="00D727F6" w:rsidRPr="48362220">
        <w:rPr>
          <w:rFonts w:ascii="Calibri" w:eastAsia="Calibri" w:hAnsi="Calibri" w:cs="Calibri"/>
        </w:rPr>
        <w:t xml:space="preserve"> will be based in Indonesia.</w:t>
      </w:r>
      <w:r w:rsidR="00D2402C">
        <w:rPr>
          <w:rFonts w:ascii="Calibri" w:eastAsia="Calibri" w:hAnsi="Calibri" w:cs="Calibri"/>
        </w:rPr>
        <w:t xml:space="preserve"> </w:t>
      </w:r>
      <w:r w:rsidR="61FAEEF3" w:rsidRPr="48362220">
        <w:rPr>
          <w:rFonts w:ascii="Calibri" w:eastAsia="Calibri" w:hAnsi="Calibri" w:cs="Calibri"/>
        </w:rPr>
        <w:t>F</w:t>
      </w:r>
      <w:r w:rsidR="00D727F6" w:rsidRPr="48362220">
        <w:rPr>
          <w:rFonts w:ascii="Calibri" w:eastAsia="Calibri" w:hAnsi="Calibri" w:cs="Calibri"/>
        </w:rPr>
        <w:t xml:space="preserve">uture Australian support in </w:t>
      </w:r>
      <w:r w:rsidR="2341923E" w:rsidRPr="48362220">
        <w:rPr>
          <w:rFonts w:ascii="Calibri" w:eastAsia="Calibri" w:hAnsi="Calibri" w:cs="Calibri"/>
        </w:rPr>
        <w:t xml:space="preserve">areas </w:t>
      </w:r>
      <w:r w:rsidR="00122600">
        <w:rPr>
          <w:rFonts w:ascii="Calibri" w:eastAsia="Calibri" w:hAnsi="Calibri" w:cs="Calibri"/>
        </w:rPr>
        <w:t xml:space="preserve">such as </w:t>
      </w:r>
      <w:r w:rsidR="00D727F6" w:rsidRPr="48362220">
        <w:rPr>
          <w:rFonts w:ascii="Calibri" w:eastAsia="Calibri" w:hAnsi="Calibri" w:cs="Calibri"/>
        </w:rPr>
        <w:t>surveillance</w:t>
      </w:r>
      <w:r w:rsidR="7C173BD1" w:rsidRPr="48362220">
        <w:rPr>
          <w:rFonts w:ascii="Calibri" w:eastAsia="Calibri" w:hAnsi="Calibri" w:cs="Calibri"/>
        </w:rPr>
        <w:t xml:space="preserve"> and laboratory networking should consider</w:t>
      </w:r>
      <w:r w:rsidR="00D727F6" w:rsidRPr="48362220">
        <w:rPr>
          <w:rFonts w:ascii="Calibri" w:eastAsia="Calibri" w:hAnsi="Calibri" w:cs="Calibri"/>
        </w:rPr>
        <w:t xml:space="preserve"> collaborat</w:t>
      </w:r>
      <w:r w:rsidR="26823867" w:rsidRPr="48362220">
        <w:rPr>
          <w:rFonts w:ascii="Calibri" w:eastAsia="Calibri" w:hAnsi="Calibri" w:cs="Calibri"/>
        </w:rPr>
        <w:t>ion</w:t>
      </w:r>
      <w:r w:rsidR="00516EC6">
        <w:rPr>
          <w:rFonts w:ascii="Calibri" w:eastAsia="Calibri" w:hAnsi="Calibri" w:cs="Calibri"/>
        </w:rPr>
        <w:t xml:space="preserve">, </w:t>
      </w:r>
      <w:proofErr w:type="gramStart"/>
      <w:r w:rsidR="00516EC6">
        <w:rPr>
          <w:rFonts w:ascii="Calibri" w:eastAsia="Calibri" w:hAnsi="Calibri" w:cs="Calibri"/>
        </w:rPr>
        <w:t>a</w:t>
      </w:r>
      <w:r w:rsidR="26823867" w:rsidRPr="48362220">
        <w:rPr>
          <w:rFonts w:ascii="Calibri" w:eastAsia="Calibri" w:hAnsi="Calibri" w:cs="Calibri"/>
        </w:rPr>
        <w:t>lignment</w:t>
      </w:r>
      <w:proofErr w:type="gramEnd"/>
      <w:r w:rsidR="00516EC6">
        <w:rPr>
          <w:rFonts w:ascii="Calibri" w:eastAsia="Calibri" w:hAnsi="Calibri" w:cs="Calibri"/>
        </w:rPr>
        <w:t xml:space="preserve"> and potential integration</w:t>
      </w:r>
      <w:r w:rsidR="00D727F6" w:rsidRPr="48362220">
        <w:rPr>
          <w:rFonts w:ascii="Calibri" w:eastAsia="Calibri" w:hAnsi="Calibri" w:cs="Calibri"/>
        </w:rPr>
        <w:t xml:space="preserve"> with </w:t>
      </w:r>
      <w:r w:rsidR="52E10EE7" w:rsidRPr="48362220">
        <w:rPr>
          <w:rFonts w:ascii="Calibri" w:eastAsia="Calibri" w:hAnsi="Calibri" w:cs="Calibri"/>
        </w:rPr>
        <w:t>ACPHEED</w:t>
      </w:r>
      <w:r w:rsidR="00D727F6" w:rsidRPr="48362220">
        <w:rPr>
          <w:rFonts w:ascii="Calibri" w:eastAsia="Calibri" w:hAnsi="Calibri" w:cs="Calibri"/>
        </w:rPr>
        <w:t>.</w:t>
      </w:r>
    </w:p>
    <w:p w14:paraId="71A8EE7F" w14:textId="6FECE45F" w:rsidR="00D727F6" w:rsidRPr="001C5FC6" w:rsidRDefault="003516FA" w:rsidP="003516FA">
      <w:pPr>
        <w:pStyle w:val="Heading3"/>
      </w:pPr>
      <w:bookmarkStart w:id="154" w:name="_Toc132584656"/>
      <w:bookmarkStart w:id="155" w:name="_Toc135837464"/>
      <w:r>
        <w:lastRenderedPageBreak/>
        <w:t>8.1.1</w:t>
      </w:r>
      <w:r w:rsidR="002F618A">
        <w:t>2</w:t>
      </w:r>
      <w:r>
        <w:tab/>
      </w:r>
      <w:r w:rsidR="00D727F6" w:rsidRPr="001C5FC6">
        <w:t xml:space="preserve">Infodemic </w:t>
      </w:r>
      <w:r w:rsidR="00CB4AF4">
        <w:t>m</w:t>
      </w:r>
      <w:r w:rsidR="00D727F6" w:rsidRPr="001C5FC6">
        <w:t>anagement</w:t>
      </w:r>
      <w:bookmarkEnd w:id="154"/>
      <w:bookmarkEnd w:id="155"/>
    </w:p>
    <w:p w14:paraId="78D26DC7" w14:textId="5D2CBE36" w:rsidR="00D727F6" w:rsidRDefault="00D727F6" w:rsidP="00034AED">
      <w:pPr>
        <w:spacing w:after="120" w:line="240" w:lineRule="auto"/>
      </w:pPr>
      <w:r>
        <w:t xml:space="preserve">RCCE and infodemic management </w:t>
      </w:r>
      <w:r w:rsidR="00F425E4">
        <w:t xml:space="preserve">in </w:t>
      </w:r>
      <w:r w:rsidR="3575A4D8">
        <w:t xml:space="preserve">human </w:t>
      </w:r>
      <w:r w:rsidR="00F425E4">
        <w:t xml:space="preserve">health </w:t>
      </w:r>
      <w:r>
        <w:t xml:space="preserve">will continue to be important in Indonesia, including in the lead up to the elections. </w:t>
      </w:r>
      <w:r w:rsidR="00CB4AF4">
        <w:t>S</w:t>
      </w:r>
      <w:r>
        <w:t xml:space="preserve">ince COVID-19, </w:t>
      </w:r>
      <w:r w:rsidR="00CB4AF4">
        <w:t xml:space="preserve">the </w:t>
      </w:r>
      <w:r>
        <w:t>number of actors working in this space has expanded significantly, and include UNICEF, PMI, USAID, World Bank, Gavi and Johns Hopkins.</w:t>
      </w:r>
      <w:r w:rsidR="00D878E6">
        <w:t xml:space="preserve"> </w:t>
      </w:r>
    </w:p>
    <w:p w14:paraId="53E686F1" w14:textId="58808E1A" w:rsidR="00CF3630" w:rsidRDefault="003516FA" w:rsidP="003516FA">
      <w:pPr>
        <w:pStyle w:val="Heading2"/>
      </w:pPr>
      <w:bookmarkStart w:id="156" w:name="_Toc135837465"/>
      <w:r>
        <w:t>8.2</w:t>
      </w:r>
      <w:r>
        <w:tab/>
      </w:r>
      <w:r w:rsidR="00E766A9">
        <w:t xml:space="preserve">Recommendations for the Current Phase of Activity </w:t>
      </w:r>
      <w:bookmarkEnd w:id="156"/>
    </w:p>
    <w:p w14:paraId="020BB1ED" w14:textId="77777777" w:rsidR="00675741" w:rsidRPr="00675741" w:rsidRDefault="00675741" w:rsidP="00675741">
      <w:pPr>
        <w:pStyle w:val="Heading2"/>
        <w:shd w:val="clear" w:color="auto" w:fill="D0CECE" w:themeFill="background2" w:themeFillShade="E6"/>
        <w:rPr>
          <w:color w:val="000000" w:themeColor="text1"/>
          <w:sz w:val="24"/>
          <w:szCs w:val="24"/>
        </w:rPr>
      </w:pPr>
      <w:bookmarkStart w:id="157" w:name="_Toc135837466"/>
      <w:r w:rsidRPr="00675741">
        <w:rPr>
          <w:color w:val="000000" w:themeColor="text1"/>
          <w:sz w:val="24"/>
          <w:szCs w:val="24"/>
        </w:rPr>
        <w:t>KEQ 5: What does the Mid-Term Review findings suggest for DFAT’s future assistance to the health sector in Indonesia?</w:t>
      </w:r>
      <w:bookmarkEnd w:id="157"/>
      <w:r w:rsidRPr="00675741">
        <w:rPr>
          <w:color w:val="000000" w:themeColor="text1"/>
          <w:sz w:val="24"/>
          <w:szCs w:val="24"/>
        </w:rPr>
        <w:t xml:space="preserve"> </w:t>
      </w:r>
    </w:p>
    <w:p w14:paraId="0827A87D" w14:textId="412BFF5A" w:rsidR="006B1C8E" w:rsidRDefault="006B1C8E" w:rsidP="006B1C8E">
      <w:pPr>
        <w:spacing w:after="120" w:line="240" w:lineRule="auto"/>
        <w:rPr>
          <w:rFonts w:ascii="Calibri" w:eastAsia="Calibri" w:hAnsi="Calibri" w:cs="Calibri"/>
          <w:color w:val="000000"/>
        </w:rPr>
      </w:pPr>
      <w:bookmarkStart w:id="158" w:name="_Toc135837467"/>
      <w:r w:rsidRPr="48362220">
        <w:rPr>
          <w:rFonts w:ascii="Calibri" w:eastAsia="Calibri" w:hAnsi="Calibri" w:cs="Calibri"/>
          <w:color w:val="000000" w:themeColor="text1"/>
        </w:rPr>
        <w:t>The following outlines two sets of recommendations. The first set of recommendations is for existing AIHSP, UNICEF and WHO p</w:t>
      </w:r>
      <w:r w:rsidRPr="00212923">
        <w:rPr>
          <w:rFonts w:ascii="Calibri" w:eastAsia="Calibri" w:hAnsi="Calibri" w:cs="Calibri"/>
        </w:rPr>
        <w:t xml:space="preserve">rogramming. This programming was set to continue until January 2025, but if the MTR recommendation to extend is adopted, then these recommendations apply to AIHSP until January 2026, and UNICEF and WHO until 2025. A January 2026 end date is assumed in </w:t>
      </w:r>
      <w:proofErr w:type="gramStart"/>
      <w:r w:rsidRPr="00212923">
        <w:rPr>
          <w:rFonts w:ascii="Calibri" w:eastAsia="Calibri" w:hAnsi="Calibri" w:cs="Calibri"/>
        </w:rPr>
        <w:t>all of</w:t>
      </w:r>
      <w:proofErr w:type="gramEnd"/>
      <w:r w:rsidRPr="00212923">
        <w:rPr>
          <w:rFonts w:ascii="Calibri" w:eastAsia="Calibri" w:hAnsi="Calibri" w:cs="Calibri"/>
        </w:rPr>
        <w:t xml:space="preserve"> the following recommendations for AIHSP, so the second set of recommendations is for a new phase of Australian-funded bilateral programming commencing in February 2026. These recommendations are given time and priority ratings to assist with the design of the new phase. All reco</w:t>
      </w:r>
      <w:r w:rsidRPr="48362220">
        <w:rPr>
          <w:rFonts w:ascii="Calibri" w:eastAsia="Calibri" w:hAnsi="Calibri" w:cs="Calibri"/>
          <w:color w:val="000000" w:themeColor="text1"/>
        </w:rPr>
        <w:t xml:space="preserve">mmendations should be read </w:t>
      </w:r>
      <w:r w:rsidRPr="00DC62ED">
        <w:rPr>
          <w:rFonts w:ascii="Calibri" w:eastAsia="Calibri" w:hAnsi="Calibri" w:cs="Calibri"/>
          <w:color w:val="000000" w:themeColor="text1"/>
          <w:u w:val="single"/>
        </w:rPr>
        <w:t>in conjunction with</w:t>
      </w:r>
      <w:r w:rsidRPr="48362220">
        <w:rPr>
          <w:rFonts w:ascii="Calibri" w:eastAsia="Calibri" w:hAnsi="Calibri" w:cs="Calibri"/>
          <w:color w:val="000000" w:themeColor="text1"/>
        </w:rPr>
        <w:t xml:space="preserve"> </w:t>
      </w:r>
      <w:r w:rsidR="00B567B3">
        <w:rPr>
          <w:rFonts w:ascii="Calibri" w:eastAsia="Calibri" w:hAnsi="Calibri" w:cs="Calibri"/>
          <w:i/>
          <w:iCs/>
          <w:color w:val="000000" w:themeColor="text1"/>
        </w:rPr>
        <w:t>8</w:t>
      </w:r>
      <w:r w:rsidRPr="48362220">
        <w:rPr>
          <w:rFonts w:ascii="Calibri" w:eastAsia="Calibri" w:hAnsi="Calibri" w:cs="Calibri"/>
          <w:i/>
          <w:iCs/>
          <w:color w:val="000000" w:themeColor="text1"/>
        </w:rPr>
        <w:t>.1 Future Considerations</w:t>
      </w:r>
      <w:r w:rsidRPr="48362220">
        <w:rPr>
          <w:rFonts w:ascii="Calibri" w:eastAsia="Calibri" w:hAnsi="Calibri" w:cs="Calibri"/>
          <w:color w:val="000000" w:themeColor="text1"/>
        </w:rPr>
        <w:t xml:space="preserve"> section above</w:t>
      </w:r>
      <w:r>
        <w:rPr>
          <w:rFonts w:ascii="Calibri" w:eastAsia="Calibri" w:hAnsi="Calibri" w:cs="Calibri"/>
          <w:color w:val="000000" w:themeColor="text1"/>
        </w:rPr>
        <w:t xml:space="preserve"> and changes to activities </w:t>
      </w:r>
      <w:r w:rsidR="00B567B3">
        <w:rPr>
          <w:rFonts w:ascii="Calibri" w:eastAsia="Calibri" w:hAnsi="Calibri" w:cs="Calibri"/>
          <w:color w:val="000000" w:themeColor="text1"/>
        </w:rPr>
        <w:t xml:space="preserve">should </w:t>
      </w:r>
      <w:r>
        <w:rPr>
          <w:rFonts w:ascii="Calibri" w:eastAsia="Calibri" w:hAnsi="Calibri" w:cs="Calibri"/>
          <w:color w:val="000000" w:themeColor="text1"/>
        </w:rPr>
        <w:t>only</w:t>
      </w:r>
      <w:r w:rsidR="00B567B3">
        <w:rPr>
          <w:rFonts w:ascii="Calibri" w:eastAsia="Calibri" w:hAnsi="Calibri" w:cs="Calibri"/>
          <w:color w:val="000000" w:themeColor="text1"/>
        </w:rPr>
        <w:t xml:space="preserve"> be</w:t>
      </w:r>
      <w:r>
        <w:rPr>
          <w:rFonts w:ascii="Calibri" w:eastAsia="Calibri" w:hAnsi="Calibri" w:cs="Calibri"/>
          <w:color w:val="000000" w:themeColor="text1"/>
        </w:rPr>
        <w:t xml:space="preserve"> implemented following further assessment of</w:t>
      </w:r>
      <w:r w:rsidR="00B567B3">
        <w:rPr>
          <w:rFonts w:ascii="Calibri" w:eastAsia="Calibri" w:hAnsi="Calibri" w:cs="Calibri"/>
          <w:color w:val="000000" w:themeColor="text1"/>
        </w:rPr>
        <w:t>:</w:t>
      </w:r>
      <w:r>
        <w:rPr>
          <w:rFonts w:ascii="Calibri" w:eastAsia="Calibri" w:hAnsi="Calibri" w:cs="Calibri"/>
          <w:color w:val="000000" w:themeColor="text1"/>
        </w:rPr>
        <w:t xml:space="preserve"> the geopolitical context, impacts on target populations, implications for partners and sub-partners, potential for future scale-up of pilots, </w:t>
      </w:r>
      <w:proofErr w:type="gramStart"/>
      <w:r>
        <w:rPr>
          <w:rFonts w:ascii="Calibri" w:eastAsia="Calibri" w:hAnsi="Calibri" w:cs="Calibri"/>
          <w:color w:val="000000" w:themeColor="text1"/>
        </w:rPr>
        <w:t>risks</w:t>
      </w:r>
      <w:proofErr w:type="gramEnd"/>
      <w:r>
        <w:rPr>
          <w:rFonts w:ascii="Calibri" w:eastAsia="Calibri" w:hAnsi="Calibri" w:cs="Calibri"/>
          <w:color w:val="000000" w:themeColor="text1"/>
        </w:rPr>
        <w:t xml:space="preserve"> and the work of other actors</w:t>
      </w:r>
      <w:r w:rsidR="00B567B3">
        <w:rPr>
          <w:rFonts w:ascii="Calibri" w:eastAsia="Calibri" w:hAnsi="Calibri" w:cs="Calibri"/>
          <w:color w:val="000000" w:themeColor="text1"/>
        </w:rPr>
        <w:t>.</w:t>
      </w:r>
    </w:p>
    <w:p w14:paraId="74776A4C" w14:textId="354CB216" w:rsidR="006B1C8E" w:rsidRPr="00FA79DA" w:rsidRDefault="006B1C8E" w:rsidP="006B1C8E">
      <w:pPr>
        <w:spacing w:after="120" w:line="240" w:lineRule="auto"/>
      </w:pPr>
      <w:r>
        <w:t>The following recommendations are for existi</w:t>
      </w:r>
      <w:r w:rsidRPr="00FA79DA">
        <w:t>ng programming by</w:t>
      </w:r>
      <w:r w:rsidR="00FF4687">
        <w:t xml:space="preserve"> </w:t>
      </w:r>
      <w:r w:rsidRPr="00FA79DA">
        <w:t xml:space="preserve">AIHSP, WHO and </w:t>
      </w:r>
      <w:proofErr w:type="gramStart"/>
      <w:r w:rsidRPr="00FA79DA">
        <w:t>UNICEF .</w:t>
      </w:r>
      <w:proofErr w:type="gramEnd"/>
      <w:r w:rsidRPr="00FA79DA">
        <w:t xml:space="preserve">  </w:t>
      </w:r>
    </w:p>
    <w:p w14:paraId="2435C9DE" w14:textId="77777777" w:rsidR="006B1C8E" w:rsidRPr="000474DF" w:rsidRDefault="006B1C8E" w:rsidP="006B1C8E">
      <w:pPr>
        <w:pStyle w:val="ListParagraph"/>
        <w:numPr>
          <w:ilvl w:val="0"/>
          <w:numId w:val="4"/>
        </w:numPr>
        <w:spacing w:after="0" w:line="240" w:lineRule="auto"/>
        <w:rPr>
          <w:rFonts w:ascii="Calibri" w:eastAsia="Calibri" w:hAnsi="Calibri" w:cs="Calibri"/>
          <w:b/>
          <w:bCs/>
          <w:color w:val="000000" w:themeColor="text1"/>
        </w:rPr>
      </w:pPr>
      <w:r w:rsidRPr="48362220">
        <w:rPr>
          <w:rFonts w:ascii="Calibri" w:eastAsia="Calibri" w:hAnsi="Calibri" w:cs="Calibri"/>
          <w:b/>
          <w:bCs/>
          <w:color w:val="000000" w:themeColor="text1"/>
        </w:rPr>
        <w:t xml:space="preserve">Consolidate and embed project </w:t>
      </w:r>
      <w:proofErr w:type="gramStart"/>
      <w:r w:rsidRPr="48362220">
        <w:rPr>
          <w:rFonts w:ascii="Calibri" w:eastAsia="Calibri" w:hAnsi="Calibri" w:cs="Calibri"/>
          <w:b/>
          <w:bCs/>
          <w:color w:val="000000" w:themeColor="text1"/>
        </w:rPr>
        <w:t>activities</w:t>
      </w:r>
      <w:proofErr w:type="gramEnd"/>
      <w:r w:rsidRPr="48362220">
        <w:rPr>
          <w:rFonts w:ascii="Calibri" w:eastAsia="Calibri" w:hAnsi="Calibri" w:cs="Calibri"/>
          <w:b/>
          <w:bCs/>
          <w:color w:val="000000" w:themeColor="text1"/>
        </w:rPr>
        <w:t xml:space="preserve"> </w:t>
      </w:r>
    </w:p>
    <w:p w14:paraId="5C31E28A" w14:textId="77777777" w:rsidR="00B659CB" w:rsidRDefault="006B1C8E" w:rsidP="00B659CB">
      <w:pPr>
        <w:spacing w:line="240" w:lineRule="auto"/>
      </w:pPr>
      <w:r w:rsidRPr="0036145D">
        <w:rPr>
          <w:rFonts w:ascii="Calibri" w:eastAsia="Calibri" w:hAnsi="Calibri" w:cs="Calibri"/>
          <w:color w:val="000000" w:themeColor="text1"/>
        </w:rPr>
        <w:t xml:space="preserve">AIHSP to continue implementing activities related to </w:t>
      </w:r>
      <w:r w:rsidRPr="0036145D">
        <w:rPr>
          <w:rFonts w:ascii="Calibri" w:eastAsia="Calibri" w:hAnsi="Calibri" w:cs="Calibri"/>
          <w:b/>
          <w:bCs/>
          <w:color w:val="000000" w:themeColor="text1"/>
        </w:rPr>
        <w:t>surveillance</w:t>
      </w:r>
      <w:r w:rsidR="0036145D">
        <w:rPr>
          <w:rFonts w:ascii="Calibri" w:eastAsia="Calibri" w:hAnsi="Calibri" w:cs="Calibri"/>
          <w:b/>
          <w:bCs/>
          <w:color w:val="000000" w:themeColor="text1"/>
        </w:rPr>
        <w:t xml:space="preserve"> and information management systems</w:t>
      </w:r>
      <w:r w:rsidRPr="0036145D">
        <w:rPr>
          <w:rFonts w:ascii="Calibri" w:eastAsia="Calibri" w:hAnsi="Calibri" w:cs="Calibri"/>
          <w:b/>
          <w:bCs/>
          <w:color w:val="000000" w:themeColor="text1"/>
        </w:rPr>
        <w:t xml:space="preserve">, </w:t>
      </w:r>
      <w:r w:rsidRPr="0036145D">
        <w:rPr>
          <w:b/>
          <w:bCs/>
        </w:rPr>
        <w:t>animal health laboratory strengthening,</w:t>
      </w:r>
      <w:r w:rsidR="00173591" w:rsidRPr="0036145D">
        <w:rPr>
          <w:b/>
          <w:bCs/>
        </w:rPr>
        <w:t xml:space="preserve"> </w:t>
      </w:r>
      <w:r w:rsidRPr="0036145D">
        <w:rPr>
          <w:b/>
          <w:bCs/>
        </w:rPr>
        <w:t>inclusive access to health care,</w:t>
      </w:r>
      <w:r w:rsidRPr="0036145D">
        <w:t xml:space="preserve"> targeted support for </w:t>
      </w:r>
      <w:r w:rsidRPr="0036145D">
        <w:rPr>
          <w:b/>
          <w:bCs/>
        </w:rPr>
        <w:t>animal health disease outbreaks</w:t>
      </w:r>
      <w:r w:rsidRPr="0036145D">
        <w:t xml:space="preserve"> and a </w:t>
      </w:r>
      <w:r w:rsidRPr="0036145D">
        <w:rPr>
          <w:b/>
          <w:bCs/>
        </w:rPr>
        <w:t>One Health approach</w:t>
      </w:r>
      <w:r w:rsidRPr="0036145D">
        <w:t xml:space="preserve">. </w:t>
      </w:r>
    </w:p>
    <w:p w14:paraId="6993058E" w14:textId="110E3A79" w:rsidR="00B659CB" w:rsidRDefault="006B1C8E" w:rsidP="00B659CB">
      <w:pPr>
        <w:spacing w:line="240" w:lineRule="auto"/>
      </w:pPr>
      <w:r w:rsidRPr="0036145D">
        <w:t>AIHSP to assess and consider discontinuing or no longer commencing activities in public health</w:t>
      </w:r>
      <w:r w:rsidR="00B659CB">
        <w:t xml:space="preserve"> </w:t>
      </w:r>
      <w:r w:rsidRPr="0036145D">
        <w:t xml:space="preserve">laboratory strengthening, health emergency operations centres </w:t>
      </w:r>
      <w:r w:rsidRPr="0036145D">
        <w:rPr>
          <w:rFonts w:ascii="Calibri" w:eastAsia="Calibri" w:hAnsi="Calibri" w:cs="Calibri"/>
          <w:color w:val="000000" w:themeColor="text1"/>
        </w:rPr>
        <w:t>(but continue support to One Health approaches)</w:t>
      </w:r>
      <w:r w:rsidRPr="0036145D">
        <w:rPr>
          <w:rFonts w:ascii="Calibri" w:eastAsia="Calibri" w:hAnsi="Calibri" w:cs="Calibri"/>
          <w:b/>
          <w:bCs/>
          <w:color w:val="000000" w:themeColor="text1"/>
        </w:rPr>
        <w:t xml:space="preserve">, </w:t>
      </w:r>
      <w:r w:rsidRPr="0036145D">
        <w:rPr>
          <w:rFonts w:ascii="Calibri" w:eastAsia="Calibri" w:hAnsi="Calibri" w:cs="Calibri"/>
          <w:color w:val="000000" w:themeColor="text1"/>
        </w:rPr>
        <w:t xml:space="preserve">RCCE, private sector </w:t>
      </w:r>
      <w:r w:rsidR="00B23A2A">
        <w:rPr>
          <w:rFonts w:ascii="Calibri" w:eastAsia="Calibri" w:hAnsi="Calibri" w:cs="Calibri"/>
          <w:color w:val="000000" w:themeColor="text1"/>
        </w:rPr>
        <w:t>collaboration (except continue for emergency response)</w:t>
      </w:r>
      <w:r w:rsidRPr="0036145D">
        <w:rPr>
          <w:rFonts w:ascii="Calibri" w:eastAsia="Calibri" w:hAnsi="Calibri" w:cs="Calibri"/>
          <w:color w:val="000000" w:themeColor="text1"/>
        </w:rPr>
        <w:t xml:space="preserve"> and pilots such a</w:t>
      </w:r>
      <w:r w:rsidRPr="48362220">
        <w:rPr>
          <w:rFonts w:ascii="Calibri" w:eastAsia="Calibri" w:hAnsi="Calibri" w:cs="Calibri"/>
          <w:color w:val="000000" w:themeColor="text1"/>
        </w:rPr>
        <w:t>s SISHIS</w:t>
      </w:r>
      <w:r>
        <w:rPr>
          <w:rFonts w:ascii="Calibri" w:eastAsia="Calibri" w:hAnsi="Calibri" w:cs="Calibri"/>
          <w:color w:val="000000" w:themeColor="text1"/>
        </w:rPr>
        <w:t xml:space="preserve">, CSIRO’s epidemiological modelling of human mobility, </w:t>
      </w:r>
      <w:proofErr w:type="spellStart"/>
      <w:r>
        <w:rPr>
          <w:rFonts w:ascii="Calibri" w:eastAsia="Calibri" w:hAnsi="Calibri" w:cs="Calibri"/>
          <w:color w:val="000000" w:themeColor="text1"/>
          <w:lang w:val="en-US"/>
        </w:rPr>
        <w:t>PathSBeacon</w:t>
      </w:r>
      <w:proofErr w:type="spellEnd"/>
      <w:r w:rsidR="00866C1C">
        <w:rPr>
          <w:rFonts w:ascii="Calibri" w:eastAsia="Calibri" w:hAnsi="Calibri" w:cs="Calibri"/>
          <w:color w:val="000000" w:themeColor="text1"/>
          <w:lang w:val="en-US"/>
        </w:rPr>
        <w:t xml:space="preserve"> and</w:t>
      </w:r>
      <w:r>
        <w:rPr>
          <w:rFonts w:ascii="Calibri" w:eastAsia="Calibri" w:hAnsi="Calibri" w:cs="Calibri"/>
          <w:color w:val="000000" w:themeColor="text1"/>
          <w:lang w:val="en-US"/>
        </w:rPr>
        <w:t xml:space="preserve"> </w:t>
      </w:r>
      <w:proofErr w:type="spellStart"/>
      <w:r>
        <w:rPr>
          <w:rFonts w:ascii="Calibri" w:eastAsia="Calibri" w:hAnsi="Calibri" w:cs="Calibri"/>
          <w:color w:val="000000" w:themeColor="text1"/>
          <w:lang w:val="en-US"/>
        </w:rPr>
        <w:t>Reconstra</w:t>
      </w:r>
      <w:proofErr w:type="spellEnd"/>
      <w:r>
        <w:rPr>
          <w:rFonts w:ascii="Calibri" w:eastAsia="Calibri" w:hAnsi="Calibri" w:cs="Calibri"/>
          <w:color w:val="000000" w:themeColor="text1"/>
          <w:lang w:val="en-US"/>
        </w:rPr>
        <w:t xml:space="preserve">. </w:t>
      </w:r>
      <w:bookmarkStart w:id="159" w:name="_Hlk137565990"/>
      <w:r w:rsidR="00D21E21">
        <w:rPr>
          <w:rFonts w:ascii="Calibri" w:eastAsia="Calibri" w:hAnsi="Calibri" w:cs="Calibri"/>
          <w:color w:val="000000" w:themeColor="text1"/>
          <w:lang w:val="en-US"/>
        </w:rPr>
        <w:t xml:space="preserve">AIHSP to </w:t>
      </w:r>
      <w:r w:rsidR="00747DBB">
        <w:rPr>
          <w:rFonts w:ascii="Calibri" w:eastAsia="Calibri" w:hAnsi="Calibri" w:cs="Calibri"/>
          <w:color w:val="000000" w:themeColor="text1"/>
          <w:lang w:val="en-US"/>
        </w:rPr>
        <w:t xml:space="preserve">consider </w:t>
      </w:r>
      <w:r w:rsidR="00D21E21">
        <w:rPr>
          <w:rFonts w:ascii="Calibri" w:eastAsia="Calibri" w:hAnsi="Calibri" w:cs="Calibri"/>
          <w:color w:val="000000" w:themeColor="text1"/>
          <w:lang w:val="en-US"/>
        </w:rPr>
        <w:t>limit</w:t>
      </w:r>
      <w:r w:rsidR="00747DBB">
        <w:rPr>
          <w:rFonts w:ascii="Calibri" w:eastAsia="Calibri" w:hAnsi="Calibri" w:cs="Calibri"/>
          <w:color w:val="000000" w:themeColor="text1"/>
          <w:lang w:val="en-US"/>
        </w:rPr>
        <w:t>ing</w:t>
      </w:r>
      <w:r w:rsidR="00D21E21">
        <w:rPr>
          <w:rFonts w:ascii="Calibri" w:eastAsia="Calibri" w:hAnsi="Calibri" w:cs="Calibri"/>
          <w:color w:val="000000" w:themeColor="text1"/>
          <w:lang w:val="en-US"/>
        </w:rPr>
        <w:t xml:space="preserve"> planned activities in </w:t>
      </w:r>
      <w:proofErr w:type="spellStart"/>
      <w:r w:rsidR="00D21E21">
        <w:rPr>
          <w:rFonts w:ascii="Calibri" w:eastAsia="Calibri" w:hAnsi="Calibri" w:cs="Calibri"/>
          <w:color w:val="000000" w:themeColor="text1"/>
          <w:lang w:val="en-US"/>
        </w:rPr>
        <w:t>puskesmas</w:t>
      </w:r>
      <w:proofErr w:type="spellEnd"/>
      <w:r w:rsidR="00D21E21">
        <w:rPr>
          <w:rFonts w:ascii="Calibri" w:eastAsia="Calibri" w:hAnsi="Calibri" w:cs="Calibri"/>
          <w:color w:val="000000" w:themeColor="text1"/>
          <w:lang w:val="en-US"/>
        </w:rPr>
        <w:t xml:space="preserve"> strengthening.</w:t>
      </w:r>
      <w:bookmarkEnd w:id="159"/>
    </w:p>
    <w:p w14:paraId="5F9130CF" w14:textId="300679A0" w:rsidR="006B1C8E" w:rsidRPr="00B659CB" w:rsidRDefault="006B1C8E" w:rsidP="00B659CB">
      <w:pPr>
        <w:spacing w:line="240" w:lineRule="auto"/>
      </w:pPr>
      <w:r w:rsidRPr="48362220">
        <w:rPr>
          <w:rFonts w:ascii="Calibri" w:eastAsia="Calibri" w:hAnsi="Calibri" w:cs="Calibri"/>
          <w:color w:val="000000" w:themeColor="text1"/>
        </w:rPr>
        <w:t xml:space="preserve">AIHSP to transition activities </w:t>
      </w:r>
      <w:r>
        <w:rPr>
          <w:rFonts w:ascii="Calibri" w:eastAsia="Calibri" w:hAnsi="Calibri" w:cs="Calibri"/>
          <w:color w:val="000000" w:themeColor="text1"/>
        </w:rPr>
        <w:t>to be discontinued during this phase</w:t>
      </w:r>
      <w:r w:rsidRPr="48362220">
        <w:rPr>
          <w:rFonts w:ascii="Calibri" w:eastAsia="Calibri" w:hAnsi="Calibri" w:cs="Calibri"/>
          <w:color w:val="000000" w:themeColor="text1"/>
        </w:rPr>
        <w:t xml:space="preserve">. </w:t>
      </w:r>
      <w:r>
        <w:rPr>
          <w:rFonts w:ascii="Calibri" w:eastAsia="Calibri" w:hAnsi="Calibri" w:cs="Calibri"/>
          <w:color w:val="000000" w:themeColor="text1"/>
        </w:rPr>
        <w:t>To contribute to</w:t>
      </w:r>
      <w:r w:rsidRPr="48362220">
        <w:rPr>
          <w:rFonts w:ascii="Calibri" w:eastAsia="Calibri" w:hAnsi="Calibri" w:cs="Calibri"/>
          <w:color w:val="000000" w:themeColor="text1"/>
        </w:rPr>
        <w:t xml:space="preserve"> post-COVID-19 transition, AIHSP to also </w:t>
      </w:r>
      <w:r w:rsidRPr="000B12F0">
        <w:rPr>
          <w:rFonts w:ascii="Calibri" w:eastAsia="Calibri" w:hAnsi="Calibri" w:cs="Calibri"/>
          <w:color w:val="000000" w:themeColor="text1"/>
        </w:rPr>
        <w:t>consider the balance between health systems strengthening and emergency response activities</w:t>
      </w:r>
      <w:r w:rsidRPr="48362220">
        <w:rPr>
          <w:rFonts w:ascii="Calibri" w:eastAsia="Calibri" w:hAnsi="Calibri" w:cs="Calibri"/>
          <w:color w:val="000000" w:themeColor="text1"/>
        </w:rPr>
        <w:t xml:space="preserve"> </w:t>
      </w:r>
      <w:r w:rsidRPr="48362220">
        <w:rPr>
          <w:rFonts w:ascii="Calibri" w:eastAsia="Calibri" w:hAnsi="Calibri" w:cs="Calibri"/>
          <w:i/>
          <w:iCs/>
          <w:color w:val="000000" w:themeColor="text1"/>
        </w:rPr>
        <w:t>(see section 4.</w:t>
      </w:r>
      <w:r w:rsidR="00B659CB">
        <w:rPr>
          <w:rFonts w:ascii="Calibri" w:eastAsia="Calibri" w:hAnsi="Calibri" w:cs="Calibri"/>
          <w:i/>
          <w:iCs/>
          <w:color w:val="000000" w:themeColor="text1"/>
        </w:rPr>
        <w:t>1</w:t>
      </w:r>
      <w:r w:rsidRPr="48362220">
        <w:rPr>
          <w:rFonts w:ascii="Calibri" w:eastAsia="Calibri" w:hAnsi="Calibri" w:cs="Calibri"/>
          <w:i/>
          <w:iCs/>
          <w:color w:val="000000" w:themeColor="text1"/>
        </w:rPr>
        <w:t>)</w:t>
      </w:r>
      <w:r w:rsidRPr="48362220">
        <w:rPr>
          <w:rFonts w:ascii="Calibri" w:eastAsia="Calibri" w:hAnsi="Calibri" w:cs="Calibri"/>
          <w:color w:val="000000" w:themeColor="text1"/>
        </w:rPr>
        <w:t xml:space="preserve">.  </w:t>
      </w:r>
    </w:p>
    <w:p w14:paraId="600A7147" w14:textId="395C5C9D" w:rsidR="006B1C8E" w:rsidRPr="0081345D" w:rsidRDefault="006B1C8E" w:rsidP="006B1C8E">
      <w:pPr>
        <w:spacing w:after="120" w:line="240" w:lineRule="auto"/>
        <w:rPr>
          <w:rFonts w:ascii="Calibri" w:eastAsia="Calibri" w:hAnsi="Calibri" w:cs="Calibri"/>
          <w:color w:val="000000"/>
        </w:rPr>
      </w:pPr>
      <w:r>
        <w:rPr>
          <w:rFonts w:ascii="Calibri" w:eastAsia="Calibri" w:hAnsi="Calibri" w:cs="Calibri"/>
          <w:color w:val="000000"/>
        </w:rPr>
        <w:t>In 2023-2024, p</w:t>
      </w:r>
      <w:r w:rsidRPr="000474DF">
        <w:rPr>
          <w:rFonts w:ascii="Calibri" w:eastAsia="Calibri" w:hAnsi="Calibri" w:cs="Calibri"/>
          <w:color w:val="000000"/>
        </w:rPr>
        <w:t>artners to</w:t>
      </w:r>
      <w:r w:rsidR="00D2402C">
        <w:rPr>
          <w:rFonts w:ascii="Calibri" w:eastAsia="Calibri" w:hAnsi="Calibri" w:cs="Calibri"/>
          <w:color w:val="000000"/>
        </w:rPr>
        <w:t xml:space="preserve"> </w:t>
      </w:r>
      <w:r w:rsidRPr="000474DF">
        <w:rPr>
          <w:rFonts w:ascii="Calibri" w:eastAsia="Calibri" w:hAnsi="Calibri" w:cs="Calibri"/>
          <w:color w:val="000000"/>
        </w:rPr>
        <w:t>improv</w:t>
      </w:r>
      <w:r>
        <w:rPr>
          <w:rFonts w:ascii="Calibri" w:eastAsia="Calibri" w:hAnsi="Calibri" w:cs="Calibri"/>
          <w:color w:val="000000"/>
        </w:rPr>
        <w:t>e</w:t>
      </w:r>
      <w:r w:rsidRPr="000474DF">
        <w:rPr>
          <w:rFonts w:ascii="Calibri" w:eastAsia="Calibri" w:hAnsi="Calibri" w:cs="Calibri"/>
          <w:color w:val="000000"/>
        </w:rPr>
        <w:t xml:space="preserve"> </w:t>
      </w:r>
      <w:r>
        <w:rPr>
          <w:rFonts w:ascii="Calibri" w:eastAsia="Calibri" w:hAnsi="Calibri" w:cs="Calibri"/>
          <w:color w:val="000000"/>
        </w:rPr>
        <w:t>national and sub-national</w:t>
      </w:r>
      <w:r w:rsidRPr="000474DF">
        <w:rPr>
          <w:rFonts w:ascii="Calibri" w:eastAsia="Calibri" w:hAnsi="Calibri" w:cs="Calibri"/>
          <w:color w:val="000000"/>
        </w:rPr>
        <w:t xml:space="preserve"> capacity at a </w:t>
      </w:r>
      <w:r>
        <w:rPr>
          <w:rFonts w:ascii="Calibri" w:eastAsia="Calibri" w:hAnsi="Calibri" w:cs="Calibri"/>
          <w:color w:val="000000"/>
        </w:rPr>
        <w:t xml:space="preserve">technical and managerial level </w:t>
      </w:r>
      <w:r w:rsidRPr="000474DF">
        <w:rPr>
          <w:rFonts w:ascii="Calibri" w:eastAsia="Calibri" w:hAnsi="Calibri" w:cs="Calibri"/>
          <w:color w:val="000000"/>
        </w:rPr>
        <w:t xml:space="preserve">and support </w:t>
      </w:r>
      <w:r>
        <w:rPr>
          <w:rFonts w:ascii="Calibri" w:eastAsia="Calibri" w:hAnsi="Calibri" w:cs="Calibri"/>
          <w:color w:val="000000"/>
        </w:rPr>
        <w:t>finalisation and implementation of</w:t>
      </w:r>
      <w:r w:rsidRPr="000474DF">
        <w:rPr>
          <w:rFonts w:ascii="Calibri" w:eastAsia="Calibri" w:hAnsi="Calibri" w:cs="Calibri"/>
          <w:color w:val="000000"/>
        </w:rPr>
        <w:t xml:space="preserve"> policies, legislation, </w:t>
      </w:r>
      <w:proofErr w:type="gramStart"/>
      <w:r w:rsidRPr="000474DF">
        <w:rPr>
          <w:rFonts w:ascii="Calibri" w:eastAsia="Calibri" w:hAnsi="Calibri" w:cs="Calibri"/>
          <w:color w:val="000000"/>
        </w:rPr>
        <w:t>strategies</w:t>
      </w:r>
      <w:proofErr w:type="gramEnd"/>
      <w:r>
        <w:rPr>
          <w:rFonts w:ascii="Calibri" w:eastAsia="Calibri" w:hAnsi="Calibri" w:cs="Calibri"/>
          <w:color w:val="000000"/>
        </w:rPr>
        <w:t xml:space="preserve"> and</w:t>
      </w:r>
      <w:r w:rsidRPr="000474DF">
        <w:rPr>
          <w:rFonts w:ascii="Calibri" w:eastAsia="Calibri" w:hAnsi="Calibri" w:cs="Calibri"/>
          <w:color w:val="000000"/>
        </w:rPr>
        <w:t xml:space="preserve"> guidelines </w:t>
      </w:r>
      <w:r>
        <w:rPr>
          <w:rFonts w:ascii="Calibri" w:eastAsia="Calibri" w:hAnsi="Calibri" w:cs="Calibri"/>
          <w:color w:val="000000"/>
        </w:rPr>
        <w:t xml:space="preserve">given the period of uncertainty around the elections in 2024. </w:t>
      </w:r>
    </w:p>
    <w:p w14:paraId="0BA8A935" w14:textId="77777777" w:rsidR="006B1C8E" w:rsidRPr="000474DF" w:rsidRDefault="006B1C8E" w:rsidP="006B1C8E">
      <w:pPr>
        <w:pStyle w:val="ListParagraph"/>
        <w:numPr>
          <w:ilvl w:val="0"/>
          <w:numId w:val="4"/>
        </w:numPr>
        <w:spacing w:after="0" w:line="240" w:lineRule="auto"/>
      </w:pPr>
      <w:r w:rsidRPr="00B93ECB">
        <w:rPr>
          <w:rFonts w:ascii="Calibri" w:eastAsia="Calibri" w:hAnsi="Calibri" w:cs="Calibri"/>
          <w:b/>
          <w:color w:val="000000"/>
        </w:rPr>
        <w:t xml:space="preserve">Strengthen laboratory </w:t>
      </w:r>
      <w:proofErr w:type="gramStart"/>
      <w:r w:rsidRPr="00B93ECB">
        <w:rPr>
          <w:rFonts w:ascii="Calibri" w:eastAsia="Calibri" w:hAnsi="Calibri" w:cs="Calibri"/>
          <w:b/>
          <w:color w:val="000000"/>
        </w:rPr>
        <w:t>capacity</w:t>
      </w:r>
      <w:proofErr w:type="gramEnd"/>
    </w:p>
    <w:p w14:paraId="60B77422" w14:textId="4AB60E43" w:rsidR="00B659CB" w:rsidRDefault="006B1C8E" w:rsidP="00B659CB">
      <w:pPr>
        <w:spacing w:after="120" w:line="240" w:lineRule="auto"/>
        <w:rPr>
          <w:rFonts w:ascii="Calibri" w:eastAsia="Calibri" w:hAnsi="Calibri" w:cs="Calibri"/>
          <w:color w:val="000000"/>
        </w:rPr>
      </w:pPr>
      <w:r>
        <w:rPr>
          <w:rFonts w:ascii="Calibri" w:eastAsia="Calibri" w:hAnsi="Calibri" w:cs="Calibri"/>
          <w:color w:val="000000"/>
        </w:rPr>
        <w:t>AIHSP, through CSIRO</w:t>
      </w:r>
      <w:r w:rsidR="000D4929">
        <w:rPr>
          <w:rFonts w:ascii="Calibri" w:eastAsia="Calibri" w:hAnsi="Calibri" w:cs="Calibri"/>
          <w:color w:val="000000"/>
        </w:rPr>
        <w:t>-ACDP</w:t>
      </w:r>
      <w:r w:rsidR="007444CE">
        <w:rPr>
          <w:rFonts w:ascii="Calibri" w:eastAsia="Calibri" w:hAnsi="Calibri" w:cs="Calibri"/>
          <w:color w:val="000000"/>
        </w:rPr>
        <w:t xml:space="preserve"> and others</w:t>
      </w:r>
      <w:r>
        <w:rPr>
          <w:rFonts w:ascii="Calibri" w:eastAsia="Calibri" w:hAnsi="Calibri" w:cs="Calibri"/>
          <w:color w:val="000000"/>
        </w:rPr>
        <w:t>, to continue to support a</w:t>
      </w:r>
      <w:r w:rsidRPr="000474DF">
        <w:rPr>
          <w:rFonts w:ascii="Calibri" w:eastAsia="Calibri" w:hAnsi="Calibri" w:cs="Calibri"/>
          <w:color w:val="000000"/>
        </w:rPr>
        <w:t xml:space="preserve">nimal </w:t>
      </w:r>
      <w:r>
        <w:rPr>
          <w:rFonts w:ascii="Calibri" w:eastAsia="Calibri" w:hAnsi="Calibri" w:cs="Calibri"/>
          <w:color w:val="000000"/>
        </w:rPr>
        <w:t>health laboratory strengthening</w:t>
      </w:r>
      <w:r w:rsidR="00D2402C">
        <w:rPr>
          <w:rFonts w:ascii="Calibri" w:eastAsia="Calibri" w:hAnsi="Calibri" w:cs="Calibri"/>
          <w:color w:val="000000"/>
        </w:rPr>
        <w:t xml:space="preserve"> </w:t>
      </w:r>
      <w:r w:rsidRPr="000474DF">
        <w:rPr>
          <w:rFonts w:ascii="Calibri" w:eastAsia="Calibri" w:hAnsi="Calibri" w:cs="Calibri"/>
          <w:color w:val="000000"/>
        </w:rPr>
        <w:t xml:space="preserve">in alignment with </w:t>
      </w:r>
      <w:proofErr w:type="spellStart"/>
      <w:r w:rsidRPr="000474DF">
        <w:rPr>
          <w:rFonts w:ascii="Calibri" w:eastAsia="Calibri" w:hAnsi="Calibri" w:cs="Calibri"/>
          <w:color w:val="000000"/>
        </w:rPr>
        <w:t>Kemenko</w:t>
      </w:r>
      <w:proofErr w:type="spellEnd"/>
      <w:r w:rsidRPr="000474DF">
        <w:rPr>
          <w:rFonts w:ascii="Calibri" w:eastAsia="Calibri" w:hAnsi="Calibri" w:cs="Calibri"/>
          <w:color w:val="000000"/>
        </w:rPr>
        <w:t xml:space="preserve"> PMK</w:t>
      </w:r>
      <w:r w:rsidR="00AF0A49">
        <w:rPr>
          <w:rFonts w:ascii="Calibri" w:eastAsia="Calibri" w:hAnsi="Calibri" w:cs="Calibri"/>
          <w:color w:val="000000"/>
        </w:rPr>
        <w:t xml:space="preserve">’s </w:t>
      </w:r>
      <w:r w:rsidRPr="000474DF">
        <w:rPr>
          <w:rFonts w:ascii="Calibri" w:eastAsia="Calibri" w:hAnsi="Calibri" w:cs="Calibri"/>
          <w:color w:val="000000"/>
        </w:rPr>
        <w:t>Guidelines for the Prevention and Control of Zoonoses and New Infectious Diseases</w:t>
      </w:r>
      <w:r>
        <w:rPr>
          <w:rFonts w:ascii="Quattrocento Sans" w:eastAsia="Quattrocento Sans" w:hAnsi="Quattrocento Sans" w:cs="Quattrocento Sans"/>
          <w:color w:val="333333"/>
          <w:sz w:val="18"/>
          <w:szCs w:val="18"/>
          <w:vertAlign w:val="superscript"/>
        </w:rPr>
        <w:footnoteReference w:id="43"/>
      </w:r>
      <w:r w:rsidRPr="000474DF">
        <w:rPr>
          <w:rFonts w:ascii="Calibri" w:eastAsia="Calibri" w:hAnsi="Calibri" w:cs="Calibri"/>
          <w:color w:val="000000"/>
        </w:rPr>
        <w:t xml:space="preserve"> </w:t>
      </w:r>
      <w:r w:rsidRPr="48362220">
        <w:rPr>
          <w:rFonts w:ascii="Calibri" w:eastAsia="Calibri" w:hAnsi="Calibri" w:cs="Calibri"/>
          <w:i/>
          <w:iCs/>
          <w:color w:val="000000"/>
        </w:rPr>
        <w:t>(see section 8.1.5)</w:t>
      </w:r>
      <w:r w:rsidR="007444CE">
        <w:rPr>
          <w:rFonts w:ascii="Calibri" w:eastAsia="Calibri" w:hAnsi="Calibri" w:cs="Calibri"/>
          <w:i/>
          <w:iCs/>
          <w:color w:val="000000"/>
        </w:rPr>
        <w:t>.</w:t>
      </w:r>
    </w:p>
    <w:p w14:paraId="500A832A" w14:textId="344546BC" w:rsidR="00D43DEC" w:rsidRPr="00B659CB" w:rsidRDefault="006B1C8E" w:rsidP="00B659CB">
      <w:pPr>
        <w:spacing w:after="120" w:line="240" w:lineRule="auto"/>
        <w:rPr>
          <w:rFonts w:ascii="Calibri" w:eastAsia="Calibri" w:hAnsi="Calibri" w:cs="Calibri"/>
          <w:color w:val="000000"/>
        </w:rPr>
      </w:pPr>
      <w:r w:rsidRPr="005A0A2B">
        <w:rPr>
          <w:rFonts w:ascii="Calibri" w:eastAsia="Calibri" w:hAnsi="Calibri" w:cs="Calibri"/>
          <w:color w:val="000000" w:themeColor="text1"/>
        </w:rPr>
        <w:t xml:space="preserve">WHO to continue to support human health laboratory capacity for COVID-19 and transition this capacity for use with other diseases, including </w:t>
      </w:r>
      <w:r w:rsidR="00AF0A49">
        <w:rPr>
          <w:rFonts w:ascii="Calibri" w:eastAsia="Calibri" w:hAnsi="Calibri" w:cs="Calibri"/>
          <w:color w:val="000000" w:themeColor="text1"/>
        </w:rPr>
        <w:t>for</w:t>
      </w:r>
      <w:r w:rsidRPr="005A0A2B">
        <w:rPr>
          <w:rFonts w:ascii="Calibri" w:eastAsia="Calibri" w:hAnsi="Calibri" w:cs="Calibri"/>
          <w:color w:val="000000" w:themeColor="text1"/>
        </w:rPr>
        <w:t xml:space="preserve"> tracing and testing capacity at the </w:t>
      </w:r>
      <w:proofErr w:type="spellStart"/>
      <w:r w:rsidRPr="005A0A2B">
        <w:rPr>
          <w:rFonts w:ascii="Calibri" w:eastAsia="Calibri" w:hAnsi="Calibri" w:cs="Calibri"/>
          <w:color w:val="000000" w:themeColor="text1"/>
        </w:rPr>
        <w:t>puskesmas</w:t>
      </w:r>
      <w:proofErr w:type="spellEnd"/>
      <w:r w:rsidRPr="005A0A2B">
        <w:rPr>
          <w:rFonts w:ascii="Calibri" w:eastAsia="Calibri" w:hAnsi="Calibri" w:cs="Calibri"/>
          <w:color w:val="000000" w:themeColor="text1"/>
        </w:rPr>
        <w:t xml:space="preserve"> and local medical facilit</w:t>
      </w:r>
      <w:r w:rsidR="00290338">
        <w:rPr>
          <w:rFonts w:ascii="Calibri" w:eastAsia="Calibri" w:hAnsi="Calibri" w:cs="Calibri"/>
          <w:color w:val="000000" w:themeColor="text1"/>
        </w:rPr>
        <w:t>y level.</w:t>
      </w:r>
      <w:r w:rsidRPr="005A0A2B">
        <w:rPr>
          <w:rFonts w:ascii="Calibri" w:eastAsia="Calibri" w:hAnsi="Calibri" w:cs="Calibri"/>
          <w:color w:val="000000" w:themeColor="text1"/>
        </w:rPr>
        <w:t xml:space="preserve"> </w:t>
      </w:r>
    </w:p>
    <w:p w14:paraId="4499C376" w14:textId="3E56C59D" w:rsidR="006B1C8E" w:rsidRPr="00D43DEC" w:rsidRDefault="006B1C8E" w:rsidP="00D43DEC">
      <w:pPr>
        <w:pStyle w:val="ListParagraph"/>
        <w:numPr>
          <w:ilvl w:val="0"/>
          <w:numId w:val="4"/>
        </w:numPr>
        <w:spacing w:after="0" w:line="240" w:lineRule="auto"/>
        <w:rPr>
          <w:rFonts w:ascii="Calibri" w:eastAsia="Calibri" w:hAnsi="Calibri" w:cs="Calibri"/>
          <w:b/>
          <w:bCs/>
          <w:color w:val="000000" w:themeColor="text1"/>
        </w:rPr>
      </w:pPr>
      <w:r w:rsidRPr="00D43DEC">
        <w:rPr>
          <w:rFonts w:ascii="Calibri" w:eastAsia="Calibri" w:hAnsi="Calibri" w:cs="Calibri"/>
          <w:b/>
          <w:bCs/>
          <w:color w:val="000000" w:themeColor="text1"/>
        </w:rPr>
        <w:t xml:space="preserve">Continue to strengthen human and animal health information systems and </w:t>
      </w:r>
      <w:proofErr w:type="gramStart"/>
      <w:r w:rsidRPr="00D43DEC">
        <w:rPr>
          <w:rFonts w:ascii="Calibri" w:eastAsia="Calibri" w:hAnsi="Calibri" w:cs="Calibri"/>
          <w:b/>
          <w:bCs/>
          <w:color w:val="000000" w:themeColor="text1"/>
        </w:rPr>
        <w:t>surveillance</w:t>
      </w:r>
      <w:proofErr w:type="gramEnd"/>
    </w:p>
    <w:p w14:paraId="59EC537E" w14:textId="1AE59FF0" w:rsidR="006B1C8E" w:rsidRDefault="006B1C8E" w:rsidP="002C4E2C">
      <w:pPr>
        <w:spacing w:after="0" w:line="240" w:lineRule="auto"/>
      </w:pPr>
      <w:r w:rsidRPr="000474DF">
        <w:rPr>
          <w:rFonts w:ascii="Calibri" w:eastAsia="Calibri" w:hAnsi="Calibri" w:cs="Calibri"/>
        </w:rPr>
        <w:t>AIHSP</w:t>
      </w:r>
      <w:r>
        <w:rPr>
          <w:rFonts w:ascii="Calibri" w:eastAsia="Calibri" w:hAnsi="Calibri" w:cs="Calibri"/>
        </w:rPr>
        <w:t xml:space="preserve"> to support</w:t>
      </w:r>
      <w:r w:rsidRPr="000474DF">
        <w:rPr>
          <w:rFonts w:ascii="Calibri" w:eastAsia="Calibri" w:hAnsi="Calibri" w:cs="Calibri"/>
        </w:rPr>
        <w:t xml:space="preserve">: </w:t>
      </w:r>
    </w:p>
    <w:p w14:paraId="5A4BE981" w14:textId="77777777" w:rsidR="006B1C8E" w:rsidRPr="00B93ECB" w:rsidRDefault="006B1C8E" w:rsidP="006B1C8E">
      <w:pPr>
        <w:pStyle w:val="ListParagraph"/>
        <w:numPr>
          <w:ilvl w:val="0"/>
          <w:numId w:val="3"/>
        </w:numPr>
        <w:pBdr>
          <w:top w:val="nil"/>
          <w:left w:val="nil"/>
          <w:bottom w:val="nil"/>
          <w:right w:val="nil"/>
          <w:between w:val="nil"/>
        </w:pBdr>
        <w:spacing w:after="0" w:line="240" w:lineRule="auto"/>
        <w:ind w:left="720"/>
        <w:rPr>
          <w:color w:val="000000"/>
        </w:rPr>
      </w:pPr>
      <w:r w:rsidRPr="00B93ECB">
        <w:rPr>
          <w:rFonts w:ascii="Calibri" w:eastAsia="Calibri" w:hAnsi="Calibri" w:cs="Calibri"/>
          <w:color w:val="000000"/>
        </w:rPr>
        <w:t>Integrat</w:t>
      </w:r>
      <w:r>
        <w:rPr>
          <w:rFonts w:ascii="Calibri" w:eastAsia="Calibri" w:hAnsi="Calibri" w:cs="Calibri"/>
          <w:color w:val="000000"/>
        </w:rPr>
        <w:t>ion of</w:t>
      </w:r>
      <w:r w:rsidRPr="00B93ECB">
        <w:rPr>
          <w:rFonts w:ascii="Calibri" w:eastAsia="Calibri" w:hAnsi="Calibri" w:cs="Calibri"/>
          <w:color w:val="000000"/>
        </w:rPr>
        <w:t xml:space="preserve"> human health surveillance information </w:t>
      </w:r>
      <w:proofErr w:type="gramStart"/>
      <w:r w:rsidRPr="00B93ECB">
        <w:rPr>
          <w:rFonts w:ascii="Calibri" w:eastAsia="Calibri" w:hAnsi="Calibri" w:cs="Calibri"/>
          <w:color w:val="000000"/>
        </w:rPr>
        <w:t>systems</w:t>
      </w:r>
      <w:r>
        <w:rPr>
          <w:rFonts w:ascii="Calibri" w:eastAsia="Calibri" w:hAnsi="Calibri" w:cs="Calibri"/>
          <w:color w:val="000000"/>
        </w:rPr>
        <w:t>;</w:t>
      </w:r>
      <w:proofErr w:type="gramEnd"/>
    </w:p>
    <w:p w14:paraId="10A3AFC3" w14:textId="77777777" w:rsidR="007444CE" w:rsidRPr="007444CE" w:rsidRDefault="006B1C8E" w:rsidP="006B1C8E">
      <w:pPr>
        <w:pStyle w:val="ListParagraph"/>
        <w:numPr>
          <w:ilvl w:val="0"/>
          <w:numId w:val="3"/>
        </w:numPr>
        <w:pBdr>
          <w:top w:val="nil"/>
          <w:left w:val="nil"/>
          <w:bottom w:val="nil"/>
          <w:right w:val="nil"/>
          <w:between w:val="nil"/>
        </w:pBdr>
        <w:spacing w:after="0" w:line="240" w:lineRule="auto"/>
        <w:ind w:left="720"/>
      </w:pPr>
      <w:r>
        <w:rPr>
          <w:rFonts w:ascii="Calibri" w:eastAsia="Calibri" w:hAnsi="Calibri" w:cs="Calibri"/>
          <w:color w:val="000000"/>
        </w:rPr>
        <w:t>D</w:t>
      </w:r>
      <w:r w:rsidRPr="00B93ECB">
        <w:rPr>
          <w:rFonts w:ascii="Calibri" w:eastAsia="Calibri" w:hAnsi="Calibri" w:cs="Calibri"/>
          <w:color w:val="000000"/>
        </w:rPr>
        <w:t xml:space="preserve">evelopment, uptake and timely reporting into </w:t>
      </w:r>
      <w:proofErr w:type="spellStart"/>
      <w:r w:rsidRPr="00B93ECB">
        <w:rPr>
          <w:rFonts w:ascii="Calibri" w:eastAsia="Calibri" w:hAnsi="Calibri" w:cs="Calibri"/>
          <w:color w:val="000000"/>
        </w:rPr>
        <w:t>iSIKHNAS</w:t>
      </w:r>
      <w:proofErr w:type="spellEnd"/>
      <w:r w:rsidRPr="00B93ECB">
        <w:rPr>
          <w:rFonts w:ascii="Calibri" w:eastAsia="Calibri" w:hAnsi="Calibri" w:cs="Calibri"/>
          <w:color w:val="000000"/>
        </w:rPr>
        <w:t xml:space="preserve">, linking </w:t>
      </w:r>
      <w:r>
        <w:rPr>
          <w:rFonts w:ascii="Calibri" w:eastAsia="Calibri" w:hAnsi="Calibri" w:cs="Calibri"/>
          <w:color w:val="000000"/>
        </w:rPr>
        <w:t xml:space="preserve">it </w:t>
      </w:r>
      <w:r w:rsidRPr="00B93ECB">
        <w:rPr>
          <w:rFonts w:ascii="Calibri" w:eastAsia="Calibri" w:hAnsi="Calibri" w:cs="Calibri"/>
          <w:color w:val="000000"/>
        </w:rPr>
        <w:t xml:space="preserve">with </w:t>
      </w:r>
      <w:proofErr w:type="spellStart"/>
      <w:r w:rsidRPr="00B93ECB">
        <w:rPr>
          <w:rFonts w:ascii="Calibri" w:eastAsia="Calibri" w:hAnsi="Calibri" w:cs="Calibri"/>
          <w:color w:val="000000"/>
        </w:rPr>
        <w:t>Identik</w:t>
      </w:r>
      <w:proofErr w:type="spellEnd"/>
      <w:r w:rsidRPr="00B93ECB">
        <w:rPr>
          <w:rFonts w:ascii="Calibri" w:eastAsia="Calibri" w:hAnsi="Calibri" w:cs="Calibri"/>
          <w:color w:val="000000"/>
        </w:rPr>
        <w:t xml:space="preserve"> </w:t>
      </w:r>
      <w:proofErr w:type="gramStart"/>
      <w:r w:rsidRPr="00B93ECB">
        <w:rPr>
          <w:rFonts w:ascii="Calibri" w:eastAsia="Calibri" w:hAnsi="Calibri" w:cs="Calibri"/>
          <w:color w:val="000000"/>
        </w:rPr>
        <w:t>PKH</w:t>
      </w:r>
      <w:r w:rsidR="007444CE">
        <w:rPr>
          <w:rFonts w:ascii="Calibri" w:eastAsia="Calibri" w:hAnsi="Calibri" w:cs="Calibri"/>
          <w:color w:val="000000"/>
        </w:rPr>
        <w:t>;</w:t>
      </w:r>
      <w:proofErr w:type="gramEnd"/>
    </w:p>
    <w:p w14:paraId="2D49E6CF" w14:textId="2EF8B6BC" w:rsidR="006B1C8E" w:rsidRDefault="007444CE" w:rsidP="006B1C8E">
      <w:pPr>
        <w:pStyle w:val="ListParagraph"/>
        <w:numPr>
          <w:ilvl w:val="0"/>
          <w:numId w:val="3"/>
        </w:numPr>
        <w:pBdr>
          <w:top w:val="nil"/>
          <w:left w:val="nil"/>
          <w:bottom w:val="nil"/>
          <w:right w:val="nil"/>
          <w:between w:val="nil"/>
        </w:pBdr>
        <w:spacing w:after="0" w:line="240" w:lineRule="auto"/>
        <w:ind w:left="720"/>
      </w:pPr>
      <w:r>
        <w:rPr>
          <w:rFonts w:ascii="Calibri" w:eastAsia="Calibri" w:hAnsi="Calibri" w:cs="Calibri"/>
          <w:color w:val="000000"/>
        </w:rPr>
        <w:t>A</w:t>
      </w:r>
      <w:r w:rsidR="006B1C8E" w:rsidRPr="00B93ECB">
        <w:rPr>
          <w:rFonts w:ascii="Calibri" w:eastAsia="Calibri" w:hAnsi="Calibri" w:cs="Calibri"/>
          <w:color w:val="000000"/>
        </w:rPr>
        <w:t xml:space="preserve">pproval of regulations for animal identification and </w:t>
      </w:r>
      <w:proofErr w:type="gramStart"/>
      <w:r w:rsidR="006B1C8E" w:rsidRPr="00B93ECB">
        <w:rPr>
          <w:rFonts w:ascii="Calibri" w:eastAsia="Calibri" w:hAnsi="Calibri" w:cs="Calibri"/>
          <w:color w:val="000000"/>
        </w:rPr>
        <w:t>traceability</w:t>
      </w:r>
      <w:r w:rsidR="006B1C8E">
        <w:rPr>
          <w:rFonts w:ascii="Calibri" w:eastAsia="Calibri" w:hAnsi="Calibri" w:cs="Calibri"/>
          <w:color w:val="000000"/>
        </w:rPr>
        <w:t>;</w:t>
      </w:r>
      <w:proofErr w:type="gramEnd"/>
    </w:p>
    <w:p w14:paraId="07287117" w14:textId="77777777" w:rsidR="006B1C8E" w:rsidRPr="00DC62ED" w:rsidRDefault="006B1C8E" w:rsidP="006B1C8E">
      <w:pPr>
        <w:pStyle w:val="ListParagraph"/>
        <w:numPr>
          <w:ilvl w:val="0"/>
          <w:numId w:val="3"/>
        </w:numPr>
        <w:pBdr>
          <w:top w:val="nil"/>
          <w:left w:val="nil"/>
          <w:bottom w:val="nil"/>
          <w:right w:val="nil"/>
          <w:between w:val="nil"/>
        </w:pBdr>
        <w:spacing w:after="0" w:line="240" w:lineRule="auto"/>
        <w:ind w:left="720"/>
      </w:pPr>
      <w:r>
        <w:rPr>
          <w:rFonts w:ascii="Calibri" w:eastAsia="Calibri" w:hAnsi="Calibri" w:cs="Calibri"/>
          <w:color w:val="000000"/>
        </w:rPr>
        <w:t>I</w:t>
      </w:r>
      <w:r w:rsidRPr="00B93ECB">
        <w:rPr>
          <w:rFonts w:ascii="Calibri" w:eastAsia="Calibri" w:hAnsi="Calibri" w:cs="Calibri"/>
          <w:color w:val="000000"/>
        </w:rPr>
        <w:t>nformation integration, including for</w:t>
      </w:r>
      <w:r>
        <w:rPr>
          <w:rFonts w:ascii="Calibri" w:eastAsia="Calibri" w:hAnsi="Calibri" w:cs="Calibri"/>
          <w:color w:val="000000"/>
        </w:rPr>
        <w:t xml:space="preserve"> </w:t>
      </w:r>
      <w:proofErr w:type="spellStart"/>
      <w:r>
        <w:rPr>
          <w:rFonts w:ascii="Calibri" w:eastAsia="Calibri" w:hAnsi="Calibri" w:cs="Calibri"/>
          <w:color w:val="000000"/>
        </w:rPr>
        <w:t>iVLAB</w:t>
      </w:r>
      <w:proofErr w:type="spellEnd"/>
      <w:r>
        <w:rPr>
          <w:rFonts w:ascii="Calibri" w:eastAsia="Calibri" w:hAnsi="Calibri" w:cs="Calibri"/>
          <w:color w:val="000000"/>
        </w:rPr>
        <w:t xml:space="preserve"> into</w:t>
      </w:r>
      <w:r w:rsidRPr="00B93ECB">
        <w:rPr>
          <w:rFonts w:ascii="Calibri" w:eastAsia="Calibri" w:hAnsi="Calibri" w:cs="Calibri"/>
          <w:color w:val="000000"/>
        </w:rPr>
        <w:t xml:space="preserve"> </w:t>
      </w:r>
      <w:proofErr w:type="spellStart"/>
      <w:proofErr w:type="gramStart"/>
      <w:r>
        <w:rPr>
          <w:rFonts w:ascii="Calibri" w:eastAsia="Calibri" w:hAnsi="Calibri" w:cs="Calibri"/>
          <w:color w:val="000000"/>
        </w:rPr>
        <w:t>iSIKHNAS</w:t>
      </w:r>
      <w:proofErr w:type="spellEnd"/>
      <w:r>
        <w:rPr>
          <w:rFonts w:ascii="Calibri" w:eastAsia="Calibri" w:hAnsi="Calibri" w:cs="Calibri"/>
          <w:color w:val="000000"/>
        </w:rPr>
        <w:t>;</w:t>
      </w:r>
      <w:proofErr w:type="gramEnd"/>
    </w:p>
    <w:p w14:paraId="35872352" w14:textId="77777777" w:rsidR="006B1C8E" w:rsidRDefault="006B1C8E" w:rsidP="006B1C8E">
      <w:pPr>
        <w:pStyle w:val="ListParagraph"/>
        <w:numPr>
          <w:ilvl w:val="0"/>
          <w:numId w:val="3"/>
        </w:numPr>
        <w:pBdr>
          <w:top w:val="nil"/>
          <w:left w:val="nil"/>
          <w:bottom w:val="nil"/>
          <w:right w:val="nil"/>
          <w:between w:val="nil"/>
        </w:pBdr>
        <w:spacing w:after="0" w:line="240" w:lineRule="auto"/>
        <w:ind w:left="720"/>
      </w:pPr>
      <w:r>
        <w:rPr>
          <w:rFonts w:ascii="Calibri" w:eastAsia="Calibri" w:hAnsi="Calibri" w:cs="Calibri"/>
          <w:color w:val="000000"/>
        </w:rPr>
        <w:lastRenderedPageBreak/>
        <w:t xml:space="preserve">Integration of human and animal health surveillance systems, involving coordination with </w:t>
      </w:r>
      <w:r w:rsidRPr="48362220">
        <w:rPr>
          <w:rFonts w:ascii="Calibri" w:eastAsia="Calibri" w:hAnsi="Calibri" w:cs="Calibri"/>
          <w:lang w:val="en-US"/>
        </w:rPr>
        <w:t xml:space="preserve">MoH, </w:t>
      </w:r>
      <w:proofErr w:type="spellStart"/>
      <w:r w:rsidRPr="48362220">
        <w:rPr>
          <w:rFonts w:ascii="Calibri" w:eastAsia="Calibri" w:hAnsi="Calibri" w:cs="Calibri"/>
          <w:lang w:val="en-US"/>
        </w:rPr>
        <w:t>MoA</w:t>
      </w:r>
      <w:proofErr w:type="spellEnd"/>
      <w:r w:rsidRPr="48362220">
        <w:rPr>
          <w:rFonts w:ascii="Calibri" w:eastAsia="Calibri" w:hAnsi="Calibri" w:cs="Calibri"/>
          <w:lang w:val="en-US"/>
        </w:rPr>
        <w:t xml:space="preserve"> and </w:t>
      </w:r>
      <w:proofErr w:type="spellStart"/>
      <w:r w:rsidRPr="48362220">
        <w:rPr>
          <w:rFonts w:ascii="Calibri" w:eastAsia="Calibri" w:hAnsi="Calibri" w:cs="Calibri"/>
          <w:lang w:val="en-US"/>
        </w:rPr>
        <w:t>MoEF</w:t>
      </w:r>
      <w:proofErr w:type="spellEnd"/>
      <w:r w:rsidRPr="48362220">
        <w:rPr>
          <w:rFonts w:ascii="Calibri" w:eastAsia="Calibri" w:hAnsi="Calibri" w:cs="Calibri"/>
          <w:lang w:val="en-US"/>
        </w:rPr>
        <w:t xml:space="preserve"> and collaboration between donor </w:t>
      </w:r>
      <w:proofErr w:type="gramStart"/>
      <w:r w:rsidRPr="48362220">
        <w:rPr>
          <w:rFonts w:ascii="Calibri" w:eastAsia="Calibri" w:hAnsi="Calibri" w:cs="Calibri"/>
          <w:lang w:val="en-US"/>
        </w:rPr>
        <w:t>agencies</w:t>
      </w:r>
      <w:r>
        <w:rPr>
          <w:rFonts w:ascii="Calibri" w:eastAsia="Calibri" w:hAnsi="Calibri" w:cs="Calibri"/>
          <w:lang w:val="en-US"/>
        </w:rPr>
        <w:t>;</w:t>
      </w:r>
      <w:proofErr w:type="gramEnd"/>
      <w:r>
        <w:rPr>
          <w:rFonts w:ascii="Calibri" w:eastAsia="Calibri" w:hAnsi="Calibri" w:cs="Calibri"/>
          <w:color w:val="000000"/>
        </w:rPr>
        <w:t xml:space="preserve"> </w:t>
      </w:r>
    </w:p>
    <w:p w14:paraId="1C62E1D3" w14:textId="7969E09F" w:rsidR="006B1C8E" w:rsidRDefault="006B1C8E" w:rsidP="006B1C8E">
      <w:pPr>
        <w:pStyle w:val="ListParagraph"/>
        <w:numPr>
          <w:ilvl w:val="0"/>
          <w:numId w:val="3"/>
        </w:numPr>
        <w:pBdr>
          <w:top w:val="nil"/>
          <w:left w:val="nil"/>
          <w:bottom w:val="nil"/>
          <w:right w:val="nil"/>
          <w:between w:val="nil"/>
        </w:pBdr>
        <w:spacing w:after="0" w:line="240" w:lineRule="auto"/>
        <w:ind w:left="720"/>
      </w:pPr>
      <w:r w:rsidRPr="00B93ECB">
        <w:rPr>
          <w:rFonts w:ascii="Calibri" w:eastAsia="Calibri" w:hAnsi="Calibri" w:cs="Calibri"/>
          <w:color w:val="000000"/>
        </w:rPr>
        <w:t>Develop</w:t>
      </w:r>
      <w:r>
        <w:rPr>
          <w:rFonts w:ascii="Calibri" w:eastAsia="Calibri" w:hAnsi="Calibri" w:cs="Calibri"/>
          <w:color w:val="000000"/>
        </w:rPr>
        <w:t>ment of</w:t>
      </w:r>
      <w:r w:rsidRPr="00B93ECB">
        <w:rPr>
          <w:rFonts w:ascii="Calibri" w:eastAsia="Calibri" w:hAnsi="Calibri" w:cs="Calibri"/>
          <w:color w:val="000000"/>
        </w:rPr>
        <w:t xml:space="preserve"> animal health surveillance guidelines and diagnostics capability</w:t>
      </w:r>
      <w:r>
        <w:rPr>
          <w:rFonts w:ascii="Calibri" w:eastAsia="Calibri" w:hAnsi="Calibri" w:cs="Calibri"/>
          <w:color w:val="000000"/>
        </w:rPr>
        <w:t xml:space="preserve"> in collaboration with CSIRO</w:t>
      </w:r>
      <w:r w:rsidR="00146BA9">
        <w:rPr>
          <w:rFonts w:ascii="Calibri" w:eastAsia="Calibri" w:hAnsi="Calibri" w:cs="Calibri"/>
          <w:color w:val="000000"/>
        </w:rPr>
        <w:t>-ACDP</w:t>
      </w:r>
      <w:r w:rsidR="00133F44">
        <w:rPr>
          <w:rFonts w:ascii="Calibri" w:eastAsia="Calibri" w:hAnsi="Calibri" w:cs="Calibri"/>
          <w:color w:val="000000"/>
        </w:rPr>
        <w:t xml:space="preserve"> and </w:t>
      </w:r>
      <w:r w:rsidR="00133F44">
        <w:rPr>
          <w:rFonts w:ascii="Calibri" w:eastAsia="Calibri" w:hAnsi="Calibri" w:cs="Calibri"/>
        </w:rPr>
        <w:t>DFAT’s Centre for Health Security</w:t>
      </w:r>
      <w:r w:rsidRPr="00B93ECB">
        <w:rPr>
          <w:rFonts w:ascii="Calibri" w:eastAsia="Calibri" w:hAnsi="Calibri" w:cs="Calibri"/>
          <w:color w:val="000000"/>
        </w:rPr>
        <w:t>.</w:t>
      </w:r>
    </w:p>
    <w:p w14:paraId="187E17BF" w14:textId="2FB5F9A5" w:rsidR="006B1C8E" w:rsidRPr="00034AED" w:rsidRDefault="006B1C8E" w:rsidP="006B1C8E">
      <w:pPr>
        <w:pStyle w:val="ListParagraph"/>
        <w:pBdr>
          <w:top w:val="nil"/>
          <w:left w:val="nil"/>
          <w:bottom w:val="nil"/>
          <w:right w:val="nil"/>
          <w:between w:val="nil"/>
        </w:pBdr>
        <w:spacing w:after="0" w:line="240" w:lineRule="auto"/>
        <w:ind w:left="0"/>
      </w:pPr>
      <w:r>
        <w:rPr>
          <w:rFonts w:ascii="Calibri" w:eastAsia="Calibri" w:hAnsi="Calibri" w:cs="Calibri"/>
          <w:color w:val="000000"/>
        </w:rPr>
        <w:br/>
      </w:r>
      <w:r w:rsidRPr="00B93ECB">
        <w:rPr>
          <w:rFonts w:ascii="Calibri" w:eastAsia="Calibri" w:hAnsi="Calibri" w:cs="Calibri"/>
          <w:color w:val="000000"/>
        </w:rPr>
        <w:t xml:space="preserve">WHO to continue supporting </w:t>
      </w:r>
      <w:r>
        <w:rPr>
          <w:rFonts w:ascii="Calibri" w:eastAsia="Calibri" w:hAnsi="Calibri" w:cs="Calibri"/>
          <w:color w:val="000000"/>
        </w:rPr>
        <w:t xml:space="preserve">the </w:t>
      </w:r>
      <w:r w:rsidRPr="00B93ECB">
        <w:rPr>
          <w:rFonts w:ascii="Calibri" w:eastAsia="Calibri" w:hAnsi="Calibri" w:cs="Calibri"/>
          <w:color w:val="000000"/>
        </w:rPr>
        <w:t>roll out of sentinel site surveillance for influenza and novel viruses</w:t>
      </w:r>
      <w:r>
        <w:rPr>
          <w:rFonts w:ascii="Calibri" w:eastAsia="Calibri" w:hAnsi="Calibri" w:cs="Calibri"/>
          <w:color w:val="000000"/>
        </w:rPr>
        <w:t xml:space="preserve"> </w:t>
      </w:r>
      <w:r w:rsidRPr="00392501">
        <w:rPr>
          <w:rFonts w:ascii="Calibri" w:eastAsia="Calibri" w:hAnsi="Calibri" w:cs="Calibri"/>
          <w:i/>
          <w:iCs/>
          <w:color w:val="000000"/>
        </w:rPr>
        <w:t>(see section 3.1.2)</w:t>
      </w:r>
      <w:r w:rsidR="007444CE">
        <w:rPr>
          <w:rFonts w:ascii="Calibri" w:eastAsia="Calibri" w:hAnsi="Calibri" w:cs="Calibri"/>
          <w:i/>
          <w:iCs/>
          <w:color w:val="000000"/>
        </w:rPr>
        <w:t>.</w:t>
      </w:r>
    </w:p>
    <w:p w14:paraId="3861C7CA" w14:textId="77777777" w:rsidR="006B1C8E" w:rsidRDefault="006B1C8E" w:rsidP="006B1C8E">
      <w:pPr>
        <w:pStyle w:val="ListParagraph"/>
        <w:pBdr>
          <w:top w:val="nil"/>
          <w:left w:val="nil"/>
          <w:bottom w:val="nil"/>
          <w:right w:val="nil"/>
          <w:between w:val="nil"/>
        </w:pBdr>
        <w:spacing w:after="0" w:line="240" w:lineRule="auto"/>
      </w:pPr>
    </w:p>
    <w:p w14:paraId="1A3A5C36" w14:textId="77777777" w:rsidR="006B1C8E" w:rsidRPr="000474DF" w:rsidRDefault="006B1C8E" w:rsidP="006B1C8E">
      <w:pPr>
        <w:pStyle w:val="ListParagraph"/>
        <w:numPr>
          <w:ilvl w:val="0"/>
          <w:numId w:val="4"/>
        </w:numPr>
        <w:pBdr>
          <w:top w:val="nil"/>
          <w:left w:val="nil"/>
          <w:bottom w:val="nil"/>
          <w:right w:val="nil"/>
          <w:between w:val="nil"/>
        </w:pBdr>
        <w:spacing w:after="0" w:line="240" w:lineRule="auto"/>
      </w:pPr>
      <w:r w:rsidRPr="00B93ECB">
        <w:rPr>
          <w:rFonts w:ascii="Calibri" w:eastAsia="Calibri" w:hAnsi="Calibri" w:cs="Calibri"/>
          <w:b/>
          <w:color w:val="000000"/>
        </w:rPr>
        <w:t xml:space="preserve">Share </w:t>
      </w:r>
      <w:r>
        <w:rPr>
          <w:rFonts w:ascii="Calibri" w:eastAsia="Calibri" w:hAnsi="Calibri" w:cs="Calibri"/>
          <w:b/>
          <w:color w:val="000000"/>
        </w:rPr>
        <w:t>lessons</w:t>
      </w:r>
      <w:r w:rsidRPr="00B93ECB">
        <w:rPr>
          <w:rFonts w:ascii="Calibri" w:eastAsia="Calibri" w:hAnsi="Calibri" w:cs="Calibri"/>
          <w:b/>
          <w:color w:val="000000"/>
        </w:rPr>
        <w:t xml:space="preserve"> </w:t>
      </w:r>
      <w:r>
        <w:rPr>
          <w:rFonts w:ascii="Calibri" w:eastAsia="Calibri" w:hAnsi="Calibri" w:cs="Calibri"/>
          <w:b/>
          <w:color w:val="000000"/>
        </w:rPr>
        <w:t xml:space="preserve">and advocate for systematic use of </w:t>
      </w:r>
      <w:r w:rsidRPr="00B93ECB">
        <w:rPr>
          <w:rFonts w:ascii="Calibri" w:eastAsia="Calibri" w:hAnsi="Calibri" w:cs="Calibri"/>
          <w:b/>
          <w:color w:val="000000"/>
        </w:rPr>
        <w:t>inclusive service delivery:</w:t>
      </w:r>
      <w:r w:rsidRPr="00B93ECB">
        <w:rPr>
          <w:rFonts w:ascii="Calibri" w:eastAsia="Calibri" w:hAnsi="Calibri" w:cs="Calibri"/>
          <w:color w:val="000000"/>
        </w:rPr>
        <w:t xml:space="preserve"> </w:t>
      </w:r>
    </w:p>
    <w:p w14:paraId="4BF05690" w14:textId="7110D70C" w:rsidR="006B1C8E" w:rsidRDefault="006B1C8E" w:rsidP="006B1C8E">
      <w:p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AIHSP </w:t>
      </w:r>
      <w:r w:rsidRPr="004B0F28">
        <w:rPr>
          <w:rFonts w:ascii="Calibri" w:eastAsia="Calibri" w:hAnsi="Calibri" w:cs="Calibri"/>
          <w:color w:val="000000"/>
        </w:rPr>
        <w:t xml:space="preserve">to share lessons learnt on </w:t>
      </w:r>
      <w:r>
        <w:rPr>
          <w:rFonts w:ascii="Calibri" w:eastAsia="Calibri" w:hAnsi="Calibri" w:cs="Calibri"/>
          <w:color w:val="000000"/>
        </w:rPr>
        <w:t xml:space="preserve">its inclusive </w:t>
      </w:r>
      <w:r w:rsidRPr="004B0F28">
        <w:rPr>
          <w:rFonts w:ascii="Calibri" w:eastAsia="Calibri" w:hAnsi="Calibri" w:cs="Calibri"/>
          <w:color w:val="000000"/>
        </w:rPr>
        <w:t xml:space="preserve">COVID-19 vaccination </w:t>
      </w:r>
      <w:r>
        <w:rPr>
          <w:rFonts w:ascii="Calibri" w:eastAsia="Calibri" w:hAnsi="Calibri" w:cs="Calibri"/>
          <w:color w:val="000000"/>
        </w:rPr>
        <w:t xml:space="preserve">for at-risk populations including people with disabilities and the elderly </w:t>
      </w:r>
      <w:r w:rsidRPr="004B0F28">
        <w:rPr>
          <w:rFonts w:ascii="Calibri" w:eastAsia="Calibri" w:hAnsi="Calibri" w:cs="Calibri"/>
          <w:color w:val="000000"/>
        </w:rPr>
        <w:t xml:space="preserve">with the </w:t>
      </w:r>
      <w:proofErr w:type="spellStart"/>
      <w:r w:rsidRPr="004B0F28">
        <w:rPr>
          <w:rFonts w:ascii="Calibri" w:eastAsia="Calibri" w:hAnsi="Calibri" w:cs="Calibri"/>
          <w:color w:val="000000"/>
        </w:rPr>
        <w:t>GoI</w:t>
      </w:r>
      <w:proofErr w:type="spellEnd"/>
      <w:r>
        <w:rPr>
          <w:rFonts w:ascii="Calibri" w:eastAsia="Calibri" w:hAnsi="Calibri" w:cs="Calibri"/>
          <w:color w:val="000000"/>
        </w:rPr>
        <w:t>,</w:t>
      </w:r>
      <w:r w:rsidRPr="004B0F28">
        <w:rPr>
          <w:rFonts w:ascii="Calibri" w:eastAsia="Calibri" w:hAnsi="Calibri" w:cs="Calibri"/>
          <w:color w:val="000000"/>
        </w:rPr>
        <w:t xml:space="preserve"> </w:t>
      </w:r>
      <w:r>
        <w:rPr>
          <w:rFonts w:ascii="Calibri" w:eastAsia="Calibri" w:hAnsi="Calibri" w:cs="Calibri"/>
          <w:color w:val="000000"/>
        </w:rPr>
        <w:t>primarily</w:t>
      </w:r>
      <w:r w:rsidRPr="004B0F28">
        <w:rPr>
          <w:rFonts w:ascii="Calibri" w:eastAsia="Calibri" w:hAnsi="Calibri" w:cs="Calibri"/>
          <w:color w:val="000000"/>
        </w:rPr>
        <w:t xml:space="preserve"> the MoH and the </w:t>
      </w:r>
      <w:proofErr w:type="spellStart"/>
      <w:r w:rsidRPr="004B0F28">
        <w:rPr>
          <w:rFonts w:ascii="Calibri" w:eastAsia="Calibri" w:hAnsi="Calibri" w:cs="Calibri"/>
          <w:color w:val="000000"/>
        </w:rPr>
        <w:t>MoHA</w:t>
      </w:r>
      <w:proofErr w:type="spellEnd"/>
      <w:r>
        <w:rPr>
          <w:rFonts w:ascii="Calibri" w:eastAsia="Calibri" w:hAnsi="Calibri" w:cs="Calibri"/>
          <w:color w:val="000000"/>
        </w:rPr>
        <w:t>. AIHSP to also advocate for, and support</w:t>
      </w:r>
      <w:r w:rsidRPr="004B0F28">
        <w:rPr>
          <w:rFonts w:ascii="Calibri" w:eastAsia="Calibri" w:hAnsi="Calibri" w:cs="Calibri"/>
          <w:color w:val="000000"/>
        </w:rPr>
        <w:t xml:space="preserve"> these approaches </w:t>
      </w:r>
      <w:r>
        <w:rPr>
          <w:rFonts w:ascii="Calibri" w:eastAsia="Calibri" w:hAnsi="Calibri" w:cs="Calibri"/>
          <w:color w:val="000000"/>
        </w:rPr>
        <w:t>being</w:t>
      </w:r>
      <w:r w:rsidRPr="004B0F28">
        <w:rPr>
          <w:rFonts w:ascii="Calibri" w:eastAsia="Calibri" w:hAnsi="Calibri" w:cs="Calibri"/>
          <w:color w:val="000000"/>
        </w:rPr>
        <w:t xml:space="preserve"> </w:t>
      </w:r>
      <w:r>
        <w:rPr>
          <w:rFonts w:ascii="Calibri" w:eastAsia="Calibri" w:hAnsi="Calibri" w:cs="Calibri"/>
          <w:color w:val="000000"/>
        </w:rPr>
        <w:t xml:space="preserve">embedded within these ministries so that they can be systematically </w:t>
      </w:r>
      <w:r w:rsidR="007444CE">
        <w:rPr>
          <w:rFonts w:ascii="Calibri" w:eastAsia="Calibri" w:hAnsi="Calibri" w:cs="Calibri"/>
          <w:color w:val="000000"/>
        </w:rPr>
        <w:t>applied to</w:t>
      </w:r>
      <w:r w:rsidRPr="004B0F28">
        <w:rPr>
          <w:rFonts w:ascii="Calibri" w:eastAsia="Calibri" w:hAnsi="Calibri" w:cs="Calibri"/>
          <w:color w:val="000000"/>
        </w:rPr>
        <w:t xml:space="preserve"> other health service delivery</w:t>
      </w:r>
      <w:r>
        <w:rPr>
          <w:rFonts w:ascii="Calibri" w:eastAsia="Calibri" w:hAnsi="Calibri" w:cs="Calibri"/>
          <w:color w:val="000000"/>
        </w:rPr>
        <w:t xml:space="preserve">. This </w:t>
      </w:r>
      <w:r w:rsidR="00036618">
        <w:rPr>
          <w:rFonts w:ascii="Calibri" w:eastAsia="Calibri" w:hAnsi="Calibri" w:cs="Calibri"/>
          <w:color w:val="000000"/>
        </w:rPr>
        <w:t>c</w:t>
      </w:r>
      <w:r>
        <w:rPr>
          <w:rFonts w:ascii="Calibri" w:eastAsia="Calibri" w:hAnsi="Calibri" w:cs="Calibri"/>
          <w:color w:val="000000"/>
        </w:rPr>
        <w:t>ould include</w:t>
      </w:r>
      <w:r w:rsidRPr="004B0F28">
        <w:rPr>
          <w:rFonts w:ascii="Calibri" w:eastAsia="Calibri" w:hAnsi="Calibri" w:cs="Calibri"/>
          <w:color w:val="000000"/>
        </w:rPr>
        <w:t xml:space="preserve"> implementation of </w:t>
      </w:r>
      <w:r w:rsidR="00586C1C">
        <w:rPr>
          <w:rFonts w:ascii="Calibri" w:eastAsia="Calibri" w:hAnsi="Calibri" w:cs="Calibri"/>
          <w:color w:val="000000"/>
        </w:rPr>
        <w:t>the guidebook</w:t>
      </w:r>
      <w:r w:rsidRPr="004B0F28">
        <w:rPr>
          <w:rFonts w:ascii="Calibri" w:eastAsia="Calibri" w:hAnsi="Calibri" w:cs="Calibri"/>
          <w:color w:val="000000"/>
        </w:rPr>
        <w:t xml:space="preserve"> for conducting inclusive vaccination events and risk communication campaigns developed by </w:t>
      </w:r>
      <w:proofErr w:type="gramStart"/>
      <w:r w:rsidRPr="004B0F28">
        <w:rPr>
          <w:rFonts w:ascii="Calibri" w:eastAsia="Calibri" w:hAnsi="Calibri" w:cs="Calibri"/>
          <w:color w:val="000000"/>
        </w:rPr>
        <w:t>ID.COMM</w:t>
      </w:r>
      <w:proofErr w:type="gramEnd"/>
      <w:r>
        <w:rPr>
          <w:rFonts w:ascii="Calibri" w:eastAsia="Calibri" w:hAnsi="Calibri" w:cs="Calibri"/>
          <w:color w:val="000000"/>
        </w:rPr>
        <w:t xml:space="preserve"> </w:t>
      </w:r>
      <w:r w:rsidRPr="00A43656">
        <w:rPr>
          <w:rFonts w:ascii="Calibri" w:eastAsia="Calibri" w:hAnsi="Calibri" w:cs="Calibri"/>
          <w:i/>
          <w:iCs/>
          <w:color w:val="000000"/>
        </w:rPr>
        <w:t>(see section 7.2)</w:t>
      </w:r>
      <w:r w:rsidR="00036618">
        <w:rPr>
          <w:rFonts w:ascii="Calibri" w:eastAsia="Calibri" w:hAnsi="Calibri" w:cs="Calibri"/>
          <w:i/>
          <w:iCs/>
          <w:color w:val="000000"/>
        </w:rPr>
        <w:t xml:space="preserve"> </w:t>
      </w:r>
      <w:r w:rsidR="00036618" w:rsidRPr="00036618">
        <w:rPr>
          <w:rFonts w:ascii="Calibri" w:eastAsia="Calibri" w:hAnsi="Calibri" w:cs="Calibri"/>
          <w:color w:val="000000"/>
        </w:rPr>
        <w:t>and updating national and sub-national service delivery guidelines</w:t>
      </w:r>
      <w:r w:rsidRPr="004B0F28">
        <w:rPr>
          <w:rFonts w:ascii="Calibri" w:eastAsia="Calibri" w:hAnsi="Calibri" w:cs="Calibri"/>
          <w:color w:val="000000"/>
        </w:rPr>
        <w:t>.</w:t>
      </w:r>
    </w:p>
    <w:p w14:paraId="5E35AF12" w14:textId="5AAFFAF4" w:rsidR="006B1C8E" w:rsidRPr="004B0F28" w:rsidRDefault="006B1C8E" w:rsidP="006B1C8E">
      <w:pPr>
        <w:pBdr>
          <w:top w:val="nil"/>
          <w:left w:val="nil"/>
          <w:bottom w:val="nil"/>
          <w:right w:val="nil"/>
          <w:between w:val="nil"/>
        </w:pBdr>
        <w:spacing w:after="120" w:line="240" w:lineRule="auto"/>
      </w:pPr>
      <w:r>
        <w:rPr>
          <w:rFonts w:ascii="Calibri" w:eastAsia="Calibri" w:hAnsi="Calibri" w:cs="Calibri"/>
          <w:color w:val="000000"/>
        </w:rPr>
        <w:t>AIHSP, WHO and UNICEF to c</w:t>
      </w:r>
      <w:r w:rsidRPr="004B0F28">
        <w:rPr>
          <w:rFonts w:ascii="Calibri" w:eastAsia="Calibri" w:hAnsi="Calibri" w:cs="Calibri"/>
          <w:color w:val="000000"/>
        </w:rPr>
        <w:t xml:space="preserve">ontinue to advocate for </w:t>
      </w:r>
      <w:r w:rsidR="007444CE">
        <w:rPr>
          <w:rFonts w:ascii="Calibri" w:eastAsia="Calibri" w:hAnsi="Calibri" w:cs="Calibri"/>
          <w:color w:val="000000"/>
        </w:rPr>
        <w:t xml:space="preserve">the collection of </w:t>
      </w:r>
      <w:r w:rsidRPr="004B0F28">
        <w:rPr>
          <w:rFonts w:ascii="Calibri" w:eastAsia="Calibri" w:hAnsi="Calibri" w:cs="Calibri"/>
          <w:color w:val="000000"/>
        </w:rPr>
        <w:t xml:space="preserve">disaggregated data </w:t>
      </w:r>
      <w:r>
        <w:rPr>
          <w:rFonts w:ascii="Calibri" w:eastAsia="Calibri" w:hAnsi="Calibri" w:cs="Calibri"/>
          <w:color w:val="000000"/>
        </w:rPr>
        <w:t xml:space="preserve">for health service delivery </w:t>
      </w:r>
      <w:r w:rsidRPr="004B0F28">
        <w:rPr>
          <w:rFonts w:ascii="Calibri" w:eastAsia="Calibri" w:hAnsi="Calibri" w:cs="Calibri"/>
          <w:color w:val="000000"/>
        </w:rPr>
        <w:t xml:space="preserve">for </w:t>
      </w:r>
      <w:r>
        <w:rPr>
          <w:rFonts w:ascii="Calibri" w:eastAsia="Calibri" w:hAnsi="Calibri" w:cs="Calibri"/>
          <w:color w:val="000000"/>
        </w:rPr>
        <w:t xml:space="preserve">each </w:t>
      </w:r>
      <w:r w:rsidRPr="004B0F28">
        <w:rPr>
          <w:rFonts w:ascii="Calibri" w:eastAsia="Calibri" w:hAnsi="Calibri" w:cs="Calibri"/>
          <w:color w:val="000000"/>
        </w:rPr>
        <w:t>at-risk group</w:t>
      </w:r>
      <w:r>
        <w:rPr>
          <w:rFonts w:ascii="Calibri" w:eastAsia="Calibri" w:hAnsi="Calibri" w:cs="Calibri"/>
          <w:color w:val="000000"/>
        </w:rPr>
        <w:t xml:space="preserve">, including for people with disabilities by sex </w:t>
      </w:r>
      <w:r w:rsidRPr="00890DFB">
        <w:rPr>
          <w:rFonts w:ascii="Calibri" w:eastAsia="Calibri" w:hAnsi="Calibri" w:cs="Calibri"/>
          <w:i/>
          <w:iCs/>
          <w:color w:val="000000"/>
        </w:rPr>
        <w:t>(see section 7.2)</w:t>
      </w:r>
      <w:r>
        <w:rPr>
          <w:rFonts w:ascii="Calibri" w:eastAsia="Calibri" w:hAnsi="Calibri" w:cs="Calibri"/>
          <w:color w:val="000000"/>
        </w:rPr>
        <w:t>.</w:t>
      </w:r>
    </w:p>
    <w:p w14:paraId="4C8A40CC" w14:textId="77777777" w:rsidR="006B1C8E" w:rsidRPr="00AB20E6" w:rsidRDefault="006B1C8E" w:rsidP="00AB20E6">
      <w:pPr>
        <w:pStyle w:val="ListParagraph"/>
        <w:numPr>
          <w:ilvl w:val="0"/>
          <w:numId w:val="4"/>
        </w:numPr>
        <w:rPr>
          <w:b/>
          <w:bCs/>
        </w:rPr>
      </w:pPr>
      <w:bookmarkStart w:id="160" w:name="_Hlk137118191"/>
      <w:r w:rsidRPr="00AB20E6">
        <w:rPr>
          <w:b/>
          <w:bCs/>
        </w:rPr>
        <w:t xml:space="preserve">Support One Health initiatives: </w:t>
      </w:r>
    </w:p>
    <w:p w14:paraId="6EE4A43A" w14:textId="1C9A29CE" w:rsidR="006B1C8E" w:rsidRDefault="006B1C8E" w:rsidP="006B1C8E">
      <w:pPr>
        <w:pBdr>
          <w:top w:val="nil"/>
          <w:left w:val="nil"/>
          <w:bottom w:val="nil"/>
          <w:right w:val="nil"/>
          <w:between w:val="nil"/>
        </w:pBdr>
        <w:spacing w:after="120" w:line="240" w:lineRule="auto"/>
        <w:rPr>
          <w:rFonts w:ascii="Calibri" w:eastAsia="Calibri" w:hAnsi="Calibri" w:cs="Calibri"/>
          <w:color w:val="000000"/>
        </w:rPr>
      </w:pPr>
      <w:r w:rsidRPr="000474DF">
        <w:rPr>
          <w:rFonts w:ascii="Calibri" w:eastAsia="Calibri" w:hAnsi="Calibri" w:cs="Calibri"/>
          <w:color w:val="000000"/>
        </w:rPr>
        <w:t xml:space="preserve">AIHSP </w:t>
      </w:r>
      <w:r>
        <w:rPr>
          <w:rFonts w:ascii="Calibri" w:eastAsia="Calibri" w:hAnsi="Calibri" w:cs="Calibri"/>
          <w:color w:val="000000"/>
        </w:rPr>
        <w:t xml:space="preserve">to </w:t>
      </w:r>
      <w:r w:rsidRPr="000474DF">
        <w:rPr>
          <w:rFonts w:ascii="Calibri" w:eastAsia="Calibri" w:hAnsi="Calibri" w:cs="Calibri"/>
          <w:color w:val="000000"/>
        </w:rPr>
        <w:t xml:space="preserve">continue supporting </w:t>
      </w:r>
      <w:r w:rsidR="00961C18">
        <w:rPr>
          <w:rFonts w:ascii="Calibri" w:eastAsia="Calibri" w:hAnsi="Calibri" w:cs="Calibri"/>
          <w:color w:val="000000"/>
        </w:rPr>
        <w:t xml:space="preserve">development of </w:t>
      </w:r>
      <w:r>
        <w:rPr>
          <w:rFonts w:ascii="Calibri" w:eastAsia="Calibri" w:hAnsi="Calibri" w:cs="Calibri"/>
          <w:color w:val="000000"/>
        </w:rPr>
        <w:t xml:space="preserve">the One Health multistakeholder structures at provincial, </w:t>
      </w:r>
      <w:proofErr w:type="gramStart"/>
      <w:r>
        <w:rPr>
          <w:rFonts w:ascii="Calibri" w:eastAsia="Calibri" w:hAnsi="Calibri" w:cs="Calibri"/>
          <w:color w:val="000000"/>
        </w:rPr>
        <w:t>district</w:t>
      </w:r>
      <w:proofErr w:type="gramEnd"/>
      <w:r>
        <w:rPr>
          <w:rFonts w:ascii="Calibri" w:eastAsia="Calibri" w:hAnsi="Calibri" w:cs="Calibri"/>
          <w:color w:val="000000"/>
        </w:rPr>
        <w:t xml:space="preserve"> and village level, including </w:t>
      </w:r>
      <w:r w:rsidRPr="000474DF">
        <w:rPr>
          <w:rFonts w:ascii="Calibri" w:eastAsia="Calibri" w:hAnsi="Calibri" w:cs="Calibri"/>
          <w:color w:val="000000"/>
        </w:rPr>
        <w:t>testing of capabilities in an emergency response</w:t>
      </w:r>
      <w:r>
        <w:rPr>
          <w:rFonts w:ascii="Calibri" w:eastAsia="Calibri" w:hAnsi="Calibri" w:cs="Calibri"/>
          <w:color w:val="000000"/>
        </w:rPr>
        <w:t xml:space="preserve">. AIHSP to continue to support the </w:t>
      </w:r>
      <w:proofErr w:type="spellStart"/>
      <w:r>
        <w:rPr>
          <w:rFonts w:ascii="Calibri" w:eastAsia="Calibri" w:hAnsi="Calibri" w:cs="Calibri"/>
          <w:color w:val="000000"/>
        </w:rPr>
        <w:t>GoI’s</w:t>
      </w:r>
      <w:proofErr w:type="spellEnd"/>
      <w:r>
        <w:rPr>
          <w:rFonts w:ascii="Calibri" w:eastAsia="Calibri" w:hAnsi="Calibri" w:cs="Calibri"/>
          <w:color w:val="000000"/>
        </w:rPr>
        <w:t xml:space="preserve"> national and regional leadership in One Health, including</w:t>
      </w:r>
      <w:r w:rsidR="00A5711E">
        <w:rPr>
          <w:rFonts w:ascii="Calibri" w:eastAsia="Calibri" w:hAnsi="Calibri" w:cs="Calibri"/>
          <w:color w:val="000000"/>
        </w:rPr>
        <w:t xml:space="preserve"> its Chairmanship of ASEAN and</w:t>
      </w:r>
      <w:r>
        <w:rPr>
          <w:rFonts w:ascii="Calibri" w:eastAsia="Calibri" w:hAnsi="Calibri" w:cs="Calibri"/>
          <w:color w:val="000000"/>
        </w:rPr>
        <w:t xml:space="preserve"> application of a One Health lens to policymaking on preparedness and prevention.</w:t>
      </w:r>
    </w:p>
    <w:p w14:paraId="547D4845" w14:textId="371AF036" w:rsidR="006B1C8E" w:rsidRPr="00B93ECB" w:rsidRDefault="00961C18" w:rsidP="006B1C8E">
      <w:pPr>
        <w:pBdr>
          <w:top w:val="nil"/>
          <w:left w:val="nil"/>
          <w:bottom w:val="nil"/>
          <w:right w:val="nil"/>
          <w:between w:val="nil"/>
        </w:pBdr>
        <w:spacing w:after="120" w:line="240" w:lineRule="auto"/>
      </w:pPr>
      <w:r>
        <w:rPr>
          <w:lang w:val="en-US"/>
        </w:rPr>
        <w:t>Support should</w:t>
      </w:r>
      <w:r w:rsidR="006B1C8E">
        <w:rPr>
          <w:lang w:val="en-US"/>
        </w:rPr>
        <w:t xml:space="preserve"> draw on the Tripartite Zoonoses Guide (TZG)</w:t>
      </w:r>
      <w:r>
        <w:rPr>
          <w:lang w:val="en-US"/>
        </w:rPr>
        <w:t xml:space="preserve"> and</w:t>
      </w:r>
      <w:r w:rsidR="006B1C8E">
        <w:rPr>
          <w:lang w:val="en-US"/>
        </w:rPr>
        <w:t xml:space="preserve"> include table-top exercises and advocating to </w:t>
      </w:r>
      <w:proofErr w:type="spellStart"/>
      <w:r>
        <w:rPr>
          <w:lang w:val="en-US"/>
        </w:rPr>
        <w:t>GoI</w:t>
      </w:r>
      <w:proofErr w:type="spellEnd"/>
      <w:r w:rsidR="006B1C8E">
        <w:rPr>
          <w:lang w:val="en-US"/>
        </w:rPr>
        <w:t xml:space="preserve"> to incorporate the structures into the evolving One Health Multisectoral coordination mechanisms for zoonoses</w:t>
      </w:r>
      <w:r>
        <w:rPr>
          <w:lang w:val="en-US"/>
        </w:rPr>
        <w:t xml:space="preserve"> </w:t>
      </w:r>
      <w:r w:rsidR="006B1C8E" w:rsidRPr="00992E82">
        <w:rPr>
          <w:rFonts w:ascii="Calibri" w:eastAsia="Calibri" w:hAnsi="Calibri" w:cs="Calibri"/>
          <w:i/>
          <w:iCs/>
          <w:color w:val="000000"/>
        </w:rPr>
        <w:t>(see section 3.1.3)</w:t>
      </w:r>
      <w:r w:rsidR="006B1C8E" w:rsidRPr="000474DF">
        <w:rPr>
          <w:rFonts w:ascii="Calibri" w:eastAsia="Calibri" w:hAnsi="Calibri" w:cs="Calibri"/>
          <w:color w:val="000000"/>
        </w:rPr>
        <w:t>.</w:t>
      </w:r>
    </w:p>
    <w:bookmarkEnd w:id="160"/>
    <w:p w14:paraId="654A5B00" w14:textId="167016B1" w:rsidR="006B1C8E" w:rsidRPr="000474DF" w:rsidRDefault="006B1C8E" w:rsidP="006B1C8E">
      <w:pPr>
        <w:pStyle w:val="ListParagraph"/>
        <w:numPr>
          <w:ilvl w:val="0"/>
          <w:numId w:val="4"/>
        </w:numPr>
        <w:pBdr>
          <w:top w:val="nil"/>
          <w:left w:val="nil"/>
          <w:bottom w:val="nil"/>
          <w:right w:val="nil"/>
          <w:between w:val="nil"/>
        </w:pBdr>
        <w:spacing w:after="0" w:line="240" w:lineRule="auto"/>
        <w:rPr>
          <w:rFonts w:ascii="Calibri" w:eastAsia="Calibri" w:hAnsi="Calibri" w:cs="Calibri"/>
          <w:color w:val="000000" w:themeColor="text1"/>
        </w:rPr>
      </w:pPr>
      <w:r w:rsidRPr="48362220">
        <w:rPr>
          <w:rFonts w:ascii="Calibri" w:eastAsia="Calibri" w:hAnsi="Calibri" w:cs="Calibri"/>
          <w:b/>
          <w:bCs/>
          <w:color w:val="000000" w:themeColor="text1"/>
        </w:rPr>
        <w:t>Continue targeted support for animal disease outbreaks:</w:t>
      </w:r>
      <w:r w:rsidRPr="48362220">
        <w:rPr>
          <w:rFonts w:ascii="Calibri" w:eastAsia="Calibri" w:hAnsi="Calibri" w:cs="Calibri"/>
          <w:color w:val="000000" w:themeColor="text1"/>
        </w:rPr>
        <w:t xml:space="preserve"> </w:t>
      </w:r>
    </w:p>
    <w:p w14:paraId="2DA337F8" w14:textId="0AE0727A" w:rsidR="006B1C8E" w:rsidRPr="00B93ECB" w:rsidRDefault="006B1C8E" w:rsidP="006B1C8E">
      <w:pPr>
        <w:pBdr>
          <w:top w:val="nil"/>
          <w:left w:val="nil"/>
          <w:bottom w:val="nil"/>
          <w:right w:val="nil"/>
          <w:between w:val="nil"/>
        </w:pBdr>
        <w:spacing w:after="120" w:line="240" w:lineRule="auto"/>
        <w:rPr>
          <w:rFonts w:ascii="Calibri" w:eastAsia="Calibri" w:hAnsi="Calibri" w:cs="Calibri"/>
          <w:color w:val="000000" w:themeColor="text1"/>
        </w:rPr>
      </w:pPr>
      <w:r w:rsidRPr="00CA022D">
        <w:rPr>
          <w:rFonts w:ascii="Calibri" w:eastAsia="Calibri" w:hAnsi="Calibri" w:cs="Calibri"/>
          <w:color w:val="000000" w:themeColor="text1"/>
        </w:rPr>
        <w:t xml:space="preserve">AIHSP and DFAT, in coordination with DAFF, to </w:t>
      </w:r>
      <w:r w:rsidRPr="004F174D">
        <w:t xml:space="preserve">continue to increase focus on </w:t>
      </w:r>
      <w:r>
        <w:t xml:space="preserve">animal </w:t>
      </w:r>
      <w:r w:rsidRPr="004F174D">
        <w:t>health systems strengthening</w:t>
      </w:r>
      <w:r>
        <w:t xml:space="preserve"> and</w:t>
      </w:r>
      <w:r w:rsidRPr="004F174D">
        <w:t xml:space="preserve"> DFAT t</w:t>
      </w:r>
      <w:r w:rsidRPr="48362220">
        <w:rPr>
          <w:rFonts w:ascii="Calibri" w:eastAsia="Calibri" w:hAnsi="Calibri" w:cs="Calibri"/>
          <w:color w:val="000000" w:themeColor="text1"/>
        </w:rPr>
        <w:t xml:space="preserve">o support this transition through consultations with government departments in Australia and with the </w:t>
      </w:r>
      <w:proofErr w:type="spellStart"/>
      <w:r w:rsidRPr="48362220">
        <w:rPr>
          <w:rFonts w:ascii="Calibri" w:eastAsia="Calibri" w:hAnsi="Calibri" w:cs="Calibri"/>
          <w:color w:val="000000" w:themeColor="text1"/>
        </w:rPr>
        <w:t>GoI</w:t>
      </w:r>
      <w:proofErr w:type="spellEnd"/>
      <w:r w:rsidRPr="48362220">
        <w:rPr>
          <w:rFonts w:ascii="Calibri" w:eastAsia="Calibri" w:hAnsi="Calibri" w:cs="Calibri"/>
          <w:color w:val="000000" w:themeColor="text1"/>
        </w:rPr>
        <w:t xml:space="preserve"> </w:t>
      </w:r>
      <w:r w:rsidRPr="48362220">
        <w:rPr>
          <w:rFonts w:ascii="Calibri" w:eastAsia="Calibri" w:hAnsi="Calibri" w:cs="Calibri"/>
          <w:i/>
          <w:iCs/>
          <w:color w:val="000000" w:themeColor="text1"/>
        </w:rPr>
        <w:t>(see section 3.1.1)</w:t>
      </w:r>
      <w:r w:rsidRPr="48362220">
        <w:rPr>
          <w:rFonts w:ascii="Calibri" w:eastAsia="Calibri" w:hAnsi="Calibri" w:cs="Calibri"/>
          <w:color w:val="000000" w:themeColor="text1"/>
        </w:rPr>
        <w:t>.</w:t>
      </w:r>
    </w:p>
    <w:p w14:paraId="69A6FDE2" w14:textId="77777777" w:rsidR="006B1C8E" w:rsidRPr="000474DF" w:rsidRDefault="006B1C8E" w:rsidP="006B1C8E">
      <w:pPr>
        <w:pStyle w:val="ListParagraph"/>
        <w:numPr>
          <w:ilvl w:val="0"/>
          <w:numId w:val="4"/>
        </w:numPr>
        <w:pBdr>
          <w:top w:val="nil"/>
          <w:left w:val="nil"/>
          <w:bottom w:val="nil"/>
          <w:right w:val="nil"/>
          <w:between w:val="nil"/>
        </w:pBdr>
        <w:spacing w:after="0" w:line="240" w:lineRule="auto"/>
        <w:rPr>
          <w:rFonts w:ascii="Calibri" w:eastAsia="Calibri" w:hAnsi="Calibri" w:cs="Calibri"/>
          <w:b/>
          <w:bCs/>
          <w:color w:val="000000" w:themeColor="text1"/>
        </w:rPr>
      </w:pPr>
      <w:r w:rsidRPr="48362220">
        <w:rPr>
          <w:rFonts w:ascii="Calibri" w:eastAsia="Calibri" w:hAnsi="Calibri" w:cs="Calibri"/>
          <w:b/>
          <w:bCs/>
          <w:color w:val="000000" w:themeColor="text1"/>
        </w:rPr>
        <w:t xml:space="preserve">Improve partner processes, capacity, </w:t>
      </w:r>
      <w:proofErr w:type="gramStart"/>
      <w:r w:rsidRPr="48362220">
        <w:rPr>
          <w:rFonts w:ascii="Calibri" w:eastAsia="Calibri" w:hAnsi="Calibri" w:cs="Calibri"/>
          <w:b/>
          <w:bCs/>
          <w:color w:val="000000" w:themeColor="text1"/>
        </w:rPr>
        <w:t>collaboration</w:t>
      </w:r>
      <w:proofErr w:type="gramEnd"/>
      <w:r w:rsidRPr="48362220">
        <w:rPr>
          <w:rFonts w:ascii="Calibri" w:eastAsia="Calibri" w:hAnsi="Calibri" w:cs="Calibri"/>
          <w:b/>
          <w:bCs/>
          <w:color w:val="000000" w:themeColor="text1"/>
        </w:rPr>
        <w:t xml:space="preserve"> and monitoring: </w:t>
      </w:r>
    </w:p>
    <w:p w14:paraId="4666AA4E" w14:textId="035B9B95" w:rsidR="006B1C8E" w:rsidRDefault="006B1C8E" w:rsidP="006B1C8E">
      <w:pPr>
        <w:pBdr>
          <w:top w:val="nil"/>
          <w:left w:val="nil"/>
          <w:bottom w:val="nil"/>
          <w:right w:val="nil"/>
          <w:between w:val="nil"/>
        </w:pBdr>
        <w:spacing w:after="120" w:line="240" w:lineRule="auto"/>
      </w:pPr>
      <w:r w:rsidRPr="008C6C7C">
        <w:rPr>
          <w:rFonts w:ascii="Calibri" w:eastAsia="Calibri" w:hAnsi="Calibri" w:cs="Calibri"/>
          <w:color w:val="000000"/>
        </w:rPr>
        <w:t xml:space="preserve">AIHSP to improve its regular communication and coordination with </w:t>
      </w:r>
      <w:proofErr w:type="spellStart"/>
      <w:r w:rsidRPr="008C6C7C">
        <w:rPr>
          <w:rFonts w:ascii="Calibri" w:eastAsia="Calibri" w:hAnsi="Calibri" w:cs="Calibri"/>
          <w:color w:val="000000"/>
        </w:rPr>
        <w:t>GoI</w:t>
      </w:r>
      <w:proofErr w:type="spellEnd"/>
      <w:r w:rsidRPr="008C6C7C">
        <w:rPr>
          <w:rFonts w:ascii="Calibri" w:eastAsia="Calibri" w:hAnsi="Calibri" w:cs="Calibri"/>
          <w:color w:val="000000"/>
        </w:rPr>
        <w:t xml:space="preserve">, implementing partners and other stakeholders, particularly at a sub-national level. </w:t>
      </w:r>
      <w:r w:rsidRPr="000474DF">
        <w:rPr>
          <w:rFonts w:ascii="Calibri" w:eastAsia="Calibri" w:hAnsi="Calibri" w:cs="Calibri"/>
          <w:color w:val="000000"/>
        </w:rPr>
        <w:t xml:space="preserve">AIHSP, WHO and UNICEF to strengthen collaboration and learning between each other as well as </w:t>
      </w:r>
      <w:r>
        <w:rPr>
          <w:rFonts w:ascii="Calibri" w:eastAsia="Calibri" w:hAnsi="Calibri" w:cs="Calibri"/>
          <w:color w:val="000000"/>
        </w:rPr>
        <w:t>between</w:t>
      </w:r>
      <w:r w:rsidRPr="000474DF">
        <w:rPr>
          <w:rFonts w:ascii="Calibri" w:eastAsia="Calibri" w:hAnsi="Calibri" w:cs="Calibri"/>
          <w:color w:val="000000"/>
        </w:rPr>
        <w:t xml:space="preserve"> </w:t>
      </w:r>
      <w:r w:rsidR="00BC3E39">
        <w:rPr>
          <w:rFonts w:ascii="Calibri" w:eastAsia="Calibri" w:hAnsi="Calibri" w:cs="Calibri"/>
          <w:color w:val="000000"/>
        </w:rPr>
        <w:t xml:space="preserve">their </w:t>
      </w:r>
      <w:r w:rsidRPr="000474DF">
        <w:rPr>
          <w:rFonts w:ascii="Calibri" w:eastAsia="Calibri" w:hAnsi="Calibri" w:cs="Calibri"/>
          <w:color w:val="000000"/>
        </w:rPr>
        <w:t>sub-partners – to improve good practice and maximise efficiency</w:t>
      </w:r>
      <w:r w:rsidR="00BC3E39">
        <w:rPr>
          <w:rFonts w:ascii="Calibri" w:eastAsia="Calibri" w:hAnsi="Calibri" w:cs="Calibri"/>
          <w:color w:val="000000"/>
        </w:rPr>
        <w:t xml:space="preserve"> </w:t>
      </w:r>
      <w:r w:rsidR="00BC3E39" w:rsidRPr="00BC3E39">
        <w:rPr>
          <w:rFonts w:ascii="Calibri" w:eastAsia="Calibri" w:hAnsi="Calibri" w:cs="Calibri"/>
          <w:i/>
          <w:iCs/>
          <w:color w:val="000000"/>
        </w:rPr>
        <w:t>(see sections 6.1.5 and 6.2.1)</w:t>
      </w:r>
      <w:r w:rsidRPr="000474DF">
        <w:rPr>
          <w:rFonts w:ascii="Calibri" w:eastAsia="Calibri" w:hAnsi="Calibri" w:cs="Calibri"/>
          <w:color w:val="000000"/>
        </w:rPr>
        <w:t>.</w:t>
      </w:r>
    </w:p>
    <w:p w14:paraId="6BA05F0E" w14:textId="66B2BE15" w:rsidR="006B1C8E" w:rsidRDefault="006B1C8E" w:rsidP="006B1C8E">
      <w:pPr>
        <w:pBdr>
          <w:top w:val="nil"/>
          <w:left w:val="nil"/>
          <w:bottom w:val="nil"/>
          <w:right w:val="nil"/>
          <w:between w:val="nil"/>
        </w:pBdr>
        <w:spacing w:after="120" w:line="240" w:lineRule="auto"/>
      </w:pPr>
      <w:r w:rsidRPr="00B93ECB">
        <w:rPr>
          <w:rFonts w:ascii="Calibri" w:eastAsia="Calibri" w:hAnsi="Calibri" w:cs="Calibri"/>
          <w:color w:val="000000"/>
        </w:rPr>
        <w:t xml:space="preserve">AIHSP and DFAT to ensure that </w:t>
      </w:r>
      <w:r>
        <w:rPr>
          <w:rFonts w:ascii="Calibri" w:eastAsia="Calibri" w:hAnsi="Calibri" w:cs="Calibri"/>
          <w:color w:val="000000"/>
        </w:rPr>
        <w:t>AIHSP’s</w:t>
      </w:r>
      <w:r w:rsidRPr="00B93ECB">
        <w:rPr>
          <w:rFonts w:ascii="Calibri" w:eastAsia="Calibri" w:hAnsi="Calibri" w:cs="Calibri"/>
          <w:color w:val="000000"/>
        </w:rPr>
        <w:t xml:space="preserve"> managerial structures and administrative capacity </w:t>
      </w:r>
      <w:r>
        <w:rPr>
          <w:rFonts w:ascii="Calibri" w:eastAsia="Calibri" w:hAnsi="Calibri" w:cs="Calibri"/>
          <w:color w:val="000000"/>
        </w:rPr>
        <w:t>are</w:t>
      </w:r>
      <w:r w:rsidRPr="00B93ECB">
        <w:rPr>
          <w:rFonts w:ascii="Calibri" w:eastAsia="Calibri" w:hAnsi="Calibri" w:cs="Calibri"/>
          <w:color w:val="000000"/>
        </w:rPr>
        <w:t xml:space="preserve"> sufficient to lead and support the current scale of activities</w:t>
      </w:r>
      <w:r>
        <w:rPr>
          <w:rFonts w:ascii="Calibri" w:eastAsia="Calibri" w:hAnsi="Calibri" w:cs="Calibri"/>
          <w:color w:val="000000"/>
        </w:rPr>
        <w:t xml:space="preserve"> </w:t>
      </w:r>
      <w:r w:rsidRPr="007F013C">
        <w:rPr>
          <w:rFonts w:ascii="Calibri" w:eastAsia="Calibri" w:hAnsi="Calibri" w:cs="Calibri"/>
          <w:i/>
          <w:iCs/>
          <w:color w:val="000000"/>
        </w:rPr>
        <w:t xml:space="preserve">(see sections </w:t>
      </w:r>
      <w:r w:rsidR="00446B47">
        <w:rPr>
          <w:rFonts w:ascii="Calibri" w:eastAsia="Calibri" w:hAnsi="Calibri" w:cs="Calibri"/>
          <w:i/>
          <w:iCs/>
          <w:color w:val="000000"/>
        </w:rPr>
        <w:t xml:space="preserve">6.1.1, </w:t>
      </w:r>
      <w:r w:rsidRPr="007F013C">
        <w:rPr>
          <w:rFonts w:ascii="Calibri" w:eastAsia="Calibri" w:hAnsi="Calibri" w:cs="Calibri"/>
          <w:i/>
          <w:iCs/>
          <w:color w:val="000000"/>
        </w:rPr>
        <w:t>6.</w:t>
      </w:r>
      <w:r w:rsidR="00BC3E39">
        <w:rPr>
          <w:rFonts w:ascii="Calibri" w:eastAsia="Calibri" w:hAnsi="Calibri" w:cs="Calibri"/>
          <w:i/>
          <w:iCs/>
          <w:color w:val="000000"/>
        </w:rPr>
        <w:t>1.3</w:t>
      </w:r>
      <w:r w:rsidRPr="007F013C">
        <w:rPr>
          <w:rFonts w:ascii="Calibri" w:eastAsia="Calibri" w:hAnsi="Calibri" w:cs="Calibri"/>
          <w:i/>
          <w:iCs/>
          <w:color w:val="000000"/>
        </w:rPr>
        <w:t xml:space="preserve"> and 6.</w:t>
      </w:r>
      <w:r w:rsidR="00BC3E39">
        <w:rPr>
          <w:rFonts w:ascii="Calibri" w:eastAsia="Calibri" w:hAnsi="Calibri" w:cs="Calibri"/>
          <w:i/>
          <w:iCs/>
          <w:color w:val="000000"/>
        </w:rPr>
        <w:t>1.5</w:t>
      </w:r>
      <w:r w:rsidRPr="007F013C">
        <w:rPr>
          <w:rFonts w:ascii="Calibri" w:eastAsia="Calibri" w:hAnsi="Calibri" w:cs="Calibri"/>
          <w:i/>
          <w:iCs/>
          <w:color w:val="000000"/>
        </w:rPr>
        <w:t>)</w:t>
      </w:r>
      <w:r w:rsidRPr="00B93ECB">
        <w:rPr>
          <w:rFonts w:ascii="Calibri" w:eastAsia="Calibri" w:hAnsi="Calibri" w:cs="Calibri"/>
          <w:color w:val="000000"/>
        </w:rPr>
        <w:t>.</w:t>
      </w:r>
    </w:p>
    <w:p w14:paraId="026B8B6F" w14:textId="36C24A1E" w:rsidR="006B1C8E" w:rsidRPr="00B93ECB" w:rsidRDefault="006B1C8E" w:rsidP="006B1C8E">
      <w:pPr>
        <w:pBdr>
          <w:top w:val="nil"/>
          <w:left w:val="nil"/>
          <w:bottom w:val="nil"/>
          <w:right w:val="nil"/>
          <w:between w:val="nil"/>
        </w:pBdr>
        <w:spacing w:after="120" w:line="240" w:lineRule="auto"/>
      </w:pPr>
      <w:r w:rsidRPr="005C520C">
        <w:rPr>
          <w:rFonts w:ascii="Calibri" w:eastAsia="Calibri" w:hAnsi="Calibri" w:cs="Calibri"/>
          <w:color w:val="000000" w:themeColor="text1"/>
        </w:rPr>
        <w:t xml:space="preserve">AIHSP to </w:t>
      </w:r>
      <w:r w:rsidR="002508FC">
        <w:rPr>
          <w:rFonts w:ascii="Calibri" w:eastAsia="Calibri" w:hAnsi="Calibri" w:cs="Calibri"/>
          <w:color w:val="000000" w:themeColor="text1"/>
        </w:rPr>
        <w:t xml:space="preserve">continue to </w:t>
      </w:r>
      <w:r w:rsidRPr="005C520C">
        <w:rPr>
          <w:rFonts w:ascii="Calibri" w:eastAsia="Calibri" w:hAnsi="Calibri" w:cs="Calibri"/>
          <w:color w:val="000000" w:themeColor="text1"/>
        </w:rPr>
        <w:t>strengthen the technical and strategic planning capacity of its staff.</w:t>
      </w:r>
      <w:r>
        <w:rPr>
          <w:rFonts w:ascii="Calibri" w:eastAsia="Calibri" w:hAnsi="Calibri" w:cs="Calibri"/>
          <w:color w:val="000000" w:themeColor="text1"/>
        </w:rPr>
        <w:t xml:space="preserve"> </w:t>
      </w:r>
      <w:r w:rsidRPr="48362220">
        <w:rPr>
          <w:rFonts w:ascii="Calibri" w:eastAsia="Calibri" w:hAnsi="Calibri" w:cs="Calibri"/>
          <w:color w:val="000000" w:themeColor="text1"/>
        </w:rPr>
        <w:t xml:space="preserve">AIHSP to organise regular </w:t>
      </w:r>
      <w:r>
        <w:rPr>
          <w:rFonts w:ascii="Calibri" w:eastAsia="Calibri" w:hAnsi="Calibri" w:cs="Calibri"/>
          <w:color w:val="000000" w:themeColor="text1"/>
        </w:rPr>
        <w:t>meetings</w:t>
      </w:r>
      <w:r w:rsidRPr="48362220">
        <w:rPr>
          <w:rFonts w:ascii="Calibri" w:eastAsia="Calibri" w:hAnsi="Calibri" w:cs="Calibri"/>
          <w:color w:val="000000" w:themeColor="text1"/>
        </w:rPr>
        <w:t xml:space="preserve"> for DT Global programs to identify synergies and promote collaboration</w:t>
      </w:r>
      <w:r>
        <w:rPr>
          <w:rFonts w:ascii="Calibri" w:eastAsia="Calibri" w:hAnsi="Calibri" w:cs="Calibri"/>
          <w:color w:val="000000" w:themeColor="text1"/>
        </w:rPr>
        <w:t>.</w:t>
      </w:r>
      <w:r w:rsidRPr="48362220">
        <w:rPr>
          <w:rFonts w:ascii="Calibri" w:eastAsia="Calibri" w:hAnsi="Calibri" w:cs="Calibri"/>
          <w:color w:val="000000" w:themeColor="text1"/>
        </w:rPr>
        <w:t xml:space="preserve"> AIHSP and WHO to improve the monitoring and reporting of sub-partners</w:t>
      </w:r>
      <w:r>
        <w:rPr>
          <w:rFonts w:ascii="Calibri" w:eastAsia="Calibri" w:hAnsi="Calibri" w:cs="Calibri"/>
          <w:color w:val="000000" w:themeColor="text1"/>
        </w:rPr>
        <w:t>.</w:t>
      </w:r>
      <w:r w:rsidRPr="48362220">
        <w:rPr>
          <w:rFonts w:ascii="Calibri" w:eastAsia="Calibri" w:hAnsi="Calibri" w:cs="Calibri"/>
          <w:color w:val="000000" w:themeColor="text1"/>
        </w:rPr>
        <w:t xml:space="preserve"> AIHSP to simplify the AIHSP MERLA and ensure indicators align with activit</w:t>
      </w:r>
      <w:r>
        <w:rPr>
          <w:rFonts w:ascii="Calibri" w:eastAsia="Calibri" w:hAnsi="Calibri" w:cs="Calibri"/>
          <w:color w:val="000000" w:themeColor="text1"/>
        </w:rPr>
        <w:t>ies</w:t>
      </w:r>
      <w:r w:rsidRPr="48362220">
        <w:rPr>
          <w:rFonts w:ascii="Calibri" w:eastAsia="Calibri" w:hAnsi="Calibri" w:cs="Calibri"/>
          <w:color w:val="000000" w:themeColor="text1"/>
        </w:rPr>
        <w:t xml:space="preserve"> </w:t>
      </w:r>
      <w:r w:rsidRPr="48362220">
        <w:rPr>
          <w:rFonts w:ascii="Calibri" w:eastAsia="Calibri" w:hAnsi="Calibri" w:cs="Calibri"/>
          <w:i/>
          <w:iCs/>
          <w:color w:val="000000" w:themeColor="text1"/>
        </w:rPr>
        <w:t xml:space="preserve">(see </w:t>
      </w:r>
      <w:r w:rsidR="00BC3E39">
        <w:rPr>
          <w:rFonts w:ascii="Calibri" w:eastAsia="Calibri" w:hAnsi="Calibri" w:cs="Calibri"/>
          <w:i/>
          <w:iCs/>
          <w:color w:val="000000" w:themeColor="text1"/>
        </w:rPr>
        <w:t xml:space="preserve">sections </w:t>
      </w:r>
      <w:r w:rsidRPr="48362220">
        <w:rPr>
          <w:rFonts w:ascii="Calibri" w:eastAsia="Calibri" w:hAnsi="Calibri" w:cs="Calibri"/>
          <w:i/>
          <w:iCs/>
          <w:color w:val="000000" w:themeColor="text1"/>
        </w:rPr>
        <w:t>6.1.3</w:t>
      </w:r>
      <w:r w:rsidR="00BC3E39">
        <w:rPr>
          <w:rFonts w:ascii="Calibri" w:eastAsia="Calibri" w:hAnsi="Calibri" w:cs="Calibri"/>
          <w:i/>
          <w:iCs/>
          <w:color w:val="000000" w:themeColor="text1"/>
        </w:rPr>
        <w:t>,</w:t>
      </w:r>
      <w:r w:rsidRPr="48362220">
        <w:rPr>
          <w:rFonts w:ascii="Calibri" w:eastAsia="Calibri" w:hAnsi="Calibri" w:cs="Calibri"/>
          <w:i/>
          <w:iCs/>
          <w:color w:val="000000" w:themeColor="text1"/>
        </w:rPr>
        <w:t xml:space="preserve"> 6.2.4</w:t>
      </w:r>
      <w:r w:rsidR="00BC3E39">
        <w:rPr>
          <w:rFonts w:ascii="Calibri" w:eastAsia="Calibri" w:hAnsi="Calibri" w:cs="Calibri"/>
          <w:i/>
          <w:iCs/>
          <w:color w:val="000000" w:themeColor="text1"/>
        </w:rPr>
        <w:t xml:space="preserve"> and 3.1.5</w:t>
      </w:r>
      <w:r w:rsidRPr="48362220">
        <w:rPr>
          <w:rFonts w:ascii="Calibri" w:eastAsia="Calibri" w:hAnsi="Calibri" w:cs="Calibri"/>
          <w:i/>
          <w:iCs/>
          <w:color w:val="000000" w:themeColor="text1"/>
        </w:rPr>
        <w:t xml:space="preserve">). </w:t>
      </w:r>
    </w:p>
    <w:p w14:paraId="72D0D1CD" w14:textId="77777777" w:rsidR="006B1C8E" w:rsidRPr="000474DF" w:rsidRDefault="006B1C8E" w:rsidP="006B1C8E">
      <w:pPr>
        <w:pStyle w:val="ListParagraph"/>
        <w:numPr>
          <w:ilvl w:val="0"/>
          <w:numId w:val="4"/>
        </w:numPr>
        <w:pBdr>
          <w:top w:val="nil"/>
          <w:left w:val="nil"/>
          <w:bottom w:val="nil"/>
          <w:right w:val="nil"/>
          <w:between w:val="nil"/>
        </w:pBdr>
        <w:spacing w:after="0" w:line="240" w:lineRule="auto"/>
      </w:pPr>
      <w:r w:rsidRPr="00B93ECB">
        <w:rPr>
          <w:rFonts w:ascii="Calibri" w:eastAsia="Calibri" w:hAnsi="Calibri" w:cs="Calibri"/>
          <w:b/>
          <w:color w:val="000000"/>
        </w:rPr>
        <w:t xml:space="preserve">Improve </w:t>
      </w:r>
      <w:r>
        <w:rPr>
          <w:rFonts w:ascii="Calibri" w:eastAsia="Calibri" w:hAnsi="Calibri" w:cs="Calibri"/>
          <w:b/>
          <w:color w:val="000000"/>
        </w:rPr>
        <w:t xml:space="preserve">capacity, </w:t>
      </w:r>
      <w:proofErr w:type="gramStart"/>
      <w:r w:rsidRPr="00B93ECB">
        <w:rPr>
          <w:rFonts w:ascii="Calibri" w:eastAsia="Calibri" w:hAnsi="Calibri" w:cs="Calibri"/>
          <w:b/>
          <w:color w:val="000000"/>
        </w:rPr>
        <w:t>collaboration</w:t>
      </w:r>
      <w:proofErr w:type="gramEnd"/>
      <w:r w:rsidRPr="00B93ECB">
        <w:rPr>
          <w:rFonts w:ascii="Calibri" w:eastAsia="Calibri" w:hAnsi="Calibri" w:cs="Calibri"/>
          <w:b/>
          <w:color w:val="000000"/>
        </w:rPr>
        <w:t xml:space="preserve"> and coordination</w:t>
      </w:r>
      <w:r>
        <w:rPr>
          <w:rFonts w:ascii="Calibri" w:eastAsia="Calibri" w:hAnsi="Calibri" w:cs="Calibri"/>
          <w:b/>
          <w:color w:val="000000"/>
        </w:rPr>
        <w:t xml:space="preserve"> between DFAT and DAFF-funded programs</w:t>
      </w:r>
      <w:r w:rsidRPr="00B93ECB">
        <w:rPr>
          <w:rFonts w:ascii="Calibri" w:eastAsia="Calibri" w:hAnsi="Calibri" w:cs="Calibri"/>
          <w:b/>
          <w:color w:val="000000"/>
        </w:rPr>
        <w:t xml:space="preserve">: </w:t>
      </w:r>
    </w:p>
    <w:p w14:paraId="500D9352" w14:textId="7095F753" w:rsidR="006B1C8E" w:rsidRDefault="006B1C8E" w:rsidP="006B1C8E">
      <w:pPr>
        <w:pBdr>
          <w:top w:val="nil"/>
          <w:left w:val="nil"/>
          <w:bottom w:val="nil"/>
          <w:right w:val="nil"/>
          <w:between w:val="nil"/>
        </w:pBdr>
        <w:spacing w:after="120" w:line="240" w:lineRule="auto"/>
        <w:rPr>
          <w:rFonts w:ascii="Calibri" w:eastAsia="Calibri" w:hAnsi="Calibri" w:cs="Calibri"/>
          <w:color w:val="000000"/>
        </w:rPr>
      </w:pPr>
      <w:r w:rsidRPr="008C6C7C">
        <w:rPr>
          <w:rFonts w:ascii="Calibri" w:eastAsia="Calibri" w:hAnsi="Calibri" w:cs="Calibri"/>
          <w:color w:val="000000"/>
        </w:rPr>
        <w:t>DFAT Jakarta to strengthen its Health Team so that it has the capacity and technical and strategic capability commensurate with the size and complexity of Australia’s health investments in Indonesia.</w:t>
      </w:r>
    </w:p>
    <w:p w14:paraId="33D98649" w14:textId="2D28BE74" w:rsidR="006B1C8E" w:rsidRDefault="006B1C8E" w:rsidP="006B1C8E">
      <w:pPr>
        <w:pBdr>
          <w:top w:val="nil"/>
          <w:left w:val="nil"/>
          <w:bottom w:val="nil"/>
          <w:right w:val="nil"/>
          <w:between w:val="nil"/>
        </w:pBdr>
        <w:spacing w:after="120" w:line="240" w:lineRule="auto"/>
      </w:pPr>
      <w:r w:rsidRPr="000474DF">
        <w:rPr>
          <w:rFonts w:ascii="Calibri" w:eastAsia="Calibri" w:hAnsi="Calibri" w:cs="Calibri"/>
          <w:color w:val="000000"/>
        </w:rPr>
        <w:t xml:space="preserve">DFAT </w:t>
      </w:r>
      <w:r w:rsidR="00446B47">
        <w:rPr>
          <w:rFonts w:ascii="Calibri" w:eastAsia="Calibri" w:hAnsi="Calibri" w:cs="Calibri"/>
          <w:color w:val="000000"/>
        </w:rPr>
        <w:t>Jakarta</w:t>
      </w:r>
      <w:r w:rsidRPr="000474DF">
        <w:rPr>
          <w:rFonts w:ascii="Calibri" w:eastAsia="Calibri" w:hAnsi="Calibri" w:cs="Calibri"/>
          <w:color w:val="000000"/>
        </w:rPr>
        <w:t xml:space="preserve"> to </w:t>
      </w:r>
      <w:r>
        <w:rPr>
          <w:rFonts w:ascii="Calibri" w:eastAsia="Calibri" w:hAnsi="Calibri" w:cs="Calibri"/>
          <w:color w:val="000000"/>
        </w:rPr>
        <w:t>continue to hold</w:t>
      </w:r>
      <w:r w:rsidRPr="000474DF">
        <w:rPr>
          <w:rFonts w:ascii="Calibri" w:eastAsia="Calibri" w:hAnsi="Calibri" w:cs="Calibri"/>
          <w:color w:val="000000"/>
        </w:rPr>
        <w:t xml:space="preserve"> </w:t>
      </w:r>
      <w:r>
        <w:rPr>
          <w:rFonts w:ascii="Calibri" w:eastAsia="Calibri" w:hAnsi="Calibri" w:cs="Calibri"/>
          <w:color w:val="000000"/>
        </w:rPr>
        <w:t xml:space="preserve">regular </w:t>
      </w:r>
      <w:r w:rsidRPr="000474DF">
        <w:rPr>
          <w:rFonts w:ascii="Calibri" w:eastAsia="Calibri" w:hAnsi="Calibri" w:cs="Calibri"/>
          <w:color w:val="000000"/>
        </w:rPr>
        <w:t xml:space="preserve">meetings to identify potential points of collaboration </w:t>
      </w:r>
      <w:r>
        <w:rPr>
          <w:rFonts w:ascii="Calibri" w:eastAsia="Calibri" w:hAnsi="Calibri" w:cs="Calibri"/>
          <w:color w:val="000000"/>
        </w:rPr>
        <w:t xml:space="preserve">and to share good practice </w:t>
      </w:r>
      <w:r w:rsidRPr="000474DF">
        <w:rPr>
          <w:rFonts w:ascii="Calibri" w:eastAsia="Calibri" w:hAnsi="Calibri" w:cs="Calibri"/>
          <w:color w:val="000000"/>
        </w:rPr>
        <w:t xml:space="preserve">between DFAT </w:t>
      </w:r>
      <w:r>
        <w:rPr>
          <w:rFonts w:ascii="Calibri" w:eastAsia="Calibri" w:hAnsi="Calibri" w:cs="Calibri"/>
          <w:color w:val="000000"/>
        </w:rPr>
        <w:t xml:space="preserve">programs as well as with </w:t>
      </w:r>
      <w:r w:rsidRPr="000474DF">
        <w:rPr>
          <w:rFonts w:ascii="Calibri" w:eastAsia="Calibri" w:hAnsi="Calibri" w:cs="Calibri"/>
          <w:color w:val="000000"/>
        </w:rPr>
        <w:t>DAFF-funded programs</w:t>
      </w:r>
      <w:r>
        <w:rPr>
          <w:rFonts w:ascii="Calibri" w:eastAsia="Calibri" w:hAnsi="Calibri" w:cs="Calibri"/>
          <w:color w:val="000000"/>
        </w:rPr>
        <w:t xml:space="preserve"> </w:t>
      </w:r>
      <w:r w:rsidRPr="00C05A9F">
        <w:rPr>
          <w:rFonts w:ascii="Calibri" w:eastAsia="Calibri" w:hAnsi="Calibri" w:cs="Calibri"/>
          <w:i/>
          <w:iCs/>
          <w:color w:val="000000"/>
        </w:rPr>
        <w:t>(see section 6.</w:t>
      </w:r>
      <w:r w:rsidR="00446B47">
        <w:rPr>
          <w:rFonts w:ascii="Calibri" w:eastAsia="Calibri" w:hAnsi="Calibri" w:cs="Calibri"/>
          <w:i/>
          <w:iCs/>
          <w:color w:val="000000"/>
        </w:rPr>
        <w:t>2</w:t>
      </w:r>
      <w:r w:rsidRPr="00C05A9F">
        <w:rPr>
          <w:rFonts w:ascii="Calibri" w:eastAsia="Calibri" w:hAnsi="Calibri" w:cs="Calibri"/>
          <w:i/>
          <w:iCs/>
          <w:color w:val="000000"/>
        </w:rPr>
        <w:t>.3)</w:t>
      </w:r>
      <w:r w:rsidRPr="000474DF">
        <w:rPr>
          <w:rFonts w:ascii="Calibri" w:eastAsia="Calibri" w:hAnsi="Calibri" w:cs="Calibri"/>
          <w:color w:val="000000"/>
        </w:rPr>
        <w:t>.</w:t>
      </w:r>
    </w:p>
    <w:p w14:paraId="1EF16490" w14:textId="0C2761EE" w:rsidR="00E766A9" w:rsidRPr="00644453" w:rsidRDefault="003516FA" w:rsidP="003516FA">
      <w:pPr>
        <w:pStyle w:val="Heading2"/>
      </w:pPr>
      <w:r>
        <w:lastRenderedPageBreak/>
        <w:t>8.3</w:t>
      </w:r>
      <w:r>
        <w:tab/>
      </w:r>
      <w:bookmarkStart w:id="161" w:name="_Hlk137651312"/>
      <w:r w:rsidR="00E766A9" w:rsidRPr="00644453">
        <w:t xml:space="preserve">Recommendations for Future DFAT Health Sector Support </w:t>
      </w:r>
      <w:bookmarkEnd w:id="158"/>
      <w:bookmarkEnd w:id="161"/>
    </w:p>
    <w:p w14:paraId="48D262FB" w14:textId="02C270EF" w:rsidR="001A4F70" w:rsidRDefault="001A4F70" w:rsidP="00DC62ED">
      <w:pPr>
        <w:spacing w:after="120" w:line="240" w:lineRule="auto"/>
        <w:rPr>
          <w:rFonts w:ascii="Calibri" w:eastAsia="Calibri" w:hAnsi="Calibri" w:cs="Calibri"/>
          <w:color w:val="000000"/>
        </w:rPr>
      </w:pPr>
      <w:r w:rsidRPr="48362220">
        <w:rPr>
          <w:rFonts w:ascii="Calibri" w:eastAsia="Calibri" w:hAnsi="Calibri" w:cs="Calibri"/>
          <w:color w:val="000000" w:themeColor="text1"/>
        </w:rPr>
        <w:t xml:space="preserve">Given the Indonesian elections in 2024 which will result in uncertainty in health policy and direction next year, </w:t>
      </w:r>
      <w:r w:rsidRPr="002508FC">
        <w:rPr>
          <w:rFonts w:ascii="Calibri" w:eastAsia="Calibri" w:hAnsi="Calibri" w:cs="Calibri"/>
          <w:color w:val="000000" w:themeColor="text1"/>
        </w:rPr>
        <w:t xml:space="preserve">the MTR Team recommends that </w:t>
      </w:r>
      <w:r w:rsidR="00F70AF3">
        <w:rPr>
          <w:rFonts w:ascii="Calibri" w:eastAsia="Calibri" w:hAnsi="Calibri" w:cs="Calibri"/>
          <w:color w:val="000000" w:themeColor="text1"/>
        </w:rPr>
        <w:t>DFAT consider a possible one</w:t>
      </w:r>
      <w:r w:rsidR="00554DF8">
        <w:rPr>
          <w:rFonts w:ascii="Calibri" w:eastAsia="Calibri" w:hAnsi="Calibri" w:cs="Calibri"/>
          <w:color w:val="000000" w:themeColor="text1"/>
        </w:rPr>
        <w:t>-</w:t>
      </w:r>
      <w:r w:rsidR="00F70AF3">
        <w:rPr>
          <w:rFonts w:ascii="Calibri" w:eastAsia="Calibri" w:hAnsi="Calibri" w:cs="Calibri"/>
          <w:color w:val="000000" w:themeColor="text1"/>
        </w:rPr>
        <w:t xml:space="preserve">year funded extension for AIHSP to </w:t>
      </w:r>
      <w:r w:rsidRPr="00805C40">
        <w:rPr>
          <w:rFonts w:ascii="Calibri" w:eastAsia="Calibri" w:hAnsi="Calibri" w:cs="Calibri"/>
          <w:color w:val="000000" w:themeColor="text1"/>
        </w:rPr>
        <w:t>January 2026.</w:t>
      </w:r>
      <w:r w:rsidRPr="48362220">
        <w:rPr>
          <w:rFonts w:ascii="Calibri" w:eastAsia="Calibri" w:hAnsi="Calibri" w:cs="Calibri"/>
          <w:color w:val="000000" w:themeColor="text1"/>
        </w:rPr>
        <w:t xml:space="preserve"> This means that an end of program evaluation, development of a health strategy and design of a new health investment could commence in late 2024 and continue through 2025 when there should be greater clarity </w:t>
      </w:r>
      <w:r>
        <w:rPr>
          <w:rFonts w:ascii="Calibri" w:eastAsia="Calibri" w:hAnsi="Calibri" w:cs="Calibri"/>
          <w:color w:val="000000" w:themeColor="text1"/>
        </w:rPr>
        <w:t>following the elections</w:t>
      </w:r>
      <w:r w:rsidRPr="48362220">
        <w:rPr>
          <w:rFonts w:ascii="Calibri" w:eastAsia="Calibri" w:hAnsi="Calibri" w:cs="Calibri"/>
          <w:color w:val="000000" w:themeColor="text1"/>
        </w:rPr>
        <w:t xml:space="preserve">. It would also allow for time for Australia to establish relationships with </w:t>
      </w:r>
      <w:r w:rsidR="005B77F7">
        <w:rPr>
          <w:rFonts w:ascii="Calibri" w:eastAsia="Calibri" w:hAnsi="Calibri" w:cs="Calibri"/>
          <w:color w:val="000000" w:themeColor="text1"/>
        </w:rPr>
        <w:t xml:space="preserve">new, </w:t>
      </w:r>
      <w:r>
        <w:rPr>
          <w:rFonts w:ascii="Calibri" w:eastAsia="Calibri" w:hAnsi="Calibri" w:cs="Calibri"/>
          <w:color w:val="000000" w:themeColor="text1"/>
        </w:rPr>
        <w:t>relevant</w:t>
      </w:r>
      <w:r w:rsidRPr="48362220">
        <w:rPr>
          <w:rFonts w:ascii="Calibri" w:eastAsia="Calibri" w:hAnsi="Calibri" w:cs="Calibri"/>
          <w:color w:val="000000" w:themeColor="text1"/>
        </w:rPr>
        <w:t xml:space="preserve"> leadership and to understand their priorities.</w:t>
      </w:r>
    </w:p>
    <w:p w14:paraId="4A2C021D" w14:textId="5062DDCC" w:rsidR="001A4F70" w:rsidRPr="008552B0" w:rsidRDefault="005B77F7" w:rsidP="00DC62ED">
      <w:pPr>
        <w:spacing w:after="120" w:line="240" w:lineRule="auto"/>
        <w:rPr>
          <w:color w:val="000000"/>
        </w:rPr>
      </w:pPr>
      <w:r>
        <w:rPr>
          <w:rFonts w:ascii="Calibri" w:eastAsia="Calibri" w:hAnsi="Calibri" w:cs="Calibri"/>
          <w:color w:val="000000"/>
        </w:rPr>
        <w:t xml:space="preserve">As such, </w:t>
      </w:r>
      <w:r w:rsidR="00F70AF3">
        <w:rPr>
          <w:rFonts w:ascii="Calibri" w:eastAsia="Calibri" w:hAnsi="Calibri" w:cs="Calibri"/>
          <w:color w:val="000000"/>
        </w:rPr>
        <w:t>at the end of th</w:t>
      </w:r>
      <w:r w:rsidR="00133F44">
        <w:rPr>
          <w:rFonts w:ascii="Calibri" w:eastAsia="Calibri" w:hAnsi="Calibri" w:cs="Calibri"/>
          <w:color w:val="000000"/>
        </w:rPr>
        <w:t>e current implementation</w:t>
      </w:r>
      <w:r w:rsidR="00F70AF3">
        <w:rPr>
          <w:rFonts w:ascii="Calibri" w:eastAsia="Calibri" w:hAnsi="Calibri" w:cs="Calibri"/>
          <w:color w:val="000000"/>
        </w:rPr>
        <w:t xml:space="preserve"> period</w:t>
      </w:r>
      <w:r w:rsidR="001A4F70" w:rsidRPr="008552B0">
        <w:rPr>
          <w:rFonts w:ascii="Calibri" w:eastAsia="Calibri" w:hAnsi="Calibri" w:cs="Calibri"/>
          <w:color w:val="000000"/>
        </w:rPr>
        <w:t>, Australia is to embark on a new phase of consolidated health sector programming</w:t>
      </w:r>
      <w:r w:rsidR="00554DF8">
        <w:rPr>
          <w:rFonts w:ascii="Calibri" w:eastAsia="Calibri" w:hAnsi="Calibri" w:cs="Calibri"/>
          <w:color w:val="000000"/>
        </w:rPr>
        <w:t xml:space="preserve"> with a greater emphasis on health systems strengthening than emergency response</w:t>
      </w:r>
      <w:r w:rsidR="001A4F70">
        <w:rPr>
          <w:rFonts w:ascii="Calibri" w:eastAsia="Calibri" w:hAnsi="Calibri" w:cs="Calibri"/>
          <w:color w:val="000000"/>
        </w:rPr>
        <w:t xml:space="preserve">. Given </w:t>
      </w:r>
      <w:r>
        <w:rPr>
          <w:rFonts w:ascii="Calibri" w:eastAsia="Calibri" w:hAnsi="Calibri" w:cs="Calibri"/>
          <w:color w:val="000000"/>
        </w:rPr>
        <w:t>the MTR recommends</w:t>
      </w:r>
      <w:r w:rsidR="001A4F70">
        <w:rPr>
          <w:rFonts w:ascii="Calibri" w:eastAsia="Calibri" w:hAnsi="Calibri" w:cs="Calibri"/>
          <w:color w:val="000000"/>
        </w:rPr>
        <w:t xml:space="preserve"> a </w:t>
      </w:r>
      <w:r w:rsidR="001A4F70" w:rsidRPr="008552B0">
        <w:rPr>
          <w:rFonts w:ascii="Calibri" w:eastAsia="Calibri" w:hAnsi="Calibri" w:cs="Calibri"/>
          <w:color w:val="000000"/>
        </w:rPr>
        <w:t xml:space="preserve">significant change </w:t>
      </w:r>
      <w:r w:rsidR="001A4F70">
        <w:rPr>
          <w:rFonts w:ascii="Calibri" w:eastAsia="Calibri" w:hAnsi="Calibri" w:cs="Calibri"/>
          <w:color w:val="000000"/>
        </w:rPr>
        <w:t>to</w:t>
      </w:r>
      <w:r w:rsidR="001A4F70" w:rsidRPr="008552B0">
        <w:rPr>
          <w:rFonts w:ascii="Calibri" w:eastAsia="Calibri" w:hAnsi="Calibri" w:cs="Calibri"/>
          <w:color w:val="000000"/>
        </w:rPr>
        <w:t xml:space="preserve"> the current AIHSP design, </w:t>
      </w:r>
      <w:r w:rsidR="001A4F70">
        <w:rPr>
          <w:rFonts w:ascii="Calibri" w:eastAsia="Calibri" w:hAnsi="Calibri" w:cs="Calibri"/>
          <w:color w:val="000000"/>
        </w:rPr>
        <w:t>this</w:t>
      </w:r>
      <w:r w:rsidR="001A4F70" w:rsidRPr="008552B0">
        <w:rPr>
          <w:rFonts w:ascii="Calibri" w:eastAsia="Calibri" w:hAnsi="Calibri" w:cs="Calibri"/>
          <w:color w:val="000000"/>
        </w:rPr>
        <w:t xml:space="preserve"> would require DFAT to </w:t>
      </w:r>
      <w:r w:rsidR="001A4F70">
        <w:rPr>
          <w:rFonts w:ascii="Calibri" w:eastAsia="Calibri" w:hAnsi="Calibri" w:cs="Calibri"/>
          <w:color w:val="000000"/>
        </w:rPr>
        <w:t>approach the</w:t>
      </w:r>
      <w:r w:rsidR="001A4F70" w:rsidRPr="008552B0">
        <w:rPr>
          <w:rFonts w:ascii="Calibri" w:eastAsia="Calibri" w:hAnsi="Calibri" w:cs="Calibri"/>
          <w:color w:val="000000"/>
        </w:rPr>
        <w:t xml:space="preserve"> market </w:t>
      </w:r>
      <w:r w:rsidR="001A4F70">
        <w:rPr>
          <w:rFonts w:ascii="Calibri" w:eastAsia="Calibri" w:hAnsi="Calibri" w:cs="Calibri"/>
          <w:color w:val="000000"/>
        </w:rPr>
        <w:t>to select</w:t>
      </w:r>
      <w:r w:rsidR="001A4F70" w:rsidRPr="008552B0">
        <w:rPr>
          <w:rFonts w:ascii="Calibri" w:eastAsia="Calibri" w:hAnsi="Calibri" w:cs="Calibri"/>
          <w:color w:val="000000"/>
        </w:rPr>
        <w:t xml:space="preserve"> a </w:t>
      </w:r>
      <w:r w:rsidR="001A4F70">
        <w:rPr>
          <w:rFonts w:ascii="Calibri" w:eastAsia="Calibri" w:hAnsi="Calibri" w:cs="Calibri"/>
          <w:color w:val="000000"/>
        </w:rPr>
        <w:t xml:space="preserve">managing </w:t>
      </w:r>
      <w:r w:rsidR="001A4F70" w:rsidRPr="008552B0">
        <w:rPr>
          <w:rFonts w:ascii="Calibri" w:eastAsia="Calibri" w:hAnsi="Calibri" w:cs="Calibri"/>
          <w:color w:val="000000"/>
        </w:rPr>
        <w:t xml:space="preserve">contractor </w:t>
      </w:r>
      <w:r w:rsidR="001A4F70">
        <w:rPr>
          <w:rFonts w:ascii="Calibri" w:eastAsia="Calibri" w:hAnsi="Calibri" w:cs="Calibri"/>
          <w:color w:val="000000"/>
        </w:rPr>
        <w:t>for the</w:t>
      </w:r>
      <w:r w:rsidR="001A4F70" w:rsidRPr="008552B0">
        <w:rPr>
          <w:rFonts w:ascii="Calibri" w:eastAsia="Calibri" w:hAnsi="Calibri" w:cs="Calibri"/>
          <w:color w:val="000000"/>
        </w:rPr>
        <w:t xml:space="preserve"> </w:t>
      </w:r>
      <w:r w:rsidR="001A4F70">
        <w:rPr>
          <w:rFonts w:ascii="Calibri" w:eastAsia="Calibri" w:hAnsi="Calibri" w:cs="Calibri"/>
          <w:color w:val="000000"/>
        </w:rPr>
        <w:t>new</w:t>
      </w:r>
      <w:r w:rsidR="001A4F70" w:rsidRPr="008552B0">
        <w:rPr>
          <w:rFonts w:ascii="Calibri" w:eastAsia="Calibri" w:hAnsi="Calibri" w:cs="Calibri"/>
          <w:color w:val="000000"/>
        </w:rPr>
        <w:t xml:space="preserve"> phase</w:t>
      </w:r>
      <w:r w:rsidR="001A4F70">
        <w:rPr>
          <w:rFonts w:ascii="Calibri" w:eastAsia="Calibri" w:hAnsi="Calibri" w:cs="Calibri"/>
          <w:color w:val="000000"/>
        </w:rPr>
        <w:t xml:space="preserve">. </w:t>
      </w:r>
    </w:p>
    <w:p w14:paraId="1559DE97" w14:textId="74B36C46" w:rsidR="001A4F70" w:rsidRPr="00500D7E" w:rsidRDefault="005B77F7" w:rsidP="00DC62ED">
      <w:pPr>
        <w:spacing w:after="120" w:line="240" w:lineRule="auto"/>
      </w:pPr>
      <w:r>
        <w:rPr>
          <w:rFonts w:ascii="Calibri" w:eastAsia="Calibri" w:hAnsi="Calibri" w:cs="Calibri"/>
          <w:color w:val="000000"/>
        </w:rPr>
        <w:t xml:space="preserve">The MTR notes that </w:t>
      </w:r>
      <w:r w:rsidR="001A4F70">
        <w:rPr>
          <w:rFonts w:ascii="Calibri" w:eastAsia="Calibri" w:hAnsi="Calibri" w:cs="Calibri"/>
          <w:color w:val="000000"/>
        </w:rPr>
        <w:t xml:space="preserve">Australia </w:t>
      </w:r>
      <w:r>
        <w:rPr>
          <w:rFonts w:ascii="Calibri" w:eastAsia="Calibri" w:hAnsi="Calibri" w:cs="Calibri"/>
          <w:color w:val="000000"/>
        </w:rPr>
        <w:t xml:space="preserve">is likely to </w:t>
      </w:r>
      <w:r w:rsidR="001A4F70">
        <w:rPr>
          <w:rFonts w:ascii="Calibri" w:eastAsia="Calibri" w:hAnsi="Calibri" w:cs="Calibri"/>
          <w:color w:val="000000"/>
        </w:rPr>
        <w:t>continue funding</w:t>
      </w:r>
      <w:r w:rsidR="001A4F70" w:rsidRPr="008552B0">
        <w:rPr>
          <w:rFonts w:ascii="Calibri" w:eastAsia="Calibri" w:hAnsi="Calibri" w:cs="Calibri"/>
          <w:color w:val="000000"/>
        </w:rPr>
        <w:t xml:space="preserve"> WHO and UNICEF </w:t>
      </w:r>
      <w:r w:rsidR="001A4F70">
        <w:rPr>
          <w:rFonts w:ascii="Calibri" w:eastAsia="Calibri" w:hAnsi="Calibri" w:cs="Calibri"/>
          <w:color w:val="000000"/>
        </w:rPr>
        <w:t>through existing regional and global agreements</w:t>
      </w:r>
      <w:r>
        <w:rPr>
          <w:rFonts w:ascii="Calibri" w:eastAsia="Calibri" w:hAnsi="Calibri" w:cs="Calibri"/>
          <w:color w:val="000000"/>
        </w:rPr>
        <w:t xml:space="preserve">, with </w:t>
      </w:r>
      <w:r w:rsidR="001A4F70">
        <w:rPr>
          <w:rFonts w:ascii="Calibri" w:eastAsia="Calibri" w:hAnsi="Calibri" w:cs="Calibri"/>
          <w:color w:val="000000"/>
        </w:rPr>
        <w:t xml:space="preserve">both </w:t>
      </w:r>
      <w:r w:rsidR="001A4F70" w:rsidRPr="008552B0">
        <w:rPr>
          <w:rFonts w:ascii="Calibri" w:eastAsia="Calibri" w:hAnsi="Calibri" w:cs="Calibri"/>
          <w:color w:val="000000"/>
        </w:rPr>
        <w:t>likely to support activities that align with a new Australian investment</w:t>
      </w:r>
      <w:r w:rsidR="001A4F70">
        <w:rPr>
          <w:rFonts w:ascii="Calibri" w:eastAsia="Calibri" w:hAnsi="Calibri" w:cs="Calibri"/>
          <w:color w:val="000000"/>
        </w:rPr>
        <w:t xml:space="preserve"> in health.</w:t>
      </w:r>
      <w:r w:rsidR="001A4F70" w:rsidRPr="008552B0">
        <w:rPr>
          <w:rStyle w:val="FootnoteReference"/>
          <w:rFonts w:ascii="Calibri" w:eastAsia="Calibri" w:hAnsi="Calibri" w:cs="Calibri"/>
          <w:color w:val="000000"/>
        </w:rPr>
        <w:footnoteReference w:id="44"/>
      </w:r>
      <w:r w:rsidR="001A4F70">
        <w:rPr>
          <w:rFonts w:ascii="Calibri" w:eastAsia="Calibri" w:hAnsi="Calibri" w:cs="Calibri"/>
        </w:rPr>
        <w:t xml:space="preserve"> </w:t>
      </w:r>
    </w:p>
    <w:p w14:paraId="33BD0858" w14:textId="20B316F1" w:rsidR="001A4F70" w:rsidRPr="00CE29D8" w:rsidRDefault="001A4F70" w:rsidP="00DC62ED">
      <w:pPr>
        <w:spacing w:after="120" w:line="240" w:lineRule="auto"/>
        <w:rPr>
          <w:rFonts w:ascii="Calibri" w:eastAsia="Calibri" w:hAnsi="Calibri" w:cs="Calibri"/>
        </w:rPr>
      </w:pPr>
      <w:r>
        <w:rPr>
          <w:rFonts w:ascii="Calibri" w:eastAsia="Calibri" w:hAnsi="Calibri" w:cs="Calibri"/>
        </w:rPr>
        <w:t xml:space="preserve">The following MTR recommendations are based on the findings in the preceding sections of this report as well as the </w:t>
      </w:r>
      <w:r w:rsidRPr="005B77F7">
        <w:rPr>
          <w:rFonts w:ascii="Calibri" w:eastAsia="Calibri" w:hAnsi="Calibri" w:cs="Calibri"/>
          <w:i/>
          <w:iCs/>
        </w:rPr>
        <w:t xml:space="preserve">Future </w:t>
      </w:r>
      <w:r w:rsidR="005B77F7" w:rsidRPr="005B77F7">
        <w:rPr>
          <w:rFonts w:ascii="Calibri" w:eastAsia="Calibri" w:hAnsi="Calibri" w:cs="Calibri"/>
          <w:i/>
          <w:iCs/>
        </w:rPr>
        <w:t>C</w:t>
      </w:r>
      <w:r w:rsidRPr="005B77F7">
        <w:rPr>
          <w:rFonts w:ascii="Calibri" w:eastAsia="Calibri" w:hAnsi="Calibri" w:cs="Calibri"/>
          <w:i/>
          <w:iCs/>
        </w:rPr>
        <w:t>onsiderations</w:t>
      </w:r>
      <w:r>
        <w:rPr>
          <w:rFonts w:ascii="Calibri" w:eastAsia="Calibri" w:hAnsi="Calibri" w:cs="Calibri"/>
        </w:rPr>
        <w:t xml:space="preserve"> section </w:t>
      </w:r>
      <w:r w:rsidRPr="005B77F7">
        <w:rPr>
          <w:rFonts w:ascii="Calibri" w:eastAsia="Calibri" w:hAnsi="Calibri" w:cs="Calibri"/>
          <w:i/>
          <w:iCs/>
        </w:rPr>
        <w:t>8.1</w:t>
      </w:r>
      <w:r>
        <w:rPr>
          <w:rFonts w:ascii="Calibri" w:eastAsia="Calibri" w:hAnsi="Calibri" w:cs="Calibri"/>
        </w:rPr>
        <w:t xml:space="preserve">. They focus on areas of the Indonesian health sector that Australia could support for five years from </w:t>
      </w:r>
      <w:r w:rsidR="00F70AF3">
        <w:rPr>
          <w:rFonts w:ascii="Calibri" w:eastAsia="Calibri" w:hAnsi="Calibri" w:cs="Calibri"/>
        </w:rPr>
        <w:t xml:space="preserve">AIHSP’s completion </w:t>
      </w:r>
      <w:r>
        <w:rPr>
          <w:rFonts w:ascii="Calibri" w:eastAsia="Calibri" w:hAnsi="Calibri" w:cs="Calibri"/>
        </w:rPr>
        <w:t xml:space="preserve">as well as how it might efficiently manage a future health investment. </w:t>
      </w:r>
      <w:r w:rsidRPr="00E84B57">
        <w:rPr>
          <w:rFonts w:ascii="Calibri" w:eastAsia="Calibri" w:hAnsi="Calibri" w:cs="Calibri"/>
        </w:rPr>
        <w:t xml:space="preserve">In Table </w:t>
      </w:r>
      <w:r>
        <w:rPr>
          <w:rFonts w:ascii="Calibri" w:eastAsia="Calibri" w:hAnsi="Calibri" w:cs="Calibri"/>
        </w:rPr>
        <w:t>5 below, each</w:t>
      </w:r>
      <w:r w:rsidRPr="00CE29D8">
        <w:rPr>
          <w:rFonts w:ascii="Calibri" w:eastAsia="Calibri" w:hAnsi="Calibri" w:cs="Calibri"/>
        </w:rPr>
        <w:t xml:space="preserve"> recommendation is given a rating based upon </w:t>
      </w:r>
      <w:r w:rsidR="00131C02">
        <w:rPr>
          <w:rFonts w:ascii="Calibri" w:eastAsia="Calibri" w:hAnsi="Calibri" w:cs="Calibri"/>
        </w:rPr>
        <w:t xml:space="preserve">the recommended </w:t>
      </w:r>
      <w:r w:rsidRPr="00CE29D8">
        <w:rPr>
          <w:rFonts w:ascii="Calibri" w:eastAsia="Calibri" w:hAnsi="Calibri" w:cs="Calibri"/>
        </w:rPr>
        <w:t>time</w:t>
      </w:r>
      <w:r w:rsidR="00131C02">
        <w:rPr>
          <w:rFonts w:ascii="Calibri" w:eastAsia="Calibri" w:hAnsi="Calibri" w:cs="Calibri"/>
        </w:rPr>
        <w:t xml:space="preserve"> </w:t>
      </w:r>
      <w:r w:rsidRPr="00CE29D8">
        <w:rPr>
          <w:rFonts w:ascii="Calibri" w:eastAsia="Calibri" w:hAnsi="Calibri" w:cs="Calibri"/>
        </w:rPr>
        <w:t xml:space="preserve">frame </w:t>
      </w:r>
      <w:r w:rsidR="00131C02">
        <w:rPr>
          <w:rFonts w:ascii="Calibri" w:eastAsia="Calibri" w:hAnsi="Calibri" w:cs="Calibri"/>
        </w:rPr>
        <w:t xml:space="preserve">for implementation </w:t>
      </w:r>
      <w:r w:rsidRPr="00CE29D8">
        <w:rPr>
          <w:rFonts w:ascii="Calibri" w:eastAsia="Calibri" w:hAnsi="Calibri" w:cs="Calibri"/>
        </w:rPr>
        <w:t>and priority (see explanatory table below).</w:t>
      </w:r>
      <w:r>
        <w:rPr>
          <w:rFonts w:ascii="Calibri" w:eastAsia="Calibri" w:hAnsi="Calibri" w:cs="Calibri"/>
        </w:rPr>
        <w:t xml:space="preserve"> Sections of the report that have informed the recommendation are provided in brackets.</w:t>
      </w:r>
    </w:p>
    <w:p w14:paraId="75F5E85D" w14:textId="1ECA6093" w:rsidR="001A4F70" w:rsidRPr="00021A19" w:rsidRDefault="001A4F70" w:rsidP="00DC62ED">
      <w:pPr>
        <w:pStyle w:val="Heading4"/>
      </w:pPr>
      <w:r w:rsidRPr="00021A19">
        <w:t xml:space="preserve">Table 5: AIHSP MTR Recommendations </w:t>
      </w:r>
      <w:r w:rsidR="00317BFC">
        <w:t xml:space="preserve">for </w:t>
      </w:r>
      <w:r w:rsidR="00AF4231">
        <w:t>a new health investment</w:t>
      </w:r>
    </w:p>
    <w:tbl>
      <w:tblPr>
        <w:tblStyle w:val="TableGrid"/>
        <w:tblW w:w="9776" w:type="dxa"/>
        <w:tblLayout w:type="fixed"/>
        <w:tblLook w:val="0420" w:firstRow="1" w:lastRow="0" w:firstColumn="0" w:lastColumn="0" w:noHBand="0" w:noVBand="1"/>
      </w:tblPr>
      <w:tblGrid>
        <w:gridCol w:w="567"/>
        <w:gridCol w:w="6941"/>
        <w:gridCol w:w="1134"/>
        <w:gridCol w:w="1134"/>
      </w:tblGrid>
      <w:tr w:rsidR="001A4F70" w:rsidRPr="00D66A91" w14:paraId="08F09235" w14:textId="77777777" w:rsidTr="00863BC3">
        <w:trPr>
          <w:trHeight w:val="557"/>
        </w:trPr>
        <w:tc>
          <w:tcPr>
            <w:tcW w:w="567" w:type="dxa"/>
            <w:shd w:val="clear" w:color="auto" w:fill="BFBFBF" w:themeFill="background1" w:themeFillShade="BF"/>
          </w:tcPr>
          <w:p w14:paraId="75E0342A" w14:textId="77777777" w:rsidR="001A4F70" w:rsidRPr="00863BC3" w:rsidRDefault="001A4F70" w:rsidP="001A4F70">
            <w:pPr>
              <w:spacing w:line="276" w:lineRule="auto"/>
              <w:jc w:val="center"/>
              <w:rPr>
                <w:rFonts w:cstheme="minorHAnsi"/>
                <w:sz w:val="20"/>
                <w:szCs w:val="20"/>
              </w:rPr>
            </w:pPr>
            <w:r w:rsidRPr="00863BC3">
              <w:rPr>
                <w:rFonts w:cstheme="minorHAnsi"/>
                <w:b/>
                <w:sz w:val="20"/>
                <w:szCs w:val="20"/>
              </w:rPr>
              <w:t>No.</w:t>
            </w:r>
          </w:p>
        </w:tc>
        <w:tc>
          <w:tcPr>
            <w:tcW w:w="6941" w:type="dxa"/>
            <w:shd w:val="clear" w:color="auto" w:fill="BFBFBF" w:themeFill="background1" w:themeFillShade="BF"/>
          </w:tcPr>
          <w:p w14:paraId="353E1D2E" w14:textId="77777777" w:rsidR="001A4F70" w:rsidRPr="00863BC3" w:rsidRDefault="001A4F70" w:rsidP="001A4F70">
            <w:pPr>
              <w:spacing w:line="276" w:lineRule="auto"/>
              <w:jc w:val="center"/>
              <w:rPr>
                <w:rFonts w:cstheme="minorHAnsi"/>
                <w:b/>
                <w:sz w:val="20"/>
                <w:szCs w:val="20"/>
              </w:rPr>
            </w:pPr>
            <w:r w:rsidRPr="00863BC3">
              <w:rPr>
                <w:rFonts w:cstheme="minorHAnsi"/>
                <w:b/>
                <w:sz w:val="20"/>
                <w:szCs w:val="20"/>
              </w:rPr>
              <w:t>Recommendation</w:t>
            </w:r>
          </w:p>
        </w:tc>
        <w:tc>
          <w:tcPr>
            <w:tcW w:w="1134" w:type="dxa"/>
            <w:shd w:val="clear" w:color="auto" w:fill="BFBFBF" w:themeFill="background1" w:themeFillShade="BF"/>
          </w:tcPr>
          <w:p w14:paraId="2AF2332C" w14:textId="4D502F63" w:rsidR="001A4F70" w:rsidRPr="00863BC3" w:rsidRDefault="001A4F70" w:rsidP="001A4F70">
            <w:pPr>
              <w:spacing w:line="276" w:lineRule="auto"/>
              <w:jc w:val="center"/>
              <w:rPr>
                <w:rFonts w:eastAsia="Arial Narrow" w:cstheme="minorHAnsi"/>
                <w:b/>
                <w:sz w:val="20"/>
                <w:szCs w:val="20"/>
              </w:rPr>
            </w:pPr>
            <w:r w:rsidRPr="00863BC3">
              <w:rPr>
                <w:rFonts w:eastAsia="Arial Narrow" w:cstheme="minorHAnsi"/>
                <w:b/>
                <w:sz w:val="20"/>
                <w:szCs w:val="20"/>
              </w:rPr>
              <w:t>Timeframe</w:t>
            </w:r>
          </w:p>
          <w:p w14:paraId="28A1E113" w14:textId="636B8CB5" w:rsidR="001A4F70" w:rsidRPr="00863BC3" w:rsidRDefault="00441D2B" w:rsidP="001A4F70">
            <w:pPr>
              <w:spacing w:line="276" w:lineRule="auto"/>
              <w:jc w:val="center"/>
              <w:rPr>
                <w:rFonts w:eastAsia="Arial Narrow" w:cstheme="minorHAnsi"/>
                <w:b/>
                <w:sz w:val="20"/>
                <w:szCs w:val="20"/>
              </w:rPr>
            </w:pPr>
            <w:r w:rsidRPr="00863BC3">
              <w:rPr>
                <w:rFonts w:eastAsia="Arial Narrow" w:cstheme="minorHAnsi"/>
                <w:b/>
                <w:sz w:val="20"/>
                <w:szCs w:val="20"/>
              </w:rPr>
              <w:t>R</w:t>
            </w:r>
            <w:r w:rsidR="001A4F70" w:rsidRPr="00863BC3">
              <w:rPr>
                <w:rFonts w:eastAsia="Arial Narrow" w:cstheme="minorHAnsi"/>
                <w:b/>
                <w:sz w:val="20"/>
                <w:szCs w:val="20"/>
              </w:rPr>
              <w:t>ating</w:t>
            </w:r>
          </w:p>
        </w:tc>
        <w:tc>
          <w:tcPr>
            <w:tcW w:w="1134" w:type="dxa"/>
            <w:shd w:val="clear" w:color="auto" w:fill="BFBFBF" w:themeFill="background1" w:themeFillShade="BF"/>
          </w:tcPr>
          <w:p w14:paraId="65445152" w14:textId="7CAADAD6" w:rsidR="001A4F70" w:rsidRPr="00863BC3" w:rsidRDefault="001A4F70" w:rsidP="001A4F70">
            <w:pPr>
              <w:spacing w:line="276" w:lineRule="auto"/>
              <w:jc w:val="center"/>
              <w:rPr>
                <w:rFonts w:eastAsia="Arial Narrow" w:cstheme="minorHAnsi"/>
                <w:b/>
                <w:sz w:val="20"/>
                <w:szCs w:val="20"/>
              </w:rPr>
            </w:pPr>
            <w:r w:rsidRPr="00863BC3">
              <w:rPr>
                <w:rFonts w:eastAsia="Arial Narrow" w:cstheme="minorHAnsi"/>
                <w:b/>
                <w:sz w:val="20"/>
                <w:szCs w:val="20"/>
              </w:rPr>
              <w:t xml:space="preserve">Priority </w:t>
            </w:r>
            <w:r w:rsidR="00863BC3">
              <w:rPr>
                <w:rFonts w:eastAsia="Arial Narrow" w:cstheme="minorHAnsi"/>
                <w:b/>
                <w:sz w:val="20"/>
                <w:szCs w:val="20"/>
              </w:rPr>
              <w:t>R</w:t>
            </w:r>
            <w:r w:rsidRPr="00863BC3">
              <w:rPr>
                <w:rFonts w:eastAsia="Arial Narrow" w:cstheme="minorHAnsi"/>
                <w:b/>
                <w:sz w:val="20"/>
                <w:szCs w:val="20"/>
              </w:rPr>
              <w:t>ating</w:t>
            </w:r>
          </w:p>
        </w:tc>
      </w:tr>
      <w:tr w:rsidR="001A4F70" w:rsidRPr="00D66A91" w14:paraId="1416E927" w14:textId="77777777" w:rsidTr="00863BC3">
        <w:tc>
          <w:tcPr>
            <w:tcW w:w="567" w:type="dxa"/>
          </w:tcPr>
          <w:p w14:paraId="10259F73" w14:textId="77777777" w:rsidR="001A4F70" w:rsidRPr="00D66A91" w:rsidRDefault="001A4F70" w:rsidP="001A4F70">
            <w:pPr>
              <w:rPr>
                <w:rFonts w:cstheme="minorHAnsi"/>
                <w:sz w:val="20"/>
                <w:szCs w:val="20"/>
              </w:rPr>
            </w:pPr>
            <w:r w:rsidRPr="00D66A91">
              <w:rPr>
                <w:rFonts w:cstheme="minorHAnsi"/>
                <w:b/>
                <w:sz w:val="20"/>
                <w:szCs w:val="20"/>
              </w:rPr>
              <w:t>1</w:t>
            </w:r>
          </w:p>
        </w:tc>
        <w:tc>
          <w:tcPr>
            <w:tcW w:w="6941" w:type="dxa"/>
          </w:tcPr>
          <w:p w14:paraId="0E62A7FE" w14:textId="77777777" w:rsidR="001A4F70" w:rsidRPr="00261B56" w:rsidRDefault="001A4F70" w:rsidP="001A4F70">
            <w:pPr>
              <w:rPr>
                <w:rFonts w:cstheme="minorHAnsi"/>
              </w:rPr>
            </w:pPr>
            <w:r w:rsidRPr="00261B56">
              <w:rPr>
                <w:rFonts w:cstheme="minorHAnsi"/>
                <w:b/>
              </w:rPr>
              <w:t>DFAT health strategy</w:t>
            </w:r>
            <w:r w:rsidRPr="00261B56">
              <w:rPr>
                <w:rFonts w:cstheme="minorHAnsi"/>
              </w:rPr>
              <w:t xml:space="preserve"> [6.1.6, 8.1]</w:t>
            </w:r>
          </w:p>
          <w:p w14:paraId="79D36B00" w14:textId="4E294BAC" w:rsidR="001A4F70" w:rsidRPr="00261B56" w:rsidRDefault="001A4F70" w:rsidP="001A4F70">
            <w:pPr>
              <w:rPr>
                <w:rFonts w:cstheme="minorHAnsi"/>
              </w:rPr>
            </w:pPr>
            <w:r w:rsidRPr="00261B56">
              <w:rPr>
                <w:rFonts w:cstheme="minorHAnsi"/>
              </w:rPr>
              <w:t xml:space="preserve">DFAT </w:t>
            </w:r>
            <w:r w:rsidR="00E75A72">
              <w:rPr>
                <w:rFonts w:cstheme="minorHAnsi"/>
              </w:rPr>
              <w:t>Jakarta</w:t>
            </w:r>
            <w:r w:rsidRPr="00261B56">
              <w:rPr>
                <w:rFonts w:cstheme="minorHAnsi"/>
              </w:rPr>
              <w:t xml:space="preserve"> to develop a </w:t>
            </w:r>
            <w:r w:rsidRPr="00261B56">
              <w:rPr>
                <w:rFonts w:cstheme="minorHAnsi"/>
                <w:b/>
              </w:rPr>
              <w:t>strategy for Australia’s bilateral funding of the health sector in Indonesia, involving both human and animal health,</w:t>
            </w:r>
            <w:r w:rsidRPr="00261B56">
              <w:rPr>
                <w:rFonts w:cstheme="minorHAnsi"/>
              </w:rPr>
              <w:t xml:space="preserve"> in close consultation with </w:t>
            </w:r>
            <w:proofErr w:type="spellStart"/>
            <w:r w:rsidRPr="00261B56">
              <w:rPr>
                <w:rFonts w:cstheme="minorHAnsi"/>
              </w:rPr>
              <w:t>GoI</w:t>
            </w:r>
            <w:proofErr w:type="spellEnd"/>
            <w:r w:rsidRPr="00261B56">
              <w:rPr>
                <w:rFonts w:cstheme="minorHAnsi"/>
              </w:rPr>
              <w:t xml:space="preserve">. The strategy should align </w:t>
            </w:r>
            <w:r>
              <w:rPr>
                <w:rFonts w:cstheme="minorHAnsi"/>
              </w:rPr>
              <w:t>with</w:t>
            </w:r>
            <w:r w:rsidRPr="00261B56">
              <w:rPr>
                <w:rFonts w:cstheme="minorHAnsi"/>
              </w:rPr>
              <w:t xml:space="preserve"> </w:t>
            </w:r>
            <w:r>
              <w:rPr>
                <w:rFonts w:cstheme="minorHAnsi"/>
              </w:rPr>
              <w:t xml:space="preserve">Australian and Indonesian Government strategies and plans and focus on zoonoses and other EIDs. </w:t>
            </w:r>
            <w:r w:rsidRPr="00261B56">
              <w:rPr>
                <w:rFonts w:cstheme="minorHAnsi"/>
              </w:rPr>
              <w:t xml:space="preserve">It should identify synergies with other bilateral programs, ensure there is no duplication with other donors and describe how DFAT will address gender equality, </w:t>
            </w:r>
            <w:proofErr w:type="gramStart"/>
            <w:r w:rsidRPr="00261B56">
              <w:rPr>
                <w:rFonts w:cstheme="minorHAnsi"/>
              </w:rPr>
              <w:t>disability</w:t>
            </w:r>
            <w:proofErr w:type="gramEnd"/>
            <w:r w:rsidRPr="00261B56">
              <w:rPr>
                <w:rFonts w:cstheme="minorHAnsi"/>
              </w:rPr>
              <w:t xml:space="preserve"> and social inclusion. </w:t>
            </w:r>
          </w:p>
          <w:p w14:paraId="3EBCD3E3" w14:textId="04E596BB" w:rsidR="001A4F70" w:rsidRPr="00261B56" w:rsidRDefault="001A4F70" w:rsidP="001A4F70">
            <w:r w:rsidRPr="48362220">
              <w:t xml:space="preserve">The strategy </w:t>
            </w:r>
            <w:r>
              <w:t>is to</w:t>
            </w:r>
            <w:r w:rsidRPr="48362220">
              <w:t xml:space="preserve"> be developed </w:t>
            </w:r>
            <w:r w:rsidRPr="48362220">
              <w:rPr>
                <w:b/>
                <w:bCs/>
              </w:rPr>
              <w:t>mid-2024 to mid-2025</w:t>
            </w:r>
            <w:r w:rsidRPr="48362220">
              <w:t xml:space="preserve"> so that it can inform the design of a new health investment. All future health-related investments in Indonesia would contribute to the health strategy, which </w:t>
            </w:r>
            <w:r w:rsidR="00290569">
              <w:t>w</w:t>
            </w:r>
            <w:r w:rsidRPr="48362220">
              <w:t>ould set clear boundaries</w:t>
            </w:r>
            <w:r>
              <w:t xml:space="preserve"> for</w:t>
            </w:r>
            <w:r w:rsidRPr="48362220">
              <w:t xml:space="preserve"> requests for new work and focus policy influence. The strategy </w:t>
            </w:r>
            <w:r>
              <w:t>is</w:t>
            </w:r>
            <w:r w:rsidRPr="48362220">
              <w:t xml:space="preserve"> to be flexible to meet emerging needs. Internal DFAT capacity for strategic influence in human and animal health should be strengthened to assist in implementing the strategy. </w:t>
            </w:r>
          </w:p>
        </w:tc>
        <w:tc>
          <w:tcPr>
            <w:tcW w:w="1134" w:type="dxa"/>
          </w:tcPr>
          <w:p w14:paraId="6D199317" w14:textId="733B1399" w:rsidR="001A4F70" w:rsidRPr="00D66A91" w:rsidRDefault="001A4F70" w:rsidP="001A4F70">
            <w:pPr>
              <w:jc w:val="center"/>
              <w:rPr>
                <w:rFonts w:cstheme="minorHAnsi"/>
                <w:sz w:val="20"/>
                <w:szCs w:val="20"/>
              </w:rPr>
            </w:pPr>
            <w:r w:rsidRPr="00D66A91">
              <w:rPr>
                <w:rFonts w:cstheme="minorHAnsi"/>
                <w:b/>
                <w:sz w:val="20"/>
                <w:szCs w:val="20"/>
              </w:rPr>
              <w:t>SHORT</w:t>
            </w:r>
          </w:p>
        </w:tc>
        <w:tc>
          <w:tcPr>
            <w:tcW w:w="1134" w:type="dxa"/>
          </w:tcPr>
          <w:p w14:paraId="092CBB37" w14:textId="77777777" w:rsidR="001A4F70" w:rsidRPr="00D66A91" w:rsidRDefault="001A4F70" w:rsidP="001A4F70">
            <w:pPr>
              <w:jc w:val="center"/>
              <w:rPr>
                <w:rFonts w:cstheme="minorHAnsi"/>
                <w:b/>
                <w:sz w:val="20"/>
                <w:szCs w:val="20"/>
              </w:rPr>
            </w:pPr>
            <w:r w:rsidRPr="00D66A91">
              <w:rPr>
                <w:rFonts w:cstheme="minorHAnsi"/>
                <w:b/>
                <w:sz w:val="20"/>
                <w:szCs w:val="20"/>
              </w:rPr>
              <w:t>HIGH</w:t>
            </w:r>
          </w:p>
        </w:tc>
      </w:tr>
      <w:tr w:rsidR="001A4F70" w:rsidRPr="00D66A91" w14:paraId="569E15BD" w14:textId="77777777" w:rsidTr="00863BC3">
        <w:tc>
          <w:tcPr>
            <w:tcW w:w="567" w:type="dxa"/>
          </w:tcPr>
          <w:p w14:paraId="4DFB2B2C" w14:textId="77777777" w:rsidR="001A4F70" w:rsidRPr="00D66A91" w:rsidRDefault="001A4F70" w:rsidP="001A4F70">
            <w:pPr>
              <w:rPr>
                <w:rFonts w:cstheme="minorHAnsi"/>
                <w:b/>
                <w:sz w:val="20"/>
                <w:szCs w:val="20"/>
              </w:rPr>
            </w:pPr>
            <w:r>
              <w:rPr>
                <w:rFonts w:cstheme="minorHAnsi"/>
                <w:b/>
                <w:sz w:val="20"/>
                <w:szCs w:val="20"/>
              </w:rPr>
              <w:t>2</w:t>
            </w:r>
          </w:p>
        </w:tc>
        <w:tc>
          <w:tcPr>
            <w:tcW w:w="6941" w:type="dxa"/>
          </w:tcPr>
          <w:p w14:paraId="37B4250E" w14:textId="77777777" w:rsidR="001A4F70" w:rsidRPr="00261B56" w:rsidRDefault="001A4F70" w:rsidP="001A4F70">
            <w:pPr>
              <w:rPr>
                <w:rFonts w:cstheme="minorHAnsi"/>
              </w:rPr>
            </w:pPr>
            <w:r w:rsidRPr="00261B56">
              <w:rPr>
                <w:rFonts w:eastAsia="Calibri" w:cstheme="minorHAnsi"/>
                <w:b/>
              </w:rPr>
              <w:t xml:space="preserve">DFAT emergency response </w:t>
            </w:r>
            <w:r>
              <w:rPr>
                <w:rFonts w:eastAsia="Calibri" w:cstheme="minorHAnsi"/>
                <w:b/>
              </w:rPr>
              <w:t xml:space="preserve">funding </w:t>
            </w:r>
            <w:r w:rsidRPr="00261B56">
              <w:rPr>
                <w:rFonts w:eastAsia="Calibri" w:cstheme="minorHAnsi"/>
                <w:b/>
              </w:rPr>
              <w:t>mechanism</w:t>
            </w:r>
            <w:r w:rsidRPr="00261B56">
              <w:rPr>
                <w:rFonts w:eastAsia="Calibri" w:cstheme="minorHAnsi"/>
              </w:rPr>
              <w:t xml:space="preserve"> [6.1.1-6.1.3]</w:t>
            </w:r>
          </w:p>
          <w:p w14:paraId="14FE5D69" w14:textId="09E5F359" w:rsidR="001A4F70" w:rsidRPr="00261B56" w:rsidRDefault="001A4F70" w:rsidP="001A4F70">
            <w:pPr>
              <w:rPr>
                <w:rFonts w:cstheme="minorHAnsi"/>
              </w:rPr>
            </w:pPr>
            <w:r>
              <w:rPr>
                <w:rFonts w:eastAsia="Calibri" w:cstheme="minorHAnsi"/>
              </w:rPr>
              <w:t xml:space="preserve">DFAT to introduce </w:t>
            </w:r>
            <w:r w:rsidRPr="00261B56">
              <w:rPr>
                <w:rFonts w:eastAsia="Calibri" w:cstheme="minorHAnsi"/>
              </w:rPr>
              <w:t xml:space="preserve">a </w:t>
            </w:r>
            <w:r w:rsidRPr="00290569">
              <w:rPr>
                <w:rFonts w:eastAsia="Calibri" w:cstheme="minorHAnsi"/>
                <w:b/>
                <w:bCs/>
              </w:rPr>
              <w:t>flexible emergency response mechanism</w:t>
            </w:r>
            <w:r w:rsidRPr="00261B56">
              <w:rPr>
                <w:rFonts w:eastAsia="Calibri" w:cstheme="minorHAnsi"/>
              </w:rPr>
              <w:t xml:space="preserve"> to rapidly </w:t>
            </w:r>
            <w:r>
              <w:rPr>
                <w:rFonts w:eastAsia="Calibri" w:cstheme="minorHAnsi"/>
              </w:rPr>
              <w:t>disburse</w:t>
            </w:r>
            <w:r w:rsidRPr="00261B56">
              <w:rPr>
                <w:rFonts w:eastAsia="Calibri" w:cstheme="minorHAnsi"/>
              </w:rPr>
              <w:t xml:space="preserve"> funding </w:t>
            </w:r>
            <w:r>
              <w:rPr>
                <w:rFonts w:eastAsia="Calibri" w:cstheme="minorHAnsi"/>
              </w:rPr>
              <w:t xml:space="preserve">to partners </w:t>
            </w:r>
            <w:r w:rsidRPr="00261B56">
              <w:rPr>
                <w:rFonts w:eastAsia="Calibri" w:cstheme="minorHAnsi"/>
              </w:rPr>
              <w:t xml:space="preserve">for </w:t>
            </w:r>
            <w:r>
              <w:rPr>
                <w:rFonts w:eastAsia="Calibri" w:cstheme="minorHAnsi"/>
              </w:rPr>
              <w:t xml:space="preserve">human and animal </w:t>
            </w:r>
            <w:r w:rsidRPr="00261B56">
              <w:rPr>
                <w:rFonts w:eastAsia="Calibri" w:cstheme="minorHAnsi"/>
              </w:rPr>
              <w:t>disease outbreaks</w:t>
            </w:r>
            <w:r>
              <w:rPr>
                <w:rFonts w:eastAsia="Calibri" w:cstheme="minorHAnsi"/>
              </w:rPr>
              <w:t>.</w:t>
            </w:r>
            <w:r w:rsidRPr="00261B56">
              <w:rPr>
                <w:rFonts w:eastAsia="Calibri" w:cstheme="minorHAnsi"/>
              </w:rPr>
              <w:t xml:space="preserve"> Th</w:t>
            </w:r>
            <w:r>
              <w:rPr>
                <w:rFonts w:eastAsia="Calibri" w:cstheme="minorHAnsi"/>
              </w:rPr>
              <w:t>e</w:t>
            </w:r>
            <w:r w:rsidRPr="00261B56">
              <w:rPr>
                <w:rFonts w:eastAsia="Calibri" w:cstheme="minorHAnsi"/>
              </w:rPr>
              <w:t xml:space="preserve"> funding and mechanism </w:t>
            </w:r>
            <w:r w:rsidR="00F55FF9">
              <w:rPr>
                <w:rFonts w:eastAsia="Calibri" w:cstheme="minorHAnsi"/>
              </w:rPr>
              <w:t>c</w:t>
            </w:r>
            <w:r w:rsidRPr="00261B56">
              <w:rPr>
                <w:rFonts w:eastAsia="Calibri" w:cstheme="minorHAnsi"/>
              </w:rPr>
              <w:t xml:space="preserve">ould be </w:t>
            </w:r>
            <w:r w:rsidRPr="00261B56">
              <w:rPr>
                <w:rFonts w:eastAsia="Calibri" w:cstheme="minorHAnsi"/>
                <w:b/>
                <w:bCs/>
              </w:rPr>
              <w:t>separate to the modality used for a new health investment in health systems strengthening</w:t>
            </w:r>
            <w:r w:rsidRPr="00261B56">
              <w:rPr>
                <w:rFonts w:eastAsia="Calibri" w:cstheme="minorHAnsi"/>
              </w:rPr>
              <w:t xml:space="preserve"> and have clear parameters for access and use of </w:t>
            </w:r>
            <w:r>
              <w:rPr>
                <w:rFonts w:eastAsia="Calibri" w:cstheme="minorHAnsi"/>
              </w:rPr>
              <w:t xml:space="preserve">the </w:t>
            </w:r>
            <w:r w:rsidRPr="00261B56">
              <w:rPr>
                <w:rFonts w:eastAsia="Calibri" w:cstheme="minorHAnsi"/>
              </w:rPr>
              <w:t>funding. It might, however, still be managed by the same managing contractor</w:t>
            </w:r>
            <w:r>
              <w:rPr>
                <w:rFonts w:eastAsia="Calibri" w:cstheme="minorHAnsi"/>
              </w:rPr>
              <w:t xml:space="preserve">, </w:t>
            </w:r>
            <w:r w:rsidRPr="00261B56">
              <w:rPr>
                <w:rFonts w:eastAsia="Calibri" w:cstheme="minorHAnsi"/>
              </w:rPr>
              <w:t>but</w:t>
            </w:r>
            <w:r w:rsidR="00290569">
              <w:rPr>
                <w:rFonts w:eastAsia="Calibri" w:cstheme="minorHAnsi"/>
              </w:rPr>
              <w:t xml:space="preserve"> with</w:t>
            </w:r>
            <w:r w:rsidRPr="00261B56">
              <w:rPr>
                <w:rFonts w:eastAsia="Calibri" w:cstheme="minorHAnsi"/>
              </w:rPr>
              <w:t xml:space="preserve"> discreet funding and </w:t>
            </w:r>
            <w:r>
              <w:rPr>
                <w:rFonts w:eastAsia="Calibri" w:cstheme="minorHAnsi"/>
              </w:rPr>
              <w:t>staffing</w:t>
            </w:r>
            <w:r w:rsidR="00290569">
              <w:rPr>
                <w:rFonts w:eastAsia="Calibri" w:cstheme="minorHAnsi"/>
              </w:rPr>
              <w:t>.</w:t>
            </w:r>
            <w:r w:rsidRPr="00261B56">
              <w:rPr>
                <w:rFonts w:eastAsia="Calibri" w:cstheme="minorHAnsi"/>
              </w:rPr>
              <w:t xml:space="preserve"> </w:t>
            </w:r>
          </w:p>
        </w:tc>
        <w:tc>
          <w:tcPr>
            <w:tcW w:w="1134" w:type="dxa"/>
          </w:tcPr>
          <w:p w14:paraId="7D523804" w14:textId="77777777" w:rsidR="001A4F70" w:rsidRPr="00D66A91" w:rsidRDefault="001A4F70" w:rsidP="001A4F70">
            <w:pPr>
              <w:jc w:val="center"/>
              <w:rPr>
                <w:rFonts w:eastAsia="Times New Roman" w:cstheme="minorHAnsi"/>
                <w:sz w:val="20"/>
                <w:szCs w:val="20"/>
              </w:rPr>
            </w:pPr>
            <w:r w:rsidRPr="00D66A91">
              <w:rPr>
                <w:rFonts w:cstheme="minorHAnsi"/>
                <w:b/>
                <w:sz w:val="20"/>
                <w:szCs w:val="20"/>
              </w:rPr>
              <w:t>SHORT</w:t>
            </w:r>
          </w:p>
        </w:tc>
        <w:tc>
          <w:tcPr>
            <w:tcW w:w="1134" w:type="dxa"/>
          </w:tcPr>
          <w:p w14:paraId="563BFE78" w14:textId="77777777" w:rsidR="001A4F70" w:rsidRPr="00D66A91" w:rsidRDefault="001A4F70" w:rsidP="001A4F70">
            <w:pPr>
              <w:jc w:val="center"/>
              <w:rPr>
                <w:rFonts w:cstheme="minorHAnsi"/>
                <w:b/>
                <w:sz w:val="20"/>
                <w:szCs w:val="20"/>
              </w:rPr>
            </w:pPr>
            <w:r w:rsidRPr="00D66A91">
              <w:rPr>
                <w:rFonts w:cstheme="minorHAnsi"/>
                <w:b/>
                <w:sz w:val="20"/>
                <w:szCs w:val="20"/>
              </w:rPr>
              <w:t>HIGH</w:t>
            </w:r>
          </w:p>
        </w:tc>
      </w:tr>
      <w:tr w:rsidR="001A4F70" w:rsidRPr="00D66A91" w14:paraId="7FF701E0" w14:textId="77777777" w:rsidTr="00863BC3">
        <w:tc>
          <w:tcPr>
            <w:tcW w:w="567" w:type="dxa"/>
          </w:tcPr>
          <w:p w14:paraId="09B4CCD4" w14:textId="77777777" w:rsidR="001A4F70" w:rsidRPr="00D66A91" w:rsidRDefault="001A4F70" w:rsidP="001A4F70">
            <w:pPr>
              <w:rPr>
                <w:rFonts w:cstheme="minorHAnsi"/>
                <w:b/>
                <w:sz w:val="20"/>
                <w:szCs w:val="20"/>
              </w:rPr>
            </w:pPr>
            <w:r>
              <w:rPr>
                <w:rFonts w:cstheme="minorHAnsi"/>
                <w:b/>
                <w:sz w:val="20"/>
                <w:szCs w:val="20"/>
              </w:rPr>
              <w:t>3</w:t>
            </w:r>
          </w:p>
        </w:tc>
        <w:tc>
          <w:tcPr>
            <w:tcW w:w="6941" w:type="dxa"/>
          </w:tcPr>
          <w:p w14:paraId="78229A55" w14:textId="50F57F0F" w:rsidR="001A4F70" w:rsidRPr="00261B56" w:rsidRDefault="001A4F70" w:rsidP="001A4F70">
            <w:proofErr w:type="spellStart"/>
            <w:r w:rsidRPr="48362220">
              <w:rPr>
                <w:rFonts w:eastAsia="Calibri"/>
                <w:b/>
                <w:bCs/>
              </w:rPr>
              <w:t>GoI</w:t>
            </w:r>
            <w:proofErr w:type="spellEnd"/>
            <w:r w:rsidRPr="48362220">
              <w:rPr>
                <w:rFonts w:eastAsia="Calibri"/>
                <w:b/>
                <w:bCs/>
              </w:rPr>
              <w:t xml:space="preserve"> engagement</w:t>
            </w:r>
            <w:r w:rsidRPr="48362220">
              <w:rPr>
                <w:rFonts w:eastAsia="Calibri"/>
              </w:rPr>
              <w:t xml:space="preserve"> [8.1.5]</w:t>
            </w:r>
            <w:r>
              <w:br/>
            </w:r>
            <w:r w:rsidRPr="48362220">
              <w:rPr>
                <w:rFonts w:eastAsia="Calibri"/>
              </w:rPr>
              <w:t>Australia to progress part</w:t>
            </w:r>
            <w:r>
              <w:rPr>
                <w:rFonts w:eastAsia="Calibri"/>
              </w:rPr>
              <w:t>n</w:t>
            </w:r>
            <w:r w:rsidRPr="48362220">
              <w:rPr>
                <w:rFonts w:eastAsia="Calibri"/>
              </w:rPr>
              <w:t xml:space="preserve">erships with MoH and </w:t>
            </w:r>
            <w:proofErr w:type="spellStart"/>
            <w:r w:rsidRPr="48362220">
              <w:rPr>
                <w:rFonts w:eastAsia="Calibri"/>
              </w:rPr>
              <w:t>MoA</w:t>
            </w:r>
            <w:proofErr w:type="spellEnd"/>
            <w:r w:rsidRPr="48362220">
              <w:rPr>
                <w:rFonts w:eastAsia="Calibri"/>
              </w:rPr>
              <w:t xml:space="preserve">. It is to continue to support embedded advisors in the MoH and resume full-time technical </w:t>
            </w:r>
            <w:r w:rsidRPr="48362220">
              <w:rPr>
                <w:rFonts w:eastAsia="Calibri"/>
              </w:rPr>
              <w:lastRenderedPageBreak/>
              <w:t xml:space="preserve">support embedded in the </w:t>
            </w:r>
            <w:proofErr w:type="spellStart"/>
            <w:r w:rsidRPr="48362220">
              <w:rPr>
                <w:rFonts w:eastAsia="Calibri"/>
              </w:rPr>
              <w:t>MoA</w:t>
            </w:r>
            <w:proofErr w:type="spellEnd"/>
            <w:r w:rsidRPr="48362220">
              <w:rPr>
                <w:rFonts w:eastAsia="Calibri"/>
              </w:rPr>
              <w:t xml:space="preserve">. Australia to consider its engagement with </w:t>
            </w:r>
            <w:proofErr w:type="spellStart"/>
            <w:r w:rsidRPr="48362220">
              <w:rPr>
                <w:rFonts w:eastAsia="Calibri"/>
              </w:rPr>
              <w:t>MoEF</w:t>
            </w:r>
            <w:proofErr w:type="spellEnd"/>
            <w:r w:rsidRPr="48362220">
              <w:rPr>
                <w:rFonts w:eastAsia="Calibri"/>
              </w:rPr>
              <w:t xml:space="preserve">, </w:t>
            </w:r>
            <w:proofErr w:type="spellStart"/>
            <w:r w:rsidRPr="48362220">
              <w:rPr>
                <w:rFonts w:eastAsia="Calibri"/>
              </w:rPr>
              <w:t>MoHA</w:t>
            </w:r>
            <w:proofErr w:type="spellEnd"/>
            <w:r w:rsidRPr="48362220">
              <w:rPr>
                <w:rFonts w:eastAsia="Calibri"/>
              </w:rPr>
              <w:t xml:space="preserve">, </w:t>
            </w:r>
            <w:proofErr w:type="spellStart"/>
            <w:r w:rsidRPr="48362220">
              <w:rPr>
                <w:rFonts w:eastAsia="Calibri"/>
              </w:rPr>
              <w:t>Kemenko</w:t>
            </w:r>
            <w:proofErr w:type="spellEnd"/>
            <w:r w:rsidRPr="48362220">
              <w:rPr>
                <w:rFonts w:eastAsia="Calibri"/>
              </w:rPr>
              <w:t xml:space="preserve"> PMK and BAPPENAS, </w:t>
            </w:r>
            <w:r w:rsidRPr="48362220">
              <w:rPr>
                <w:rFonts w:eastAsia="Times New Roman"/>
                <w:color w:val="000000" w:themeColor="text1"/>
                <w:lang w:eastAsia="en-AU"/>
              </w:rPr>
              <w:t xml:space="preserve">as ministries responsible for areas </w:t>
            </w:r>
            <w:r w:rsidR="00817D91">
              <w:rPr>
                <w:rFonts w:eastAsia="Times New Roman"/>
                <w:color w:val="000000" w:themeColor="text1"/>
                <w:lang w:eastAsia="en-AU"/>
              </w:rPr>
              <w:t>related to the</w:t>
            </w:r>
            <w:r w:rsidRPr="48362220">
              <w:rPr>
                <w:rFonts w:eastAsia="Times New Roman"/>
                <w:color w:val="000000" w:themeColor="text1"/>
                <w:lang w:eastAsia="en-AU"/>
              </w:rPr>
              <w:t xml:space="preserve"> new health investment</w:t>
            </w:r>
            <w:r w:rsidRPr="48362220">
              <w:rPr>
                <w:rFonts w:eastAsia="Calibri"/>
              </w:rPr>
              <w:t>.</w:t>
            </w:r>
          </w:p>
        </w:tc>
        <w:tc>
          <w:tcPr>
            <w:tcW w:w="1134" w:type="dxa"/>
          </w:tcPr>
          <w:p w14:paraId="6287AD5B" w14:textId="77777777" w:rsidR="001A4F70" w:rsidRPr="00D66A91" w:rsidRDefault="001A4F70" w:rsidP="001A4F70">
            <w:pPr>
              <w:jc w:val="center"/>
              <w:rPr>
                <w:rFonts w:eastAsia="Times New Roman" w:cstheme="minorHAnsi"/>
                <w:sz w:val="20"/>
                <w:szCs w:val="20"/>
              </w:rPr>
            </w:pPr>
            <w:r w:rsidRPr="00D66A91">
              <w:rPr>
                <w:rFonts w:cstheme="minorHAnsi"/>
                <w:b/>
                <w:sz w:val="20"/>
                <w:szCs w:val="20"/>
              </w:rPr>
              <w:lastRenderedPageBreak/>
              <w:t>SHORT</w:t>
            </w:r>
          </w:p>
        </w:tc>
        <w:tc>
          <w:tcPr>
            <w:tcW w:w="1134" w:type="dxa"/>
          </w:tcPr>
          <w:p w14:paraId="0A126D47" w14:textId="77777777" w:rsidR="001A4F70" w:rsidRPr="00D66A91" w:rsidRDefault="001A4F70" w:rsidP="001A4F70">
            <w:pPr>
              <w:jc w:val="center"/>
              <w:rPr>
                <w:rFonts w:cstheme="minorHAnsi"/>
                <w:b/>
                <w:sz w:val="20"/>
                <w:szCs w:val="20"/>
              </w:rPr>
            </w:pPr>
            <w:r w:rsidRPr="00D66A91">
              <w:rPr>
                <w:rFonts w:cstheme="minorHAnsi"/>
                <w:b/>
                <w:sz w:val="20"/>
                <w:szCs w:val="20"/>
              </w:rPr>
              <w:t>HIGH</w:t>
            </w:r>
          </w:p>
        </w:tc>
      </w:tr>
      <w:tr w:rsidR="001A4F70" w:rsidRPr="00D66A91" w14:paraId="6CA12DF9" w14:textId="77777777" w:rsidTr="00863BC3">
        <w:tc>
          <w:tcPr>
            <w:tcW w:w="567" w:type="dxa"/>
          </w:tcPr>
          <w:p w14:paraId="420FDA59" w14:textId="77777777" w:rsidR="001A4F70" w:rsidRPr="00D66A91" w:rsidRDefault="001A4F70" w:rsidP="001A4F70">
            <w:pPr>
              <w:rPr>
                <w:rFonts w:cstheme="minorHAnsi"/>
                <w:b/>
                <w:sz w:val="20"/>
                <w:szCs w:val="20"/>
              </w:rPr>
            </w:pPr>
            <w:r>
              <w:rPr>
                <w:rFonts w:cstheme="minorHAnsi"/>
                <w:b/>
                <w:sz w:val="20"/>
                <w:szCs w:val="20"/>
              </w:rPr>
              <w:t>4</w:t>
            </w:r>
            <w:r w:rsidRPr="00D66A91">
              <w:rPr>
                <w:rFonts w:cstheme="minorHAnsi"/>
                <w:b/>
                <w:sz w:val="20"/>
                <w:szCs w:val="20"/>
              </w:rPr>
              <w:t>a</w:t>
            </w:r>
          </w:p>
        </w:tc>
        <w:tc>
          <w:tcPr>
            <w:tcW w:w="6941" w:type="dxa"/>
          </w:tcPr>
          <w:p w14:paraId="7538586D" w14:textId="2AC780D8" w:rsidR="001A4F70" w:rsidRPr="00261B56" w:rsidRDefault="001A4F70" w:rsidP="001A4F70">
            <w:pPr>
              <w:rPr>
                <w:rFonts w:cstheme="minorHAnsi"/>
              </w:rPr>
            </w:pPr>
            <w:r w:rsidRPr="00261B56">
              <w:rPr>
                <w:rFonts w:eastAsia="Calibri" w:cstheme="minorHAnsi"/>
                <w:b/>
              </w:rPr>
              <w:t>Human surveillance and health information systems</w:t>
            </w:r>
            <w:r w:rsidRPr="00261B56">
              <w:rPr>
                <w:rFonts w:eastAsia="Calibri" w:cstheme="minorHAnsi"/>
              </w:rPr>
              <w:t xml:space="preserve"> [3.1.2, 4.1, 5.1, 8.1]</w:t>
            </w:r>
          </w:p>
          <w:p w14:paraId="1AA657A3" w14:textId="79D9F71A" w:rsidR="001A4F70" w:rsidRPr="001A4F70" w:rsidRDefault="001A4F70" w:rsidP="001A4F70">
            <w:pPr>
              <w:rPr>
                <w:rFonts w:eastAsia="Calibri"/>
              </w:rPr>
            </w:pPr>
            <w:r>
              <w:rPr>
                <w:rFonts w:eastAsia="Calibri"/>
              </w:rPr>
              <w:t>DFAT</w:t>
            </w:r>
            <w:r w:rsidRPr="48362220">
              <w:rPr>
                <w:rFonts w:eastAsia="Calibri"/>
              </w:rPr>
              <w:t xml:space="preserve"> to continue to support </w:t>
            </w:r>
            <w:r>
              <w:rPr>
                <w:rFonts w:eastAsia="Calibri"/>
              </w:rPr>
              <w:t xml:space="preserve">human surveillance and health information systems </w:t>
            </w:r>
            <w:r w:rsidRPr="48362220">
              <w:rPr>
                <w:rFonts w:eastAsia="Calibri"/>
              </w:rPr>
              <w:t>includ</w:t>
            </w:r>
            <w:r>
              <w:rPr>
                <w:rFonts w:eastAsia="Calibri"/>
              </w:rPr>
              <w:t>ing</w:t>
            </w:r>
            <w:r w:rsidRPr="48362220">
              <w:rPr>
                <w:rFonts w:eastAsia="Calibri"/>
              </w:rPr>
              <w:t xml:space="preserve"> </w:t>
            </w:r>
            <w:r>
              <w:rPr>
                <w:rFonts w:eastAsia="Calibri"/>
              </w:rPr>
              <w:t>strengthening capacity of</w:t>
            </w:r>
            <w:r w:rsidRPr="48362220">
              <w:rPr>
                <w:rFonts w:eastAsia="Calibri"/>
              </w:rPr>
              <w:t xml:space="preserve"> </w:t>
            </w:r>
            <w:r>
              <w:rPr>
                <w:rFonts w:eastAsia="Calibri"/>
              </w:rPr>
              <w:t>primary</w:t>
            </w:r>
            <w:r w:rsidRPr="48362220">
              <w:rPr>
                <w:rFonts w:eastAsia="Calibri"/>
              </w:rPr>
              <w:t xml:space="preserve"> health care workers </w:t>
            </w:r>
            <w:proofErr w:type="gramStart"/>
            <w:r w:rsidRPr="48362220">
              <w:rPr>
                <w:rFonts w:eastAsia="Calibri"/>
              </w:rPr>
              <w:t>in:</w:t>
            </w:r>
            <w:proofErr w:type="gramEnd"/>
            <w:r w:rsidRPr="48362220">
              <w:rPr>
                <w:rFonts w:eastAsia="Calibri"/>
              </w:rPr>
              <w:t xml:space="preserve"> integrated health information management systems; referral systems; diagnostics</w:t>
            </w:r>
            <w:r>
              <w:rPr>
                <w:rFonts w:eastAsia="Calibri"/>
              </w:rPr>
              <w:t>; data collection</w:t>
            </w:r>
            <w:r w:rsidRPr="48362220">
              <w:rPr>
                <w:rFonts w:eastAsia="Calibri"/>
              </w:rPr>
              <w:t xml:space="preserve"> and community-based surveillance. </w:t>
            </w:r>
            <w:r>
              <w:rPr>
                <w:rFonts w:eastAsia="Calibri"/>
              </w:rPr>
              <w:t>It</w:t>
            </w:r>
            <w:r w:rsidRPr="48362220">
              <w:rPr>
                <w:rFonts w:eastAsia="Calibri"/>
              </w:rPr>
              <w:t xml:space="preserve"> should prioritise support</w:t>
            </w:r>
            <w:r>
              <w:rPr>
                <w:rFonts w:eastAsia="Calibri"/>
              </w:rPr>
              <w:t>ing</w:t>
            </w:r>
            <w:r w:rsidRPr="48362220">
              <w:rPr>
                <w:rFonts w:eastAsia="Calibri"/>
              </w:rPr>
              <w:t xml:space="preserve"> service provision for and by groups in the community such as women</w:t>
            </w:r>
            <w:r>
              <w:rPr>
                <w:rFonts w:eastAsia="Calibri"/>
              </w:rPr>
              <w:t>,</w:t>
            </w:r>
            <w:r w:rsidRPr="48362220">
              <w:rPr>
                <w:rFonts w:eastAsia="Calibri"/>
              </w:rPr>
              <w:t xml:space="preserve"> people with disabilities and </w:t>
            </w:r>
            <w:r>
              <w:rPr>
                <w:rFonts w:eastAsia="Calibri"/>
              </w:rPr>
              <w:t xml:space="preserve">the elderly. </w:t>
            </w:r>
            <w:r w:rsidR="006407CE">
              <w:rPr>
                <w:rFonts w:eastAsia="Calibri"/>
              </w:rPr>
              <w:t>Work</w:t>
            </w:r>
            <w:r w:rsidRPr="48362220">
              <w:rPr>
                <w:rFonts w:eastAsia="Calibri"/>
              </w:rPr>
              <w:t xml:space="preserve"> could </w:t>
            </w:r>
            <w:r>
              <w:rPr>
                <w:rFonts w:eastAsia="Calibri"/>
              </w:rPr>
              <w:t xml:space="preserve">also </w:t>
            </w:r>
            <w:r w:rsidRPr="48362220">
              <w:rPr>
                <w:rFonts w:eastAsia="Calibri"/>
              </w:rPr>
              <w:t>include strengthening sub-national capacity in data analysis, data governance and management</w:t>
            </w:r>
            <w:r w:rsidR="006407CE">
              <w:rPr>
                <w:rFonts w:eastAsia="Calibri"/>
              </w:rPr>
              <w:t>,</w:t>
            </w:r>
            <w:r w:rsidRPr="48362220">
              <w:rPr>
                <w:rFonts w:eastAsia="Calibri"/>
              </w:rPr>
              <w:t xml:space="preserve"> and translating data </w:t>
            </w:r>
            <w:r w:rsidR="006407CE">
              <w:rPr>
                <w:rFonts w:eastAsia="Calibri"/>
              </w:rPr>
              <w:t>for</w:t>
            </w:r>
            <w:r w:rsidRPr="48362220">
              <w:rPr>
                <w:rFonts w:eastAsia="Calibri"/>
              </w:rPr>
              <w:t xml:space="preserve"> decision-making.</w:t>
            </w:r>
          </w:p>
        </w:tc>
        <w:tc>
          <w:tcPr>
            <w:tcW w:w="1134" w:type="dxa"/>
          </w:tcPr>
          <w:p w14:paraId="7A7CCC19" w14:textId="77777777" w:rsidR="001A4F70" w:rsidRPr="00D66A91" w:rsidRDefault="001A4F70" w:rsidP="001A4F70">
            <w:pPr>
              <w:jc w:val="center"/>
              <w:rPr>
                <w:rFonts w:eastAsia="Times New Roman" w:cstheme="minorHAnsi"/>
                <w:b/>
                <w:bCs/>
                <w:sz w:val="20"/>
                <w:szCs w:val="20"/>
              </w:rPr>
            </w:pPr>
            <w:r w:rsidRPr="00D66A91">
              <w:rPr>
                <w:rFonts w:eastAsia="Times New Roman" w:cstheme="minorHAnsi"/>
                <w:b/>
                <w:bCs/>
                <w:sz w:val="20"/>
                <w:szCs w:val="20"/>
              </w:rPr>
              <w:t>MEDIUM</w:t>
            </w:r>
          </w:p>
        </w:tc>
        <w:tc>
          <w:tcPr>
            <w:tcW w:w="1134" w:type="dxa"/>
          </w:tcPr>
          <w:p w14:paraId="20AECAA7" w14:textId="77777777" w:rsidR="001A4F70" w:rsidRPr="00D66A91" w:rsidRDefault="001A4F70" w:rsidP="001A4F70">
            <w:pPr>
              <w:jc w:val="center"/>
              <w:rPr>
                <w:rFonts w:cstheme="minorHAnsi"/>
                <w:b/>
                <w:sz w:val="20"/>
                <w:szCs w:val="20"/>
              </w:rPr>
            </w:pPr>
            <w:r w:rsidRPr="00D66A91">
              <w:rPr>
                <w:rFonts w:cstheme="minorHAnsi"/>
                <w:b/>
                <w:sz w:val="20"/>
                <w:szCs w:val="20"/>
              </w:rPr>
              <w:t>HIGH</w:t>
            </w:r>
          </w:p>
        </w:tc>
      </w:tr>
      <w:tr w:rsidR="001A4F70" w:rsidRPr="00D66A91" w14:paraId="3A3CCCD3" w14:textId="77777777" w:rsidTr="00863BC3">
        <w:tc>
          <w:tcPr>
            <w:tcW w:w="567" w:type="dxa"/>
          </w:tcPr>
          <w:p w14:paraId="7E6DAA55" w14:textId="77777777" w:rsidR="001A4F70" w:rsidRPr="00D66A91" w:rsidRDefault="001A4F70" w:rsidP="001A4F70">
            <w:pPr>
              <w:rPr>
                <w:b/>
                <w:bCs/>
                <w:sz w:val="20"/>
                <w:szCs w:val="20"/>
              </w:rPr>
            </w:pPr>
            <w:r>
              <w:rPr>
                <w:b/>
                <w:bCs/>
                <w:sz w:val="20"/>
                <w:szCs w:val="20"/>
              </w:rPr>
              <w:t>4</w:t>
            </w:r>
            <w:r w:rsidRPr="48362220">
              <w:rPr>
                <w:b/>
                <w:bCs/>
                <w:sz w:val="20"/>
                <w:szCs w:val="20"/>
              </w:rPr>
              <w:t>b</w:t>
            </w:r>
          </w:p>
        </w:tc>
        <w:tc>
          <w:tcPr>
            <w:tcW w:w="6941" w:type="dxa"/>
          </w:tcPr>
          <w:p w14:paraId="502C68E7" w14:textId="54F30E77" w:rsidR="001A4F70" w:rsidRPr="00261B56" w:rsidRDefault="001A4F70" w:rsidP="001A4F70">
            <w:r w:rsidRPr="48362220">
              <w:rPr>
                <w:rFonts w:eastAsia="Calibri"/>
                <w:b/>
                <w:bCs/>
              </w:rPr>
              <w:t>Animal surveillance and health information systems</w:t>
            </w:r>
            <w:r w:rsidRPr="48362220">
              <w:rPr>
                <w:rFonts w:eastAsia="Calibri"/>
              </w:rPr>
              <w:t xml:space="preserve"> [3.1.2, 4.1, 5.1, 8.1]</w:t>
            </w:r>
          </w:p>
          <w:p w14:paraId="52C140A8" w14:textId="71D4D52E" w:rsidR="001A4F70" w:rsidRPr="00261B56" w:rsidRDefault="001A4F70" w:rsidP="001A4F70">
            <w:r>
              <w:rPr>
                <w:rFonts w:eastAsia="Calibri"/>
              </w:rPr>
              <w:t>DFAT</w:t>
            </w:r>
            <w:r w:rsidRPr="48362220">
              <w:rPr>
                <w:rFonts w:eastAsia="Calibri"/>
              </w:rPr>
              <w:t xml:space="preserve"> to continue to support development of, and timely reporting into </w:t>
            </w:r>
            <w:proofErr w:type="spellStart"/>
            <w:r w:rsidRPr="00684607">
              <w:t>iSIKHNAS</w:t>
            </w:r>
            <w:proofErr w:type="spellEnd"/>
            <w:r>
              <w:t xml:space="preserve">, </w:t>
            </w:r>
            <w:r w:rsidRPr="48362220">
              <w:rPr>
                <w:rFonts w:eastAsia="Calibri"/>
              </w:rPr>
              <w:t>its uptake at a sub-national leve</w:t>
            </w:r>
            <w:sdt>
              <w:sdtPr>
                <w:rPr>
                  <w:color w:val="2B579A"/>
                  <w:shd w:val="clear" w:color="auto" w:fill="E6E6E6"/>
                </w:rPr>
                <w:tag w:val="goog_rdk_4"/>
                <w:id w:val="1660193816"/>
                <w:placeholder>
                  <w:docPart w:val="5FC8DAB68C2A41E2B82A4F0707B606AB"/>
                </w:placeholder>
                <w:showingPlcHdr/>
              </w:sdtPr>
              <w:sdtEndPr/>
              <w:sdtContent/>
            </w:sdt>
            <w:r w:rsidRPr="48362220">
              <w:rPr>
                <w:rFonts w:eastAsia="Calibri"/>
              </w:rPr>
              <w:t>l</w:t>
            </w:r>
            <w:r>
              <w:rPr>
                <w:rFonts w:eastAsia="Calibri"/>
              </w:rPr>
              <w:t xml:space="preserve"> and </w:t>
            </w:r>
            <w:r w:rsidRPr="48362220">
              <w:rPr>
                <w:rFonts w:eastAsia="Calibri"/>
              </w:rPr>
              <w:t>integration with other animal and human health surveillance systems.</w:t>
            </w:r>
            <w:r>
              <w:rPr>
                <w:rFonts w:eastAsia="Calibri"/>
              </w:rPr>
              <w:t xml:space="preserve"> </w:t>
            </w:r>
            <w:r w:rsidR="006407CE">
              <w:rPr>
                <w:rFonts w:eastAsia="Calibri"/>
              </w:rPr>
              <w:t>It is</w:t>
            </w:r>
            <w:r>
              <w:rPr>
                <w:rFonts w:eastAsia="Calibri"/>
              </w:rPr>
              <w:t xml:space="preserve"> to support data collection, </w:t>
            </w:r>
            <w:r w:rsidRPr="48362220">
              <w:rPr>
                <w:rFonts w:eastAsia="Calibri"/>
              </w:rPr>
              <w:t>data governance</w:t>
            </w:r>
            <w:r w:rsidR="006407CE">
              <w:rPr>
                <w:rFonts w:eastAsia="Calibri"/>
              </w:rPr>
              <w:t>, and</w:t>
            </w:r>
            <w:r w:rsidR="00D2402C">
              <w:rPr>
                <w:rFonts w:eastAsia="Calibri"/>
              </w:rPr>
              <w:t xml:space="preserve"> </w:t>
            </w:r>
            <w:r w:rsidRPr="48362220">
              <w:rPr>
                <w:rFonts w:eastAsia="Calibri"/>
              </w:rPr>
              <w:t>translating data for decision making</w:t>
            </w:r>
            <w:r>
              <w:rPr>
                <w:rFonts w:eastAsia="Calibri"/>
              </w:rPr>
              <w:t xml:space="preserve"> from </w:t>
            </w:r>
            <w:proofErr w:type="spellStart"/>
            <w:r>
              <w:rPr>
                <w:rFonts w:eastAsia="Calibri"/>
              </w:rPr>
              <w:t>puskeswan</w:t>
            </w:r>
            <w:proofErr w:type="spellEnd"/>
            <w:r>
              <w:rPr>
                <w:rFonts w:eastAsia="Calibri"/>
              </w:rPr>
              <w:t xml:space="preserve"> to a national level. </w:t>
            </w:r>
            <w:r w:rsidR="006407CE">
              <w:rPr>
                <w:rFonts w:eastAsia="Calibri"/>
              </w:rPr>
              <w:t>DFAT</w:t>
            </w:r>
            <w:r w:rsidRPr="48362220">
              <w:rPr>
                <w:rFonts w:eastAsia="Calibri"/>
              </w:rPr>
              <w:t xml:space="preserve"> </w:t>
            </w:r>
            <w:r>
              <w:rPr>
                <w:rFonts w:eastAsia="Calibri"/>
              </w:rPr>
              <w:t xml:space="preserve">to </w:t>
            </w:r>
            <w:r w:rsidRPr="48362220">
              <w:rPr>
                <w:rFonts w:eastAsia="Calibri"/>
              </w:rPr>
              <w:t xml:space="preserve">support </w:t>
            </w:r>
            <w:proofErr w:type="spellStart"/>
            <w:r w:rsidRPr="48362220">
              <w:rPr>
                <w:rFonts w:eastAsia="Calibri"/>
              </w:rPr>
              <w:t>MoA</w:t>
            </w:r>
            <w:proofErr w:type="spellEnd"/>
            <w:r w:rsidRPr="48362220">
              <w:rPr>
                <w:rFonts w:eastAsia="Calibri"/>
              </w:rPr>
              <w:t xml:space="preserve"> in developing animal identification and </w:t>
            </w:r>
            <w:proofErr w:type="spellStart"/>
            <w:r w:rsidRPr="48362220">
              <w:rPr>
                <w:rFonts w:eastAsia="Calibri"/>
              </w:rPr>
              <w:t>tracing</w:t>
            </w:r>
            <w:proofErr w:type="spellEnd"/>
            <w:r w:rsidRPr="48362220">
              <w:rPr>
                <w:rFonts w:eastAsia="Calibri"/>
              </w:rPr>
              <w:t xml:space="preserve"> systems and monitoring wildlife disease</w:t>
            </w:r>
            <w:r w:rsidR="00133F44">
              <w:rPr>
                <w:rFonts w:eastAsia="Calibri"/>
              </w:rPr>
              <w:t>, in coordination with CSIRO-ACDP and FAO</w:t>
            </w:r>
            <w:r w:rsidRPr="48362220">
              <w:rPr>
                <w:rFonts w:eastAsia="Calibri"/>
              </w:rPr>
              <w:t>.</w:t>
            </w:r>
          </w:p>
        </w:tc>
        <w:tc>
          <w:tcPr>
            <w:tcW w:w="1134" w:type="dxa"/>
          </w:tcPr>
          <w:p w14:paraId="5ADA4598" w14:textId="77777777" w:rsidR="001A4F70" w:rsidRPr="00D66A91" w:rsidRDefault="001A4F70" w:rsidP="001A4F70">
            <w:pPr>
              <w:jc w:val="center"/>
              <w:rPr>
                <w:rFonts w:eastAsia="Times New Roman" w:cstheme="minorHAnsi"/>
                <w:b/>
                <w:bCs/>
                <w:sz w:val="20"/>
                <w:szCs w:val="20"/>
              </w:rPr>
            </w:pPr>
            <w:r w:rsidRPr="00D66A91">
              <w:rPr>
                <w:rFonts w:eastAsia="Times New Roman" w:cstheme="minorHAnsi"/>
                <w:b/>
                <w:bCs/>
                <w:sz w:val="20"/>
                <w:szCs w:val="20"/>
              </w:rPr>
              <w:t>MEDIUM</w:t>
            </w:r>
          </w:p>
        </w:tc>
        <w:tc>
          <w:tcPr>
            <w:tcW w:w="1134" w:type="dxa"/>
          </w:tcPr>
          <w:p w14:paraId="02ACCCE3" w14:textId="77777777" w:rsidR="001A4F70" w:rsidRPr="00D66A91" w:rsidRDefault="001A4F70" w:rsidP="001A4F70">
            <w:pPr>
              <w:jc w:val="center"/>
              <w:rPr>
                <w:rFonts w:cstheme="minorHAnsi"/>
                <w:b/>
                <w:bCs/>
                <w:sz w:val="20"/>
                <w:szCs w:val="20"/>
              </w:rPr>
            </w:pPr>
            <w:r w:rsidRPr="00D66A91">
              <w:rPr>
                <w:rFonts w:eastAsia="Times New Roman" w:cstheme="minorHAnsi"/>
                <w:b/>
                <w:bCs/>
                <w:sz w:val="20"/>
                <w:szCs w:val="20"/>
              </w:rPr>
              <w:t>MEDIUM</w:t>
            </w:r>
          </w:p>
        </w:tc>
      </w:tr>
      <w:tr w:rsidR="001A4F70" w:rsidRPr="00D66A91" w14:paraId="6FABBF7F" w14:textId="77777777" w:rsidTr="00863BC3">
        <w:trPr>
          <w:trHeight w:val="1120"/>
        </w:trPr>
        <w:tc>
          <w:tcPr>
            <w:tcW w:w="567" w:type="dxa"/>
          </w:tcPr>
          <w:p w14:paraId="498A8283" w14:textId="77777777" w:rsidR="001A4F70" w:rsidRPr="00D66A91" w:rsidRDefault="001A4F70" w:rsidP="001A4F70">
            <w:pPr>
              <w:rPr>
                <w:rFonts w:cstheme="minorHAnsi"/>
                <w:b/>
                <w:sz w:val="20"/>
                <w:szCs w:val="20"/>
              </w:rPr>
            </w:pPr>
            <w:r>
              <w:rPr>
                <w:rFonts w:cstheme="minorHAnsi"/>
                <w:b/>
                <w:sz w:val="20"/>
                <w:szCs w:val="20"/>
              </w:rPr>
              <w:t>5</w:t>
            </w:r>
          </w:p>
        </w:tc>
        <w:tc>
          <w:tcPr>
            <w:tcW w:w="6941" w:type="dxa"/>
          </w:tcPr>
          <w:p w14:paraId="61BDAD7C" w14:textId="560E4DF9" w:rsidR="001A4F70" w:rsidRPr="00261B56" w:rsidRDefault="001A4F70" w:rsidP="001A4F70">
            <w:pPr>
              <w:rPr>
                <w:rFonts w:cstheme="minorHAnsi"/>
                <w:bCs/>
              </w:rPr>
            </w:pPr>
            <w:r w:rsidRPr="00261B56">
              <w:rPr>
                <w:rFonts w:eastAsia="Calibri" w:cstheme="minorHAnsi"/>
                <w:b/>
              </w:rPr>
              <w:t xml:space="preserve">Laboratory strengthening </w:t>
            </w:r>
            <w:r w:rsidRPr="00261B56">
              <w:rPr>
                <w:rFonts w:eastAsia="Calibri" w:cstheme="minorHAnsi"/>
                <w:bCs/>
              </w:rPr>
              <w:t xml:space="preserve">[3.1.2, </w:t>
            </w:r>
            <w:r w:rsidRPr="00261B56">
              <w:rPr>
                <w:rFonts w:eastAsia="Calibri" w:cstheme="minorHAnsi"/>
              </w:rPr>
              <w:t>4.1, 5.1, 8.1]</w:t>
            </w:r>
          </w:p>
          <w:p w14:paraId="44B55C57" w14:textId="356B0A91" w:rsidR="001A4F70" w:rsidRPr="00261B56" w:rsidRDefault="001A4F70" w:rsidP="001A4F70">
            <w:pPr>
              <w:rPr>
                <w:rFonts w:eastAsia="Calibri" w:cstheme="minorHAnsi"/>
              </w:rPr>
            </w:pPr>
            <w:r>
              <w:rPr>
                <w:rFonts w:eastAsia="Calibri" w:cstheme="minorHAnsi"/>
              </w:rPr>
              <w:t>DFAT</w:t>
            </w:r>
            <w:r w:rsidR="00406D31">
              <w:rPr>
                <w:rFonts w:eastAsia="Calibri" w:cstheme="minorHAnsi"/>
              </w:rPr>
              <w:t>, through CSIRO</w:t>
            </w:r>
            <w:r w:rsidR="001238DD">
              <w:rPr>
                <w:rFonts w:eastAsia="Calibri" w:cstheme="minorHAnsi"/>
              </w:rPr>
              <w:t>-ACDP</w:t>
            </w:r>
            <w:r w:rsidR="00406D31">
              <w:rPr>
                <w:rFonts w:eastAsia="Calibri" w:cstheme="minorHAnsi"/>
              </w:rPr>
              <w:t xml:space="preserve"> and others,</w:t>
            </w:r>
            <w:r w:rsidRPr="00261B56">
              <w:rPr>
                <w:rFonts w:eastAsia="Calibri" w:cstheme="minorHAnsi"/>
              </w:rPr>
              <w:t xml:space="preserve"> to </w:t>
            </w:r>
            <w:r w:rsidR="00133F44">
              <w:rPr>
                <w:rFonts w:eastAsia="Calibri" w:cstheme="minorHAnsi"/>
              </w:rPr>
              <w:t xml:space="preserve">build on </w:t>
            </w:r>
            <w:r w:rsidR="001238DD">
              <w:rPr>
                <w:rFonts w:eastAsia="Calibri" w:cstheme="minorHAnsi"/>
              </w:rPr>
              <w:t>CSIRO-</w:t>
            </w:r>
            <w:r w:rsidR="00133F44">
              <w:rPr>
                <w:rFonts w:eastAsia="Calibri" w:cstheme="minorHAnsi"/>
              </w:rPr>
              <w:t xml:space="preserve">ACDP’s efforts and </w:t>
            </w:r>
            <w:r w:rsidR="006A3835">
              <w:rPr>
                <w:rFonts w:eastAsia="Calibri" w:cstheme="minorHAnsi"/>
              </w:rPr>
              <w:t>increase the scope of this</w:t>
            </w:r>
            <w:r w:rsidR="00406D31">
              <w:rPr>
                <w:rFonts w:eastAsia="Calibri" w:cstheme="minorHAnsi"/>
              </w:rPr>
              <w:t xml:space="preserve"> </w:t>
            </w:r>
            <w:r w:rsidRPr="00261B56">
              <w:rPr>
                <w:rFonts w:eastAsia="Calibri" w:cstheme="minorHAnsi"/>
              </w:rPr>
              <w:t>support</w:t>
            </w:r>
            <w:r w:rsidR="00406D31">
              <w:rPr>
                <w:rFonts w:eastAsia="Calibri" w:cstheme="minorHAnsi"/>
              </w:rPr>
              <w:t xml:space="preserve"> </w:t>
            </w:r>
            <w:r w:rsidR="006A3835">
              <w:rPr>
                <w:rFonts w:eastAsia="Calibri" w:cstheme="minorHAnsi"/>
              </w:rPr>
              <w:t xml:space="preserve">by expanding </w:t>
            </w:r>
            <w:r>
              <w:rPr>
                <w:rFonts w:eastAsia="Calibri" w:cstheme="minorHAnsi"/>
              </w:rPr>
              <w:t xml:space="preserve">to </w:t>
            </w:r>
            <w:r w:rsidR="00654AEE">
              <w:rPr>
                <w:rFonts w:eastAsia="Calibri" w:cstheme="minorHAnsi"/>
              </w:rPr>
              <w:t xml:space="preserve">other </w:t>
            </w:r>
            <w:r w:rsidRPr="00261B56">
              <w:rPr>
                <w:rFonts w:eastAsia="Calibri" w:cstheme="minorHAnsi"/>
              </w:rPr>
              <w:t>animal health laboratories</w:t>
            </w:r>
            <w:r>
              <w:rPr>
                <w:rFonts w:eastAsia="Calibri" w:cstheme="minorHAnsi"/>
              </w:rPr>
              <w:t xml:space="preserve">, including ISO accreditation </w:t>
            </w:r>
            <w:r w:rsidR="00654AEE">
              <w:rPr>
                <w:rFonts w:eastAsia="Calibri" w:cstheme="minorHAnsi"/>
              </w:rPr>
              <w:t xml:space="preserve">of </w:t>
            </w:r>
            <w:proofErr w:type="gramStart"/>
            <w:r w:rsidR="00654AEE">
              <w:rPr>
                <w:rFonts w:eastAsia="Calibri" w:cstheme="minorHAnsi"/>
              </w:rPr>
              <w:t>laboratories</w:t>
            </w:r>
            <w:proofErr w:type="gramEnd"/>
            <w:r>
              <w:rPr>
                <w:rFonts w:eastAsia="Calibri" w:cstheme="minorHAnsi"/>
              </w:rPr>
              <w:t xml:space="preserve"> and building reference laboratory and Indonesian laboratory leadership capacity in Southeast Asia. </w:t>
            </w:r>
          </w:p>
        </w:tc>
        <w:tc>
          <w:tcPr>
            <w:tcW w:w="1134" w:type="dxa"/>
          </w:tcPr>
          <w:p w14:paraId="7CA45DD4" w14:textId="77777777" w:rsidR="001A4F70" w:rsidRPr="00D66A91" w:rsidRDefault="001A4F70" w:rsidP="001A4F70">
            <w:pPr>
              <w:jc w:val="center"/>
              <w:rPr>
                <w:rFonts w:eastAsia="Times New Roman" w:cstheme="minorHAnsi"/>
                <w:sz w:val="20"/>
                <w:szCs w:val="20"/>
              </w:rPr>
            </w:pPr>
            <w:r w:rsidRPr="00D66A91">
              <w:rPr>
                <w:rFonts w:cstheme="minorHAnsi"/>
                <w:b/>
                <w:sz w:val="20"/>
                <w:szCs w:val="20"/>
              </w:rPr>
              <w:t>MEDIUM</w:t>
            </w:r>
          </w:p>
        </w:tc>
        <w:tc>
          <w:tcPr>
            <w:tcW w:w="1134" w:type="dxa"/>
          </w:tcPr>
          <w:p w14:paraId="48B08141" w14:textId="60C58E6B" w:rsidR="001A4F70" w:rsidRPr="00D66A91" w:rsidRDefault="001A4F70" w:rsidP="001A4F70">
            <w:pPr>
              <w:jc w:val="center"/>
              <w:rPr>
                <w:rFonts w:cstheme="minorHAnsi"/>
                <w:b/>
                <w:sz w:val="20"/>
                <w:szCs w:val="20"/>
              </w:rPr>
            </w:pPr>
            <w:r w:rsidRPr="00D66A91">
              <w:rPr>
                <w:rFonts w:cstheme="minorHAnsi"/>
                <w:b/>
                <w:sz w:val="20"/>
                <w:szCs w:val="20"/>
              </w:rPr>
              <w:t xml:space="preserve">HIGH </w:t>
            </w:r>
          </w:p>
          <w:p w14:paraId="365B828A" w14:textId="77777777" w:rsidR="001A4F70" w:rsidRPr="00D66A91" w:rsidRDefault="001A4F70" w:rsidP="001A4F70">
            <w:pPr>
              <w:jc w:val="center"/>
              <w:rPr>
                <w:rFonts w:cstheme="minorHAnsi"/>
                <w:b/>
                <w:sz w:val="20"/>
                <w:szCs w:val="20"/>
              </w:rPr>
            </w:pPr>
          </w:p>
        </w:tc>
      </w:tr>
      <w:tr w:rsidR="001A4F70" w:rsidRPr="00D66A91" w14:paraId="539451CD" w14:textId="77777777" w:rsidTr="00863BC3">
        <w:tc>
          <w:tcPr>
            <w:tcW w:w="567" w:type="dxa"/>
          </w:tcPr>
          <w:p w14:paraId="7C845BD5" w14:textId="77777777" w:rsidR="001A4F70" w:rsidRPr="00D66A91" w:rsidRDefault="001A4F70" w:rsidP="001A4F70">
            <w:pPr>
              <w:rPr>
                <w:rFonts w:cstheme="minorHAnsi"/>
                <w:b/>
                <w:bCs/>
                <w:sz w:val="20"/>
                <w:szCs w:val="20"/>
              </w:rPr>
            </w:pPr>
            <w:r>
              <w:rPr>
                <w:rFonts w:cstheme="minorHAnsi"/>
                <w:b/>
                <w:bCs/>
                <w:sz w:val="20"/>
                <w:szCs w:val="20"/>
              </w:rPr>
              <w:t>6</w:t>
            </w:r>
          </w:p>
        </w:tc>
        <w:tc>
          <w:tcPr>
            <w:tcW w:w="6941" w:type="dxa"/>
          </w:tcPr>
          <w:p w14:paraId="7CC3E646" w14:textId="08870D5E" w:rsidR="001A4F70" w:rsidRPr="006C28DA" w:rsidRDefault="001A4F70" w:rsidP="001A4F70">
            <w:pPr>
              <w:rPr>
                <w:rFonts w:eastAsia="Calibri" w:cstheme="minorHAnsi"/>
                <w:bCs/>
              </w:rPr>
            </w:pPr>
            <w:r>
              <w:rPr>
                <w:rFonts w:eastAsia="Calibri" w:cstheme="minorHAnsi"/>
                <w:b/>
              </w:rPr>
              <w:t>Inclusive health service delivery</w:t>
            </w:r>
            <w:r w:rsidR="006C28DA">
              <w:rPr>
                <w:rFonts w:eastAsia="Calibri" w:cstheme="minorHAnsi"/>
                <w:b/>
              </w:rPr>
              <w:t xml:space="preserve"> </w:t>
            </w:r>
            <w:r w:rsidR="006C28DA" w:rsidRPr="006C28DA">
              <w:rPr>
                <w:rFonts w:eastAsia="Calibri" w:cstheme="minorHAnsi"/>
                <w:bCs/>
              </w:rPr>
              <w:t>[7.2-7.6, 8.1]</w:t>
            </w:r>
          </w:p>
          <w:p w14:paraId="1D553492" w14:textId="1449D58C" w:rsidR="001A4F70" w:rsidRPr="001A4F70" w:rsidRDefault="001A4F70" w:rsidP="001A4F70">
            <w:pPr>
              <w:rPr>
                <w:rFonts w:eastAsia="Calibri" w:cstheme="minorHAnsi"/>
                <w:bCs/>
              </w:rPr>
            </w:pPr>
            <w:r w:rsidRPr="00DC62ED">
              <w:rPr>
                <w:rFonts w:eastAsia="Calibri" w:cstheme="minorHAnsi"/>
                <w:bCs/>
              </w:rPr>
              <w:t xml:space="preserve">DFAT to continue to support </w:t>
            </w:r>
            <w:r>
              <w:rPr>
                <w:rFonts w:eastAsia="Calibri" w:cstheme="minorHAnsi"/>
                <w:bCs/>
              </w:rPr>
              <w:t xml:space="preserve">the </w:t>
            </w:r>
            <w:r w:rsidRPr="00DC62ED">
              <w:rPr>
                <w:rFonts w:eastAsia="Calibri" w:cstheme="minorHAnsi"/>
                <w:bCs/>
              </w:rPr>
              <w:t xml:space="preserve">embedding </w:t>
            </w:r>
            <w:r>
              <w:rPr>
                <w:rFonts w:eastAsia="Calibri" w:cstheme="minorHAnsi"/>
                <w:bCs/>
              </w:rPr>
              <w:t xml:space="preserve">of </w:t>
            </w:r>
            <w:r w:rsidRPr="00234438">
              <w:rPr>
                <w:rFonts w:eastAsia="Calibri" w:cstheme="minorHAnsi"/>
                <w:bCs/>
              </w:rPr>
              <w:t>an</w:t>
            </w:r>
            <w:r w:rsidRPr="00DC62ED">
              <w:rPr>
                <w:rFonts w:eastAsia="Calibri" w:cstheme="minorHAnsi"/>
                <w:bCs/>
              </w:rPr>
              <w:t xml:space="preserve"> inclusive service delivery approach across the health system, </w:t>
            </w:r>
            <w:proofErr w:type="gramStart"/>
            <w:r w:rsidRPr="00DC62ED">
              <w:rPr>
                <w:rFonts w:eastAsia="Calibri" w:cstheme="minorHAnsi"/>
                <w:bCs/>
              </w:rPr>
              <w:t>including</w:t>
            </w:r>
            <w:r w:rsidR="00BA53A8">
              <w:rPr>
                <w:rFonts w:eastAsia="Calibri" w:cstheme="minorHAnsi"/>
                <w:bCs/>
              </w:rPr>
              <w:t>:</w:t>
            </w:r>
            <w:proofErr w:type="gramEnd"/>
            <w:r>
              <w:rPr>
                <w:rFonts w:eastAsia="Calibri" w:cstheme="minorHAnsi"/>
                <w:bCs/>
              </w:rPr>
              <w:t xml:space="preserve"> active involvement of groups in the community such as women and people with disabilities in service delivery design, implementation and monitoring; </w:t>
            </w:r>
            <w:r w:rsidR="00586C1C">
              <w:rPr>
                <w:rFonts w:eastAsia="Calibri" w:cstheme="minorHAnsi"/>
                <w:bCs/>
              </w:rPr>
              <w:t>updating service delivery guidelines; and</w:t>
            </w:r>
            <w:r>
              <w:rPr>
                <w:rFonts w:eastAsia="Calibri" w:cstheme="minorHAnsi"/>
                <w:bCs/>
              </w:rPr>
              <w:t xml:space="preserve"> collecting and using disaggregated data </w:t>
            </w:r>
            <w:r w:rsidR="00586C1C">
              <w:rPr>
                <w:rFonts w:eastAsia="Calibri" w:cstheme="minorHAnsi"/>
                <w:bCs/>
              </w:rPr>
              <w:t>for</w:t>
            </w:r>
            <w:r>
              <w:rPr>
                <w:rFonts w:eastAsia="Calibri" w:cstheme="minorHAnsi"/>
                <w:bCs/>
              </w:rPr>
              <w:t xml:space="preserve"> community group</w:t>
            </w:r>
            <w:r w:rsidR="00586C1C">
              <w:rPr>
                <w:rFonts w:eastAsia="Calibri" w:cstheme="minorHAnsi"/>
                <w:bCs/>
              </w:rPr>
              <w:t>s</w:t>
            </w:r>
            <w:r>
              <w:rPr>
                <w:rFonts w:eastAsia="Calibri" w:cstheme="minorHAnsi"/>
                <w:bCs/>
              </w:rPr>
              <w:t xml:space="preserve"> to inform decision-making.</w:t>
            </w:r>
          </w:p>
        </w:tc>
        <w:tc>
          <w:tcPr>
            <w:tcW w:w="1134" w:type="dxa"/>
          </w:tcPr>
          <w:p w14:paraId="68CE816E" w14:textId="780A55DA" w:rsidR="001A4F70" w:rsidRPr="00D66A91" w:rsidRDefault="001A4F70" w:rsidP="001A4F70">
            <w:pPr>
              <w:jc w:val="center"/>
              <w:rPr>
                <w:rFonts w:eastAsia="Times New Roman" w:cstheme="minorHAnsi"/>
                <w:sz w:val="20"/>
                <w:szCs w:val="20"/>
              </w:rPr>
            </w:pPr>
            <w:r>
              <w:rPr>
                <w:rFonts w:cstheme="minorHAnsi"/>
                <w:b/>
                <w:sz w:val="20"/>
                <w:szCs w:val="20"/>
              </w:rPr>
              <w:t>LONG</w:t>
            </w:r>
          </w:p>
        </w:tc>
        <w:tc>
          <w:tcPr>
            <w:tcW w:w="1134" w:type="dxa"/>
          </w:tcPr>
          <w:p w14:paraId="5548593D" w14:textId="0C864252" w:rsidR="001A4F70" w:rsidRPr="00D66A91" w:rsidRDefault="001A4F70" w:rsidP="001A4F70">
            <w:pPr>
              <w:jc w:val="center"/>
              <w:rPr>
                <w:rFonts w:cstheme="minorHAnsi"/>
                <w:b/>
                <w:bCs/>
                <w:sz w:val="20"/>
                <w:szCs w:val="20"/>
              </w:rPr>
            </w:pPr>
            <w:r>
              <w:rPr>
                <w:rFonts w:cstheme="minorHAnsi"/>
                <w:b/>
                <w:bCs/>
                <w:sz w:val="20"/>
                <w:szCs w:val="20"/>
              </w:rPr>
              <w:t>HIGH</w:t>
            </w:r>
          </w:p>
        </w:tc>
      </w:tr>
      <w:tr w:rsidR="001A4F70" w:rsidRPr="00D66A91" w14:paraId="3805DADE" w14:textId="77777777" w:rsidTr="00863BC3">
        <w:tc>
          <w:tcPr>
            <w:tcW w:w="567" w:type="dxa"/>
          </w:tcPr>
          <w:p w14:paraId="7C12FABD" w14:textId="77777777" w:rsidR="001A4F70" w:rsidRPr="00D66A91" w:rsidRDefault="001A4F70" w:rsidP="001A4F70">
            <w:pPr>
              <w:rPr>
                <w:rFonts w:cstheme="minorHAnsi"/>
                <w:b/>
                <w:sz w:val="20"/>
                <w:szCs w:val="20"/>
              </w:rPr>
            </w:pPr>
            <w:r>
              <w:rPr>
                <w:rFonts w:cstheme="minorHAnsi"/>
                <w:b/>
                <w:sz w:val="20"/>
                <w:szCs w:val="20"/>
              </w:rPr>
              <w:t>7</w:t>
            </w:r>
          </w:p>
        </w:tc>
        <w:tc>
          <w:tcPr>
            <w:tcW w:w="6941" w:type="dxa"/>
          </w:tcPr>
          <w:p w14:paraId="7F2A199F" w14:textId="45921845" w:rsidR="001A4F70" w:rsidRPr="00261B56" w:rsidRDefault="001A4F70" w:rsidP="001A4F70">
            <w:pPr>
              <w:rPr>
                <w:rFonts w:cstheme="minorHAnsi"/>
                <w:b/>
                <w:color w:val="000000"/>
              </w:rPr>
            </w:pPr>
            <w:r w:rsidRPr="00261B56">
              <w:rPr>
                <w:rFonts w:eastAsia="Calibri" w:cstheme="minorHAnsi"/>
                <w:b/>
                <w:color w:val="000000"/>
              </w:rPr>
              <w:t xml:space="preserve">One Health </w:t>
            </w:r>
            <w:r w:rsidRPr="00261B56">
              <w:rPr>
                <w:rFonts w:eastAsia="Calibri" w:cstheme="minorHAnsi"/>
                <w:bCs/>
                <w:color w:val="000000"/>
              </w:rPr>
              <w:t>[3.1.4, 5.1, 8.1]</w:t>
            </w:r>
          </w:p>
          <w:p w14:paraId="0D25D76F" w14:textId="71DE8940" w:rsidR="001A4F70" w:rsidRPr="00261B56" w:rsidRDefault="001A4F70" w:rsidP="001A4F70">
            <w:pPr>
              <w:rPr>
                <w:b/>
                <w:bCs/>
              </w:rPr>
            </w:pPr>
            <w:bookmarkStart w:id="162" w:name="_Hlk137118664"/>
            <w:r>
              <w:rPr>
                <w:rFonts w:eastAsia="Calibri"/>
                <w:color w:val="000000" w:themeColor="text1"/>
              </w:rPr>
              <w:t>DFAT</w:t>
            </w:r>
            <w:r w:rsidRPr="48362220">
              <w:rPr>
                <w:rFonts w:eastAsia="Calibri"/>
                <w:color w:val="000000" w:themeColor="text1"/>
              </w:rPr>
              <w:t xml:space="preserve"> to support </w:t>
            </w:r>
            <w:r>
              <w:rPr>
                <w:rFonts w:eastAsia="Calibri"/>
                <w:color w:val="000000" w:themeColor="text1"/>
              </w:rPr>
              <w:t>capacity and sustainability of</w:t>
            </w:r>
            <w:r w:rsidRPr="48362220">
              <w:rPr>
                <w:rFonts w:eastAsia="Calibri"/>
                <w:color w:val="000000" w:themeColor="text1"/>
              </w:rPr>
              <w:t xml:space="preserve"> One Health </w:t>
            </w:r>
            <w:r>
              <w:rPr>
                <w:rFonts w:eastAsia="Calibri"/>
                <w:color w:val="000000" w:themeColor="text1"/>
              </w:rPr>
              <w:t>structures</w:t>
            </w:r>
            <w:r w:rsidR="00753818">
              <w:rPr>
                <w:rFonts w:eastAsia="Calibri"/>
                <w:color w:val="000000" w:themeColor="text1"/>
              </w:rPr>
              <w:t xml:space="preserve"> and mechanisms</w:t>
            </w:r>
            <w:r>
              <w:rPr>
                <w:rFonts w:eastAsia="Calibri"/>
                <w:color w:val="000000" w:themeColor="text1"/>
              </w:rPr>
              <w:t xml:space="preserve">, including at a village level, </w:t>
            </w:r>
            <w:r w:rsidRPr="48362220">
              <w:rPr>
                <w:rFonts w:eastAsia="Calibri"/>
                <w:color w:val="000000" w:themeColor="text1"/>
              </w:rPr>
              <w:t xml:space="preserve">to respond to human or animal health disease outbreaks. </w:t>
            </w:r>
            <w:r>
              <w:rPr>
                <w:rFonts w:eastAsia="Calibri"/>
                <w:color w:val="000000" w:themeColor="text1"/>
              </w:rPr>
              <w:t>This should involve</w:t>
            </w:r>
            <w:r w:rsidRPr="48362220">
              <w:rPr>
                <w:rFonts w:eastAsia="Calibri"/>
                <w:color w:val="000000" w:themeColor="text1"/>
              </w:rPr>
              <w:t xml:space="preserve"> engagement with the </w:t>
            </w:r>
            <w:proofErr w:type="spellStart"/>
            <w:r w:rsidRPr="48362220">
              <w:rPr>
                <w:rFonts w:eastAsia="Calibri"/>
                <w:color w:val="000000" w:themeColor="text1"/>
              </w:rPr>
              <w:t>MoEF</w:t>
            </w:r>
            <w:proofErr w:type="spellEnd"/>
            <w:r w:rsidRPr="48362220">
              <w:rPr>
                <w:rFonts w:eastAsia="Calibri"/>
                <w:color w:val="000000" w:themeColor="text1"/>
              </w:rPr>
              <w:t xml:space="preserve"> to address the role of ecosystems in disease regulation and </w:t>
            </w:r>
            <w:proofErr w:type="spellStart"/>
            <w:r w:rsidRPr="48362220">
              <w:rPr>
                <w:rFonts w:eastAsia="Calibri"/>
                <w:color w:val="000000" w:themeColor="text1"/>
              </w:rPr>
              <w:t>MoHA</w:t>
            </w:r>
            <w:proofErr w:type="spellEnd"/>
            <w:r w:rsidRPr="48362220">
              <w:rPr>
                <w:rFonts w:eastAsia="Calibri"/>
                <w:color w:val="000000" w:themeColor="text1"/>
              </w:rPr>
              <w:t xml:space="preserve">. </w:t>
            </w:r>
            <w:r w:rsidR="00753818">
              <w:rPr>
                <w:rFonts w:eastAsia="Calibri"/>
                <w:color w:val="000000" w:themeColor="text1"/>
              </w:rPr>
              <w:t>DFAT</w:t>
            </w:r>
            <w:r w:rsidRPr="48362220">
              <w:rPr>
                <w:rFonts w:eastAsia="Calibri"/>
                <w:color w:val="000000" w:themeColor="text1"/>
              </w:rPr>
              <w:t xml:space="preserve"> to</w:t>
            </w:r>
            <w:r w:rsidR="00AD038E">
              <w:rPr>
                <w:rFonts w:eastAsia="Calibri"/>
                <w:color w:val="000000" w:themeColor="text1"/>
              </w:rPr>
              <w:t xml:space="preserve"> work with FAO and others to</w:t>
            </w:r>
            <w:r w:rsidRPr="48362220">
              <w:rPr>
                <w:rFonts w:eastAsia="Calibri"/>
                <w:color w:val="000000" w:themeColor="text1"/>
              </w:rPr>
              <w:t xml:space="preserve"> encourage </w:t>
            </w:r>
            <w:r w:rsidR="00753818">
              <w:rPr>
                <w:rFonts w:eastAsia="Calibri"/>
                <w:color w:val="000000" w:themeColor="text1"/>
              </w:rPr>
              <w:t xml:space="preserve">the application of </w:t>
            </w:r>
            <w:r w:rsidRPr="48362220">
              <w:rPr>
                <w:rFonts w:eastAsia="Calibri"/>
                <w:color w:val="000000" w:themeColor="text1"/>
              </w:rPr>
              <w:t xml:space="preserve">a One Health lens </w:t>
            </w:r>
            <w:r>
              <w:rPr>
                <w:rFonts w:eastAsia="Calibri"/>
                <w:color w:val="000000" w:themeColor="text1"/>
              </w:rPr>
              <w:t>for</w:t>
            </w:r>
            <w:r w:rsidRPr="48362220">
              <w:rPr>
                <w:rFonts w:eastAsia="Calibri"/>
                <w:color w:val="000000" w:themeColor="text1"/>
              </w:rPr>
              <w:t xml:space="preserve"> future national and sub-national policymaking on preparedness and prevention and continue to support Indonesia’s leadership on One Health in Southeast Asia.</w:t>
            </w:r>
            <w:bookmarkEnd w:id="162"/>
          </w:p>
        </w:tc>
        <w:tc>
          <w:tcPr>
            <w:tcW w:w="1134" w:type="dxa"/>
          </w:tcPr>
          <w:p w14:paraId="7FC67BBC" w14:textId="77777777" w:rsidR="001A4F70" w:rsidRPr="00D66A91" w:rsidRDefault="001A4F70" w:rsidP="001A4F70">
            <w:pPr>
              <w:jc w:val="center"/>
              <w:rPr>
                <w:rFonts w:cstheme="minorHAnsi"/>
                <w:b/>
                <w:sz w:val="20"/>
                <w:szCs w:val="20"/>
              </w:rPr>
            </w:pPr>
            <w:r w:rsidRPr="00D66A91">
              <w:rPr>
                <w:rFonts w:cstheme="minorHAnsi"/>
                <w:b/>
                <w:sz w:val="20"/>
                <w:szCs w:val="20"/>
              </w:rPr>
              <w:t>MEDIUM</w:t>
            </w:r>
          </w:p>
        </w:tc>
        <w:tc>
          <w:tcPr>
            <w:tcW w:w="1134" w:type="dxa"/>
          </w:tcPr>
          <w:p w14:paraId="7C85E742" w14:textId="77777777" w:rsidR="001A4F70" w:rsidRPr="00D66A91" w:rsidRDefault="001A4F70" w:rsidP="001A4F70">
            <w:pPr>
              <w:jc w:val="center"/>
              <w:rPr>
                <w:rFonts w:cstheme="minorHAnsi"/>
                <w:b/>
                <w:sz w:val="20"/>
                <w:szCs w:val="20"/>
              </w:rPr>
            </w:pPr>
            <w:r w:rsidRPr="00D66A91">
              <w:rPr>
                <w:rFonts w:cstheme="minorHAnsi"/>
                <w:b/>
                <w:sz w:val="20"/>
                <w:szCs w:val="20"/>
              </w:rPr>
              <w:t>HIGH</w:t>
            </w:r>
          </w:p>
        </w:tc>
      </w:tr>
      <w:tr w:rsidR="001A4F70" w:rsidRPr="00D66A91" w14:paraId="70AAFEBD" w14:textId="77777777" w:rsidTr="00863BC3">
        <w:tc>
          <w:tcPr>
            <w:tcW w:w="567" w:type="dxa"/>
          </w:tcPr>
          <w:p w14:paraId="53AA5548" w14:textId="77777777" w:rsidR="001A4F70" w:rsidRPr="00D66A91" w:rsidRDefault="001A4F70" w:rsidP="001A4F70">
            <w:pPr>
              <w:rPr>
                <w:rFonts w:cstheme="minorHAnsi"/>
                <w:b/>
                <w:sz w:val="20"/>
                <w:szCs w:val="20"/>
              </w:rPr>
            </w:pPr>
            <w:r>
              <w:rPr>
                <w:rFonts w:cstheme="minorHAnsi"/>
                <w:b/>
                <w:sz w:val="20"/>
                <w:szCs w:val="20"/>
              </w:rPr>
              <w:t>8</w:t>
            </w:r>
          </w:p>
        </w:tc>
        <w:tc>
          <w:tcPr>
            <w:tcW w:w="6941" w:type="dxa"/>
          </w:tcPr>
          <w:p w14:paraId="489694CE" w14:textId="47234606" w:rsidR="001A4F70" w:rsidRPr="00261B56" w:rsidRDefault="001A4F70" w:rsidP="001A4F70">
            <w:pPr>
              <w:rPr>
                <w:b/>
                <w:bCs/>
              </w:rPr>
            </w:pPr>
            <w:r w:rsidRPr="48362220">
              <w:rPr>
                <w:rFonts w:eastAsia="Calibri"/>
                <w:b/>
                <w:bCs/>
              </w:rPr>
              <w:t xml:space="preserve">Animal health vaccine procurement and distribution </w:t>
            </w:r>
            <w:r w:rsidRPr="48362220">
              <w:rPr>
                <w:rFonts w:eastAsia="Calibri"/>
              </w:rPr>
              <w:t>[3.1.</w:t>
            </w:r>
            <w:r w:rsidR="003E4242">
              <w:rPr>
                <w:rFonts w:eastAsia="Calibri"/>
              </w:rPr>
              <w:t>3</w:t>
            </w:r>
            <w:r w:rsidRPr="48362220">
              <w:rPr>
                <w:rFonts w:eastAsia="Calibri"/>
              </w:rPr>
              <w:t>, 8.1.</w:t>
            </w:r>
            <w:r w:rsidR="003E4242">
              <w:rPr>
                <w:rFonts w:eastAsia="Calibri"/>
              </w:rPr>
              <w:t>8</w:t>
            </w:r>
            <w:r w:rsidRPr="48362220">
              <w:rPr>
                <w:rFonts w:eastAsia="Calibri"/>
              </w:rPr>
              <w:t>]</w:t>
            </w:r>
          </w:p>
          <w:p w14:paraId="53D78105" w14:textId="57ABA6F4" w:rsidR="001A4F70" w:rsidRPr="00261B56" w:rsidRDefault="001A4F70" w:rsidP="001A4F70">
            <w:r w:rsidRPr="00196C2D">
              <w:t>DFAT to continue providing</w:t>
            </w:r>
            <w:r w:rsidR="00D2402C">
              <w:t xml:space="preserve"> </w:t>
            </w:r>
            <w:r w:rsidRPr="00196C2D">
              <w:t xml:space="preserve">support to the sub-national animal health workforce in vaccination planning, disease detection </w:t>
            </w:r>
            <w:r w:rsidR="003E4242">
              <w:t xml:space="preserve">and </w:t>
            </w:r>
            <w:r w:rsidRPr="00196C2D">
              <w:t xml:space="preserve">tracing capability and administering vaccines. </w:t>
            </w:r>
            <w:r>
              <w:rPr>
                <w:rFonts w:eastAsia="Calibri"/>
                <w:color w:val="000000" w:themeColor="text1"/>
              </w:rPr>
              <w:t>DFAT</w:t>
            </w:r>
            <w:r w:rsidRPr="48362220">
              <w:rPr>
                <w:rFonts w:eastAsia="Calibri"/>
                <w:color w:val="000000" w:themeColor="text1"/>
              </w:rPr>
              <w:t xml:space="preserve"> to support </w:t>
            </w:r>
            <w:r>
              <w:rPr>
                <w:rFonts w:eastAsia="Calibri"/>
                <w:color w:val="000000" w:themeColor="text1"/>
              </w:rPr>
              <w:t xml:space="preserve">implementation of </w:t>
            </w:r>
            <w:r w:rsidRPr="48362220">
              <w:rPr>
                <w:rFonts w:eastAsia="Calibri"/>
                <w:color w:val="000000" w:themeColor="text1"/>
              </w:rPr>
              <w:t>the FMD Roadmap.</w:t>
            </w:r>
          </w:p>
        </w:tc>
        <w:tc>
          <w:tcPr>
            <w:tcW w:w="1134" w:type="dxa"/>
          </w:tcPr>
          <w:p w14:paraId="0D7D8306" w14:textId="77777777" w:rsidR="001A4F70" w:rsidRPr="00D66A91" w:rsidRDefault="001A4F70" w:rsidP="001A4F70">
            <w:pPr>
              <w:jc w:val="center"/>
              <w:rPr>
                <w:rFonts w:eastAsia="Times New Roman" w:cstheme="minorHAnsi"/>
                <w:sz w:val="20"/>
                <w:szCs w:val="20"/>
              </w:rPr>
            </w:pPr>
            <w:r w:rsidRPr="00D66A91">
              <w:rPr>
                <w:rFonts w:cstheme="minorHAnsi"/>
                <w:b/>
                <w:sz w:val="20"/>
                <w:szCs w:val="20"/>
              </w:rPr>
              <w:t>MEDIUM</w:t>
            </w:r>
          </w:p>
        </w:tc>
        <w:tc>
          <w:tcPr>
            <w:tcW w:w="1134" w:type="dxa"/>
          </w:tcPr>
          <w:p w14:paraId="2318275E" w14:textId="77777777" w:rsidR="001A4F70" w:rsidRPr="00D66A91" w:rsidRDefault="001A4F70" w:rsidP="001A4F70">
            <w:pPr>
              <w:jc w:val="center"/>
              <w:rPr>
                <w:rFonts w:cstheme="minorHAnsi"/>
                <w:b/>
                <w:sz w:val="20"/>
                <w:szCs w:val="20"/>
              </w:rPr>
            </w:pPr>
            <w:r w:rsidRPr="00D66A91">
              <w:rPr>
                <w:rFonts w:cstheme="minorHAnsi"/>
                <w:b/>
                <w:sz w:val="20"/>
                <w:szCs w:val="20"/>
              </w:rPr>
              <w:t>MEDIUM</w:t>
            </w:r>
          </w:p>
        </w:tc>
      </w:tr>
      <w:tr w:rsidR="001A4F70" w:rsidRPr="00D66A91" w14:paraId="1C45684C" w14:textId="77777777" w:rsidTr="00863BC3">
        <w:tc>
          <w:tcPr>
            <w:tcW w:w="567" w:type="dxa"/>
          </w:tcPr>
          <w:p w14:paraId="6AFB7E56" w14:textId="6255D754" w:rsidR="001A4F70" w:rsidRPr="00D66A91" w:rsidRDefault="000B12F0" w:rsidP="001A4F70">
            <w:pPr>
              <w:rPr>
                <w:rFonts w:cstheme="minorHAnsi"/>
                <w:b/>
                <w:sz w:val="20"/>
                <w:szCs w:val="20"/>
              </w:rPr>
            </w:pPr>
            <w:r>
              <w:br w:type="page"/>
            </w:r>
            <w:r w:rsidR="001A4F70">
              <w:rPr>
                <w:rFonts w:cstheme="minorHAnsi"/>
                <w:b/>
                <w:sz w:val="20"/>
                <w:szCs w:val="20"/>
              </w:rPr>
              <w:t>9</w:t>
            </w:r>
          </w:p>
        </w:tc>
        <w:tc>
          <w:tcPr>
            <w:tcW w:w="6941" w:type="dxa"/>
          </w:tcPr>
          <w:p w14:paraId="4D2A95D0" w14:textId="6155E482" w:rsidR="001A4F70" w:rsidRPr="00261B56" w:rsidRDefault="001A4F70" w:rsidP="001A4F70">
            <w:pPr>
              <w:rPr>
                <w:rFonts w:cstheme="minorHAnsi"/>
                <w:b/>
                <w:color w:val="000000"/>
              </w:rPr>
            </w:pPr>
            <w:r w:rsidRPr="00261B56">
              <w:rPr>
                <w:rFonts w:eastAsia="Calibri" w:cstheme="minorHAnsi"/>
                <w:b/>
                <w:color w:val="000000"/>
              </w:rPr>
              <w:t xml:space="preserve">Animal vaccine production </w:t>
            </w:r>
            <w:r w:rsidRPr="00261B56">
              <w:rPr>
                <w:rFonts w:eastAsia="Calibri" w:cstheme="minorHAnsi"/>
                <w:bCs/>
                <w:color w:val="000000"/>
              </w:rPr>
              <w:t>[8.1.</w:t>
            </w:r>
            <w:r w:rsidR="003E4242">
              <w:rPr>
                <w:rFonts w:eastAsia="Calibri" w:cstheme="minorHAnsi"/>
                <w:bCs/>
                <w:color w:val="000000"/>
              </w:rPr>
              <w:t>9</w:t>
            </w:r>
            <w:r w:rsidRPr="00261B56">
              <w:rPr>
                <w:rFonts w:eastAsia="Calibri" w:cstheme="minorHAnsi"/>
                <w:bCs/>
                <w:color w:val="000000"/>
              </w:rPr>
              <w:t>]</w:t>
            </w:r>
          </w:p>
          <w:p w14:paraId="75C22E0B" w14:textId="6F30B568" w:rsidR="001A4F70" w:rsidRPr="00261B56" w:rsidRDefault="001A4F70" w:rsidP="001A4F70">
            <w:pPr>
              <w:rPr>
                <w:rFonts w:cstheme="minorHAnsi"/>
              </w:rPr>
            </w:pPr>
            <w:r w:rsidRPr="00261B56">
              <w:rPr>
                <w:rFonts w:eastAsia="Calibri" w:cstheme="minorHAnsi"/>
              </w:rPr>
              <w:t xml:space="preserve">DFAT, together with DAFF, </w:t>
            </w:r>
            <w:proofErr w:type="gramStart"/>
            <w:r w:rsidRPr="00261B56">
              <w:rPr>
                <w:rFonts w:eastAsia="Calibri" w:cstheme="minorHAnsi"/>
              </w:rPr>
              <w:t>CSIRO</w:t>
            </w:r>
            <w:proofErr w:type="gramEnd"/>
            <w:r w:rsidRPr="00261B56">
              <w:rPr>
                <w:rFonts w:eastAsia="Calibri" w:cstheme="minorHAnsi"/>
              </w:rPr>
              <w:t xml:space="preserve"> and other stakeholders, to conduct a thorough risk assessment and mapping of the geopolitical context prior to </w:t>
            </w:r>
            <w:r w:rsidR="007334DD">
              <w:rPr>
                <w:rFonts w:eastAsia="Calibri" w:cstheme="minorHAnsi"/>
              </w:rPr>
              <w:t>considering</w:t>
            </w:r>
            <w:r w:rsidRPr="00261B56">
              <w:rPr>
                <w:rFonts w:eastAsia="Calibri" w:cstheme="minorHAnsi"/>
              </w:rPr>
              <w:t xml:space="preserve"> support for domestic production of animal vaccines.</w:t>
            </w:r>
          </w:p>
        </w:tc>
        <w:tc>
          <w:tcPr>
            <w:tcW w:w="1134" w:type="dxa"/>
          </w:tcPr>
          <w:p w14:paraId="356D41E6" w14:textId="77777777" w:rsidR="001A4F70" w:rsidRPr="00D66A91" w:rsidRDefault="001A4F70" w:rsidP="001A4F70">
            <w:pPr>
              <w:jc w:val="center"/>
              <w:rPr>
                <w:rFonts w:cstheme="minorHAnsi"/>
                <w:b/>
                <w:sz w:val="20"/>
                <w:szCs w:val="20"/>
              </w:rPr>
            </w:pPr>
            <w:r w:rsidRPr="00D66A91">
              <w:rPr>
                <w:rFonts w:cstheme="minorHAnsi"/>
                <w:b/>
                <w:sz w:val="20"/>
                <w:szCs w:val="20"/>
              </w:rPr>
              <w:t>MEDIUM</w:t>
            </w:r>
          </w:p>
        </w:tc>
        <w:tc>
          <w:tcPr>
            <w:tcW w:w="1134" w:type="dxa"/>
          </w:tcPr>
          <w:p w14:paraId="3B85EF98" w14:textId="77777777" w:rsidR="001A4F70" w:rsidRPr="00D66A91" w:rsidRDefault="001A4F70" w:rsidP="001A4F70">
            <w:pPr>
              <w:jc w:val="center"/>
              <w:rPr>
                <w:rFonts w:cstheme="minorHAnsi"/>
                <w:b/>
                <w:sz w:val="20"/>
                <w:szCs w:val="20"/>
              </w:rPr>
            </w:pPr>
            <w:r w:rsidRPr="00D66A91">
              <w:rPr>
                <w:rFonts w:cstheme="minorHAnsi"/>
                <w:b/>
                <w:sz w:val="20"/>
                <w:szCs w:val="20"/>
              </w:rPr>
              <w:t>MEDIUM</w:t>
            </w:r>
          </w:p>
        </w:tc>
      </w:tr>
      <w:tr w:rsidR="001A4F70" w:rsidRPr="00D66A91" w14:paraId="20FE7534" w14:textId="77777777" w:rsidTr="00863BC3">
        <w:tc>
          <w:tcPr>
            <w:tcW w:w="567" w:type="dxa"/>
          </w:tcPr>
          <w:p w14:paraId="2DBEE96D" w14:textId="77777777" w:rsidR="001A4F70" w:rsidRPr="00D66A91" w:rsidRDefault="001A4F70" w:rsidP="001A4F70">
            <w:pPr>
              <w:rPr>
                <w:rFonts w:cstheme="minorHAnsi"/>
                <w:b/>
                <w:sz w:val="20"/>
                <w:szCs w:val="20"/>
              </w:rPr>
            </w:pPr>
            <w:r w:rsidRPr="00D66A91">
              <w:rPr>
                <w:rFonts w:cstheme="minorHAnsi"/>
                <w:b/>
                <w:sz w:val="20"/>
                <w:szCs w:val="20"/>
              </w:rPr>
              <w:t>1</w:t>
            </w:r>
            <w:r>
              <w:rPr>
                <w:rFonts w:cstheme="minorHAnsi"/>
                <w:b/>
                <w:sz w:val="20"/>
                <w:szCs w:val="20"/>
              </w:rPr>
              <w:t>0</w:t>
            </w:r>
          </w:p>
        </w:tc>
        <w:tc>
          <w:tcPr>
            <w:tcW w:w="6941" w:type="dxa"/>
          </w:tcPr>
          <w:p w14:paraId="100DCED2" w14:textId="77777777" w:rsidR="001A4F70" w:rsidRPr="00261B56" w:rsidRDefault="001A4F70" w:rsidP="001A4F70">
            <w:pPr>
              <w:rPr>
                <w:rFonts w:cstheme="minorHAnsi"/>
                <w:b/>
              </w:rPr>
            </w:pPr>
            <w:r w:rsidRPr="00261B56">
              <w:rPr>
                <w:rFonts w:eastAsia="Calibri" w:cstheme="minorHAnsi"/>
                <w:b/>
              </w:rPr>
              <w:t xml:space="preserve">Monitoring, </w:t>
            </w:r>
            <w:proofErr w:type="gramStart"/>
            <w:r w:rsidRPr="00261B56">
              <w:rPr>
                <w:rFonts w:eastAsia="Calibri" w:cstheme="minorHAnsi"/>
                <w:b/>
              </w:rPr>
              <w:t>evaluation</w:t>
            </w:r>
            <w:proofErr w:type="gramEnd"/>
            <w:r w:rsidRPr="00261B56">
              <w:rPr>
                <w:rFonts w:eastAsia="Calibri" w:cstheme="minorHAnsi"/>
                <w:b/>
              </w:rPr>
              <w:t xml:space="preserve"> and learning (MEL) </w:t>
            </w:r>
            <w:r w:rsidRPr="00261B56">
              <w:rPr>
                <w:rFonts w:eastAsia="Calibri" w:cstheme="minorHAnsi"/>
                <w:bCs/>
              </w:rPr>
              <w:t>[3.1.5, 6.1.5, 7.2]</w:t>
            </w:r>
          </w:p>
          <w:p w14:paraId="7CC4080E" w14:textId="323AD632" w:rsidR="001A4F70" w:rsidRPr="00261B56" w:rsidRDefault="001A4F70" w:rsidP="001A4F70">
            <w:r>
              <w:rPr>
                <w:rFonts w:eastAsia="Calibri"/>
                <w:color w:val="000000" w:themeColor="text1"/>
              </w:rPr>
              <w:t>DFAT</w:t>
            </w:r>
            <w:r w:rsidRPr="48362220">
              <w:rPr>
                <w:rFonts w:eastAsia="Calibri"/>
                <w:color w:val="000000" w:themeColor="text1"/>
              </w:rPr>
              <w:t xml:space="preserve"> to move to performance-based funding for partners. </w:t>
            </w:r>
            <w:r>
              <w:rPr>
                <w:rFonts w:eastAsia="Calibri"/>
                <w:color w:val="000000" w:themeColor="text1"/>
              </w:rPr>
              <w:t xml:space="preserve">The managing contractor </w:t>
            </w:r>
            <w:r w:rsidRPr="48362220">
              <w:rPr>
                <w:rFonts w:eastAsia="Calibri"/>
                <w:color w:val="000000" w:themeColor="text1"/>
              </w:rPr>
              <w:t xml:space="preserve">to ensure that </w:t>
            </w:r>
            <w:r>
              <w:rPr>
                <w:rFonts w:eastAsia="Calibri"/>
                <w:color w:val="000000" w:themeColor="text1"/>
              </w:rPr>
              <w:t xml:space="preserve">a </w:t>
            </w:r>
            <w:r w:rsidRPr="48362220">
              <w:rPr>
                <w:rFonts w:eastAsia="Calibri"/>
                <w:color w:val="000000" w:themeColor="text1"/>
              </w:rPr>
              <w:t xml:space="preserve">robust but </w:t>
            </w:r>
            <w:r>
              <w:rPr>
                <w:rFonts w:eastAsia="Calibri"/>
                <w:color w:val="000000" w:themeColor="text1"/>
              </w:rPr>
              <w:t>simple</w:t>
            </w:r>
            <w:r w:rsidRPr="48362220">
              <w:rPr>
                <w:rFonts w:eastAsia="Calibri"/>
                <w:color w:val="000000" w:themeColor="text1"/>
              </w:rPr>
              <w:t xml:space="preserve"> MEL </w:t>
            </w:r>
            <w:r>
              <w:rPr>
                <w:rFonts w:eastAsia="Calibri"/>
                <w:color w:val="000000" w:themeColor="text1"/>
              </w:rPr>
              <w:t>system is</w:t>
            </w:r>
            <w:r w:rsidRPr="48362220">
              <w:rPr>
                <w:rFonts w:eastAsia="Calibri"/>
                <w:color w:val="000000" w:themeColor="text1"/>
              </w:rPr>
              <w:t xml:space="preserve"> </w:t>
            </w:r>
            <w:r>
              <w:rPr>
                <w:rFonts w:eastAsia="Calibri"/>
                <w:color w:val="000000" w:themeColor="text1"/>
              </w:rPr>
              <w:t>developed</w:t>
            </w:r>
            <w:r w:rsidRPr="48362220">
              <w:rPr>
                <w:rFonts w:eastAsia="Calibri"/>
                <w:color w:val="000000" w:themeColor="text1"/>
              </w:rPr>
              <w:t xml:space="preserve"> </w:t>
            </w:r>
            <w:r>
              <w:rPr>
                <w:rFonts w:eastAsia="Calibri"/>
                <w:color w:val="000000" w:themeColor="text1"/>
              </w:rPr>
              <w:t>for the new health investment, including for sub-</w:t>
            </w:r>
            <w:r w:rsidRPr="48362220">
              <w:rPr>
                <w:rFonts w:eastAsia="Calibri"/>
                <w:color w:val="000000" w:themeColor="text1"/>
              </w:rPr>
              <w:t xml:space="preserve"> partner</w:t>
            </w:r>
            <w:r>
              <w:rPr>
                <w:rFonts w:eastAsia="Calibri"/>
                <w:color w:val="000000" w:themeColor="text1"/>
              </w:rPr>
              <w:t xml:space="preserve">s. </w:t>
            </w:r>
            <w:r w:rsidRPr="48362220">
              <w:rPr>
                <w:rFonts w:eastAsia="Calibri"/>
                <w:color w:val="000000" w:themeColor="text1"/>
              </w:rPr>
              <w:t xml:space="preserve">DFAT </w:t>
            </w:r>
            <w:r>
              <w:rPr>
                <w:rFonts w:eastAsia="Calibri"/>
                <w:color w:val="000000" w:themeColor="text1"/>
              </w:rPr>
              <w:t xml:space="preserve">and </w:t>
            </w:r>
            <w:r w:rsidRPr="48362220">
              <w:rPr>
                <w:rFonts w:eastAsia="Calibri"/>
                <w:color w:val="000000" w:themeColor="text1"/>
              </w:rPr>
              <w:t xml:space="preserve">the </w:t>
            </w:r>
            <w:r w:rsidRPr="48362220">
              <w:rPr>
                <w:rFonts w:eastAsia="Calibri"/>
                <w:color w:val="000000" w:themeColor="text1"/>
              </w:rPr>
              <w:lastRenderedPageBreak/>
              <w:t xml:space="preserve">managing contractor </w:t>
            </w:r>
            <w:r>
              <w:rPr>
                <w:rFonts w:eastAsia="Calibri"/>
                <w:color w:val="000000" w:themeColor="text1"/>
              </w:rPr>
              <w:t>to ensure there is</w:t>
            </w:r>
            <w:r w:rsidRPr="48362220">
              <w:rPr>
                <w:rFonts w:eastAsia="Calibri"/>
                <w:color w:val="000000" w:themeColor="text1"/>
              </w:rPr>
              <w:t xml:space="preserve"> appropriate resourc</w:t>
            </w:r>
            <w:r>
              <w:rPr>
                <w:rFonts w:eastAsia="Calibri"/>
                <w:color w:val="000000" w:themeColor="text1"/>
              </w:rPr>
              <w:t>ing</w:t>
            </w:r>
            <w:r w:rsidRPr="48362220">
              <w:rPr>
                <w:rFonts w:eastAsia="Calibri"/>
                <w:color w:val="000000" w:themeColor="text1"/>
              </w:rPr>
              <w:t xml:space="preserve"> to monitor and support the MEL of sub-partners. </w:t>
            </w:r>
            <w:r w:rsidRPr="48362220">
              <w:rPr>
                <w:rFonts w:eastAsia="Calibri"/>
              </w:rPr>
              <w:t xml:space="preserve">DFAT to provide clearer MEL guidance to partners, including </w:t>
            </w:r>
            <w:r>
              <w:rPr>
                <w:rFonts w:eastAsia="Calibri"/>
              </w:rPr>
              <w:t>choice of</w:t>
            </w:r>
            <w:r w:rsidRPr="48362220">
              <w:rPr>
                <w:rFonts w:eastAsia="Calibri"/>
              </w:rPr>
              <w:t xml:space="preserve"> indicators and requirements for </w:t>
            </w:r>
            <w:r>
              <w:rPr>
                <w:rFonts w:eastAsia="Calibri"/>
              </w:rPr>
              <w:t xml:space="preserve">GEDSI </w:t>
            </w:r>
            <w:r w:rsidR="00817971">
              <w:rPr>
                <w:rFonts w:eastAsia="Calibri"/>
              </w:rPr>
              <w:t xml:space="preserve">monitoring and </w:t>
            </w:r>
            <w:r w:rsidRPr="48362220">
              <w:rPr>
                <w:rFonts w:eastAsia="Calibri"/>
              </w:rPr>
              <w:t>reporting</w:t>
            </w:r>
            <w:r>
              <w:rPr>
                <w:rFonts w:eastAsia="Calibri"/>
              </w:rPr>
              <w:t xml:space="preserve">. </w:t>
            </w:r>
            <w:r w:rsidRPr="48362220">
              <w:rPr>
                <w:rFonts w:eastAsia="Calibri"/>
              </w:rPr>
              <w:t xml:space="preserve"> </w:t>
            </w:r>
          </w:p>
        </w:tc>
        <w:tc>
          <w:tcPr>
            <w:tcW w:w="1134" w:type="dxa"/>
          </w:tcPr>
          <w:p w14:paraId="07760304" w14:textId="77777777" w:rsidR="001A4F70" w:rsidRPr="00D66A91" w:rsidRDefault="001A4F70" w:rsidP="001A4F70">
            <w:pPr>
              <w:jc w:val="center"/>
              <w:rPr>
                <w:rFonts w:eastAsia="Times New Roman" w:cstheme="minorHAnsi"/>
                <w:sz w:val="20"/>
                <w:szCs w:val="20"/>
              </w:rPr>
            </w:pPr>
            <w:r w:rsidRPr="00D66A91">
              <w:rPr>
                <w:rFonts w:cstheme="minorHAnsi"/>
                <w:b/>
                <w:sz w:val="20"/>
                <w:szCs w:val="20"/>
              </w:rPr>
              <w:lastRenderedPageBreak/>
              <w:t>SHORT</w:t>
            </w:r>
          </w:p>
        </w:tc>
        <w:tc>
          <w:tcPr>
            <w:tcW w:w="1134" w:type="dxa"/>
          </w:tcPr>
          <w:p w14:paraId="555E62BB" w14:textId="77777777" w:rsidR="001A4F70" w:rsidRPr="00D66A91" w:rsidRDefault="001A4F70" w:rsidP="001A4F70">
            <w:pPr>
              <w:jc w:val="center"/>
              <w:rPr>
                <w:rFonts w:cstheme="minorHAnsi"/>
                <w:b/>
                <w:sz w:val="20"/>
                <w:szCs w:val="20"/>
              </w:rPr>
            </w:pPr>
            <w:r w:rsidRPr="00D66A91">
              <w:rPr>
                <w:rFonts w:cstheme="minorHAnsi"/>
                <w:b/>
                <w:sz w:val="20"/>
                <w:szCs w:val="20"/>
              </w:rPr>
              <w:t>MEDIUM</w:t>
            </w:r>
          </w:p>
        </w:tc>
      </w:tr>
    </w:tbl>
    <w:p w14:paraId="3D74E833" w14:textId="77777777" w:rsidR="00D65C4C" w:rsidRDefault="00D65C4C" w:rsidP="00D65C4C">
      <w:pPr>
        <w:spacing w:after="0"/>
        <w:rPr>
          <w:sz w:val="12"/>
          <w:szCs w:val="12"/>
        </w:rPr>
      </w:pPr>
    </w:p>
    <w:p w14:paraId="1D49B061" w14:textId="6BE4A403" w:rsidR="00D65C4C" w:rsidRDefault="001A4F70" w:rsidP="00D65C4C">
      <w:pPr>
        <w:spacing w:after="0"/>
        <w:rPr>
          <w:bCs/>
          <w:color w:val="000000" w:themeColor="text1"/>
          <w:sz w:val="24"/>
          <w:szCs w:val="24"/>
        </w:rPr>
      </w:pPr>
      <w:r w:rsidRPr="00B93ECB">
        <w:rPr>
          <w:b/>
          <w:color w:val="000000" w:themeColor="text1"/>
          <w:sz w:val="24"/>
          <w:szCs w:val="24"/>
        </w:rPr>
        <w:t>Explanation of Ratings</w:t>
      </w:r>
    </w:p>
    <w:p w14:paraId="2A55BB02" w14:textId="4C0E72B0" w:rsidR="00D65C4C" w:rsidRDefault="00B25400" w:rsidP="00D65C4C">
      <w:pPr>
        <w:spacing w:after="0"/>
        <w:ind w:left="-567" w:firstLine="567"/>
        <w:rPr>
          <w:bCs/>
          <w:color w:val="000000" w:themeColor="text1"/>
          <w:sz w:val="24"/>
          <w:szCs w:val="24"/>
        </w:rPr>
      </w:pPr>
      <w:r>
        <w:rPr>
          <w:bCs/>
          <w:color w:val="000000" w:themeColor="text1"/>
        </w:rPr>
        <w:t>The t</w:t>
      </w:r>
      <w:r w:rsidR="00D65C4C" w:rsidRPr="00D65C4C">
        <w:rPr>
          <w:bCs/>
          <w:color w:val="000000" w:themeColor="text1"/>
        </w:rPr>
        <w:t>imeframe</w:t>
      </w:r>
      <w:r w:rsidR="00D65C4C">
        <w:rPr>
          <w:bCs/>
          <w:color w:val="000000" w:themeColor="text1"/>
        </w:rPr>
        <w:t xml:space="preserve"> rating </w:t>
      </w:r>
      <w:r>
        <w:rPr>
          <w:bCs/>
          <w:color w:val="000000" w:themeColor="text1"/>
        </w:rPr>
        <w:t>indicates</w:t>
      </w:r>
      <w:r w:rsidR="00D65C4C">
        <w:rPr>
          <w:bCs/>
          <w:color w:val="000000" w:themeColor="text1"/>
        </w:rPr>
        <w:t xml:space="preserve"> </w:t>
      </w:r>
      <w:r w:rsidR="00D65C4C" w:rsidRPr="00D65C4C">
        <w:rPr>
          <w:bCs/>
          <w:color w:val="000000" w:themeColor="text1"/>
        </w:rPr>
        <w:t>the time</w:t>
      </w:r>
      <w:r>
        <w:rPr>
          <w:bCs/>
          <w:color w:val="000000" w:themeColor="text1"/>
        </w:rPr>
        <w:t xml:space="preserve"> </w:t>
      </w:r>
      <w:r w:rsidR="00D65C4C" w:rsidRPr="00D65C4C">
        <w:rPr>
          <w:bCs/>
          <w:color w:val="000000" w:themeColor="text1"/>
        </w:rPr>
        <w:t>for achieving change in the recommended activity</w:t>
      </w:r>
      <w:r>
        <w:rPr>
          <w:bCs/>
          <w:color w:val="000000" w:themeColor="text1"/>
        </w:rPr>
        <w:t>.</w:t>
      </w:r>
    </w:p>
    <w:p w14:paraId="3C0F4290" w14:textId="1F27C5B0" w:rsidR="00D65C4C" w:rsidRPr="004C0121" w:rsidRDefault="00D65C4C" w:rsidP="00D65C4C">
      <w:pPr>
        <w:pStyle w:val="Heading3"/>
        <w:spacing w:line="240" w:lineRule="auto"/>
        <w:rPr>
          <w:rFonts w:cstheme="majorHAnsi"/>
          <w:i/>
          <w:iCs/>
          <w:color w:val="2F5496" w:themeColor="accent1" w:themeShade="BF"/>
          <w:sz w:val="22"/>
          <w:szCs w:val="22"/>
        </w:rPr>
      </w:pPr>
      <w:r w:rsidRPr="004C0121">
        <w:rPr>
          <w:rFonts w:cstheme="majorHAnsi"/>
          <w:i/>
          <w:iCs/>
          <w:color w:val="2F5496" w:themeColor="accent1" w:themeShade="BF"/>
          <w:sz w:val="22"/>
          <w:szCs w:val="22"/>
        </w:rPr>
        <w:t xml:space="preserve">Rating key </w:t>
      </w:r>
      <w:r w:rsidR="00B25400" w:rsidRPr="004C0121">
        <w:rPr>
          <w:rFonts w:cstheme="majorHAnsi"/>
          <w:i/>
          <w:iCs/>
          <w:color w:val="2F5496" w:themeColor="accent1" w:themeShade="BF"/>
          <w:sz w:val="22"/>
          <w:szCs w:val="22"/>
        </w:rPr>
        <w:t>for</w:t>
      </w:r>
      <w:r w:rsidRPr="004C0121">
        <w:rPr>
          <w:rFonts w:cstheme="majorHAnsi"/>
          <w:i/>
          <w:iCs/>
          <w:color w:val="2F5496" w:themeColor="accent1" w:themeShade="BF"/>
          <w:sz w:val="22"/>
          <w:szCs w:val="22"/>
        </w:rPr>
        <w:t xml:space="preserve"> timeframe </w:t>
      </w:r>
    </w:p>
    <w:tbl>
      <w:tblPr>
        <w:tblStyle w:val="PlainTable2"/>
        <w:tblW w:w="8931" w:type="dxa"/>
        <w:tblBorders>
          <w:top w:val="single" w:sz="6" w:space="0" w:color="7F7F7F" w:themeColor="text1" w:themeTint="80"/>
          <w:bottom w:val="single" w:sz="6" w:space="0" w:color="7F7F7F" w:themeColor="text1" w:themeTint="80"/>
          <w:insideH w:val="single" w:sz="6" w:space="0" w:color="7F7F7F" w:themeColor="text1" w:themeTint="80"/>
        </w:tblBorders>
        <w:tblLayout w:type="fixed"/>
        <w:tblLook w:val="04A0" w:firstRow="1" w:lastRow="0" w:firstColumn="1" w:lastColumn="0" w:noHBand="0" w:noVBand="1"/>
      </w:tblPr>
      <w:tblGrid>
        <w:gridCol w:w="2977"/>
        <w:gridCol w:w="3119"/>
        <w:gridCol w:w="2835"/>
      </w:tblGrid>
      <w:tr w:rsidR="00D65C4C" w:rsidRPr="00D66A91" w14:paraId="5DD96778" w14:textId="77777777" w:rsidTr="00D65C4C">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977" w:type="dxa"/>
            <w:shd w:val="clear" w:color="auto" w:fill="FFFF00"/>
            <w:hideMark/>
          </w:tcPr>
          <w:p w14:paraId="30796D8C" w14:textId="200B0CC1" w:rsidR="00D65C4C" w:rsidRPr="00D66A91" w:rsidRDefault="00D65C4C" w:rsidP="000D6F9E">
            <w:pPr>
              <w:pStyle w:val="TableText0"/>
              <w:rPr>
                <w:rFonts w:cstheme="minorHAnsi"/>
                <w:sz w:val="20"/>
                <w:szCs w:val="20"/>
              </w:rPr>
            </w:pPr>
            <w:r>
              <w:rPr>
                <w:rFonts w:eastAsia="Webdings" w:cstheme="minorHAnsi"/>
                <w:color w:val="000000" w:themeColor="text1"/>
                <w:sz w:val="20"/>
                <w:szCs w:val="20"/>
              </w:rPr>
              <w:t>Long</w:t>
            </w:r>
          </w:p>
        </w:tc>
        <w:tc>
          <w:tcPr>
            <w:tcW w:w="3119" w:type="dxa"/>
            <w:shd w:val="clear" w:color="auto" w:fill="FFC000"/>
            <w:hideMark/>
          </w:tcPr>
          <w:p w14:paraId="3D6C6887" w14:textId="20F8265D" w:rsidR="00D65C4C" w:rsidRPr="00D66A91" w:rsidRDefault="00D65C4C" w:rsidP="000D6F9E">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Webdings" w:cstheme="minorHAnsi"/>
                <w:color w:val="000000" w:themeColor="text1"/>
                <w:sz w:val="20"/>
                <w:szCs w:val="20"/>
              </w:rPr>
              <w:t>Medium</w:t>
            </w:r>
          </w:p>
        </w:tc>
        <w:tc>
          <w:tcPr>
            <w:tcW w:w="2835" w:type="dxa"/>
            <w:shd w:val="clear" w:color="auto" w:fill="00B0F0"/>
            <w:hideMark/>
          </w:tcPr>
          <w:p w14:paraId="02F2E6A0" w14:textId="1D107FE4" w:rsidR="00D65C4C" w:rsidRPr="00D66A91" w:rsidRDefault="00D65C4C" w:rsidP="000D6F9E">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Webdings" w:cstheme="minorHAnsi"/>
                <w:color w:val="000000" w:themeColor="text1"/>
                <w:sz w:val="20"/>
                <w:szCs w:val="20"/>
              </w:rPr>
              <w:t>Short</w:t>
            </w:r>
          </w:p>
        </w:tc>
      </w:tr>
      <w:tr w:rsidR="00D65C4C" w:rsidRPr="00D66A91" w14:paraId="537C73EE" w14:textId="77777777" w:rsidTr="00D65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78636080" w14:textId="67BCB90E" w:rsidR="00D65C4C" w:rsidRPr="00D66A91" w:rsidRDefault="00D65C4C" w:rsidP="000D6F9E">
            <w:pPr>
              <w:pStyle w:val="TABLETEXT"/>
              <w:rPr>
                <w:rFonts w:cstheme="minorHAnsi"/>
                <w:b w:val="0"/>
                <w:bCs w:val="0"/>
                <w:sz w:val="20"/>
                <w:szCs w:val="20"/>
              </w:rPr>
            </w:pPr>
            <w:r>
              <w:rPr>
                <w:rFonts w:cstheme="minorHAnsi"/>
                <w:b w:val="0"/>
                <w:bCs w:val="0"/>
                <w:sz w:val="20"/>
                <w:szCs w:val="20"/>
              </w:rPr>
              <w:t>Five years</w:t>
            </w:r>
            <w:r w:rsidRPr="00D66A91">
              <w:rPr>
                <w:rFonts w:cstheme="minorHAnsi"/>
                <w:b w:val="0"/>
                <w:bCs w:val="0"/>
                <w:sz w:val="20"/>
                <w:szCs w:val="20"/>
              </w:rPr>
              <w:t> </w:t>
            </w:r>
          </w:p>
        </w:tc>
        <w:tc>
          <w:tcPr>
            <w:tcW w:w="3119" w:type="dxa"/>
            <w:hideMark/>
          </w:tcPr>
          <w:p w14:paraId="1779FCA6" w14:textId="60B3A057" w:rsidR="00D65C4C" w:rsidRPr="00D66A91" w:rsidRDefault="00D65C4C" w:rsidP="000D6F9E">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 years</w:t>
            </w:r>
          </w:p>
        </w:tc>
        <w:tc>
          <w:tcPr>
            <w:tcW w:w="2835" w:type="dxa"/>
            <w:hideMark/>
          </w:tcPr>
          <w:p w14:paraId="3DDE2061" w14:textId="0A371FA0" w:rsidR="00D65C4C" w:rsidRPr="00D66A91" w:rsidRDefault="00D65C4C" w:rsidP="000D6F9E">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 years</w:t>
            </w:r>
          </w:p>
        </w:tc>
      </w:tr>
    </w:tbl>
    <w:p w14:paraId="0DF64705" w14:textId="77777777" w:rsidR="00D65C4C" w:rsidRPr="00D65C4C" w:rsidRDefault="00D65C4C" w:rsidP="00D65C4C">
      <w:pPr>
        <w:spacing w:after="0"/>
        <w:ind w:left="-567"/>
        <w:rPr>
          <w:bCs/>
          <w:color w:val="000000" w:themeColor="text1"/>
        </w:rPr>
      </w:pPr>
    </w:p>
    <w:p w14:paraId="32B8D569" w14:textId="2782DBE1" w:rsidR="00D65C4C" w:rsidRDefault="00B25400" w:rsidP="00D65C4C">
      <w:pPr>
        <w:spacing w:after="0"/>
        <w:ind w:left="3"/>
        <w:rPr>
          <w:bCs/>
          <w:color w:val="000000" w:themeColor="text1"/>
        </w:rPr>
      </w:pPr>
      <w:r>
        <w:rPr>
          <w:bCs/>
          <w:color w:val="000000" w:themeColor="text1"/>
        </w:rPr>
        <w:t>The p</w:t>
      </w:r>
      <w:r w:rsidR="00D65C4C" w:rsidRPr="00D65C4C">
        <w:rPr>
          <w:bCs/>
          <w:color w:val="000000" w:themeColor="text1"/>
        </w:rPr>
        <w:t>riority</w:t>
      </w:r>
      <w:r w:rsidR="00D65C4C">
        <w:rPr>
          <w:bCs/>
          <w:color w:val="000000" w:themeColor="text1"/>
        </w:rPr>
        <w:t xml:space="preserve"> rating </w:t>
      </w:r>
      <w:r>
        <w:rPr>
          <w:bCs/>
          <w:color w:val="000000" w:themeColor="text1"/>
        </w:rPr>
        <w:t>indicates</w:t>
      </w:r>
      <w:r w:rsidR="00D65C4C">
        <w:rPr>
          <w:bCs/>
          <w:color w:val="000000" w:themeColor="text1"/>
        </w:rPr>
        <w:t xml:space="preserve"> the level of priority for Australia’s investment in the Indonesian health sector</w:t>
      </w:r>
      <w:r>
        <w:rPr>
          <w:bCs/>
          <w:color w:val="000000" w:themeColor="text1"/>
        </w:rPr>
        <w:t>.</w:t>
      </w:r>
    </w:p>
    <w:p w14:paraId="3087204A" w14:textId="4422EB2D" w:rsidR="00D65C4C" w:rsidRPr="004C0121" w:rsidRDefault="00D65C4C" w:rsidP="00D65C4C">
      <w:pPr>
        <w:pStyle w:val="Heading3"/>
        <w:spacing w:line="240" w:lineRule="auto"/>
        <w:rPr>
          <w:rFonts w:cstheme="majorHAnsi"/>
          <w:i/>
          <w:iCs/>
          <w:color w:val="2F5496" w:themeColor="accent1" w:themeShade="BF"/>
          <w:sz w:val="22"/>
          <w:szCs w:val="22"/>
        </w:rPr>
      </w:pPr>
      <w:r w:rsidRPr="004C0121">
        <w:rPr>
          <w:rFonts w:cstheme="majorHAnsi"/>
          <w:i/>
          <w:iCs/>
          <w:color w:val="2F5496" w:themeColor="accent1" w:themeShade="BF"/>
          <w:sz w:val="22"/>
          <w:szCs w:val="22"/>
        </w:rPr>
        <w:t xml:space="preserve">Rating key </w:t>
      </w:r>
      <w:r w:rsidR="00B25400" w:rsidRPr="004C0121">
        <w:rPr>
          <w:rFonts w:cstheme="majorHAnsi"/>
          <w:i/>
          <w:iCs/>
          <w:color w:val="2F5496" w:themeColor="accent1" w:themeShade="BF"/>
          <w:sz w:val="22"/>
          <w:szCs w:val="22"/>
        </w:rPr>
        <w:t>for</w:t>
      </w:r>
      <w:r w:rsidRPr="004C0121">
        <w:rPr>
          <w:rFonts w:cstheme="majorHAnsi"/>
          <w:i/>
          <w:iCs/>
          <w:color w:val="2F5496" w:themeColor="accent1" w:themeShade="BF"/>
          <w:sz w:val="22"/>
          <w:szCs w:val="22"/>
        </w:rPr>
        <w:t xml:space="preserve"> priority </w:t>
      </w:r>
    </w:p>
    <w:tbl>
      <w:tblPr>
        <w:tblStyle w:val="PlainTable2"/>
        <w:tblW w:w="8931" w:type="dxa"/>
        <w:tblBorders>
          <w:top w:val="single" w:sz="6" w:space="0" w:color="7F7F7F" w:themeColor="text1" w:themeTint="80"/>
          <w:bottom w:val="single" w:sz="6" w:space="0" w:color="7F7F7F" w:themeColor="text1" w:themeTint="80"/>
          <w:insideH w:val="single" w:sz="6" w:space="0" w:color="7F7F7F" w:themeColor="text1" w:themeTint="80"/>
        </w:tblBorders>
        <w:tblLayout w:type="fixed"/>
        <w:tblLook w:val="04A0" w:firstRow="1" w:lastRow="0" w:firstColumn="1" w:lastColumn="0" w:noHBand="0" w:noVBand="1"/>
      </w:tblPr>
      <w:tblGrid>
        <w:gridCol w:w="2977"/>
        <w:gridCol w:w="3119"/>
        <w:gridCol w:w="2835"/>
      </w:tblGrid>
      <w:tr w:rsidR="00D65C4C" w:rsidRPr="00D66A91" w14:paraId="7E455DA5" w14:textId="77777777" w:rsidTr="001C56B6">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977" w:type="dxa"/>
            <w:shd w:val="clear" w:color="auto" w:fill="92D050"/>
            <w:hideMark/>
          </w:tcPr>
          <w:p w14:paraId="4AEE815C" w14:textId="0A64B4AC" w:rsidR="00D65C4C" w:rsidRPr="00D66A91" w:rsidRDefault="00231C2A" w:rsidP="000D6F9E">
            <w:pPr>
              <w:pStyle w:val="TableText0"/>
              <w:rPr>
                <w:rFonts w:cstheme="minorHAnsi"/>
                <w:sz w:val="20"/>
                <w:szCs w:val="20"/>
              </w:rPr>
            </w:pPr>
            <w:r>
              <w:rPr>
                <w:rFonts w:eastAsia="Webdings" w:cstheme="minorHAnsi"/>
                <w:color w:val="000000" w:themeColor="text1"/>
                <w:sz w:val="20"/>
                <w:szCs w:val="20"/>
              </w:rPr>
              <w:t>High</w:t>
            </w:r>
          </w:p>
        </w:tc>
        <w:tc>
          <w:tcPr>
            <w:tcW w:w="3119" w:type="dxa"/>
            <w:shd w:val="clear" w:color="auto" w:fill="FFD966" w:themeFill="accent4" w:themeFillTint="99"/>
            <w:hideMark/>
          </w:tcPr>
          <w:p w14:paraId="3AE59564" w14:textId="77777777" w:rsidR="00D65C4C" w:rsidRPr="00D66A91" w:rsidRDefault="00D65C4C" w:rsidP="000D6F9E">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Webdings" w:cstheme="minorHAnsi"/>
                <w:color w:val="000000" w:themeColor="text1"/>
                <w:sz w:val="20"/>
                <w:szCs w:val="20"/>
              </w:rPr>
              <w:t>Medium</w:t>
            </w:r>
          </w:p>
        </w:tc>
        <w:tc>
          <w:tcPr>
            <w:tcW w:w="2835" w:type="dxa"/>
            <w:shd w:val="clear" w:color="auto" w:fill="A5A5A5" w:themeFill="accent3"/>
            <w:hideMark/>
          </w:tcPr>
          <w:p w14:paraId="14A0F78B" w14:textId="09B9E2F0" w:rsidR="00D65C4C" w:rsidRPr="00D66A91" w:rsidRDefault="00231C2A" w:rsidP="000D6F9E">
            <w:pPr>
              <w:pStyle w:val="TableText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eastAsia="Webdings" w:cstheme="minorHAnsi"/>
                <w:color w:val="000000" w:themeColor="text1"/>
                <w:sz w:val="20"/>
                <w:szCs w:val="20"/>
              </w:rPr>
              <w:t>Low</w:t>
            </w:r>
          </w:p>
        </w:tc>
      </w:tr>
      <w:tr w:rsidR="00D65C4C" w:rsidRPr="00D66A91" w14:paraId="5CAA7E20" w14:textId="77777777" w:rsidTr="000D6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hideMark/>
          </w:tcPr>
          <w:p w14:paraId="46266E17" w14:textId="77401490" w:rsidR="00D65C4C" w:rsidRPr="00D66A91" w:rsidRDefault="00B25400" w:rsidP="000D6F9E">
            <w:pPr>
              <w:pStyle w:val="TABLETEXT"/>
              <w:rPr>
                <w:rFonts w:cstheme="minorHAnsi"/>
                <w:b w:val="0"/>
                <w:bCs w:val="0"/>
                <w:sz w:val="20"/>
                <w:szCs w:val="20"/>
              </w:rPr>
            </w:pPr>
            <w:r>
              <w:rPr>
                <w:rFonts w:cstheme="minorHAnsi"/>
                <w:b w:val="0"/>
                <w:bCs w:val="0"/>
                <w:sz w:val="20"/>
                <w:szCs w:val="20"/>
              </w:rPr>
              <w:t>Should</w:t>
            </w:r>
            <w:r w:rsidR="00231C2A">
              <w:rPr>
                <w:rFonts w:cstheme="minorHAnsi"/>
                <w:b w:val="0"/>
                <w:bCs w:val="0"/>
                <w:sz w:val="20"/>
                <w:szCs w:val="20"/>
              </w:rPr>
              <w:t xml:space="preserve"> </w:t>
            </w:r>
            <w:r>
              <w:rPr>
                <w:rFonts w:cstheme="minorHAnsi"/>
                <w:b w:val="0"/>
                <w:bCs w:val="0"/>
                <w:sz w:val="20"/>
                <w:szCs w:val="20"/>
              </w:rPr>
              <w:t>implement</w:t>
            </w:r>
          </w:p>
        </w:tc>
        <w:tc>
          <w:tcPr>
            <w:tcW w:w="3119" w:type="dxa"/>
            <w:hideMark/>
          </w:tcPr>
          <w:p w14:paraId="4B5A389A" w14:textId="16F62EC3" w:rsidR="00D65C4C" w:rsidRPr="00D66A91" w:rsidRDefault="00231C2A" w:rsidP="000D6F9E">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Need to </w:t>
            </w:r>
            <w:r w:rsidR="00B25400">
              <w:rPr>
                <w:rFonts w:cstheme="minorHAnsi"/>
                <w:sz w:val="20"/>
                <w:szCs w:val="20"/>
              </w:rPr>
              <w:t>implement</w:t>
            </w:r>
          </w:p>
        </w:tc>
        <w:tc>
          <w:tcPr>
            <w:tcW w:w="2835" w:type="dxa"/>
            <w:hideMark/>
          </w:tcPr>
          <w:p w14:paraId="5F3A5A63" w14:textId="2CAF6DE5" w:rsidR="00D65C4C" w:rsidRPr="00D66A91" w:rsidRDefault="00231C2A" w:rsidP="000D6F9E">
            <w:pPr>
              <w:pStyle w:val="TABLETEXT"/>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Could </w:t>
            </w:r>
            <w:r w:rsidR="00B25400">
              <w:rPr>
                <w:rFonts w:cstheme="minorHAnsi"/>
                <w:sz w:val="20"/>
                <w:szCs w:val="20"/>
              </w:rPr>
              <w:t>implement</w:t>
            </w:r>
          </w:p>
        </w:tc>
      </w:tr>
    </w:tbl>
    <w:p w14:paraId="0248B1C1" w14:textId="049DBF19" w:rsidR="00D65C4C" w:rsidRPr="00D65C4C" w:rsidRDefault="00D65C4C" w:rsidP="00D65C4C">
      <w:pPr>
        <w:spacing w:after="0"/>
        <w:ind w:left="3"/>
        <w:rPr>
          <w:bCs/>
          <w:color w:val="000000" w:themeColor="text1"/>
        </w:rPr>
      </w:pPr>
      <w:r>
        <w:rPr>
          <w:bCs/>
          <w:color w:val="000000" w:themeColor="text1"/>
        </w:rPr>
        <w:t xml:space="preserve"> </w:t>
      </w:r>
    </w:p>
    <w:p w14:paraId="7A5EE7F9" w14:textId="3B43BA8D" w:rsidR="003B7581" w:rsidRPr="00EA5FE5" w:rsidRDefault="00D65C4C" w:rsidP="00231C2A">
      <w:pPr>
        <w:spacing w:after="0"/>
        <w:ind w:left="-567"/>
      </w:pPr>
      <w:r w:rsidRPr="00D65C4C">
        <w:rPr>
          <w:bCs/>
          <w:color w:val="000000" w:themeColor="text1"/>
        </w:rPr>
        <w:t xml:space="preserve"> </w:t>
      </w:r>
    </w:p>
    <w:sectPr w:rsidR="003B7581" w:rsidRPr="00EA5FE5" w:rsidSect="009E4913">
      <w:footerReference w:type="default" r:id="rId13"/>
      <w:pgSz w:w="11906" w:h="16838"/>
      <w:pgMar w:top="567" w:right="1440" w:bottom="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6631" w14:textId="77777777" w:rsidR="005C417F" w:rsidRDefault="005C417F" w:rsidP="00A052C8">
      <w:pPr>
        <w:spacing w:after="0" w:line="240" w:lineRule="auto"/>
      </w:pPr>
      <w:r>
        <w:separator/>
      </w:r>
    </w:p>
  </w:endnote>
  <w:endnote w:type="continuationSeparator" w:id="0">
    <w:p w14:paraId="4118A8C5" w14:textId="77777777" w:rsidR="005C417F" w:rsidRDefault="005C417F" w:rsidP="00A05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osis Medium">
    <w:charset w:val="00"/>
    <w:family w:val="auto"/>
    <w:pitch w:val="variable"/>
    <w:sig w:usb0="A00000B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mo">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Dosis">
    <w:charset w:val="00"/>
    <w:family w:val="auto"/>
    <w:pitch w:val="variable"/>
    <w:sig w:usb0="A00000BF" w:usb1="4000207B" w:usb2="00000000" w:usb3="00000000" w:csb0="00000093" w:csb1="00000000"/>
  </w:font>
  <w:font w:name="Quattrocento Sans">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430220"/>
      <w:docPartObj>
        <w:docPartGallery w:val="Page Numbers (Bottom of Page)"/>
        <w:docPartUnique/>
      </w:docPartObj>
    </w:sdtPr>
    <w:sdtEndPr/>
    <w:sdtContent>
      <w:sdt>
        <w:sdtPr>
          <w:id w:val="-1769616900"/>
          <w:docPartObj>
            <w:docPartGallery w:val="Page Numbers (Top of Page)"/>
            <w:docPartUnique/>
          </w:docPartObj>
        </w:sdtPr>
        <w:sdtEndPr/>
        <w:sdtContent>
          <w:p w14:paraId="0501ADB7" w14:textId="414F520D" w:rsidR="00A052C8" w:rsidRDefault="00A052C8">
            <w:pPr>
              <w:pStyle w:val="Footer"/>
              <w:jc w:val="right"/>
            </w:pPr>
            <w:r w:rsidRPr="00E46C99">
              <w:rPr>
                <w:rFonts w:ascii="Calibri" w:hAnsi="Calibri" w:cs="Calibri"/>
                <w:sz w:val="18"/>
                <w:szCs w:val="18"/>
              </w:rPr>
              <w:t xml:space="preserve">Page </w:t>
            </w:r>
            <w:r w:rsidRPr="00E46C99">
              <w:rPr>
                <w:rFonts w:ascii="Calibri" w:hAnsi="Calibri" w:cs="Calibri"/>
                <w:color w:val="2B579A"/>
                <w:sz w:val="18"/>
                <w:szCs w:val="18"/>
                <w:shd w:val="clear" w:color="auto" w:fill="E6E6E6"/>
              </w:rPr>
              <w:fldChar w:fldCharType="begin"/>
            </w:r>
            <w:r w:rsidRPr="00E46C99">
              <w:rPr>
                <w:rFonts w:ascii="Calibri" w:hAnsi="Calibri" w:cs="Calibri"/>
                <w:sz w:val="18"/>
                <w:szCs w:val="18"/>
              </w:rPr>
              <w:instrText xml:space="preserve"> PAGE </w:instrText>
            </w:r>
            <w:r w:rsidRPr="00E46C99">
              <w:rPr>
                <w:rFonts w:ascii="Calibri" w:hAnsi="Calibri" w:cs="Calibri"/>
                <w:color w:val="2B579A"/>
                <w:sz w:val="18"/>
                <w:szCs w:val="18"/>
                <w:shd w:val="clear" w:color="auto" w:fill="E6E6E6"/>
              </w:rPr>
              <w:fldChar w:fldCharType="separate"/>
            </w:r>
            <w:r w:rsidRPr="00E46C99">
              <w:rPr>
                <w:rFonts w:ascii="Calibri" w:hAnsi="Calibri" w:cs="Calibri"/>
                <w:noProof/>
                <w:sz w:val="18"/>
                <w:szCs w:val="18"/>
              </w:rPr>
              <w:t>2</w:t>
            </w:r>
            <w:r w:rsidRPr="00E46C99">
              <w:rPr>
                <w:rFonts w:ascii="Calibri" w:hAnsi="Calibri" w:cs="Calibri"/>
                <w:color w:val="2B579A"/>
                <w:sz w:val="18"/>
                <w:szCs w:val="18"/>
                <w:shd w:val="clear" w:color="auto" w:fill="E6E6E6"/>
              </w:rPr>
              <w:fldChar w:fldCharType="end"/>
            </w:r>
            <w:r w:rsidRPr="00E46C99">
              <w:rPr>
                <w:rFonts w:ascii="Calibri" w:hAnsi="Calibri" w:cs="Calibri"/>
                <w:sz w:val="18"/>
                <w:szCs w:val="18"/>
              </w:rPr>
              <w:t xml:space="preserve"> of </w:t>
            </w:r>
            <w:r w:rsidRPr="00E46C99">
              <w:rPr>
                <w:rFonts w:ascii="Calibri" w:hAnsi="Calibri" w:cs="Calibri"/>
                <w:color w:val="2B579A"/>
                <w:sz w:val="18"/>
                <w:szCs w:val="18"/>
                <w:shd w:val="clear" w:color="auto" w:fill="E6E6E6"/>
              </w:rPr>
              <w:fldChar w:fldCharType="begin"/>
            </w:r>
            <w:r w:rsidRPr="00E46C99">
              <w:rPr>
                <w:rFonts w:ascii="Calibri" w:hAnsi="Calibri" w:cs="Calibri"/>
                <w:sz w:val="18"/>
                <w:szCs w:val="18"/>
              </w:rPr>
              <w:instrText xml:space="preserve"> NUMPAGES  </w:instrText>
            </w:r>
            <w:r w:rsidRPr="00E46C99">
              <w:rPr>
                <w:rFonts w:ascii="Calibri" w:hAnsi="Calibri" w:cs="Calibri"/>
                <w:color w:val="2B579A"/>
                <w:sz w:val="18"/>
                <w:szCs w:val="18"/>
                <w:shd w:val="clear" w:color="auto" w:fill="E6E6E6"/>
              </w:rPr>
              <w:fldChar w:fldCharType="separate"/>
            </w:r>
            <w:r w:rsidRPr="00E46C99">
              <w:rPr>
                <w:rFonts w:ascii="Calibri" w:hAnsi="Calibri" w:cs="Calibri"/>
                <w:noProof/>
                <w:sz w:val="18"/>
                <w:szCs w:val="18"/>
              </w:rPr>
              <w:t>2</w:t>
            </w:r>
            <w:r w:rsidRPr="00E46C99">
              <w:rPr>
                <w:rFonts w:ascii="Calibri" w:hAnsi="Calibri" w:cs="Calibri"/>
                <w:color w:val="2B579A"/>
                <w:sz w:val="18"/>
                <w:szCs w:val="18"/>
                <w:shd w:val="clear" w:color="auto" w:fill="E6E6E6"/>
              </w:rPr>
              <w:fldChar w:fldCharType="end"/>
            </w:r>
          </w:p>
        </w:sdtContent>
      </w:sdt>
    </w:sdtContent>
  </w:sdt>
  <w:p w14:paraId="6E237729" w14:textId="77777777" w:rsidR="00A052C8" w:rsidRDefault="00A0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22FC" w14:textId="77777777" w:rsidR="005C417F" w:rsidRDefault="005C417F" w:rsidP="00A052C8">
      <w:pPr>
        <w:spacing w:after="0" w:line="240" w:lineRule="auto"/>
      </w:pPr>
      <w:r>
        <w:separator/>
      </w:r>
    </w:p>
  </w:footnote>
  <w:footnote w:type="continuationSeparator" w:id="0">
    <w:p w14:paraId="724C511A" w14:textId="77777777" w:rsidR="005C417F" w:rsidRDefault="005C417F" w:rsidP="00A052C8">
      <w:pPr>
        <w:spacing w:after="0" w:line="240" w:lineRule="auto"/>
      </w:pPr>
      <w:r>
        <w:continuationSeparator/>
      </w:r>
    </w:p>
  </w:footnote>
  <w:footnote w:id="1">
    <w:p w14:paraId="7900AEF0" w14:textId="77777777" w:rsidR="00793B00" w:rsidRPr="00D66A91" w:rsidRDefault="00793B00" w:rsidP="0032415B">
      <w:pPr>
        <w:pStyle w:val="FootnoteText"/>
        <w:jc w:val="both"/>
        <w:rPr>
          <w:sz w:val="16"/>
          <w:szCs w:val="16"/>
        </w:rPr>
      </w:pPr>
      <w:r w:rsidRPr="00D66A91">
        <w:rPr>
          <w:rStyle w:val="FootnoteReference"/>
          <w:sz w:val="16"/>
          <w:szCs w:val="16"/>
        </w:rPr>
        <w:footnoteRef/>
      </w:r>
      <w:r w:rsidRPr="00D66A91">
        <w:rPr>
          <w:sz w:val="16"/>
          <w:szCs w:val="16"/>
        </w:rPr>
        <w:t xml:space="preserve"> Australia Indonesia Health Security Partnership 2022, </w:t>
      </w:r>
      <w:r w:rsidRPr="00D66A91">
        <w:rPr>
          <w:i/>
          <w:iCs/>
          <w:sz w:val="16"/>
          <w:szCs w:val="16"/>
        </w:rPr>
        <w:t>Monitoring, Evaluation, Research, Learning and Adaptation (MERLA) Plan</w:t>
      </w:r>
      <w:r w:rsidRPr="00D66A91">
        <w:rPr>
          <w:sz w:val="16"/>
          <w:szCs w:val="16"/>
        </w:rPr>
        <w:t xml:space="preserve">, December. </w:t>
      </w:r>
    </w:p>
  </w:footnote>
  <w:footnote w:id="2">
    <w:p w14:paraId="2A44340F" w14:textId="77777777" w:rsidR="00793B00" w:rsidRPr="00D66A91" w:rsidRDefault="00793B00" w:rsidP="0032415B">
      <w:pPr>
        <w:pStyle w:val="FootnoteText"/>
        <w:jc w:val="both"/>
        <w:rPr>
          <w:sz w:val="16"/>
          <w:szCs w:val="16"/>
        </w:rPr>
      </w:pPr>
      <w:r w:rsidRPr="00D66A91">
        <w:rPr>
          <w:rStyle w:val="FootnoteReference"/>
          <w:sz w:val="16"/>
          <w:szCs w:val="16"/>
        </w:rPr>
        <w:footnoteRef/>
      </w:r>
      <w:r w:rsidRPr="00D66A91">
        <w:rPr>
          <w:sz w:val="16"/>
          <w:szCs w:val="16"/>
        </w:rPr>
        <w:t xml:space="preserve"> The AIHSP rating scale for EOPOs </w:t>
      </w:r>
      <w:proofErr w:type="gramStart"/>
      <w:r w:rsidRPr="00D66A91">
        <w:rPr>
          <w:sz w:val="16"/>
          <w:szCs w:val="16"/>
        </w:rPr>
        <w:t>includes:</w:t>
      </w:r>
      <w:proofErr w:type="gramEnd"/>
      <w:r w:rsidRPr="00D66A91">
        <w:rPr>
          <w:sz w:val="16"/>
          <w:szCs w:val="16"/>
        </w:rPr>
        <w:t xml:space="preserve"> excellent, good, acceptable, poor/insufficient evidence, too early to assess.</w:t>
      </w:r>
    </w:p>
  </w:footnote>
  <w:footnote w:id="3">
    <w:p w14:paraId="7BF5D18E" w14:textId="35C5804B" w:rsidR="00417940" w:rsidRPr="00D66A91" w:rsidRDefault="00417940">
      <w:pPr>
        <w:pStyle w:val="FootnoteText"/>
        <w:rPr>
          <w:sz w:val="16"/>
          <w:szCs w:val="16"/>
        </w:rPr>
      </w:pPr>
      <w:r w:rsidRPr="00D66A91">
        <w:rPr>
          <w:rStyle w:val="FootnoteReference"/>
          <w:sz w:val="16"/>
          <w:szCs w:val="16"/>
        </w:rPr>
        <w:footnoteRef/>
      </w:r>
      <w:r w:rsidRPr="00D66A91">
        <w:rPr>
          <w:sz w:val="16"/>
          <w:szCs w:val="16"/>
        </w:rPr>
        <w:t xml:space="preserve"> </w:t>
      </w:r>
      <w:r w:rsidRPr="00D66A91">
        <w:rPr>
          <w:i/>
          <w:iCs/>
          <w:sz w:val="16"/>
          <w:szCs w:val="16"/>
        </w:rPr>
        <w:t>Elderly</w:t>
      </w:r>
      <w:r w:rsidRPr="00D66A91">
        <w:rPr>
          <w:sz w:val="16"/>
          <w:szCs w:val="16"/>
        </w:rPr>
        <w:t xml:space="preserve"> is the term used commonly in Indonesia.</w:t>
      </w:r>
    </w:p>
  </w:footnote>
  <w:footnote w:id="4">
    <w:p w14:paraId="3C137C58" w14:textId="7DDFF57D" w:rsidR="00D21728" w:rsidRPr="00D66A91" w:rsidRDefault="00D21728" w:rsidP="00D21728">
      <w:pPr>
        <w:pStyle w:val="FootnoteText"/>
        <w:rPr>
          <w:sz w:val="16"/>
          <w:szCs w:val="16"/>
        </w:rPr>
      </w:pPr>
      <w:r w:rsidRPr="00D66A91">
        <w:rPr>
          <w:rStyle w:val="FootnoteReference"/>
          <w:sz w:val="16"/>
          <w:szCs w:val="16"/>
        </w:rPr>
        <w:footnoteRef/>
      </w:r>
      <w:r w:rsidRPr="00D66A91">
        <w:rPr>
          <w:sz w:val="16"/>
          <w:szCs w:val="16"/>
        </w:rPr>
        <w:t xml:space="preserve"> Government of Indonesia, </w:t>
      </w:r>
      <w:r w:rsidRPr="00D66A91">
        <w:rPr>
          <w:rFonts w:ascii="Calibri" w:hAnsi="Calibri" w:cs="Calibri"/>
          <w:i/>
          <w:iCs/>
          <w:color w:val="000000"/>
          <w:sz w:val="16"/>
          <w:szCs w:val="16"/>
        </w:rPr>
        <w:t>National Action Plan for Health Security Indonesia 2020-2024</w:t>
      </w:r>
      <w:r w:rsidRPr="00D66A91">
        <w:rPr>
          <w:rFonts w:ascii="Calibri" w:hAnsi="Calibri" w:cs="Calibri"/>
          <w:color w:val="000000"/>
          <w:sz w:val="16"/>
          <w:szCs w:val="16"/>
        </w:rPr>
        <w:t xml:space="preserve">, available at: </w:t>
      </w:r>
      <w:r w:rsidRPr="007E743C">
        <w:rPr>
          <w:rFonts w:ascii="Calibri" w:hAnsi="Calibri" w:cs="Calibri"/>
          <w:color w:val="4472C4" w:themeColor="accent1"/>
          <w:sz w:val="16"/>
          <w:szCs w:val="16"/>
        </w:rPr>
        <w:t>chrome-extension://</w:t>
      </w:r>
      <w:proofErr w:type="spellStart"/>
      <w:r w:rsidRPr="007E743C">
        <w:rPr>
          <w:rFonts w:ascii="Calibri" w:hAnsi="Calibri" w:cs="Calibri"/>
          <w:color w:val="4472C4" w:themeColor="accent1"/>
          <w:sz w:val="16"/>
          <w:szCs w:val="16"/>
        </w:rPr>
        <w:t>efaidn</w:t>
      </w:r>
      <w:proofErr w:type="spellEnd"/>
      <w:r w:rsidR="00064ED7" w:rsidRPr="007E743C">
        <w:rPr>
          <w:rFonts w:ascii="Calibri" w:hAnsi="Calibri" w:cs="Calibri"/>
          <w:color w:val="4472C4" w:themeColor="accent1"/>
          <w:sz w:val="16"/>
          <w:szCs w:val="16"/>
        </w:rPr>
        <w:t xml:space="preserve"> </w:t>
      </w:r>
      <w:r w:rsidRPr="007E743C">
        <w:rPr>
          <w:rFonts w:ascii="Calibri" w:hAnsi="Calibri" w:cs="Calibri"/>
          <w:color w:val="4472C4" w:themeColor="accent1"/>
          <w:sz w:val="16"/>
          <w:szCs w:val="16"/>
        </w:rPr>
        <w:t>bmnnnibpcajpcglclefindmkaj/https://extranet.who.int/sph/sites/default/files/document-library/document/INDONESIA%20NAPHS.PDF</w:t>
      </w:r>
    </w:p>
  </w:footnote>
  <w:footnote w:id="5">
    <w:p w14:paraId="02F5D4AA" w14:textId="77777777" w:rsidR="00793B00" w:rsidRPr="00D66A91" w:rsidRDefault="00793B00" w:rsidP="0032415B">
      <w:pPr>
        <w:pStyle w:val="FootnoteText"/>
        <w:jc w:val="both"/>
        <w:rPr>
          <w:rFonts w:cstheme="minorHAnsi"/>
          <w:sz w:val="16"/>
          <w:szCs w:val="16"/>
        </w:rPr>
      </w:pPr>
      <w:r w:rsidRPr="00D66A91">
        <w:rPr>
          <w:rStyle w:val="FootnoteReference"/>
          <w:sz w:val="16"/>
          <w:szCs w:val="16"/>
        </w:rPr>
        <w:footnoteRef/>
      </w:r>
      <w:r w:rsidRPr="00D66A91">
        <w:rPr>
          <w:sz w:val="16"/>
          <w:szCs w:val="16"/>
        </w:rPr>
        <w:t xml:space="preserve"> </w:t>
      </w:r>
      <w:r w:rsidRPr="00D66A91">
        <w:rPr>
          <w:rFonts w:cstheme="minorHAnsi"/>
          <w:color w:val="000000"/>
          <w:sz w:val="16"/>
          <w:szCs w:val="16"/>
        </w:rPr>
        <w:t xml:space="preserve">WHO 2010, </w:t>
      </w:r>
      <w:r w:rsidRPr="00D66A91">
        <w:rPr>
          <w:rFonts w:cstheme="minorHAnsi"/>
          <w:i/>
          <w:iCs/>
          <w:color w:val="000000"/>
          <w:sz w:val="16"/>
          <w:szCs w:val="16"/>
        </w:rPr>
        <w:t>Monitoring the Building Blocks of Health Systems: A Handbook of Indicators and their Measurement Strategies.</w:t>
      </w:r>
    </w:p>
  </w:footnote>
  <w:footnote w:id="6">
    <w:p w14:paraId="3557F008" w14:textId="632A9F7F" w:rsidR="008A6D60" w:rsidRPr="00D66A91" w:rsidRDefault="008A6D60">
      <w:pPr>
        <w:pStyle w:val="FootnoteText"/>
        <w:rPr>
          <w:sz w:val="16"/>
          <w:szCs w:val="16"/>
        </w:rPr>
      </w:pPr>
      <w:r w:rsidRPr="00D66A91">
        <w:rPr>
          <w:rStyle w:val="FootnoteReference"/>
          <w:sz w:val="16"/>
          <w:szCs w:val="16"/>
        </w:rPr>
        <w:footnoteRef/>
      </w:r>
      <w:r w:rsidRPr="00D66A91">
        <w:rPr>
          <w:sz w:val="16"/>
          <w:szCs w:val="16"/>
        </w:rPr>
        <w:t xml:space="preserve"> Australia is funding the World Bank’s work on health financing in Indonesia through a separate investment.</w:t>
      </w:r>
    </w:p>
  </w:footnote>
  <w:footnote w:id="7">
    <w:p w14:paraId="12D45A39" w14:textId="5078E717" w:rsidR="003D0DCF" w:rsidRPr="00D66A91" w:rsidRDefault="003D0DCF">
      <w:pPr>
        <w:pStyle w:val="FootnoteText"/>
        <w:rPr>
          <w:sz w:val="16"/>
          <w:szCs w:val="16"/>
        </w:rPr>
      </w:pPr>
      <w:r w:rsidRPr="00D66A91">
        <w:rPr>
          <w:rStyle w:val="FootnoteReference"/>
          <w:sz w:val="16"/>
          <w:szCs w:val="16"/>
        </w:rPr>
        <w:footnoteRef/>
      </w:r>
      <w:r w:rsidRPr="00D66A91">
        <w:rPr>
          <w:sz w:val="16"/>
          <w:szCs w:val="16"/>
        </w:rPr>
        <w:t xml:space="preserve"> At-risk groups for COVID-19 in Indonesia included the elderly, people with disabilities, women, children, people living in remote communities and ethnic minorities.</w:t>
      </w:r>
    </w:p>
  </w:footnote>
  <w:footnote w:id="8">
    <w:p w14:paraId="3608493B" w14:textId="2D376318" w:rsidR="001A52A7" w:rsidRPr="00D66A91" w:rsidRDefault="001A52A7" w:rsidP="0032415B">
      <w:pPr>
        <w:pStyle w:val="FootnoteText"/>
        <w:jc w:val="both"/>
        <w:rPr>
          <w:rStyle w:val="Emphasis"/>
          <w:sz w:val="16"/>
          <w:szCs w:val="16"/>
        </w:rPr>
      </w:pPr>
      <w:r w:rsidRPr="00D66A91">
        <w:rPr>
          <w:rStyle w:val="FootnoteReference"/>
          <w:sz w:val="16"/>
          <w:szCs w:val="16"/>
        </w:rPr>
        <w:footnoteRef/>
      </w:r>
      <w:r w:rsidRPr="00D66A91">
        <w:rPr>
          <w:sz w:val="16"/>
          <w:szCs w:val="16"/>
        </w:rPr>
        <w:t xml:space="preserve"> </w:t>
      </w:r>
      <w:r w:rsidRPr="00D66A91">
        <w:rPr>
          <w:rFonts w:eastAsia="Times New Roman"/>
          <w:sz w:val="16"/>
          <w:szCs w:val="16"/>
          <w:lang w:eastAsia="en-AU"/>
        </w:rPr>
        <w:t xml:space="preserve">The KEQ addresses this OECD DAC criteria to a limited extent only. Impact is defined as </w:t>
      </w:r>
      <w:r w:rsidRPr="00952568">
        <w:rPr>
          <w:rFonts w:eastAsia="Times New Roman"/>
          <w:i/>
          <w:iCs/>
          <w:sz w:val="16"/>
          <w:szCs w:val="16"/>
          <w:lang w:eastAsia="en-AU"/>
        </w:rPr>
        <w:t>“</w:t>
      </w:r>
      <w:r w:rsidRPr="00952568">
        <w:rPr>
          <w:i/>
          <w:iCs/>
          <w:sz w:val="16"/>
          <w:szCs w:val="16"/>
        </w:rPr>
        <w:t>The extent to which the intervention has generated or is expected to generate significant positive or negative, intended or unintended, higher-level effects”</w:t>
      </w:r>
      <w:r w:rsidRPr="00D66A91">
        <w:rPr>
          <w:sz w:val="16"/>
          <w:szCs w:val="16"/>
        </w:rPr>
        <w:t xml:space="preserve"> (OECD DAC), usually over a period &gt;5 years. </w:t>
      </w:r>
      <w:r w:rsidR="00952568">
        <w:rPr>
          <w:sz w:val="16"/>
          <w:szCs w:val="16"/>
        </w:rPr>
        <w:t>M</w:t>
      </w:r>
      <w:r w:rsidRPr="00D66A91">
        <w:rPr>
          <w:sz w:val="16"/>
          <w:szCs w:val="16"/>
        </w:rPr>
        <w:t xml:space="preserve">any of the activities have been implemented for &lt;5 years, </w:t>
      </w:r>
      <w:r w:rsidR="00952568">
        <w:rPr>
          <w:sz w:val="16"/>
          <w:szCs w:val="16"/>
        </w:rPr>
        <w:t xml:space="preserve">so </w:t>
      </w:r>
      <w:r w:rsidRPr="00D66A91">
        <w:rPr>
          <w:sz w:val="16"/>
          <w:szCs w:val="16"/>
        </w:rPr>
        <w:t xml:space="preserve">the MTR will only address impact </w:t>
      </w:r>
      <w:r w:rsidR="00952568">
        <w:rPr>
          <w:sz w:val="16"/>
          <w:szCs w:val="16"/>
        </w:rPr>
        <w:t>as</w:t>
      </w:r>
      <w:r w:rsidRPr="00D66A91">
        <w:rPr>
          <w:sz w:val="16"/>
          <w:szCs w:val="16"/>
        </w:rPr>
        <w:t xml:space="preserve"> “</w:t>
      </w:r>
      <w:r w:rsidRPr="00D66A91">
        <w:rPr>
          <w:rStyle w:val="Emphasis"/>
          <w:sz w:val="16"/>
          <w:szCs w:val="16"/>
        </w:rPr>
        <w:t>the holistic and enduring changes in systems or norms, and potential effects on people’s well-being, human rights, gender equality, and the environment” (OECD DAC).</w:t>
      </w:r>
    </w:p>
  </w:footnote>
  <w:footnote w:id="9">
    <w:p w14:paraId="755BCEC3" w14:textId="443437F6" w:rsidR="00A052C8" w:rsidRPr="00D66A91" w:rsidRDefault="00A052C8" w:rsidP="0057732B">
      <w:pPr>
        <w:pStyle w:val="FootnoteText"/>
        <w:rPr>
          <w:sz w:val="16"/>
          <w:szCs w:val="16"/>
          <w:lang w:val="en-US"/>
        </w:rPr>
      </w:pPr>
      <w:r w:rsidRPr="00D66A91">
        <w:rPr>
          <w:rStyle w:val="FootnoteReference"/>
          <w:sz w:val="16"/>
          <w:szCs w:val="16"/>
        </w:rPr>
        <w:footnoteRef/>
      </w:r>
      <w:r w:rsidRPr="00D66A91">
        <w:rPr>
          <w:sz w:val="16"/>
          <w:szCs w:val="16"/>
        </w:rPr>
        <w:t xml:space="preserve"> </w:t>
      </w:r>
      <w:r w:rsidRPr="00D66A91">
        <w:rPr>
          <w:rFonts w:ascii="Calibri" w:eastAsia="Calibri" w:hAnsi="Calibri" w:cs="Calibri"/>
          <w:color w:val="000000"/>
          <w:sz w:val="16"/>
          <w:szCs w:val="16"/>
        </w:rPr>
        <w:t xml:space="preserve">Australian Government Department of Foreign Affairs and Trade 2022, </w:t>
      </w:r>
      <w:r w:rsidRPr="00D66A91">
        <w:rPr>
          <w:rFonts w:ascii="Calibri" w:eastAsia="Calibri" w:hAnsi="Calibri" w:cs="Calibri"/>
          <w:i/>
          <w:color w:val="000000"/>
          <w:sz w:val="16"/>
          <w:szCs w:val="16"/>
        </w:rPr>
        <w:t xml:space="preserve">Design and Monitoring &amp; Evaluation Standards, </w:t>
      </w:r>
      <w:r w:rsidRPr="00D66A91">
        <w:rPr>
          <w:rFonts w:ascii="Calibri" w:eastAsia="Calibri" w:hAnsi="Calibri" w:cs="Calibri"/>
          <w:color w:val="000000"/>
          <w:sz w:val="16"/>
          <w:szCs w:val="16"/>
        </w:rPr>
        <w:t xml:space="preserve">available at: </w:t>
      </w:r>
      <w:r w:rsidRPr="00D66A91">
        <w:rPr>
          <w:rFonts w:ascii="Calibri" w:eastAsia="Calibri" w:hAnsi="Calibri" w:cs="Calibri"/>
          <w:color w:val="2F5496"/>
          <w:sz w:val="16"/>
          <w:szCs w:val="16"/>
        </w:rPr>
        <w:t>https://www.dfat.gov.au/about-us/publications/Pages/dfat-monitoring-and-evaluation-standards.</w:t>
      </w:r>
    </w:p>
  </w:footnote>
  <w:footnote w:id="10">
    <w:p w14:paraId="22A4B4FA" w14:textId="4BC5DE4B" w:rsidR="00A052C8" w:rsidRPr="00D66A91" w:rsidRDefault="00A052C8" w:rsidP="0057732B">
      <w:pPr>
        <w:pStyle w:val="FootnoteText"/>
        <w:rPr>
          <w:sz w:val="16"/>
          <w:szCs w:val="16"/>
          <w:lang w:val="en-US"/>
        </w:rPr>
      </w:pPr>
      <w:r w:rsidRPr="00D66A91">
        <w:rPr>
          <w:rStyle w:val="FootnoteReference"/>
          <w:sz w:val="16"/>
          <w:szCs w:val="16"/>
        </w:rPr>
        <w:footnoteRef/>
      </w:r>
      <w:r w:rsidRPr="00D66A91">
        <w:rPr>
          <w:sz w:val="16"/>
          <w:szCs w:val="16"/>
        </w:rPr>
        <w:t xml:space="preserve"> </w:t>
      </w:r>
      <w:r w:rsidRPr="00D66A91">
        <w:rPr>
          <w:rFonts w:eastAsia="Calibri" w:cstheme="minorHAnsi"/>
          <w:color w:val="000000"/>
          <w:sz w:val="16"/>
          <w:szCs w:val="16"/>
        </w:rPr>
        <w:t>Australian Government Department of Foreign Affairs and Trade 2016</w:t>
      </w:r>
      <w:r w:rsidRPr="00D66A91">
        <w:rPr>
          <w:rFonts w:eastAsia="Calibri" w:cstheme="minorHAnsi"/>
          <w:i/>
          <w:color w:val="000000"/>
          <w:sz w:val="16"/>
          <w:szCs w:val="16"/>
        </w:rPr>
        <w:t xml:space="preserve">, Gender Equality and Women’s Empowerment Strategy, </w:t>
      </w:r>
      <w:r w:rsidRPr="00D66A91">
        <w:rPr>
          <w:rFonts w:eastAsia="Calibri" w:cstheme="minorHAnsi"/>
          <w:color w:val="000000"/>
          <w:sz w:val="16"/>
          <w:szCs w:val="16"/>
        </w:rPr>
        <w:t xml:space="preserve">available at: </w:t>
      </w:r>
      <w:r w:rsidRPr="000F0643">
        <w:rPr>
          <w:rFonts w:eastAsia="Calibri" w:cstheme="minorHAnsi"/>
          <w:color w:val="4472C4" w:themeColor="accent1"/>
          <w:sz w:val="16"/>
          <w:szCs w:val="16"/>
        </w:rPr>
        <w:t>https://www.dfat.gov.au/about-us/publications/gender-equality-and-womens-empowerment-strategy.</w:t>
      </w:r>
    </w:p>
  </w:footnote>
  <w:footnote w:id="11">
    <w:p w14:paraId="703273E0" w14:textId="097AAC8B" w:rsidR="00A052C8" w:rsidRPr="000F0643" w:rsidRDefault="00A052C8" w:rsidP="0057732B">
      <w:pPr>
        <w:pStyle w:val="FootnoteText"/>
        <w:rPr>
          <w:color w:val="4472C4" w:themeColor="accent1"/>
          <w:sz w:val="16"/>
          <w:szCs w:val="16"/>
          <w:lang w:val="en-US"/>
        </w:rPr>
      </w:pPr>
      <w:r w:rsidRPr="00D66A91">
        <w:rPr>
          <w:rStyle w:val="FootnoteReference"/>
          <w:sz w:val="16"/>
          <w:szCs w:val="16"/>
        </w:rPr>
        <w:footnoteRef/>
      </w:r>
      <w:r w:rsidRPr="00D66A91">
        <w:rPr>
          <w:sz w:val="16"/>
          <w:szCs w:val="16"/>
        </w:rPr>
        <w:t xml:space="preserve"> </w:t>
      </w:r>
      <w:r w:rsidRPr="00D66A91">
        <w:rPr>
          <w:rFonts w:eastAsia="Calibri" w:cstheme="minorHAnsi"/>
          <w:color w:val="000000"/>
          <w:sz w:val="16"/>
          <w:szCs w:val="16"/>
        </w:rPr>
        <w:t xml:space="preserve">Australian Government Department of Foreign Affairs and Trade 2015, </w:t>
      </w:r>
      <w:r w:rsidRPr="00D66A91">
        <w:rPr>
          <w:rFonts w:eastAsia="Calibri" w:cstheme="minorHAnsi"/>
          <w:i/>
          <w:color w:val="000000"/>
          <w:sz w:val="16"/>
          <w:szCs w:val="16"/>
        </w:rPr>
        <w:t>Development for All 2015-2020: Strategy for strengthening disability-inclusive development in Australia’s aid program</w:t>
      </w:r>
      <w:r w:rsidRPr="00D66A91">
        <w:rPr>
          <w:rFonts w:eastAsia="Calibri" w:cstheme="minorHAnsi"/>
          <w:color w:val="000000"/>
          <w:sz w:val="16"/>
          <w:szCs w:val="16"/>
        </w:rPr>
        <w:t>, available at:</w:t>
      </w:r>
      <w:r w:rsidRPr="00D66A91">
        <w:rPr>
          <w:rFonts w:eastAsia="Calibri" w:cstheme="minorHAnsi"/>
          <w:sz w:val="16"/>
          <w:szCs w:val="16"/>
        </w:rPr>
        <w:t xml:space="preserve"> </w:t>
      </w:r>
      <w:r w:rsidRPr="000F0643">
        <w:rPr>
          <w:rFonts w:eastAsia="Calibri" w:cstheme="minorHAnsi"/>
          <w:color w:val="4472C4" w:themeColor="accent1"/>
          <w:sz w:val="16"/>
          <w:szCs w:val="16"/>
        </w:rPr>
        <w:t>https://www.dfat.gov.au/about-us/publications/development-for-all-2015-2020.</w:t>
      </w:r>
    </w:p>
  </w:footnote>
  <w:footnote w:id="12">
    <w:p w14:paraId="22B5FE4F" w14:textId="48A65A6D" w:rsidR="00585B66" w:rsidRPr="00D66A91" w:rsidRDefault="00585B66">
      <w:pPr>
        <w:pStyle w:val="FootnoteText"/>
        <w:rPr>
          <w:sz w:val="16"/>
          <w:szCs w:val="16"/>
        </w:rPr>
      </w:pPr>
      <w:r w:rsidRPr="00D66A91">
        <w:rPr>
          <w:rStyle w:val="FootnoteReference"/>
          <w:sz w:val="16"/>
          <w:szCs w:val="16"/>
        </w:rPr>
        <w:footnoteRef/>
      </w:r>
      <w:r w:rsidRPr="00D66A91">
        <w:rPr>
          <w:sz w:val="16"/>
          <w:szCs w:val="16"/>
        </w:rPr>
        <w:t xml:space="preserve"> The design noted that the ability to assess this contribution would be limited by the information available through the document review. </w:t>
      </w:r>
    </w:p>
  </w:footnote>
  <w:footnote w:id="13">
    <w:p w14:paraId="20C3F25D" w14:textId="7FC8481A" w:rsidR="00055538" w:rsidRPr="00CA368A" w:rsidRDefault="00055538" w:rsidP="00A17356">
      <w:pPr>
        <w:pStyle w:val="FootnoteText"/>
        <w:rPr>
          <w:rStyle w:val="FootnoteReference"/>
        </w:rPr>
      </w:pPr>
      <w:r w:rsidRPr="00D66A91">
        <w:rPr>
          <w:rStyle w:val="FootnoteReference"/>
          <w:color w:val="000000" w:themeColor="text1"/>
          <w:sz w:val="16"/>
          <w:szCs w:val="16"/>
        </w:rPr>
        <w:footnoteRef/>
      </w:r>
      <w:r w:rsidRPr="00D66A91">
        <w:rPr>
          <w:color w:val="000000" w:themeColor="text1"/>
          <w:sz w:val="16"/>
          <w:szCs w:val="16"/>
        </w:rPr>
        <w:t xml:space="preserve"> Available at</w:t>
      </w:r>
      <w:r w:rsidR="005D2029">
        <w:rPr>
          <w:color w:val="000000" w:themeColor="text1"/>
          <w:sz w:val="16"/>
          <w:szCs w:val="16"/>
        </w:rPr>
        <w:t>:</w:t>
      </w:r>
      <w:r w:rsidRPr="00CA368A">
        <w:rPr>
          <w:color w:val="000000" w:themeColor="text1"/>
          <w:sz w:val="16"/>
          <w:szCs w:val="16"/>
        </w:rPr>
        <w:t xml:space="preserve"> </w:t>
      </w:r>
      <w:hyperlink r:id="rId1" w:history="1">
        <w:r w:rsidRPr="00CA368A">
          <w:rPr>
            <w:rStyle w:val="Hyperlink"/>
            <w:sz w:val="16"/>
            <w:szCs w:val="16"/>
            <w:u w:val="none"/>
          </w:rPr>
          <w:t>https://www.thejakartapost.com/news/2020/04/03/indonesias-coronavirus-cases-may-reach-more-than-10 6000-by-july-according-to-spy-agency.html</w:t>
        </w:r>
      </w:hyperlink>
      <w:r w:rsidRPr="00CA368A">
        <w:rPr>
          <w:rStyle w:val="FootnoteReference"/>
        </w:rPr>
        <w:t xml:space="preserve"> </w:t>
      </w:r>
    </w:p>
  </w:footnote>
  <w:footnote w:id="14">
    <w:p w14:paraId="18358CAA" w14:textId="045472CF" w:rsidR="00055538" w:rsidRPr="00D66A91" w:rsidRDefault="00055538" w:rsidP="00A17356">
      <w:pPr>
        <w:pStyle w:val="FootnoteText"/>
        <w:rPr>
          <w:color w:val="000000" w:themeColor="text1"/>
          <w:sz w:val="16"/>
          <w:szCs w:val="16"/>
          <w:lang w:val="en-US"/>
        </w:rPr>
      </w:pPr>
      <w:r w:rsidRPr="00D66A91">
        <w:rPr>
          <w:rStyle w:val="FootnoteReference"/>
          <w:color w:val="000000" w:themeColor="text1"/>
          <w:sz w:val="16"/>
          <w:szCs w:val="16"/>
        </w:rPr>
        <w:footnoteRef/>
      </w:r>
      <w:r w:rsidRPr="00D66A91">
        <w:rPr>
          <w:sz w:val="16"/>
          <w:szCs w:val="16"/>
        </w:rPr>
        <w:t xml:space="preserve"> Available at</w:t>
      </w:r>
      <w:r w:rsidR="005D2029">
        <w:rPr>
          <w:sz w:val="16"/>
          <w:szCs w:val="16"/>
        </w:rPr>
        <w:t>:</w:t>
      </w:r>
      <w:r w:rsidRPr="00D66A91">
        <w:rPr>
          <w:sz w:val="16"/>
          <w:szCs w:val="16"/>
        </w:rPr>
        <w:t xml:space="preserve"> </w:t>
      </w:r>
      <w:hyperlink r:id="rId2" w:history="1">
        <w:r w:rsidR="00CA368A" w:rsidRPr="00CA368A">
          <w:rPr>
            <w:rStyle w:val="Hyperlink"/>
            <w:sz w:val="16"/>
            <w:szCs w:val="16"/>
            <w:u w:val="none"/>
          </w:rPr>
          <w:t>https://www.thejakartapost.com/news/2020/11/23/indonesia-surpasses-half-a-million-coronavirus-cases.html</w:t>
        </w:r>
      </w:hyperlink>
      <w:r w:rsidRPr="00D66A91">
        <w:rPr>
          <w:color w:val="000000" w:themeColor="text1"/>
          <w:sz w:val="16"/>
          <w:szCs w:val="16"/>
        </w:rPr>
        <w:t xml:space="preserve"> </w:t>
      </w:r>
    </w:p>
  </w:footnote>
  <w:footnote w:id="15">
    <w:p w14:paraId="0A015113" w14:textId="77777777" w:rsidR="00E0785B" w:rsidRPr="00D66A91" w:rsidRDefault="00E0785B" w:rsidP="00BD34CC">
      <w:pPr>
        <w:pStyle w:val="FootnoteText"/>
        <w:rPr>
          <w:sz w:val="16"/>
          <w:szCs w:val="16"/>
          <w:lang w:val="en-US"/>
        </w:rPr>
      </w:pPr>
      <w:r w:rsidRPr="00D66A91">
        <w:rPr>
          <w:rStyle w:val="FootnoteReference"/>
          <w:sz w:val="16"/>
          <w:szCs w:val="16"/>
        </w:rPr>
        <w:footnoteRef/>
      </w:r>
      <w:r w:rsidRPr="00D66A91">
        <w:rPr>
          <w:sz w:val="16"/>
          <w:szCs w:val="16"/>
        </w:rPr>
        <w:t xml:space="preserve"> </w:t>
      </w:r>
      <w:r w:rsidRPr="00D66A91">
        <w:rPr>
          <w:rFonts w:ascii="Calibri" w:eastAsia="Calibri" w:hAnsi="Calibri" w:cs="Calibri"/>
          <w:sz w:val="16"/>
          <w:szCs w:val="16"/>
          <w:lang w:val="en-US"/>
        </w:rPr>
        <w:t xml:space="preserve">KOMPAS Daily, Monday 3 April 2023. </w:t>
      </w:r>
      <w:proofErr w:type="spellStart"/>
      <w:r w:rsidRPr="00D66A91">
        <w:rPr>
          <w:rFonts w:ascii="Calibri" w:eastAsia="Calibri" w:hAnsi="Calibri" w:cs="Calibri"/>
          <w:i/>
          <w:iCs/>
          <w:color w:val="0563C1"/>
          <w:sz w:val="16"/>
          <w:szCs w:val="16"/>
          <w:u w:val="single"/>
          <w:lang w:val="en-US"/>
        </w:rPr>
        <w:t>Pemerintah</w:t>
      </w:r>
      <w:proofErr w:type="spellEnd"/>
      <w:r w:rsidRPr="00D66A91">
        <w:rPr>
          <w:rFonts w:ascii="Calibri" w:eastAsia="Calibri" w:hAnsi="Calibri" w:cs="Calibri"/>
          <w:i/>
          <w:iCs/>
          <w:color w:val="0563C1"/>
          <w:sz w:val="16"/>
          <w:szCs w:val="16"/>
          <w:u w:val="single"/>
          <w:lang w:val="en-US"/>
        </w:rPr>
        <w:t xml:space="preserve"> </w:t>
      </w:r>
      <w:proofErr w:type="spellStart"/>
      <w:r w:rsidRPr="00D66A91">
        <w:rPr>
          <w:rFonts w:ascii="Calibri" w:eastAsia="Calibri" w:hAnsi="Calibri" w:cs="Calibri"/>
          <w:i/>
          <w:iCs/>
          <w:color w:val="0563C1"/>
          <w:sz w:val="16"/>
          <w:szCs w:val="16"/>
          <w:u w:val="single"/>
          <w:lang w:val="en-US"/>
        </w:rPr>
        <w:t>Cabut</w:t>
      </w:r>
      <w:proofErr w:type="spellEnd"/>
      <w:r w:rsidRPr="00D66A91">
        <w:rPr>
          <w:rFonts w:ascii="Calibri" w:eastAsia="Calibri" w:hAnsi="Calibri" w:cs="Calibri"/>
          <w:i/>
          <w:iCs/>
          <w:color w:val="0563C1"/>
          <w:sz w:val="16"/>
          <w:szCs w:val="16"/>
          <w:u w:val="single"/>
          <w:lang w:val="en-US"/>
        </w:rPr>
        <w:t xml:space="preserve"> Status </w:t>
      </w:r>
      <w:proofErr w:type="spellStart"/>
      <w:r w:rsidRPr="00D66A91">
        <w:rPr>
          <w:rFonts w:ascii="Calibri" w:eastAsia="Calibri" w:hAnsi="Calibri" w:cs="Calibri"/>
          <w:i/>
          <w:iCs/>
          <w:color w:val="0563C1"/>
          <w:sz w:val="16"/>
          <w:szCs w:val="16"/>
          <w:u w:val="single"/>
          <w:lang w:val="en-US"/>
        </w:rPr>
        <w:t>Darurat</w:t>
      </w:r>
      <w:proofErr w:type="spellEnd"/>
      <w:r w:rsidRPr="00D66A91">
        <w:rPr>
          <w:rFonts w:ascii="Calibri" w:eastAsia="Calibri" w:hAnsi="Calibri" w:cs="Calibri"/>
          <w:i/>
          <w:iCs/>
          <w:color w:val="0563C1"/>
          <w:sz w:val="16"/>
          <w:szCs w:val="16"/>
          <w:u w:val="single"/>
          <w:lang w:val="en-US"/>
        </w:rPr>
        <w:t xml:space="preserve"> </w:t>
      </w:r>
      <w:proofErr w:type="spellStart"/>
      <w:r w:rsidRPr="00D66A91">
        <w:rPr>
          <w:rFonts w:ascii="Calibri" w:eastAsia="Calibri" w:hAnsi="Calibri" w:cs="Calibri"/>
          <w:i/>
          <w:iCs/>
          <w:color w:val="0563C1"/>
          <w:sz w:val="16"/>
          <w:szCs w:val="16"/>
          <w:u w:val="single"/>
          <w:lang w:val="en-US"/>
        </w:rPr>
        <w:t>Penyakit</w:t>
      </w:r>
      <w:proofErr w:type="spellEnd"/>
      <w:r w:rsidRPr="00D66A91">
        <w:rPr>
          <w:rFonts w:ascii="Calibri" w:eastAsia="Calibri" w:hAnsi="Calibri" w:cs="Calibri"/>
          <w:i/>
          <w:iCs/>
          <w:color w:val="0563C1"/>
          <w:sz w:val="16"/>
          <w:szCs w:val="16"/>
          <w:u w:val="single"/>
          <w:lang w:val="en-US"/>
        </w:rPr>
        <w:t xml:space="preserve"> Kuku dan </w:t>
      </w:r>
      <w:proofErr w:type="spellStart"/>
      <w:r w:rsidRPr="00D66A91">
        <w:rPr>
          <w:rFonts w:ascii="Calibri" w:eastAsia="Calibri" w:hAnsi="Calibri" w:cs="Calibri"/>
          <w:i/>
          <w:iCs/>
          <w:color w:val="0563C1"/>
          <w:sz w:val="16"/>
          <w:szCs w:val="16"/>
          <w:u w:val="single"/>
          <w:lang w:val="en-US"/>
        </w:rPr>
        <w:t>Mulut</w:t>
      </w:r>
      <w:proofErr w:type="spellEnd"/>
      <w:r w:rsidRPr="00D66A91">
        <w:rPr>
          <w:rFonts w:ascii="Calibri" w:eastAsia="Calibri" w:hAnsi="Calibri" w:cs="Calibri"/>
          <w:color w:val="0563C1"/>
          <w:sz w:val="16"/>
          <w:szCs w:val="16"/>
          <w:u w:val="single"/>
          <w:lang w:val="en-US"/>
        </w:rPr>
        <w:t xml:space="preserve"> (kompas.com)</w:t>
      </w:r>
      <w:r w:rsidRPr="00D66A91">
        <w:rPr>
          <w:rFonts w:ascii="Calibri" w:eastAsia="Calibri" w:hAnsi="Calibri" w:cs="Calibri"/>
          <w:sz w:val="16"/>
          <w:szCs w:val="16"/>
          <w:lang w:val="en-US"/>
        </w:rPr>
        <w:t xml:space="preserve">, accessed 6 </w:t>
      </w:r>
      <w:proofErr w:type="gramStart"/>
      <w:r w:rsidRPr="00D66A91">
        <w:rPr>
          <w:rFonts w:ascii="Calibri" w:eastAsia="Calibri" w:hAnsi="Calibri" w:cs="Calibri"/>
          <w:sz w:val="16"/>
          <w:szCs w:val="16"/>
          <w:lang w:val="en-US"/>
        </w:rPr>
        <w:t>April,</w:t>
      </w:r>
      <w:proofErr w:type="gramEnd"/>
      <w:r w:rsidRPr="00D66A91">
        <w:rPr>
          <w:rFonts w:ascii="Calibri" w:eastAsia="Calibri" w:hAnsi="Calibri" w:cs="Calibri"/>
          <w:sz w:val="16"/>
          <w:szCs w:val="16"/>
          <w:lang w:val="en-US"/>
        </w:rPr>
        <w:t xml:space="preserve"> 2023.</w:t>
      </w:r>
    </w:p>
  </w:footnote>
  <w:footnote w:id="16">
    <w:p w14:paraId="1D6BD44A" w14:textId="50AB7CC4" w:rsidR="00055538" w:rsidRPr="00D66A91" w:rsidRDefault="00055538" w:rsidP="00BD34CC">
      <w:pPr>
        <w:pStyle w:val="FootnoteText"/>
        <w:rPr>
          <w:sz w:val="16"/>
          <w:szCs w:val="16"/>
          <w:lang w:val="en-US"/>
        </w:rPr>
      </w:pPr>
      <w:r w:rsidRPr="00D66A91">
        <w:rPr>
          <w:rStyle w:val="FootnoteReference"/>
          <w:sz w:val="16"/>
          <w:szCs w:val="16"/>
        </w:rPr>
        <w:footnoteRef/>
      </w:r>
      <w:r w:rsidRPr="00D66A91">
        <w:rPr>
          <w:sz w:val="16"/>
          <w:szCs w:val="16"/>
        </w:rPr>
        <w:t xml:space="preserve"> </w:t>
      </w:r>
      <w:r w:rsidR="00D3444E">
        <w:rPr>
          <w:sz w:val="16"/>
          <w:szCs w:val="16"/>
        </w:rPr>
        <w:t xml:space="preserve">Available at: </w:t>
      </w:r>
      <w:hyperlink r:id="rId3" w:history="1">
        <w:r w:rsidR="00D3444E" w:rsidRPr="00B449C4">
          <w:rPr>
            <w:rStyle w:val="Hyperlink"/>
            <w:rFonts w:ascii="Calibri" w:hAnsi="Calibri" w:cs="Calibri"/>
            <w:sz w:val="16"/>
            <w:szCs w:val="16"/>
          </w:rPr>
          <w:t>https://kemlu.go.id/portal/en/read/3664/siaran_pers/joint-communiqu-indonesia-australia-annual-leaders-meeting</w:t>
        </w:r>
      </w:hyperlink>
    </w:p>
  </w:footnote>
  <w:footnote w:id="17">
    <w:p w14:paraId="01CE9CCC" w14:textId="77777777" w:rsidR="0031499A" w:rsidRPr="00D66A91" w:rsidRDefault="0031499A" w:rsidP="0031499A">
      <w:pPr>
        <w:pStyle w:val="FootnoteText"/>
        <w:rPr>
          <w:sz w:val="16"/>
          <w:szCs w:val="16"/>
          <w:lang w:val="en-US"/>
        </w:rPr>
      </w:pPr>
      <w:r w:rsidRPr="00D66A91">
        <w:rPr>
          <w:rStyle w:val="FootnoteReference"/>
          <w:sz w:val="16"/>
          <w:szCs w:val="16"/>
        </w:rPr>
        <w:footnoteRef/>
      </w:r>
      <w:r w:rsidRPr="00D66A91">
        <w:rPr>
          <w:sz w:val="16"/>
          <w:szCs w:val="16"/>
        </w:rPr>
        <w:t xml:space="preserve"> </w:t>
      </w:r>
      <w:proofErr w:type="spellStart"/>
      <w:r w:rsidRPr="00D66A91">
        <w:rPr>
          <w:sz w:val="16"/>
          <w:szCs w:val="16"/>
          <w:lang w:val="en-US"/>
        </w:rPr>
        <w:t>Posyandu</w:t>
      </w:r>
      <w:proofErr w:type="spellEnd"/>
      <w:r w:rsidRPr="00D66A91">
        <w:rPr>
          <w:sz w:val="16"/>
          <w:szCs w:val="16"/>
          <w:lang w:val="en-US"/>
        </w:rPr>
        <w:t xml:space="preserve"> (</w:t>
      </w:r>
      <w:r w:rsidRPr="00D66A91">
        <w:rPr>
          <w:i/>
          <w:iCs/>
          <w:sz w:val="16"/>
          <w:szCs w:val="16"/>
          <w:lang w:val="en-US"/>
        </w:rPr>
        <w:t xml:space="preserve">Pos </w:t>
      </w:r>
      <w:proofErr w:type="spellStart"/>
      <w:r w:rsidRPr="00D66A91">
        <w:rPr>
          <w:i/>
          <w:iCs/>
          <w:sz w:val="16"/>
          <w:szCs w:val="16"/>
          <w:lang w:val="en-US"/>
        </w:rPr>
        <w:t>Pelayanan</w:t>
      </w:r>
      <w:proofErr w:type="spellEnd"/>
      <w:r w:rsidRPr="00D66A91">
        <w:rPr>
          <w:i/>
          <w:iCs/>
          <w:sz w:val="16"/>
          <w:szCs w:val="16"/>
          <w:lang w:val="en-US"/>
        </w:rPr>
        <w:t xml:space="preserve"> </w:t>
      </w:r>
      <w:proofErr w:type="spellStart"/>
      <w:r w:rsidRPr="00D66A91">
        <w:rPr>
          <w:i/>
          <w:iCs/>
          <w:sz w:val="16"/>
          <w:szCs w:val="16"/>
          <w:lang w:val="en-US"/>
        </w:rPr>
        <w:t>Terpadu</w:t>
      </w:r>
      <w:proofErr w:type="spellEnd"/>
      <w:r w:rsidRPr="00D66A91">
        <w:rPr>
          <w:sz w:val="16"/>
          <w:szCs w:val="16"/>
          <w:lang w:val="en-US"/>
        </w:rPr>
        <w:t xml:space="preserve">) is a service unit or post aimed to provide health care for maternal and child health, usually at the village and sub-village level. </w:t>
      </w:r>
    </w:p>
  </w:footnote>
  <w:footnote w:id="18">
    <w:p w14:paraId="6E61F3AE" w14:textId="77777777" w:rsidR="0031499A" w:rsidRPr="00D66A91" w:rsidRDefault="0031499A" w:rsidP="0031499A">
      <w:pPr>
        <w:pStyle w:val="FootnoteText"/>
        <w:rPr>
          <w:sz w:val="16"/>
          <w:szCs w:val="16"/>
          <w:lang w:val="en-US"/>
        </w:rPr>
      </w:pPr>
      <w:r w:rsidRPr="00D66A91">
        <w:rPr>
          <w:rStyle w:val="FootnoteReference"/>
          <w:sz w:val="16"/>
          <w:szCs w:val="16"/>
        </w:rPr>
        <w:footnoteRef/>
      </w:r>
      <w:r w:rsidRPr="00D66A91">
        <w:rPr>
          <w:sz w:val="16"/>
          <w:szCs w:val="16"/>
        </w:rPr>
        <w:t xml:space="preserve"> </w:t>
      </w:r>
      <w:r w:rsidRPr="00D66A91">
        <w:rPr>
          <w:rFonts w:ascii="Calibri" w:eastAsia="Calibri" w:hAnsi="Calibri" w:cs="Calibri"/>
          <w:color w:val="000000" w:themeColor="text1"/>
          <w:sz w:val="16"/>
          <w:szCs w:val="16"/>
        </w:rPr>
        <w:t>By end of January 2023, FMD cases had been reported in 27 provinces.</w:t>
      </w:r>
    </w:p>
  </w:footnote>
  <w:footnote w:id="19">
    <w:p w14:paraId="3ECE558C" w14:textId="171E5407" w:rsidR="0031499A" w:rsidRPr="00D66A91" w:rsidRDefault="0031499A" w:rsidP="0031499A">
      <w:pPr>
        <w:pStyle w:val="FootnoteText"/>
        <w:rPr>
          <w:sz w:val="16"/>
          <w:szCs w:val="16"/>
          <w:lang w:val="en-US"/>
        </w:rPr>
      </w:pPr>
      <w:r w:rsidRPr="00D66A91">
        <w:rPr>
          <w:rStyle w:val="FootnoteReference"/>
          <w:sz w:val="16"/>
          <w:szCs w:val="16"/>
        </w:rPr>
        <w:footnoteRef/>
      </w:r>
      <w:r w:rsidRPr="00D66A91">
        <w:rPr>
          <w:sz w:val="16"/>
          <w:szCs w:val="16"/>
        </w:rPr>
        <w:t xml:space="preserve"> </w:t>
      </w:r>
      <w:r w:rsidR="00D3444E">
        <w:rPr>
          <w:sz w:val="16"/>
          <w:szCs w:val="16"/>
          <w:lang w:val="en-US"/>
        </w:rPr>
        <w:t>Australia</w:t>
      </w:r>
      <w:r w:rsidR="007D161D">
        <w:rPr>
          <w:sz w:val="16"/>
          <w:szCs w:val="16"/>
          <w:lang w:val="en-US"/>
        </w:rPr>
        <w:t xml:space="preserve"> </w:t>
      </w:r>
      <w:r w:rsidRPr="00D66A91">
        <w:rPr>
          <w:sz w:val="16"/>
          <w:szCs w:val="16"/>
          <w:lang w:val="en-US"/>
        </w:rPr>
        <w:t>has announced that another one million doses of LSD vaccine will be delivered to Indonesia in the coming months.</w:t>
      </w:r>
    </w:p>
  </w:footnote>
  <w:footnote w:id="20">
    <w:p w14:paraId="3D98D6F8" w14:textId="4A05A2C3" w:rsidR="00AB5FF3" w:rsidRPr="00D66A91" w:rsidRDefault="00AB5FF3">
      <w:pPr>
        <w:pStyle w:val="FootnoteText"/>
        <w:rPr>
          <w:sz w:val="16"/>
          <w:szCs w:val="16"/>
        </w:rPr>
      </w:pPr>
      <w:r w:rsidRPr="00D66A91">
        <w:rPr>
          <w:rStyle w:val="FootnoteReference"/>
          <w:sz w:val="16"/>
          <w:szCs w:val="16"/>
        </w:rPr>
        <w:footnoteRef/>
      </w:r>
      <w:r w:rsidRPr="00D66A91">
        <w:rPr>
          <w:sz w:val="16"/>
          <w:szCs w:val="16"/>
        </w:rPr>
        <w:t xml:space="preserve"> </w:t>
      </w:r>
      <w:r w:rsidRPr="00D66A91">
        <w:rPr>
          <w:rFonts w:ascii="Calibri" w:eastAsia="Calibri" w:hAnsi="Calibri" w:cs="Calibri"/>
          <w:sz w:val="16"/>
          <w:szCs w:val="16"/>
          <w:lang w:val="en-US"/>
        </w:rPr>
        <w:t xml:space="preserve">The </w:t>
      </w:r>
      <w:proofErr w:type="spellStart"/>
      <w:r w:rsidRPr="00D66A91">
        <w:rPr>
          <w:rFonts w:ascii="Calibri" w:eastAsia="Calibri" w:hAnsi="Calibri" w:cs="Calibri"/>
          <w:sz w:val="16"/>
          <w:szCs w:val="16"/>
          <w:lang w:val="en-US"/>
        </w:rPr>
        <w:t>Permenko</w:t>
      </w:r>
      <w:proofErr w:type="spellEnd"/>
      <w:r w:rsidRPr="00D66A91">
        <w:rPr>
          <w:rFonts w:ascii="Calibri" w:eastAsia="Calibri" w:hAnsi="Calibri" w:cs="Calibri"/>
          <w:sz w:val="16"/>
          <w:szCs w:val="16"/>
          <w:lang w:val="en-US"/>
        </w:rPr>
        <w:t xml:space="preserve"> delivers further guidelines for the implementation of the </w:t>
      </w:r>
      <w:r w:rsidRPr="00D66A91">
        <w:rPr>
          <w:rFonts w:ascii="Calibri" w:eastAsia="Calibri" w:hAnsi="Calibri" w:cs="Calibri"/>
          <w:color w:val="000000" w:themeColor="text1"/>
          <w:sz w:val="16"/>
          <w:szCs w:val="16"/>
          <w:lang w:val="en-US"/>
        </w:rPr>
        <w:t>Presidential Instruction No.4/2019 on One Health.</w:t>
      </w:r>
    </w:p>
  </w:footnote>
  <w:footnote w:id="21">
    <w:p w14:paraId="25B850FD" w14:textId="0D5D518D" w:rsidR="00965A72" w:rsidRPr="00886560" w:rsidRDefault="00965A72" w:rsidP="00965A72">
      <w:pPr>
        <w:pStyle w:val="FootnoteText"/>
        <w:rPr>
          <w:color w:val="4472C4" w:themeColor="accent1"/>
          <w:sz w:val="16"/>
          <w:szCs w:val="16"/>
        </w:rPr>
      </w:pPr>
      <w:r w:rsidRPr="00D66A91">
        <w:rPr>
          <w:rStyle w:val="FootnoteReference"/>
          <w:sz w:val="16"/>
          <w:szCs w:val="16"/>
        </w:rPr>
        <w:footnoteRef/>
      </w:r>
      <w:r w:rsidRPr="00D66A91">
        <w:rPr>
          <w:sz w:val="16"/>
          <w:szCs w:val="16"/>
        </w:rPr>
        <w:t xml:space="preserve"> Available at</w:t>
      </w:r>
      <w:r w:rsidR="00886560">
        <w:rPr>
          <w:sz w:val="16"/>
          <w:szCs w:val="16"/>
        </w:rPr>
        <w:t>:</w:t>
      </w:r>
      <w:r w:rsidRPr="00D66A91">
        <w:rPr>
          <w:sz w:val="16"/>
          <w:szCs w:val="16"/>
        </w:rPr>
        <w:t xml:space="preserve"> </w:t>
      </w:r>
      <w:r w:rsidRPr="00886560">
        <w:rPr>
          <w:color w:val="4472C4" w:themeColor="accent1"/>
          <w:sz w:val="16"/>
          <w:szCs w:val="16"/>
        </w:rPr>
        <w:t>https://www.who.int/initiatives/tripartite-zoonosis-guide</w:t>
      </w:r>
    </w:p>
  </w:footnote>
  <w:footnote w:id="22">
    <w:p w14:paraId="7EF8DF6D" w14:textId="0A25FE21" w:rsidR="008D1F47" w:rsidRPr="008D1F47" w:rsidRDefault="008D1F47">
      <w:pPr>
        <w:pStyle w:val="FootnoteText"/>
        <w:rPr>
          <w:sz w:val="16"/>
          <w:szCs w:val="16"/>
          <w:lang w:val="en-US"/>
        </w:rPr>
      </w:pPr>
      <w:r w:rsidRPr="008D1F47">
        <w:rPr>
          <w:rStyle w:val="FootnoteReference"/>
          <w:sz w:val="16"/>
          <w:szCs w:val="16"/>
        </w:rPr>
        <w:footnoteRef/>
      </w:r>
      <w:r w:rsidRPr="008D1F47">
        <w:rPr>
          <w:sz w:val="16"/>
          <w:szCs w:val="16"/>
        </w:rPr>
        <w:t xml:space="preserve"> A thorough assessment of the MERLA was not within the scope of the MTR. However, the MTR team can provide further MERLA feedback directly to AIHSP.</w:t>
      </w:r>
    </w:p>
  </w:footnote>
  <w:footnote w:id="23">
    <w:p w14:paraId="7AEFAEC9" w14:textId="77777777" w:rsidR="0086410C" w:rsidRPr="00D66A91" w:rsidRDefault="0086410C" w:rsidP="0086410C">
      <w:pPr>
        <w:pStyle w:val="FootnoteText"/>
        <w:rPr>
          <w:sz w:val="16"/>
          <w:szCs w:val="16"/>
        </w:rPr>
      </w:pPr>
      <w:r w:rsidRPr="00D66A91">
        <w:rPr>
          <w:rStyle w:val="FootnoteReference"/>
          <w:sz w:val="16"/>
          <w:szCs w:val="16"/>
        </w:rPr>
        <w:footnoteRef/>
      </w:r>
      <w:r w:rsidRPr="00D66A91">
        <w:rPr>
          <w:sz w:val="16"/>
          <w:szCs w:val="16"/>
        </w:rPr>
        <w:t xml:space="preserve"> </w:t>
      </w:r>
      <w:r w:rsidRPr="00D66A91">
        <w:rPr>
          <w:rFonts w:cstheme="minorHAnsi"/>
          <w:color w:val="000000" w:themeColor="text1"/>
          <w:sz w:val="16"/>
          <w:szCs w:val="16"/>
        </w:rPr>
        <w:t xml:space="preserve">WHO’s </w:t>
      </w:r>
      <w:r w:rsidRPr="00D66A91">
        <w:rPr>
          <w:rFonts w:cstheme="minorHAnsi"/>
          <w:color w:val="000000" w:themeColor="text1"/>
          <w:sz w:val="16"/>
          <w:szCs w:val="16"/>
          <w:shd w:val="clear" w:color="auto" w:fill="FFFFFF"/>
        </w:rPr>
        <w:t>Vaccine </w:t>
      </w:r>
      <w:r w:rsidRPr="00D66A91">
        <w:rPr>
          <w:rStyle w:val="Emphasis"/>
          <w:rFonts w:cstheme="minorHAnsi"/>
          <w:i w:val="0"/>
          <w:iCs w:val="0"/>
          <w:color w:val="000000" w:themeColor="text1"/>
          <w:sz w:val="16"/>
          <w:szCs w:val="16"/>
          <w:shd w:val="clear" w:color="auto" w:fill="FFFFFF"/>
        </w:rPr>
        <w:t>Introduction Readiness Assessment</w:t>
      </w:r>
      <w:r w:rsidRPr="00D66A91">
        <w:rPr>
          <w:rFonts w:cstheme="minorHAnsi"/>
          <w:color w:val="000000" w:themeColor="text1"/>
          <w:sz w:val="16"/>
          <w:szCs w:val="16"/>
          <w:shd w:val="clear" w:color="auto" w:fill="FFFFFF"/>
        </w:rPr>
        <w:t> Tool </w:t>
      </w:r>
      <w:r w:rsidRPr="00D66A91">
        <w:rPr>
          <w:rFonts w:cstheme="minorHAnsi"/>
          <w:color w:val="000000" w:themeColor="text1"/>
          <w:sz w:val="16"/>
          <w:szCs w:val="16"/>
        </w:rPr>
        <w:t>and the World Bank’s Vaccine Readiness Assessment Framework (VIRAT/VIRAF 2.0)</w:t>
      </w:r>
    </w:p>
  </w:footnote>
  <w:footnote w:id="24">
    <w:p w14:paraId="1EE0235D" w14:textId="77777777" w:rsidR="004735DF" w:rsidRPr="002452AB" w:rsidRDefault="004735DF" w:rsidP="004735DF">
      <w:pPr>
        <w:pStyle w:val="FootnoteText"/>
        <w:rPr>
          <w:color w:val="4472C4" w:themeColor="accent1"/>
          <w:sz w:val="16"/>
          <w:szCs w:val="16"/>
        </w:rPr>
      </w:pPr>
      <w:r w:rsidRPr="00D66A91">
        <w:rPr>
          <w:rStyle w:val="FootnoteReference"/>
          <w:sz w:val="16"/>
          <w:szCs w:val="16"/>
        </w:rPr>
        <w:footnoteRef/>
      </w:r>
      <w:r w:rsidRPr="00D66A91">
        <w:rPr>
          <w:sz w:val="16"/>
          <w:szCs w:val="16"/>
        </w:rPr>
        <w:t xml:space="preserve"> </w:t>
      </w:r>
      <w:r w:rsidRPr="00D66A91">
        <w:rPr>
          <w:color w:val="000000" w:themeColor="text1"/>
          <w:sz w:val="16"/>
          <w:szCs w:val="16"/>
        </w:rPr>
        <w:t xml:space="preserve">Australian Government 2022, </w:t>
      </w:r>
      <w:r w:rsidRPr="00D66A91">
        <w:rPr>
          <w:i/>
          <w:iCs/>
          <w:color w:val="000000" w:themeColor="text1"/>
          <w:sz w:val="16"/>
          <w:szCs w:val="16"/>
        </w:rPr>
        <w:t>Strategic Framework for Transitioning COVID-19 Measures</w:t>
      </w:r>
      <w:r w:rsidRPr="00D66A91">
        <w:rPr>
          <w:color w:val="000000" w:themeColor="text1"/>
          <w:sz w:val="16"/>
          <w:szCs w:val="16"/>
        </w:rPr>
        <w:t xml:space="preserve">, National Cabinet, available at: </w:t>
      </w:r>
      <w:r w:rsidRPr="002452AB">
        <w:rPr>
          <w:color w:val="4472C4" w:themeColor="accent1"/>
          <w:sz w:val="16"/>
          <w:szCs w:val="16"/>
        </w:rPr>
        <w:t>https://federation.gov.au/national-cabinet/media/2022-12-09-strategic-framework-transitioning-covid-19-measures</w:t>
      </w:r>
    </w:p>
  </w:footnote>
  <w:footnote w:id="25">
    <w:p w14:paraId="17B95B2A" w14:textId="77777777" w:rsidR="004735DF" w:rsidRPr="002452AB" w:rsidRDefault="004735DF" w:rsidP="004735DF">
      <w:pPr>
        <w:pStyle w:val="FootnoteText"/>
        <w:rPr>
          <w:color w:val="4472C4" w:themeColor="accent1"/>
          <w:sz w:val="16"/>
          <w:szCs w:val="16"/>
        </w:rPr>
      </w:pPr>
      <w:r w:rsidRPr="00D66A91">
        <w:rPr>
          <w:rStyle w:val="FootnoteReference"/>
          <w:sz w:val="16"/>
          <w:szCs w:val="16"/>
        </w:rPr>
        <w:footnoteRef/>
      </w:r>
      <w:r w:rsidRPr="00D66A91">
        <w:rPr>
          <w:sz w:val="16"/>
          <w:szCs w:val="16"/>
        </w:rPr>
        <w:t xml:space="preserve"> The Independent Panel for Pandemic Preparedness and Response 2021, </w:t>
      </w:r>
      <w:r w:rsidRPr="00D66A91">
        <w:rPr>
          <w:i/>
          <w:iCs/>
          <w:sz w:val="16"/>
          <w:szCs w:val="16"/>
        </w:rPr>
        <w:t>COVID-19: Make it the Last Pandemic</w:t>
      </w:r>
      <w:r w:rsidRPr="00D66A91">
        <w:rPr>
          <w:sz w:val="16"/>
          <w:szCs w:val="16"/>
        </w:rPr>
        <w:t xml:space="preserve">, available at: </w:t>
      </w:r>
      <w:proofErr w:type="gramStart"/>
      <w:r w:rsidRPr="002452AB">
        <w:rPr>
          <w:color w:val="4472C4" w:themeColor="accent1"/>
          <w:sz w:val="16"/>
          <w:szCs w:val="16"/>
        </w:rPr>
        <w:t>https://theindependentpanel.org/</w:t>
      </w:r>
      <w:proofErr w:type="gramEnd"/>
    </w:p>
  </w:footnote>
  <w:footnote w:id="26">
    <w:p w14:paraId="7028315B" w14:textId="77777777" w:rsidR="0022668A" w:rsidRPr="00D66A91" w:rsidRDefault="0022668A" w:rsidP="00EB2987">
      <w:pPr>
        <w:pBdr>
          <w:top w:val="nil"/>
          <w:left w:val="nil"/>
          <w:bottom w:val="nil"/>
          <w:right w:val="nil"/>
          <w:between w:val="nil"/>
        </w:pBdr>
        <w:spacing w:after="0" w:line="240" w:lineRule="auto"/>
        <w:rPr>
          <w:i/>
          <w:color w:val="000000"/>
          <w:sz w:val="16"/>
          <w:szCs w:val="16"/>
        </w:rPr>
      </w:pPr>
      <w:r w:rsidRPr="00D66A91">
        <w:rPr>
          <w:rStyle w:val="FootnoteReference"/>
          <w:sz w:val="16"/>
          <w:szCs w:val="16"/>
        </w:rPr>
        <w:footnoteRef/>
      </w:r>
      <w:r w:rsidRPr="00D66A91">
        <w:rPr>
          <w:rFonts w:ascii="Calibri" w:eastAsia="Calibri" w:hAnsi="Calibri" w:cs="Calibri"/>
          <w:color w:val="000000"/>
          <w:sz w:val="16"/>
          <w:szCs w:val="16"/>
        </w:rPr>
        <w:t xml:space="preserve"> WHO 2010, </w:t>
      </w:r>
      <w:r w:rsidRPr="00D66A91">
        <w:rPr>
          <w:rFonts w:ascii="Calibri" w:eastAsia="Calibri" w:hAnsi="Calibri" w:cs="Calibri"/>
          <w:i/>
          <w:color w:val="000000"/>
          <w:sz w:val="16"/>
          <w:szCs w:val="16"/>
        </w:rPr>
        <w:t>Monitoring the Building Blocks of Health Systems: A Handbook of Indicators and their Measurement Strategies.</w:t>
      </w:r>
    </w:p>
  </w:footnote>
  <w:footnote w:id="27">
    <w:p w14:paraId="0037A289" w14:textId="4D807297" w:rsidR="002D1FF0" w:rsidRPr="00D66A91" w:rsidRDefault="002D1FF0" w:rsidP="0032415B">
      <w:pPr>
        <w:pBdr>
          <w:top w:val="nil"/>
          <w:left w:val="nil"/>
          <w:bottom w:val="nil"/>
          <w:right w:val="nil"/>
          <w:between w:val="nil"/>
        </w:pBdr>
        <w:spacing w:after="0" w:line="240" w:lineRule="auto"/>
        <w:jc w:val="both"/>
        <w:rPr>
          <w:color w:val="000000"/>
          <w:sz w:val="16"/>
          <w:szCs w:val="16"/>
        </w:rPr>
      </w:pPr>
      <w:r w:rsidRPr="00D66A91">
        <w:rPr>
          <w:rStyle w:val="FootnoteReference"/>
          <w:sz w:val="16"/>
          <w:szCs w:val="16"/>
        </w:rPr>
        <w:footnoteRef/>
      </w:r>
      <w:r w:rsidRPr="00D66A91">
        <w:rPr>
          <w:rFonts w:ascii="Calibri" w:eastAsia="Calibri" w:hAnsi="Calibri" w:cs="Calibri"/>
          <w:color w:val="000000"/>
          <w:sz w:val="16"/>
          <w:szCs w:val="16"/>
        </w:rPr>
        <w:t xml:space="preserve"> In sections 3.1 and 3.2, </w:t>
      </w:r>
      <w:r w:rsidR="00F36A83" w:rsidRPr="00D66A91">
        <w:rPr>
          <w:rFonts w:ascii="Calibri" w:eastAsia="Calibri" w:hAnsi="Calibri" w:cs="Calibri"/>
          <w:color w:val="000000"/>
          <w:sz w:val="16"/>
          <w:szCs w:val="16"/>
        </w:rPr>
        <w:t>attribution of opinions is provided in brackets. DFAT and the partners</w:t>
      </w:r>
      <w:r w:rsidR="000578C9" w:rsidRPr="00D66A91">
        <w:rPr>
          <w:rFonts w:ascii="Calibri" w:eastAsia="Calibri" w:hAnsi="Calibri" w:cs="Calibri"/>
          <w:color w:val="000000"/>
          <w:sz w:val="16"/>
          <w:szCs w:val="16"/>
        </w:rPr>
        <w:t xml:space="preserve"> (UNICEF and WHO)</w:t>
      </w:r>
      <w:r w:rsidR="00F36A83" w:rsidRPr="00D66A91">
        <w:rPr>
          <w:rFonts w:ascii="Calibri" w:eastAsia="Calibri" w:hAnsi="Calibri" w:cs="Calibri"/>
          <w:color w:val="000000"/>
          <w:sz w:val="16"/>
          <w:szCs w:val="16"/>
        </w:rPr>
        <w:t xml:space="preserve"> are named</w:t>
      </w:r>
      <w:r w:rsidR="000578C9" w:rsidRPr="00D66A91">
        <w:rPr>
          <w:rFonts w:ascii="Calibri" w:eastAsia="Calibri" w:hAnsi="Calibri" w:cs="Calibri"/>
          <w:color w:val="000000"/>
          <w:sz w:val="16"/>
          <w:szCs w:val="16"/>
        </w:rPr>
        <w:t xml:space="preserve"> or referred to as ‘partners’</w:t>
      </w:r>
      <w:r w:rsidR="00F36A83" w:rsidRPr="00D66A91">
        <w:rPr>
          <w:rFonts w:ascii="Calibri" w:eastAsia="Calibri" w:hAnsi="Calibri" w:cs="Calibri"/>
          <w:color w:val="000000"/>
          <w:sz w:val="16"/>
          <w:szCs w:val="16"/>
        </w:rPr>
        <w:t>, but other organisations are not. Instead, the type of</w:t>
      </w:r>
      <w:r w:rsidRPr="00D66A91">
        <w:rPr>
          <w:rFonts w:ascii="Calibri" w:eastAsia="Calibri" w:hAnsi="Calibri" w:cs="Calibri"/>
          <w:color w:val="000000"/>
          <w:sz w:val="16"/>
          <w:szCs w:val="16"/>
        </w:rPr>
        <w:t xml:space="preserve"> organisation</w:t>
      </w:r>
      <w:r w:rsidR="00F36A83" w:rsidRPr="00D66A91">
        <w:rPr>
          <w:rFonts w:ascii="Calibri" w:eastAsia="Calibri" w:hAnsi="Calibri" w:cs="Calibri"/>
          <w:color w:val="000000"/>
          <w:sz w:val="16"/>
          <w:szCs w:val="16"/>
        </w:rPr>
        <w:t xml:space="preserve"> is provided. </w:t>
      </w:r>
    </w:p>
  </w:footnote>
  <w:footnote w:id="28">
    <w:p w14:paraId="7163092E" w14:textId="20BDF80F" w:rsidR="002D1FF0" w:rsidRPr="00D66A91" w:rsidRDefault="002D1FF0" w:rsidP="0032415B">
      <w:pPr>
        <w:pBdr>
          <w:top w:val="nil"/>
          <w:left w:val="nil"/>
          <w:bottom w:val="nil"/>
          <w:right w:val="nil"/>
          <w:between w:val="nil"/>
        </w:pBdr>
        <w:spacing w:after="0" w:line="240" w:lineRule="auto"/>
        <w:jc w:val="both"/>
        <w:rPr>
          <w:color w:val="000000"/>
          <w:sz w:val="16"/>
          <w:szCs w:val="16"/>
        </w:rPr>
      </w:pPr>
      <w:r w:rsidRPr="00D66A91">
        <w:rPr>
          <w:rStyle w:val="FootnoteReference"/>
          <w:sz w:val="16"/>
          <w:szCs w:val="16"/>
        </w:rPr>
        <w:footnoteRef/>
      </w:r>
      <w:r w:rsidRPr="00D66A91">
        <w:rPr>
          <w:rFonts w:ascii="Calibri" w:eastAsia="Calibri" w:hAnsi="Calibri" w:cs="Calibri"/>
          <w:color w:val="000000"/>
          <w:sz w:val="16"/>
          <w:szCs w:val="16"/>
        </w:rPr>
        <w:t xml:space="preserve"> </w:t>
      </w:r>
      <w:r w:rsidR="005A0552">
        <w:rPr>
          <w:rFonts w:ascii="Calibri" w:eastAsia="Calibri" w:hAnsi="Calibri" w:cs="Calibri"/>
          <w:color w:val="000000"/>
          <w:sz w:val="16"/>
          <w:szCs w:val="16"/>
        </w:rPr>
        <w:t>The ASF</w:t>
      </w:r>
      <w:r w:rsidRPr="00D66A91">
        <w:rPr>
          <w:rFonts w:ascii="Calibri" w:eastAsia="Calibri" w:hAnsi="Calibri" w:cs="Calibri"/>
          <w:color w:val="000000"/>
          <w:sz w:val="16"/>
          <w:szCs w:val="16"/>
        </w:rPr>
        <w:t xml:space="preserve"> loop-mediated isothermal amplification (LAMP) test </w:t>
      </w:r>
      <w:r w:rsidR="009B3F1B">
        <w:rPr>
          <w:rFonts w:ascii="Calibri" w:eastAsia="Calibri" w:hAnsi="Calibri" w:cs="Calibri"/>
          <w:color w:val="000000"/>
          <w:sz w:val="16"/>
          <w:szCs w:val="16"/>
        </w:rPr>
        <w:t>is a validated test that can be used as a point of care test for ASF in the field</w:t>
      </w:r>
      <w:r w:rsidRPr="00D66A91">
        <w:rPr>
          <w:rFonts w:ascii="Calibri" w:eastAsia="Calibri" w:hAnsi="Calibri" w:cs="Calibri"/>
          <w:color w:val="000000"/>
          <w:sz w:val="16"/>
          <w:szCs w:val="16"/>
        </w:rPr>
        <w:t>.</w:t>
      </w:r>
    </w:p>
  </w:footnote>
  <w:footnote w:id="29">
    <w:p w14:paraId="59BEBFF8" w14:textId="4EC98CE2" w:rsidR="00C70A96" w:rsidRPr="00D66A91" w:rsidRDefault="00C70A96">
      <w:pPr>
        <w:pStyle w:val="FootnoteText"/>
        <w:rPr>
          <w:sz w:val="16"/>
          <w:szCs w:val="16"/>
        </w:rPr>
      </w:pPr>
      <w:r w:rsidRPr="00D66A91">
        <w:rPr>
          <w:rStyle w:val="FootnoteReference"/>
          <w:sz w:val="16"/>
          <w:szCs w:val="16"/>
        </w:rPr>
        <w:footnoteRef/>
      </w:r>
      <w:r w:rsidRPr="00D66A91">
        <w:rPr>
          <w:sz w:val="16"/>
          <w:szCs w:val="16"/>
        </w:rPr>
        <w:t xml:space="preserve"> </w:t>
      </w:r>
      <w:r w:rsidRPr="00D66A91">
        <w:rPr>
          <w:rFonts w:cstheme="minorHAnsi"/>
          <w:color w:val="000000" w:themeColor="text1"/>
          <w:sz w:val="16"/>
          <w:szCs w:val="16"/>
        </w:rPr>
        <w:t xml:space="preserve">Since this report was initially drafted, Indonesia’s COVID-19 contact tracing app </w:t>
      </w:r>
      <w:proofErr w:type="spellStart"/>
      <w:r w:rsidRPr="00D66A91">
        <w:rPr>
          <w:rFonts w:cstheme="minorHAnsi"/>
          <w:color w:val="000000" w:themeColor="text1"/>
          <w:sz w:val="16"/>
          <w:szCs w:val="16"/>
          <w:shd w:val="clear" w:color="auto" w:fill="FFFFFF"/>
        </w:rPr>
        <w:t>PeduliLindungi</w:t>
      </w:r>
      <w:proofErr w:type="spellEnd"/>
      <w:r w:rsidRPr="00D66A91">
        <w:rPr>
          <w:rFonts w:cstheme="minorHAnsi"/>
          <w:color w:val="000000" w:themeColor="text1"/>
          <w:sz w:val="16"/>
          <w:szCs w:val="16"/>
          <w:shd w:val="clear" w:color="auto" w:fill="FFFFFF"/>
        </w:rPr>
        <w:t> </w:t>
      </w:r>
      <w:r w:rsidRPr="00D66A91">
        <w:rPr>
          <w:rFonts w:cstheme="minorHAnsi"/>
          <w:color w:val="000000" w:themeColor="text1"/>
          <w:sz w:val="16"/>
          <w:szCs w:val="16"/>
        </w:rPr>
        <w:t xml:space="preserve">has been transformed into the public health application called </w:t>
      </w:r>
      <w:proofErr w:type="spellStart"/>
      <w:r w:rsidRPr="00D66A91">
        <w:rPr>
          <w:rFonts w:cstheme="minorHAnsi"/>
          <w:color w:val="000000" w:themeColor="text1"/>
          <w:sz w:val="16"/>
          <w:szCs w:val="16"/>
        </w:rPr>
        <w:t>SatuSehat</w:t>
      </w:r>
      <w:proofErr w:type="spellEnd"/>
      <w:r w:rsidRPr="00D66A91">
        <w:rPr>
          <w:rFonts w:cstheme="minorHAnsi"/>
          <w:color w:val="000000" w:themeColor="text1"/>
          <w:sz w:val="16"/>
          <w:szCs w:val="16"/>
        </w:rPr>
        <w:t xml:space="preserve"> Mobile (April 2023).</w:t>
      </w:r>
    </w:p>
  </w:footnote>
  <w:footnote w:id="30">
    <w:p w14:paraId="50760239" w14:textId="77777777" w:rsidR="00A64A09" w:rsidRPr="00D66A91" w:rsidRDefault="00A64A09" w:rsidP="00476B3D">
      <w:pPr>
        <w:pBdr>
          <w:top w:val="nil"/>
          <w:left w:val="nil"/>
          <w:bottom w:val="nil"/>
          <w:right w:val="nil"/>
          <w:between w:val="nil"/>
        </w:pBdr>
        <w:spacing w:after="0" w:line="240" w:lineRule="auto"/>
        <w:rPr>
          <w:color w:val="4472C4"/>
          <w:sz w:val="16"/>
          <w:szCs w:val="16"/>
        </w:rPr>
      </w:pPr>
      <w:r w:rsidRPr="00D66A91">
        <w:rPr>
          <w:rStyle w:val="FootnoteReference"/>
          <w:sz w:val="16"/>
          <w:szCs w:val="16"/>
        </w:rPr>
        <w:footnoteRef/>
      </w:r>
      <w:r w:rsidRPr="00D66A91">
        <w:rPr>
          <w:rFonts w:ascii="Calibri" w:eastAsia="Calibri" w:hAnsi="Calibri" w:cs="Calibri"/>
          <w:color w:val="000000"/>
          <w:sz w:val="16"/>
          <w:szCs w:val="16"/>
        </w:rPr>
        <w:t xml:space="preserve"> Australian Government Department of Foreign Affairs and Trade 2023, </w:t>
      </w:r>
      <w:r w:rsidRPr="00D66A91">
        <w:rPr>
          <w:rFonts w:ascii="Calibri" w:eastAsia="Calibri" w:hAnsi="Calibri" w:cs="Calibri"/>
          <w:i/>
          <w:color w:val="000000"/>
          <w:sz w:val="16"/>
          <w:szCs w:val="16"/>
        </w:rPr>
        <w:t xml:space="preserve">Partnerships for a Healthy Region: Gender equality, disability and social inclusion (GEDSI) and First Nations Engagement - Guidance note, </w:t>
      </w:r>
      <w:r w:rsidRPr="00D66A91">
        <w:rPr>
          <w:rFonts w:ascii="Calibri" w:eastAsia="Calibri" w:hAnsi="Calibri" w:cs="Calibri"/>
          <w:color w:val="000000"/>
          <w:sz w:val="16"/>
          <w:szCs w:val="16"/>
        </w:rPr>
        <w:t xml:space="preserve">available at: </w:t>
      </w:r>
      <w:proofErr w:type="gramStart"/>
      <w:r w:rsidRPr="00D66A91">
        <w:rPr>
          <w:rFonts w:ascii="Calibri" w:eastAsia="Calibri" w:hAnsi="Calibri" w:cs="Calibri"/>
          <w:color w:val="4472C4"/>
          <w:sz w:val="16"/>
          <w:szCs w:val="16"/>
        </w:rPr>
        <w:t>https://indopacifichealthsecurity.dfat.gov.au/sites/default/files/2023-02/DFAT%20Partnerships%20for%20a%20Healthy%20Region%20-%20GEDSI%20and%20First%20Nations%20engagement%20Guidance%20Note.docx</w:t>
      </w:r>
      <w:proofErr w:type="gramEnd"/>
    </w:p>
  </w:footnote>
  <w:footnote w:id="31">
    <w:p w14:paraId="5FFBB071" w14:textId="1D25E25C" w:rsidR="00653C01" w:rsidRPr="002E11F2" w:rsidRDefault="00653C01">
      <w:pPr>
        <w:pStyle w:val="FootnoteText"/>
        <w:rPr>
          <w:color w:val="4472C4" w:themeColor="accent1"/>
          <w:sz w:val="16"/>
          <w:szCs w:val="16"/>
        </w:rPr>
      </w:pPr>
      <w:r w:rsidRPr="00D66A91">
        <w:rPr>
          <w:rStyle w:val="FootnoteReference"/>
          <w:sz w:val="16"/>
          <w:szCs w:val="16"/>
        </w:rPr>
        <w:footnoteRef/>
      </w:r>
      <w:r w:rsidRPr="00D66A91">
        <w:rPr>
          <w:sz w:val="16"/>
          <w:szCs w:val="16"/>
        </w:rPr>
        <w:t xml:space="preserve"> World Bank 2021, Population, female (% of the total population) – Indonesia, available at: </w:t>
      </w:r>
      <w:r w:rsidRPr="002E11F2">
        <w:rPr>
          <w:color w:val="4472C4" w:themeColor="accent1"/>
          <w:sz w:val="16"/>
          <w:szCs w:val="16"/>
        </w:rPr>
        <w:t>https://data.worldbank.org/indicator/SP.POP.TOTL.FE.ZS?end=2021&amp;locations=ID&amp;start=1960&amp;view=chart</w:t>
      </w:r>
    </w:p>
  </w:footnote>
  <w:footnote w:id="32">
    <w:p w14:paraId="79D62B06" w14:textId="77777777" w:rsidR="0058302D" w:rsidRPr="00D66A91" w:rsidRDefault="0058302D" w:rsidP="0058302D">
      <w:pPr>
        <w:pStyle w:val="FootnoteText"/>
        <w:rPr>
          <w:i/>
          <w:iCs/>
          <w:sz w:val="16"/>
          <w:szCs w:val="16"/>
        </w:rPr>
      </w:pPr>
      <w:r w:rsidRPr="00D66A91">
        <w:rPr>
          <w:rStyle w:val="FootnoteReference"/>
          <w:sz w:val="16"/>
          <w:szCs w:val="16"/>
        </w:rPr>
        <w:footnoteRef/>
      </w:r>
      <w:r w:rsidRPr="00D66A91">
        <w:rPr>
          <w:sz w:val="16"/>
          <w:szCs w:val="16"/>
        </w:rPr>
        <w:t xml:space="preserve"> AIHSP 2021, Gender Equality, Disability, and Social Inclusion Strategy 2021-2024.</w:t>
      </w:r>
    </w:p>
  </w:footnote>
  <w:footnote w:id="33">
    <w:p w14:paraId="3CD5349C" w14:textId="7E9AE2EE" w:rsidR="00310FF1" w:rsidRPr="00D66A91" w:rsidRDefault="00310FF1" w:rsidP="00310FF1">
      <w:pPr>
        <w:pStyle w:val="Heading1"/>
        <w:shd w:val="clear" w:color="auto" w:fill="FFFFFF"/>
        <w:spacing w:before="0" w:line="240" w:lineRule="auto"/>
        <w:rPr>
          <w:sz w:val="16"/>
          <w:szCs w:val="16"/>
        </w:rPr>
      </w:pPr>
      <w:r w:rsidRPr="00D66A91">
        <w:rPr>
          <w:rStyle w:val="FootnoteReference"/>
          <w:rFonts w:asciiTheme="minorHAnsi" w:hAnsiTheme="minorHAnsi" w:cstheme="minorHAnsi"/>
          <w:color w:val="auto"/>
          <w:sz w:val="16"/>
          <w:szCs w:val="16"/>
        </w:rPr>
        <w:footnoteRef/>
      </w:r>
      <w:r w:rsidRPr="00D66A91">
        <w:rPr>
          <w:rFonts w:asciiTheme="minorHAnsi" w:hAnsiTheme="minorHAnsi" w:cstheme="minorHAnsi"/>
          <w:color w:val="auto"/>
          <w:sz w:val="16"/>
          <w:szCs w:val="16"/>
        </w:rPr>
        <w:t xml:space="preserve"> UN Women 2023, The Shadow Pandemic: Violence against women during COVID-19, available at: </w:t>
      </w:r>
      <w:r w:rsidRPr="002E11F2">
        <w:rPr>
          <w:rFonts w:asciiTheme="minorHAnsi" w:hAnsiTheme="minorHAnsi" w:cstheme="minorHAnsi"/>
          <w:color w:val="4472C4" w:themeColor="accent1"/>
          <w:sz w:val="16"/>
          <w:szCs w:val="16"/>
        </w:rPr>
        <w:t>https://www.unwomen.org/en/news/in-focus/in-focus-gender-equality-in-covid-19-response/violence-against-women-during-covid-19</w:t>
      </w:r>
    </w:p>
  </w:footnote>
  <w:footnote w:id="34">
    <w:p w14:paraId="06B7A682" w14:textId="2E65AF7E" w:rsidR="007E300D" w:rsidRPr="00D66A91" w:rsidRDefault="007E300D" w:rsidP="006D1EA6">
      <w:pPr>
        <w:pStyle w:val="FootnoteText"/>
        <w:rPr>
          <w:sz w:val="16"/>
          <w:szCs w:val="16"/>
        </w:rPr>
      </w:pPr>
      <w:r w:rsidRPr="00D66A91">
        <w:rPr>
          <w:rStyle w:val="FootnoteReference"/>
          <w:sz w:val="16"/>
          <w:szCs w:val="16"/>
        </w:rPr>
        <w:footnoteRef/>
      </w:r>
      <w:r w:rsidRPr="00D66A91">
        <w:rPr>
          <w:sz w:val="16"/>
          <w:szCs w:val="16"/>
        </w:rPr>
        <w:t xml:space="preserve"> </w:t>
      </w:r>
      <w:r w:rsidRPr="00D66A91">
        <w:rPr>
          <w:rFonts w:ascii="Calibri" w:eastAsia="Calibri" w:hAnsi="Calibri" w:cs="Calibri"/>
          <w:color w:val="000000"/>
          <w:sz w:val="16"/>
          <w:szCs w:val="16"/>
        </w:rPr>
        <w:t>National Socioeconomic Survey – SUSENAS, 2018.</w:t>
      </w:r>
    </w:p>
  </w:footnote>
  <w:footnote w:id="35">
    <w:p w14:paraId="5A401926" w14:textId="0083A2CE" w:rsidR="00A64A09" w:rsidRPr="00D66A91" w:rsidRDefault="00A64A09" w:rsidP="00476B3D">
      <w:pPr>
        <w:pBdr>
          <w:top w:val="nil"/>
          <w:left w:val="nil"/>
          <w:bottom w:val="nil"/>
          <w:right w:val="nil"/>
          <w:between w:val="nil"/>
        </w:pBdr>
        <w:spacing w:after="0" w:line="240" w:lineRule="auto"/>
        <w:rPr>
          <w:color w:val="4472C4"/>
          <w:sz w:val="16"/>
          <w:szCs w:val="16"/>
        </w:rPr>
      </w:pPr>
      <w:r w:rsidRPr="00D66A91">
        <w:rPr>
          <w:rStyle w:val="FootnoteReference"/>
          <w:sz w:val="16"/>
          <w:szCs w:val="16"/>
        </w:rPr>
        <w:footnoteRef/>
      </w:r>
      <w:r w:rsidRPr="00D66A91">
        <w:rPr>
          <w:rFonts w:ascii="Calibri" w:eastAsia="Calibri" w:hAnsi="Calibri" w:cs="Calibri"/>
          <w:color w:val="000000"/>
          <w:sz w:val="16"/>
          <w:szCs w:val="16"/>
        </w:rPr>
        <w:t xml:space="preserve"> World Health Organisation</w:t>
      </w:r>
      <w:r w:rsidR="007E300D" w:rsidRPr="00D66A91">
        <w:rPr>
          <w:rFonts w:ascii="Calibri" w:eastAsia="Calibri" w:hAnsi="Calibri" w:cs="Calibri"/>
          <w:color w:val="000000"/>
          <w:sz w:val="16"/>
          <w:szCs w:val="16"/>
        </w:rPr>
        <w:t xml:space="preserve"> 2022, </w:t>
      </w:r>
      <w:r w:rsidR="007E300D" w:rsidRPr="00D66A91">
        <w:rPr>
          <w:rFonts w:ascii="Calibri" w:eastAsia="Calibri" w:hAnsi="Calibri" w:cs="Calibri"/>
          <w:i/>
          <w:iCs/>
          <w:color w:val="000000"/>
          <w:sz w:val="16"/>
          <w:szCs w:val="16"/>
        </w:rPr>
        <w:t>Global</w:t>
      </w:r>
      <w:r w:rsidRPr="00D66A91">
        <w:rPr>
          <w:rFonts w:ascii="Calibri" w:eastAsia="Calibri" w:hAnsi="Calibri" w:cs="Calibri"/>
          <w:i/>
          <w:iCs/>
          <w:color w:val="000000"/>
          <w:sz w:val="16"/>
          <w:szCs w:val="16"/>
        </w:rPr>
        <w:t xml:space="preserve"> Report o</w:t>
      </w:r>
      <w:r w:rsidRPr="00D66A91">
        <w:rPr>
          <w:rFonts w:ascii="Calibri" w:eastAsia="Calibri" w:hAnsi="Calibri" w:cs="Calibri"/>
          <w:i/>
          <w:color w:val="000000"/>
          <w:sz w:val="16"/>
          <w:szCs w:val="16"/>
        </w:rPr>
        <w:t xml:space="preserve">n </w:t>
      </w:r>
      <w:r w:rsidR="007E300D" w:rsidRPr="00D66A91">
        <w:rPr>
          <w:rFonts w:ascii="Calibri" w:eastAsia="Calibri" w:hAnsi="Calibri" w:cs="Calibri"/>
          <w:i/>
          <w:color w:val="000000"/>
          <w:sz w:val="16"/>
          <w:szCs w:val="16"/>
        </w:rPr>
        <w:t xml:space="preserve">health equity for persons with disabilities, </w:t>
      </w:r>
      <w:r w:rsidRPr="00D66A91">
        <w:rPr>
          <w:rFonts w:ascii="Calibri" w:eastAsia="Calibri" w:hAnsi="Calibri" w:cs="Calibri"/>
          <w:color w:val="000000"/>
          <w:sz w:val="16"/>
          <w:szCs w:val="16"/>
        </w:rPr>
        <w:t xml:space="preserve">available at:  </w:t>
      </w:r>
      <w:r w:rsidR="007E300D" w:rsidRPr="00D66A91">
        <w:rPr>
          <w:rFonts w:ascii="Calibri" w:eastAsia="Calibri" w:hAnsi="Calibri" w:cs="Calibri"/>
          <w:color w:val="4472C4"/>
          <w:sz w:val="16"/>
          <w:szCs w:val="16"/>
        </w:rPr>
        <w:t>https://www.who.int/publications/i/item/9789240063600</w:t>
      </w:r>
    </w:p>
  </w:footnote>
  <w:footnote w:id="36">
    <w:p w14:paraId="77DF413F" w14:textId="1128DC1C" w:rsidR="007E300D" w:rsidRPr="00D66A91" w:rsidRDefault="007E300D">
      <w:pPr>
        <w:pStyle w:val="FootnoteText"/>
        <w:rPr>
          <w:sz w:val="16"/>
          <w:szCs w:val="16"/>
        </w:rPr>
      </w:pPr>
      <w:r w:rsidRPr="00D66A91">
        <w:rPr>
          <w:rStyle w:val="FootnoteReference"/>
          <w:sz w:val="16"/>
          <w:szCs w:val="16"/>
        </w:rPr>
        <w:footnoteRef/>
      </w:r>
      <w:r w:rsidRPr="00D66A91">
        <w:rPr>
          <w:sz w:val="16"/>
          <w:szCs w:val="16"/>
        </w:rPr>
        <w:t xml:space="preserve"> </w:t>
      </w:r>
      <w:r w:rsidRPr="00D66A91">
        <w:rPr>
          <w:rFonts w:ascii="Calibri" w:eastAsia="Calibri" w:hAnsi="Calibri" w:cs="Calibri"/>
          <w:color w:val="000000"/>
          <w:sz w:val="16"/>
          <w:szCs w:val="16"/>
        </w:rPr>
        <w:t xml:space="preserve">Badan Pusat </w:t>
      </w:r>
      <w:proofErr w:type="spellStart"/>
      <w:r w:rsidRPr="00D66A91">
        <w:rPr>
          <w:sz w:val="16"/>
          <w:szCs w:val="16"/>
        </w:rPr>
        <w:t>Statistik</w:t>
      </w:r>
      <w:proofErr w:type="spellEnd"/>
      <w:r w:rsidRPr="00D66A91">
        <w:rPr>
          <w:rFonts w:ascii="Calibri" w:eastAsia="Calibri" w:hAnsi="Calibri" w:cs="Calibri"/>
          <w:color w:val="000000"/>
          <w:sz w:val="16"/>
          <w:szCs w:val="16"/>
        </w:rPr>
        <w:t xml:space="preserve"> - Central Statistics Bureau, 2020.</w:t>
      </w:r>
    </w:p>
  </w:footnote>
  <w:footnote w:id="37">
    <w:p w14:paraId="3C87DB1F" w14:textId="19733186" w:rsidR="00D123C1" w:rsidRPr="00D66A91" w:rsidRDefault="00D123C1">
      <w:pPr>
        <w:pStyle w:val="FootnoteText"/>
        <w:rPr>
          <w:sz w:val="16"/>
          <w:szCs w:val="16"/>
        </w:rPr>
      </w:pPr>
      <w:r w:rsidRPr="00D66A91">
        <w:rPr>
          <w:rStyle w:val="FootnoteReference"/>
          <w:sz w:val="16"/>
          <w:szCs w:val="16"/>
        </w:rPr>
        <w:footnoteRef/>
      </w:r>
      <w:r w:rsidRPr="00D66A91">
        <w:rPr>
          <w:sz w:val="16"/>
          <w:szCs w:val="16"/>
        </w:rPr>
        <w:t xml:space="preserve"> AIHSP 2023, </w:t>
      </w:r>
      <w:r w:rsidRPr="00D66A91">
        <w:rPr>
          <w:i/>
          <w:iCs/>
          <w:sz w:val="16"/>
          <w:szCs w:val="16"/>
        </w:rPr>
        <w:t>Last-Mile COVID-19 Vaccine Delivery Project - Report of the Pilot Phase.</w:t>
      </w:r>
    </w:p>
  </w:footnote>
  <w:footnote w:id="38">
    <w:p w14:paraId="1329BF35" w14:textId="2A2B8142" w:rsidR="009E338A" w:rsidRPr="00D66A91" w:rsidRDefault="009E338A">
      <w:pPr>
        <w:pStyle w:val="FootnoteText"/>
        <w:rPr>
          <w:sz w:val="16"/>
          <w:szCs w:val="16"/>
        </w:rPr>
      </w:pPr>
      <w:r w:rsidRPr="00D66A91">
        <w:rPr>
          <w:rStyle w:val="FootnoteReference"/>
          <w:sz w:val="16"/>
          <w:szCs w:val="16"/>
        </w:rPr>
        <w:footnoteRef/>
      </w:r>
      <w:r w:rsidRPr="00D66A91">
        <w:rPr>
          <w:sz w:val="16"/>
          <w:szCs w:val="16"/>
        </w:rPr>
        <w:t xml:space="preserve"> MoH 2023, </w:t>
      </w:r>
      <w:r w:rsidRPr="00D66A91">
        <w:rPr>
          <w:i/>
          <w:iCs/>
          <w:sz w:val="16"/>
          <w:szCs w:val="16"/>
        </w:rPr>
        <w:t>Vaccination dashboard data</w:t>
      </w:r>
      <w:r w:rsidRPr="00D66A91">
        <w:rPr>
          <w:sz w:val="16"/>
          <w:szCs w:val="16"/>
        </w:rPr>
        <w:t>, March.</w:t>
      </w:r>
    </w:p>
  </w:footnote>
  <w:footnote w:id="39">
    <w:p w14:paraId="664785E5" w14:textId="65B3DB95" w:rsidR="0012059B" w:rsidRPr="0012059B" w:rsidRDefault="0012059B">
      <w:pPr>
        <w:pStyle w:val="FootnoteText"/>
        <w:rPr>
          <w:sz w:val="16"/>
          <w:szCs w:val="16"/>
        </w:rPr>
      </w:pPr>
      <w:r w:rsidRPr="0012059B">
        <w:rPr>
          <w:rStyle w:val="FootnoteReference"/>
          <w:sz w:val="16"/>
          <w:szCs w:val="16"/>
        </w:rPr>
        <w:footnoteRef/>
      </w:r>
      <w:r w:rsidRPr="0012059B">
        <w:rPr>
          <w:sz w:val="16"/>
          <w:szCs w:val="16"/>
        </w:rPr>
        <w:t xml:space="preserve"> The focus on results for the elderly is partly </w:t>
      </w:r>
      <w:proofErr w:type="gramStart"/>
      <w:r w:rsidRPr="0012059B">
        <w:rPr>
          <w:sz w:val="16"/>
          <w:szCs w:val="16"/>
        </w:rPr>
        <w:t>due to the fact that</w:t>
      </w:r>
      <w:proofErr w:type="gramEnd"/>
      <w:r w:rsidRPr="0012059B">
        <w:rPr>
          <w:sz w:val="16"/>
          <w:szCs w:val="16"/>
        </w:rPr>
        <w:t xml:space="preserve"> COVID-19 vaccination data was disaggregated for this group, but not for other at-risk groups including people with disabilities.</w:t>
      </w:r>
    </w:p>
  </w:footnote>
  <w:footnote w:id="40">
    <w:p w14:paraId="6FAB5CC7" w14:textId="69753C6D" w:rsidR="00737917" w:rsidRPr="00D66A91" w:rsidRDefault="00737917">
      <w:pPr>
        <w:pStyle w:val="FootnoteText"/>
        <w:rPr>
          <w:sz w:val="16"/>
          <w:szCs w:val="16"/>
        </w:rPr>
      </w:pPr>
      <w:r w:rsidRPr="00D66A91">
        <w:rPr>
          <w:rStyle w:val="FootnoteReference"/>
          <w:sz w:val="16"/>
          <w:szCs w:val="16"/>
        </w:rPr>
        <w:footnoteRef/>
      </w:r>
      <w:r w:rsidRPr="00D66A91">
        <w:rPr>
          <w:sz w:val="16"/>
          <w:szCs w:val="16"/>
        </w:rPr>
        <w:t xml:space="preserve"> This target was calculated from the National and Provincial COVID-19 Vaccine Dashboard.</w:t>
      </w:r>
    </w:p>
  </w:footnote>
  <w:footnote w:id="41">
    <w:p w14:paraId="4F679279" w14:textId="77777777" w:rsidR="00D727F6" w:rsidRPr="0008149B" w:rsidRDefault="00D727F6" w:rsidP="00B569AE">
      <w:pPr>
        <w:pBdr>
          <w:top w:val="nil"/>
          <w:left w:val="nil"/>
          <w:bottom w:val="nil"/>
          <w:right w:val="nil"/>
          <w:between w:val="nil"/>
        </w:pBdr>
        <w:spacing w:after="0" w:line="240" w:lineRule="auto"/>
        <w:rPr>
          <w:color w:val="4472C4" w:themeColor="accent1"/>
          <w:sz w:val="16"/>
          <w:szCs w:val="16"/>
        </w:rPr>
      </w:pPr>
      <w:r w:rsidRPr="00D66A91">
        <w:rPr>
          <w:rStyle w:val="FootnoteReference"/>
          <w:sz w:val="16"/>
          <w:szCs w:val="16"/>
        </w:rPr>
        <w:footnoteRef/>
      </w:r>
      <w:r w:rsidRPr="00D66A91">
        <w:rPr>
          <w:rFonts w:ascii="Calibri" w:eastAsia="Calibri" w:hAnsi="Calibri" w:cs="Calibri"/>
          <w:color w:val="000000"/>
          <w:sz w:val="16"/>
          <w:szCs w:val="16"/>
        </w:rPr>
        <w:t xml:space="preserve"> Australian Government Department of Foreign Affairs and Trade 2023, </w:t>
      </w:r>
      <w:r w:rsidRPr="00D66A91">
        <w:rPr>
          <w:rFonts w:ascii="Calibri" w:eastAsia="Calibri" w:hAnsi="Calibri" w:cs="Calibri"/>
          <w:i/>
          <w:color w:val="000000"/>
          <w:sz w:val="16"/>
          <w:szCs w:val="16"/>
        </w:rPr>
        <w:t xml:space="preserve">Application Guidelines for Regional Health Partnerships, </w:t>
      </w:r>
      <w:r w:rsidRPr="00D66A91">
        <w:rPr>
          <w:rFonts w:ascii="Calibri" w:eastAsia="Calibri" w:hAnsi="Calibri" w:cs="Calibri"/>
          <w:color w:val="000000"/>
          <w:sz w:val="16"/>
          <w:szCs w:val="16"/>
        </w:rPr>
        <w:t xml:space="preserve">available at: </w:t>
      </w:r>
      <w:r w:rsidRPr="0008149B">
        <w:rPr>
          <w:rFonts w:ascii="Calibri" w:eastAsia="Calibri" w:hAnsi="Calibri" w:cs="Calibri"/>
          <w:color w:val="4472C4" w:themeColor="accent1"/>
          <w:sz w:val="16"/>
          <w:szCs w:val="16"/>
        </w:rPr>
        <w:t>https://indopacifichealthsecurity.dfat.gov.au/strategic-partnerships-projects-call</w:t>
      </w:r>
    </w:p>
  </w:footnote>
  <w:footnote w:id="42">
    <w:p w14:paraId="4CBE89CA" w14:textId="2B21B5B5" w:rsidR="00D727F6" w:rsidRPr="00D66A91" w:rsidRDefault="00D727F6" w:rsidP="00B569AE">
      <w:pPr>
        <w:spacing w:after="0" w:line="240" w:lineRule="auto"/>
        <w:rPr>
          <w:sz w:val="16"/>
          <w:szCs w:val="16"/>
        </w:rPr>
      </w:pPr>
      <w:r w:rsidRPr="00D66A91">
        <w:rPr>
          <w:rStyle w:val="FootnoteReference"/>
          <w:sz w:val="16"/>
          <w:szCs w:val="16"/>
        </w:rPr>
        <w:footnoteRef/>
      </w:r>
      <w:r w:rsidRPr="00D66A91">
        <w:rPr>
          <w:sz w:val="16"/>
          <w:szCs w:val="16"/>
        </w:rPr>
        <w:t xml:space="preserve"> Tripartite, FAO-WHO-WOAH. (2019). Taking a Multisectoral, One Health Approach: A Tripartite Guide to Addressing Zoonotic Diseases in Countries.</w:t>
      </w:r>
    </w:p>
  </w:footnote>
  <w:footnote w:id="43">
    <w:p w14:paraId="19D323C5" w14:textId="77777777" w:rsidR="006B1C8E" w:rsidRPr="00D66A91" w:rsidRDefault="006B1C8E" w:rsidP="006B1C8E">
      <w:pPr>
        <w:pBdr>
          <w:top w:val="nil"/>
          <w:left w:val="nil"/>
          <w:bottom w:val="nil"/>
          <w:right w:val="nil"/>
          <w:between w:val="nil"/>
        </w:pBdr>
        <w:spacing w:after="0" w:line="240" w:lineRule="auto"/>
        <w:jc w:val="both"/>
        <w:rPr>
          <w:rFonts w:cstheme="minorHAnsi"/>
          <w:color w:val="000000"/>
          <w:sz w:val="16"/>
          <w:szCs w:val="16"/>
        </w:rPr>
      </w:pPr>
      <w:r w:rsidRPr="00D66A91">
        <w:rPr>
          <w:rStyle w:val="FootnoteReference"/>
          <w:rFonts w:cstheme="minorHAnsi"/>
          <w:sz w:val="16"/>
          <w:szCs w:val="16"/>
        </w:rPr>
        <w:footnoteRef/>
      </w:r>
      <w:r w:rsidRPr="00D66A91">
        <w:rPr>
          <w:rFonts w:eastAsia="Calibri" w:cstheme="minorHAnsi"/>
          <w:color w:val="000000"/>
          <w:sz w:val="16"/>
          <w:szCs w:val="16"/>
        </w:rPr>
        <w:t xml:space="preserve"> </w:t>
      </w:r>
      <w:r w:rsidRPr="00D66A91">
        <w:rPr>
          <w:rFonts w:eastAsia="Quattrocento Sans" w:cstheme="minorHAnsi"/>
          <w:color w:val="333333"/>
          <w:sz w:val="16"/>
          <w:szCs w:val="16"/>
        </w:rPr>
        <w:t xml:space="preserve">The issuance of </w:t>
      </w:r>
      <w:proofErr w:type="spellStart"/>
      <w:r w:rsidRPr="00D66A91">
        <w:rPr>
          <w:rFonts w:eastAsia="Quattrocento Sans" w:cstheme="minorHAnsi"/>
          <w:color w:val="333333"/>
          <w:sz w:val="16"/>
          <w:szCs w:val="16"/>
        </w:rPr>
        <w:t>Permenko</w:t>
      </w:r>
      <w:proofErr w:type="spellEnd"/>
      <w:r w:rsidRPr="00D66A91">
        <w:rPr>
          <w:rFonts w:eastAsia="Quattrocento Sans" w:cstheme="minorHAnsi"/>
          <w:color w:val="333333"/>
          <w:sz w:val="16"/>
          <w:szCs w:val="16"/>
        </w:rPr>
        <w:t xml:space="preserve"> PMK No. 7 of 2022 is the implementation of Presidential Instruction No. 4 of 2019 concerning Capacity Building in Preventing, Detecting, and Responding to Disease Outbreaks, Global Pandemics, and Nuclear, Biological, and Chemical Emergencies.</w:t>
      </w:r>
    </w:p>
  </w:footnote>
  <w:footnote w:id="44">
    <w:p w14:paraId="5F8A0328" w14:textId="6B4CC0B9" w:rsidR="001A4F70" w:rsidRDefault="001A4F70" w:rsidP="001A4F70">
      <w:pPr>
        <w:pStyle w:val="FootnoteText"/>
      </w:pPr>
      <w:r w:rsidRPr="00D66A91">
        <w:rPr>
          <w:rStyle w:val="FootnoteReference"/>
          <w:sz w:val="16"/>
          <w:szCs w:val="16"/>
        </w:rPr>
        <w:footnoteRef/>
      </w:r>
      <w:r w:rsidRPr="00D66A91">
        <w:rPr>
          <w:sz w:val="16"/>
          <w:szCs w:val="16"/>
        </w:rPr>
        <w:t xml:space="preserve"> </w:t>
      </w:r>
      <w:r w:rsidRPr="00D66A91">
        <w:rPr>
          <w:rFonts w:ascii="Calibri" w:eastAsia="Calibri" w:hAnsi="Calibri" w:cs="Calibri"/>
          <w:color w:val="000000"/>
          <w:sz w:val="16"/>
          <w:szCs w:val="16"/>
        </w:rPr>
        <w:t xml:space="preserve">The MTR examined the efficacy of the current Australian-funded modalities for health sector support in Indonesia </w:t>
      </w:r>
      <w:r w:rsidR="005B77F7">
        <w:rPr>
          <w:rFonts w:ascii="Calibri" w:eastAsia="Calibri" w:hAnsi="Calibri" w:cs="Calibri"/>
          <w:color w:val="000000"/>
          <w:sz w:val="16"/>
          <w:szCs w:val="16"/>
        </w:rPr>
        <w:t xml:space="preserve">including UNICEF and WHO </w:t>
      </w:r>
      <w:r w:rsidRPr="00D66A91">
        <w:rPr>
          <w:rFonts w:ascii="Calibri" w:eastAsia="Calibri" w:hAnsi="Calibri" w:cs="Calibri"/>
          <w:color w:val="000000"/>
          <w:sz w:val="16"/>
          <w:szCs w:val="16"/>
        </w:rPr>
        <w:t>but detailed exploration of alternative modalities for a future phase was out of scope.</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AC3"/>
    <w:multiLevelType w:val="multilevel"/>
    <w:tmpl w:val="8644773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FD922D5"/>
    <w:multiLevelType w:val="multilevel"/>
    <w:tmpl w:val="158C1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15894"/>
    <w:multiLevelType w:val="hybridMultilevel"/>
    <w:tmpl w:val="269E0426"/>
    <w:lvl w:ilvl="0" w:tplc="F75E7D5C">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91163A2"/>
    <w:multiLevelType w:val="multilevel"/>
    <w:tmpl w:val="FFD29F6A"/>
    <w:lvl w:ilvl="0">
      <w:start w:val="8"/>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165FD"/>
    <w:multiLevelType w:val="multilevel"/>
    <w:tmpl w:val="05CE1A94"/>
    <w:lvl w:ilvl="0">
      <w:start w:val="1"/>
      <w:numFmt w:val="none"/>
      <w:lvlText w:val="2.6"/>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5FB35F2"/>
    <w:multiLevelType w:val="multilevel"/>
    <w:tmpl w:val="37CA888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color w:val="2F5496" w:themeColor="accent1" w:themeShade="BF"/>
        <w:sz w:val="26"/>
        <w:szCs w:val="26"/>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28A50948"/>
    <w:multiLevelType w:val="hybridMultilevel"/>
    <w:tmpl w:val="9C446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E86EFB"/>
    <w:multiLevelType w:val="hybridMultilevel"/>
    <w:tmpl w:val="C94C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45ACD"/>
    <w:multiLevelType w:val="hybridMultilevel"/>
    <w:tmpl w:val="346C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1E3E8F"/>
    <w:multiLevelType w:val="hybridMultilevel"/>
    <w:tmpl w:val="8864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71102E"/>
    <w:multiLevelType w:val="hybridMultilevel"/>
    <w:tmpl w:val="7616C2C6"/>
    <w:lvl w:ilvl="0" w:tplc="BFD02A08">
      <w:start w:val="1"/>
      <w:numFmt w:val="decimal"/>
      <w:lvlText w:val="%1."/>
      <w:lvlJc w:val="left"/>
      <w:pPr>
        <w:ind w:left="720" w:hanging="360"/>
      </w:pPr>
      <w:rPr>
        <w:rFonts w:ascii="Calibri" w:hAnsi="Calibri" w:cs="Calibri" w:hint="default"/>
        <w:b w:val="0"/>
        <w:bCs/>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103289"/>
    <w:multiLevelType w:val="multilevel"/>
    <w:tmpl w:val="BD563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AB5B92"/>
    <w:multiLevelType w:val="multilevel"/>
    <w:tmpl w:val="7FF8B83C"/>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CDC64C6"/>
    <w:multiLevelType w:val="hybridMultilevel"/>
    <w:tmpl w:val="FB605B8E"/>
    <w:lvl w:ilvl="0" w:tplc="B8EE0FAA">
      <w:start w:val="1"/>
      <w:numFmt w:val="bullet"/>
      <w:lvlText w:val=""/>
      <w:lvlJc w:val="left"/>
      <w:pPr>
        <w:ind w:left="360" w:hanging="360"/>
      </w:pPr>
      <w:rPr>
        <w:rFonts w:ascii="Symbol" w:hAnsi="Symbol" w:hint="default"/>
        <w:color w:val="000000" w:themeColor="text1"/>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8197265"/>
    <w:multiLevelType w:val="hybridMultilevel"/>
    <w:tmpl w:val="D9C62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B055D6"/>
    <w:multiLevelType w:val="hybridMultilevel"/>
    <w:tmpl w:val="F9B65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636956"/>
    <w:multiLevelType w:val="multilevel"/>
    <w:tmpl w:val="63F6573C"/>
    <w:styleLink w:val="CurrentList1"/>
    <w:lvl w:ilvl="0">
      <w:start w:val="1"/>
      <w:numFmt w:val="decimal"/>
      <w:lvlText w:val="%1."/>
      <w:lvlJc w:val="left"/>
      <w:pPr>
        <w:ind w:left="360" w:hanging="360"/>
      </w:pPr>
      <w:rPr>
        <w:rFonts w:asciiTheme="majorHAnsi" w:hAnsiTheme="majorHAnsi" w:cstheme="majorHAnsi" w:hint="default"/>
        <w:color w:val="00206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4665C78"/>
    <w:multiLevelType w:val="hybridMultilevel"/>
    <w:tmpl w:val="DC10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D580F"/>
    <w:multiLevelType w:val="hybridMultilevel"/>
    <w:tmpl w:val="0B284368"/>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 w15:restartNumberingAfterBreak="0">
    <w:nsid w:val="6D034D1D"/>
    <w:multiLevelType w:val="multilevel"/>
    <w:tmpl w:val="08C0EEC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354F34"/>
    <w:multiLevelType w:val="hybridMultilevel"/>
    <w:tmpl w:val="32124D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3B7B98"/>
    <w:multiLevelType w:val="hybridMultilevel"/>
    <w:tmpl w:val="B282C17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756F71EF"/>
    <w:multiLevelType w:val="hybridMultilevel"/>
    <w:tmpl w:val="64941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694FF8"/>
    <w:multiLevelType w:val="hybridMultilevel"/>
    <w:tmpl w:val="464AE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BF29EE"/>
    <w:multiLevelType w:val="hybridMultilevel"/>
    <w:tmpl w:val="8C90FB68"/>
    <w:lvl w:ilvl="0" w:tplc="B8EE0FAA">
      <w:start w:val="1"/>
      <w:numFmt w:val="bullet"/>
      <w:lvlText w:val=""/>
      <w:lvlJc w:val="left"/>
      <w:pPr>
        <w:ind w:left="36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7AF44516"/>
    <w:multiLevelType w:val="hybridMultilevel"/>
    <w:tmpl w:val="1DE07256"/>
    <w:lvl w:ilvl="0" w:tplc="B8EE0FAA">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A6EA3"/>
    <w:multiLevelType w:val="hybridMultilevel"/>
    <w:tmpl w:val="6E8A0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FE5296"/>
    <w:multiLevelType w:val="hybridMultilevel"/>
    <w:tmpl w:val="22903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444C5F"/>
    <w:multiLevelType w:val="hybridMultilevel"/>
    <w:tmpl w:val="5CD00B70"/>
    <w:lvl w:ilvl="0" w:tplc="38090001">
      <w:start w:val="1"/>
      <w:numFmt w:val="bullet"/>
      <w:lvlText w:val=""/>
      <w:lvlJc w:val="left"/>
      <w:pPr>
        <w:ind w:left="153" w:hanging="360"/>
      </w:pPr>
      <w:rPr>
        <w:rFonts w:ascii="Symbol" w:hAnsi="Symbol" w:hint="default"/>
      </w:rPr>
    </w:lvl>
    <w:lvl w:ilvl="1" w:tplc="38090003" w:tentative="1">
      <w:start w:val="1"/>
      <w:numFmt w:val="bullet"/>
      <w:lvlText w:val="o"/>
      <w:lvlJc w:val="left"/>
      <w:pPr>
        <w:ind w:left="873" w:hanging="360"/>
      </w:pPr>
      <w:rPr>
        <w:rFonts w:ascii="Courier New" w:hAnsi="Courier New" w:cs="Courier New" w:hint="default"/>
      </w:rPr>
    </w:lvl>
    <w:lvl w:ilvl="2" w:tplc="38090005" w:tentative="1">
      <w:start w:val="1"/>
      <w:numFmt w:val="bullet"/>
      <w:lvlText w:val=""/>
      <w:lvlJc w:val="left"/>
      <w:pPr>
        <w:ind w:left="1593" w:hanging="360"/>
      </w:pPr>
      <w:rPr>
        <w:rFonts w:ascii="Wingdings" w:hAnsi="Wingdings" w:hint="default"/>
      </w:rPr>
    </w:lvl>
    <w:lvl w:ilvl="3" w:tplc="38090001" w:tentative="1">
      <w:start w:val="1"/>
      <w:numFmt w:val="bullet"/>
      <w:lvlText w:val=""/>
      <w:lvlJc w:val="left"/>
      <w:pPr>
        <w:ind w:left="2313" w:hanging="360"/>
      </w:pPr>
      <w:rPr>
        <w:rFonts w:ascii="Symbol" w:hAnsi="Symbol" w:hint="default"/>
      </w:rPr>
    </w:lvl>
    <w:lvl w:ilvl="4" w:tplc="38090003" w:tentative="1">
      <w:start w:val="1"/>
      <w:numFmt w:val="bullet"/>
      <w:lvlText w:val="o"/>
      <w:lvlJc w:val="left"/>
      <w:pPr>
        <w:ind w:left="3033" w:hanging="360"/>
      </w:pPr>
      <w:rPr>
        <w:rFonts w:ascii="Courier New" w:hAnsi="Courier New" w:cs="Courier New" w:hint="default"/>
      </w:rPr>
    </w:lvl>
    <w:lvl w:ilvl="5" w:tplc="38090005" w:tentative="1">
      <w:start w:val="1"/>
      <w:numFmt w:val="bullet"/>
      <w:lvlText w:val=""/>
      <w:lvlJc w:val="left"/>
      <w:pPr>
        <w:ind w:left="3753" w:hanging="360"/>
      </w:pPr>
      <w:rPr>
        <w:rFonts w:ascii="Wingdings" w:hAnsi="Wingdings" w:hint="default"/>
      </w:rPr>
    </w:lvl>
    <w:lvl w:ilvl="6" w:tplc="38090001" w:tentative="1">
      <w:start w:val="1"/>
      <w:numFmt w:val="bullet"/>
      <w:lvlText w:val=""/>
      <w:lvlJc w:val="left"/>
      <w:pPr>
        <w:ind w:left="4473" w:hanging="360"/>
      </w:pPr>
      <w:rPr>
        <w:rFonts w:ascii="Symbol" w:hAnsi="Symbol" w:hint="default"/>
      </w:rPr>
    </w:lvl>
    <w:lvl w:ilvl="7" w:tplc="38090003" w:tentative="1">
      <w:start w:val="1"/>
      <w:numFmt w:val="bullet"/>
      <w:lvlText w:val="o"/>
      <w:lvlJc w:val="left"/>
      <w:pPr>
        <w:ind w:left="5193" w:hanging="360"/>
      </w:pPr>
      <w:rPr>
        <w:rFonts w:ascii="Courier New" w:hAnsi="Courier New" w:cs="Courier New" w:hint="default"/>
      </w:rPr>
    </w:lvl>
    <w:lvl w:ilvl="8" w:tplc="38090005" w:tentative="1">
      <w:start w:val="1"/>
      <w:numFmt w:val="bullet"/>
      <w:lvlText w:val=""/>
      <w:lvlJc w:val="left"/>
      <w:pPr>
        <w:ind w:left="5913" w:hanging="360"/>
      </w:pPr>
      <w:rPr>
        <w:rFonts w:ascii="Wingdings" w:hAnsi="Wingdings" w:hint="default"/>
      </w:rPr>
    </w:lvl>
  </w:abstractNum>
  <w:num w:numId="1" w16cid:durableId="1365054732">
    <w:abstractNumId w:val="12"/>
  </w:num>
  <w:num w:numId="2" w16cid:durableId="1053624415">
    <w:abstractNumId w:val="13"/>
  </w:num>
  <w:num w:numId="3" w16cid:durableId="87045653">
    <w:abstractNumId w:val="24"/>
  </w:num>
  <w:num w:numId="4" w16cid:durableId="273245064">
    <w:abstractNumId w:val="2"/>
  </w:num>
  <w:num w:numId="5" w16cid:durableId="1674448599">
    <w:abstractNumId w:val="16"/>
  </w:num>
  <w:num w:numId="6" w16cid:durableId="1901095819">
    <w:abstractNumId w:val="5"/>
  </w:num>
  <w:num w:numId="7" w16cid:durableId="284626336">
    <w:abstractNumId w:val="10"/>
  </w:num>
  <w:num w:numId="8" w16cid:durableId="958485780">
    <w:abstractNumId w:val="1"/>
  </w:num>
  <w:num w:numId="9" w16cid:durableId="859203040">
    <w:abstractNumId w:val="11"/>
  </w:num>
  <w:num w:numId="10" w16cid:durableId="533805715">
    <w:abstractNumId w:val="21"/>
  </w:num>
  <w:num w:numId="11" w16cid:durableId="1700812719">
    <w:abstractNumId w:val="0"/>
  </w:num>
  <w:num w:numId="12" w16cid:durableId="1096052400">
    <w:abstractNumId w:val="19"/>
  </w:num>
  <w:num w:numId="13" w16cid:durableId="140970867">
    <w:abstractNumId w:val="3"/>
  </w:num>
  <w:num w:numId="14" w16cid:durableId="1973093348">
    <w:abstractNumId w:val="17"/>
  </w:num>
  <w:num w:numId="15" w16cid:durableId="1836870702">
    <w:abstractNumId w:val="15"/>
  </w:num>
  <w:num w:numId="16" w16cid:durableId="46224639">
    <w:abstractNumId w:val="26"/>
  </w:num>
  <w:num w:numId="17" w16cid:durableId="1052459146">
    <w:abstractNumId w:val="9"/>
  </w:num>
  <w:num w:numId="18" w16cid:durableId="883907495">
    <w:abstractNumId w:val="14"/>
  </w:num>
  <w:num w:numId="19" w16cid:durableId="1698384354">
    <w:abstractNumId w:val="8"/>
  </w:num>
  <w:num w:numId="20" w16cid:durableId="1386182254">
    <w:abstractNumId w:val="7"/>
  </w:num>
  <w:num w:numId="21" w16cid:durableId="895318400">
    <w:abstractNumId w:val="27"/>
  </w:num>
  <w:num w:numId="22" w16cid:durableId="1323893465">
    <w:abstractNumId w:val="20"/>
  </w:num>
  <w:num w:numId="23" w16cid:durableId="13383090">
    <w:abstractNumId w:val="4"/>
  </w:num>
  <w:num w:numId="24" w16cid:durableId="227305191">
    <w:abstractNumId w:val="18"/>
  </w:num>
  <w:num w:numId="25" w16cid:durableId="407117571">
    <w:abstractNumId w:val="25"/>
  </w:num>
  <w:num w:numId="26" w16cid:durableId="853618239">
    <w:abstractNumId w:val="22"/>
  </w:num>
  <w:num w:numId="27" w16cid:durableId="2067026211">
    <w:abstractNumId w:val="28"/>
  </w:num>
  <w:num w:numId="28" w16cid:durableId="1264412839">
    <w:abstractNumId w:val="6"/>
  </w:num>
  <w:num w:numId="29" w16cid:durableId="19878087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E5"/>
    <w:rsid w:val="000003D2"/>
    <w:rsid w:val="0000142F"/>
    <w:rsid w:val="00001902"/>
    <w:rsid w:val="0000287F"/>
    <w:rsid w:val="0000498C"/>
    <w:rsid w:val="0000618A"/>
    <w:rsid w:val="00007FB2"/>
    <w:rsid w:val="00011B59"/>
    <w:rsid w:val="00012997"/>
    <w:rsid w:val="00012D27"/>
    <w:rsid w:val="0001396B"/>
    <w:rsid w:val="0001451F"/>
    <w:rsid w:val="00014609"/>
    <w:rsid w:val="000148CC"/>
    <w:rsid w:val="00014D65"/>
    <w:rsid w:val="00016A0E"/>
    <w:rsid w:val="00016AFF"/>
    <w:rsid w:val="00016C09"/>
    <w:rsid w:val="0001736F"/>
    <w:rsid w:val="000210C5"/>
    <w:rsid w:val="00021A19"/>
    <w:rsid w:val="0002277E"/>
    <w:rsid w:val="00022B73"/>
    <w:rsid w:val="00023264"/>
    <w:rsid w:val="00023A9D"/>
    <w:rsid w:val="00023FF2"/>
    <w:rsid w:val="00026C5C"/>
    <w:rsid w:val="0002707C"/>
    <w:rsid w:val="00027FEF"/>
    <w:rsid w:val="00030589"/>
    <w:rsid w:val="0003092B"/>
    <w:rsid w:val="00032B2D"/>
    <w:rsid w:val="00033927"/>
    <w:rsid w:val="00033F0A"/>
    <w:rsid w:val="00033F89"/>
    <w:rsid w:val="00034AED"/>
    <w:rsid w:val="0003555A"/>
    <w:rsid w:val="000355F3"/>
    <w:rsid w:val="00035C7F"/>
    <w:rsid w:val="00036618"/>
    <w:rsid w:val="00040989"/>
    <w:rsid w:val="00040D4D"/>
    <w:rsid w:val="000411F3"/>
    <w:rsid w:val="000420A4"/>
    <w:rsid w:val="00042766"/>
    <w:rsid w:val="00042890"/>
    <w:rsid w:val="0004345E"/>
    <w:rsid w:val="00043DEE"/>
    <w:rsid w:val="000474DF"/>
    <w:rsid w:val="00047687"/>
    <w:rsid w:val="00050932"/>
    <w:rsid w:val="00050BF5"/>
    <w:rsid w:val="000517C2"/>
    <w:rsid w:val="000535D6"/>
    <w:rsid w:val="00053F26"/>
    <w:rsid w:val="00054407"/>
    <w:rsid w:val="00054837"/>
    <w:rsid w:val="00055538"/>
    <w:rsid w:val="0005602E"/>
    <w:rsid w:val="000561A9"/>
    <w:rsid w:val="00056DC6"/>
    <w:rsid w:val="00057404"/>
    <w:rsid w:val="000578C9"/>
    <w:rsid w:val="0006008E"/>
    <w:rsid w:val="00060612"/>
    <w:rsid w:val="00061614"/>
    <w:rsid w:val="00063109"/>
    <w:rsid w:val="000639C8"/>
    <w:rsid w:val="00064ED7"/>
    <w:rsid w:val="00066182"/>
    <w:rsid w:val="00066A8B"/>
    <w:rsid w:val="00072A05"/>
    <w:rsid w:val="000740E2"/>
    <w:rsid w:val="00075593"/>
    <w:rsid w:val="00075731"/>
    <w:rsid w:val="00077245"/>
    <w:rsid w:val="00077865"/>
    <w:rsid w:val="0008029B"/>
    <w:rsid w:val="0008149B"/>
    <w:rsid w:val="00081D52"/>
    <w:rsid w:val="000852B5"/>
    <w:rsid w:val="00085EAA"/>
    <w:rsid w:val="0008635C"/>
    <w:rsid w:val="00086E40"/>
    <w:rsid w:val="00091D95"/>
    <w:rsid w:val="00092215"/>
    <w:rsid w:val="00094D66"/>
    <w:rsid w:val="000962E2"/>
    <w:rsid w:val="00097EF9"/>
    <w:rsid w:val="000A0AB5"/>
    <w:rsid w:val="000A4592"/>
    <w:rsid w:val="000A4F78"/>
    <w:rsid w:val="000A6A2A"/>
    <w:rsid w:val="000A7A18"/>
    <w:rsid w:val="000B0BE5"/>
    <w:rsid w:val="000B12F0"/>
    <w:rsid w:val="000B22A5"/>
    <w:rsid w:val="000B3960"/>
    <w:rsid w:val="000B71D2"/>
    <w:rsid w:val="000B7414"/>
    <w:rsid w:val="000B7C7D"/>
    <w:rsid w:val="000C07E4"/>
    <w:rsid w:val="000C1CFB"/>
    <w:rsid w:val="000C3CA7"/>
    <w:rsid w:val="000C5435"/>
    <w:rsid w:val="000C54F4"/>
    <w:rsid w:val="000C55B6"/>
    <w:rsid w:val="000C56CB"/>
    <w:rsid w:val="000C5CC4"/>
    <w:rsid w:val="000C650E"/>
    <w:rsid w:val="000D0245"/>
    <w:rsid w:val="000D06CB"/>
    <w:rsid w:val="000D1531"/>
    <w:rsid w:val="000D24D1"/>
    <w:rsid w:val="000D35B6"/>
    <w:rsid w:val="000D4929"/>
    <w:rsid w:val="000D511D"/>
    <w:rsid w:val="000D6A33"/>
    <w:rsid w:val="000D6A52"/>
    <w:rsid w:val="000D7C24"/>
    <w:rsid w:val="000E2E7C"/>
    <w:rsid w:val="000E3E1F"/>
    <w:rsid w:val="000E6365"/>
    <w:rsid w:val="000E7D40"/>
    <w:rsid w:val="000F0643"/>
    <w:rsid w:val="000F1C4F"/>
    <w:rsid w:val="000F293D"/>
    <w:rsid w:val="000F2C09"/>
    <w:rsid w:val="000F432F"/>
    <w:rsid w:val="000F4AAC"/>
    <w:rsid w:val="000F6553"/>
    <w:rsid w:val="001015EA"/>
    <w:rsid w:val="001043F1"/>
    <w:rsid w:val="0010442F"/>
    <w:rsid w:val="00105478"/>
    <w:rsid w:val="00106A35"/>
    <w:rsid w:val="001106C9"/>
    <w:rsid w:val="00110967"/>
    <w:rsid w:val="00110AAE"/>
    <w:rsid w:val="00111538"/>
    <w:rsid w:val="00113483"/>
    <w:rsid w:val="00113E50"/>
    <w:rsid w:val="00117C6A"/>
    <w:rsid w:val="0012059B"/>
    <w:rsid w:val="00122600"/>
    <w:rsid w:val="001238DD"/>
    <w:rsid w:val="00125735"/>
    <w:rsid w:val="001262AC"/>
    <w:rsid w:val="001264E0"/>
    <w:rsid w:val="00127CCF"/>
    <w:rsid w:val="001319B7"/>
    <w:rsid w:val="00131C02"/>
    <w:rsid w:val="00131C30"/>
    <w:rsid w:val="00133F44"/>
    <w:rsid w:val="00134EF4"/>
    <w:rsid w:val="001356AB"/>
    <w:rsid w:val="001371AF"/>
    <w:rsid w:val="001414D8"/>
    <w:rsid w:val="00141D01"/>
    <w:rsid w:val="00142553"/>
    <w:rsid w:val="00144C17"/>
    <w:rsid w:val="0014546A"/>
    <w:rsid w:val="00146BA9"/>
    <w:rsid w:val="00147A52"/>
    <w:rsid w:val="00147B3F"/>
    <w:rsid w:val="00150A5D"/>
    <w:rsid w:val="001532B1"/>
    <w:rsid w:val="00157008"/>
    <w:rsid w:val="00157789"/>
    <w:rsid w:val="0016012A"/>
    <w:rsid w:val="00160C8A"/>
    <w:rsid w:val="00162E74"/>
    <w:rsid w:val="001636AD"/>
    <w:rsid w:val="001638A9"/>
    <w:rsid w:val="00164340"/>
    <w:rsid w:val="00164C84"/>
    <w:rsid w:val="0016512D"/>
    <w:rsid w:val="0016530D"/>
    <w:rsid w:val="001654D8"/>
    <w:rsid w:val="00165E8E"/>
    <w:rsid w:val="001661C3"/>
    <w:rsid w:val="0016676B"/>
    <w:rsid w:val="00166F2D"/>
    <w:rsid w:val="00167B0D"/>
    <w:rsid w:val="0017004B"/>
    <w:rsid w:val="00173591"/>
    <w:rsid w:val="00173D93"/>
    <w:rsid w:val="00174BB5"/>
    <w:rsid w:val="00182AEB"/>
    <w:rsid w:val="0018622E"/>
    <w:rsid w:val="00186E63"/>
    <w:rsid w:val="00187528"/>
    <w:rsid w:val="00192DAA"/>
    <w:rsid w:val="001932C7"/>
    <w:rsid w:val="001933C2"/>
    <w:rsid w:val="0019472B"/>
    <w:rsid w:val="00194764"/>
    <w:rsid w:val="00194906"/>
    <w:rsid w:val="00196C2D"/>
    <w:rsid w:val="001A028A"/>
    <w:rsid w:val="001A0331"/>
    <w:rsid w:val="001A28A2"/>
    <w:rsid w:val="001A366C"/>
    <w:rsid w:val="001A3A75"/>
    <w:rsid w:val="001A3DC9"/>
    <w:rsid w:val="001A4B84"/>
    <w:rsid w:val="001A4F70"/>
    <w:rsid w:val="001A52A7"/>
    <w:rsid w:val="001A64EC"/>
    <w:rsid w:val="001A68E3"/>
    <w:rsid w:val="001B2B99"/>
    <w:rsid w:val="001B3EDB"/>
    <w:rsid w:val="001B419E"/>
    <w:rsid w:val="001BCDB5"/>
    <w:rsid w:val="001C01BA"/>
    <w:rsid w:val="001C19B4"/>
    <w:rsid w:val="001C2B73"/>
    <w:rsid w:val="001C5293"/>
    <w:rsid w:val="001C56B6"/>
    <w:rsid w:val="001C5FC6"/>
    <w:rsid w:val="001C62EE"/>
    <w:rsid w:val="001C6DBA"/>
    <w:rsid w:val="001D0A43"/>
    <w:rsid w:val="001D20A3"/>
    <w:rsid w:val="001D2201"/>
    <w:rsid w:val="001D241A"/>
    <w:rsid w:val="001D3D1E"/>
    <w:rsid w:val="001D4208"/>
    <w:rsid w:val="001D4899"/>
    <w:rsid w:val="001D74EF"/>
    <w:rsid w:val="001D76AF"/>
    <w:rsid w:val="001E1E18"/>
    <w:rsid w:val="001E4536"/>
    <w:rsid w:val="001E4A19"/>
    <w:rsid w:val="001E6C49"/>
    <w:rsid w:val="001E7471"/>
    <w:rsid w:val="001E782C"/>
    <w:rsid w:val="001E78F8"/>
    <w:rsid w:val="001E7F4D"/>
    <w:rsid w:val="001F0A6F"/>
    <w:rsid w:val="001F2611"/>
    <w:rsid w:val="001F2932"/>
    <w:rsid w:val="001F3400"/>
    <w:rsid w:val="001F3F85"/>
    <w:rsid w:val="001F5B0B"/>
    <w:rsid w:val="00201576"/>
    <w:rsid w:val="00201A1E"/>
    <w:rsid w:val="00201ABD"/>
    <w:rsid w:val="00201C09"/>
    <w:rsid w:val="00204A98"/>
    <w:rsid w:val="00205F88"/>
    <w:rsid w:val="00206F93"/>
    <w:rsid w:val="00207683"/>
    <w:rsid w:val="00210C24"/>
    <w:rsid w:val="00210C52"/>
    <w:rsid w:val="002126A0"/>
    <w:rsid w:val="00212923"/>
    <w:rsid w:val="00213193"/>
    <w:rsid w:val="00213750"/>
    <w:rsid w:val="002137E2"/>
    <w:rsid w:val="00213FBB"/>
    <w:rsid w:val="0021415F"/>
    <w:rsid w:val="00214D6B"/>
    <w:rsid w:val="00215D7F"/>
    <w:rsid w:val="002160F9"/>
    <w:rsid w:val="00221609"/>
    <w:rsid w:val="002217F5"/>
    <w:rsid w:val="00223A5C"/>
    <w:rsid w:val="00225812"/>
    <w:rsid w:val="0022668A"/>
    <w:rsid w:val="00226FD5"/>
    <w:rsid w:val="002314B0"/>
    <w:rsid w:val="00231C2A"/>
    <w:rsid w:val="00234438"/>
    <w:rsid w:val="002351EA"/>
    <w:rsid w:val="00236077"/>
    <w:rsid w:val="00237EA4"/>
    <w:rsid w:val="00240B95"/>
    <w:rsid w:val="002432AC"/>
    <w:rsid w:val="002452AB"/>
    <w:rsid w:val="00246AB2"/>
    <w:rsid w:val="00246C79"/>
    <w:rsid w:val="002505BC"/>
    <w:rsid w:val="002508FC"/>
    <w:rsid w:val="0025122B"/>
    <w:rsid w:val="00252C83"/>
    <w:rsid w:val="00254B6D"/>
    <w:rsid w:val="00254CCB"/>
    <w:rsid w:val="00255C3D"/>
    <w:rsid w:val="0025626F"/>
    <w:rsid w:val="00261B56"/>
    <w:rsid w:val="00262802"/>
    <w:rsid w:val="00262DCA"/>
    <w:rsid w:val="00262DF8"/>
    <w:rsid w:val="00262F6B"/>
    <w:rsid w:val="002648F1"/>
    <w:rsid w:val="0026513F"/>
    <w:rsid w:val="00265817"/>
    <w:rsid w:val="00265885"/>
    <w:rsid w:val="002659D3"/>
    <w:rsid w:val="00265E07"/>
    <w:rsid w:val="0026720C"/>
    <w:rsid w:val="00267A78"/>
    <w:rsid w:val="00271A40"/>
    <w:rsid w:val="00271F20"/>
    <w:rsid w:val="00272738"/>
    <w:rsid w:val="0027308F"/>
    <w:rsid w:val="0027501D"/>
    <w:rsid w:val="00275552"/>
    <w:rsid w:val="0027674B"/>
    <w:rsid w:val="00277DCB"/>
    <w:rsid w:val="00280379"/>
    <w:rsid w:val="00283538"/>
    <w:rsid w:val="002849EE"/>
    <w:rsid w:val="00290338"/>
    <w:rsid w:val="00290569"/>
    <w:rsid w:val="002927A2"/>
    <w:rsid w:val="002928CC"/>
    <w:rsid w:val="00292E09"/>
    <w:rsid w:val="00293010"/>
    <w:rsid w:val="00293EFC"/>
    <w:rsid w:val="00294AB3"/>
    <w:rsid w:val="00296D40"/>
    <w:rsid w:val="00297AEE"/>
    <w:rsid w:val="002A231F"/>
    <w:rsid w:val="002A240A"/>
    <w:rsid w:val="002A305D"/>
    <w:rsid w:val="002A401D"/>
    <w:rsid w:val="002A76A7"/>
    <w:rsid w:val="002B0162"/>
    <w:rsid w:val="002B0BEB"/>
    <w:rsid w:val="002B5910"/>
    <w:rsid w:val="002B7221"/>
    <w:rsid w:val="002B7517"/>
    <w:rsid w:val="002B768D"/>
    <w:rsid w:val="002B7F1B"/>
    <w:rsid w:val="002C1936"/>
    <w:rsid w:val="002C1A2C"/>
    <w:rsid w:val="002C27FD"/>
    <w:rsid w:val="002C2891"/>
    <w:rsid w:val="002C297B"/>
    <w:rsid w:val="002C2EA9"/>
    <w:rsid w:val="002C4E2C"/>
    <w:rsid w:val="002C5218"/>
    <w:rsid w:val="002C5E56"/>
    <w:rsid w:val="002C62CE"/>
    <w:rsid w:val="002C649D"/>
    <w:rsid w:val="002C64EC"/>
    <w:rsid w:val="002D0DCA"/>
    <w:rsid w:val="002D0EE1"/>
    <w:rsid w:val="002D198F"/>
    <w:rsid w:val="002D1FF0"/>
    <w:rsid w:val="002D2708"/>
    <w:rsid w:val="002D309D"/>
    <w:rsid w:val="002D4206"/>
    <w:rsid w:val="002D6BE0"/>
    <w:rsid w:val="002E11F2"/>
    <w:rsid w:val="002E1DB0"/>
    <w:rsid w:val="002E22F6"/>
    <w:rsid w:val="002F188E"/>
    <w:rsid w:val="002F1B87"/>
    <w:rsid w:val="002F24CA"/>
    <w:rsid w:val="002F2CA5"/>
    <w:rsid w:val="002F3446"/>
    <w:rsid w:val="002F3484"/>
    <w:rsid w:val="002F4C1E"/>
    <w:rsid w:val="002F51AF"/>
    <w:rsid w:val="002F618A"/>
    <w:rsid w:val="002F67AF"/>
    <w:rsid w:val="002F67BC"/>
    <w:rsid w:val="0030091D"/>
    <w:rsid w:val="003028EF"/>
    <w:rsid w:val="0030310B"/>
    <w:rsid w:val="00304586"/>
    <w:rsid w:val="003060FC"/>
    <w:rsid w:val="0030706B"/>
    <w:rsid w:val="00307E62"/>
    <w:rsid w:val="00310736"/>
    <w:rsid w:val="00310FF1"/>
    <w:rsid w:val="003111AF"/>
    <w:rsid w:val="00311A52"/>
    <w:rsid w:val="0031499A"/>
    <w:rsid w:val="003166C3"/>
    <w:rsid w:val="00317BFC"/>
    <w:rsid w:val="00320C93"/>
    <w:rsid w:val="00321192"/>
    <w:rsid w:val="00321236"/>
    <w:rsid w:val="00321AF6"/>
    <w:rsid w:val="00321D5A"/>
    <w:rsid w:val="0032280C"/>
    <w:rsid w:val="00322C78"/>
    <w:rsid w:val="0032415B"/>
    <w:rsid w:val="00325D3D"/>
    <w:rsid w:val="00326B8E"/>
    <w:rsid w:val="00327F0E"/>
    <w:rsid w:val="00331BD1"/>
    <w:rsid w:val="00332024"/>
    <w:rsid w:val="003326F5"/>
    <w:rsid w:val="00332BE3"/>
    <w:rsid w:val="003335B4"/>
    <w:rsid w:val="0033388A"/>
    <w:rsid w:val="00334808"/>
    <w:rsid w:val="0033495F"/>
    <w:rsid w:val="00336D66"/>
    <w:rsid w:val="00341A74"/>
    <w:rsid w:val="00341F17"/>
    <w:rsid w:val="00342B5A"/>
    <w:rsid w:val="00342F84"/>
    <w:rsid w:val="003472C8"/>
    <w:rsid w:val="003512D2"/>
    <w:rsid w:val="00351535"/>
    <w:rsid w:val="003516FA"/>
    <w:rsid w:val="00353D30"/>
    <w:rsid w:val="00354375"/>
    <w:rsid w:val="00354E85"/>
    <w:rsid w:val="003553AD"/>
    <w:rsid w:val="0035614D"/>
    <w:rsid w:val="003565AB"/>
    <w:rsid w:val="00357061"/>
    <w:rsid w:val="0036145D"/>
    <w:rsid w:val="00363B76"/>
    <w:rsid w:val="00363BBD"/>
    <w:rsid w:val="00363D43"/>
    <w:rsid w:val="00364995"/>
    <w:rsid w:val="0036512A"/>
    <w:rsid w:val="0036693A"/>
    <w:rsid w:val="00367B1D"/>
    <w:rsid w:val="00367D3D"/>
    <w:rsid w:val="003739FA"/>
    <w:rsid w:val="00373EAE"/>
    <w:rsid w:val="003763BE"/>
    <w:rsid w:val="003765D0"/>
    <w:rsid w:val="0037742F"/>
    <w:rsid w:val="0037793B"/>
    <w:rsid w:val="00381354"/>
    <w:rsid w:val="00381710"/>
    <w:rsid w:val="00381FA6"/>
    <w:rsid w:val="0038273E"/>
    <w:rsid w:val="0038549E"/>
    <w:rsid w:val="00385FD4"/>
    <w:rsid w:val="003905B7"/>
    <w:rsid w:val="00390D04"/>
    <w:rsid w:val="0039102F"/>
    <w:rsid w:val="0039137E"/>
    <w:rsid w:val="003913E8"/>
    <w:rsid w:val="00392501"/>
    <w:rsid w:val="0039375F"/>
    <w:rsid w:val="00395437"/>
    <w:rsid w:val="0039571C"/>
    <w:rsid w:val="00395C0F"/>
    <w:rsid w:val="00397B44"/>
    <w:rsid w:val="003A0190"/>
    <w:rsid w:val="003A01FE"/>
    <w:rsid w:val="003A2FC8"/>
    <w:rsid w:val="003A4CEF"/>
    <w:rsid w:val="003A5EBC"/>
    <w:rsid w:val="003A63C4"/>
    <w:rsid w:val="003A7C03"/>
    <w:rsid w:val="003B0229"/>
    <w:rsid w:val="003B1AD6"/>
    <w:rsid w:val="003B273F"/>
    <w:rsid w:val="003B2849"/>
    <w:rsid w:val="003B2B14"/>
    <w:rsid w:val="003B2F7E"/>
    <w:rsid w:val="003B5541"/>
    <w:rsid w:val="003B639D"/>
    <w:rsid w:val="003B7581"/>
    <w:rsid w:val="003C0886"/>
    <w:rsid w:val="003C0A56"/>
    <w:rsid w:val="003C1B1D"/>
    <w:rsid w:val="003C2582"/>
    <w:rsid w:val="003C41B1"/>
    <w:rsid w:val="003C5D14"/>
    <w:rsid w:val="003D0456"/>
    <w:rsid w:val="003D04FA"/>
    <w:rsid w:val="003D0DCF"/>
    <w:rsid w:val="003D1438"/>
    <w:rsid w:val="003D43AD"/>
    <w:rsid w:val="003D48EC"/>
    <w:rsid w:val="003D6065"/>
    <w:rsid w:val="003D748E"/>
    <w:rsid w:val="003E2FF0"/>
    <w:rsid w:val="003E4242"/>
    <w:rsid w:val="003E6BFE"/>
    <w:rsid w:val="003E6F13"/>
    <w:rsid w:val="003E7BEF"/>
    <w:rsid w:val="003F0481"/>
    <w:rsid w:val="003F09EF"/>
    <w:rsid w:val="003F0D5C"/>
    <w:rsid w:val="003F1493"/>
    <w:rsid w:val="003F323B"/>
    <w:rsid w:val="003F3BA9"/>
    <w:rsid w:val="003F425B"/>
    <w:rsid w:val="003F5600"/>
    <w:rsid w:val="003F663E"/>
    <w:rsid w:val="003F7404"/>
    <w:rsid w:val="00400278"/>
    <w:rsid w:val="004008A3"/>
    <w:rsid w:val="00401738"/>
    <w:rsid w:val="004020C5"/>
    <w:rsid w:val="00403548"/>
    <w:rsid w:val="004041CC"/>
    <w:rsid w:val="004052DA"/>
    <w:rsid w:val="00405B5A"/>
    <w:rsid w:val="00406B87"/>
    <w:rsid w:val="00406D31"/>
    <w:rsid w:val="00410EC4"/>
    <w:rsid w:val="004111FF"/>
    <w:rsid w:val="00411B7B"/>
    <w:rsid w:val="00411F1A"/>
    <w:rsid w:val="0041767F"/>
    <w:rsid w:val="00417940"/>
    <w:rsid w:val="00417F6D"/>
    <w:rsid w:val="00423892"/>
    <w:rsid w:val="004249C4"/>
    <w:rsid w:val="00425817"/>
    <w:rsid w:val="0043108F"/>
    <w:rsid w:val="00431FB5"/>
    <w:rsid w:val="00435E3D"/>
    <w:rsid w:val="004368B4"/>
    <w:rsid w:val="0043758B"/>
    <w:rsid w:val="00441D2B"/>
    <w:rsid w:val="00441E8C"/>
    <w:rsid w:val="004424E7"/>
    <w:rsid w:val="004427D5"/>
    <w:rsid w:val="004433BE"/>
    <w:rsid w:val="00443B1A"/>
    <w:rsid w:val="0044422B"/>
    <w:rsid w:val="00444EBB"/>
    <w:rsid w:val="00446B47"/>
    <w:rsid w:val="00446D2C"/>
    <w:rsid w:val="00447824"/>
    <w:rsid w:val="00450935"/>
    <w:rsid w:val="004513F3"/>
    <w:rsid w:val="004525CB"/>
    <w:rsid w:val="00452C41"/>
    <w:rsid w:val="004545A7"/>
    <w:rsid w:val="0045521A"/>
    <w:rsid w:val="004561F4"/>
    <w:rsid w:val="004573CE"/>
    <w:rsid w:val="004577D6"/>
    <w:rsid w:val="00457A45"/>
    <w:rsid w:val="00460AAE"/>
    <w:rsid w:val="00460D76"/>
    <w:rsid w:val="0046238E"/>
    <w:rsid w:val="00463CCD"/>
    <w:rsid w:val="0046428B"/>
    <w:rsid w:val="00464DC9"/>
    <w:rsid w:val="0046644D"/>
    <w:rsid w:val="004718DE"/>
    <w:rsid w:val="004735DF"/>
    <w:rsid w:val="00476B3D"/>
    <w:rsid w:val="004837B9"/>
    <w:rsid w:val="00484861"/>
    <w:rsid w:val="00485044"/>
    <w:rsid w:val="00487937"/>
    <w:rsid w:val="0049159E"/>
    <w:rsid w:val="00492E15"/>
    <w:rsid w:val="0049401D"/>
    <w:rsid w:val="00494CBC"/>
    <w:rsid w:val="00495092"/>
    <w:rsid w:val="00495E24"/>
    <w:rsid w:val="00496F3F"/>
    <w:rsid w:val="004A1AB4"/>
    <w:rsid w:val="004A1FAF"/>
    <w:rsid w:val="004A202F"/>
    <w:rsid w:val="004A2440"/>
    <w:rsid w:val="004A27AA"/>
    <w:rsid w:val="004A28F4"/>
    <w:rsid w:val="004A296A"/>
    <w:rsid w:val="004A2AF8"/>
    <w:rsid w:val="004A35DD"/>
    <w:rsid w:val="004A3771"/>
    <w:rsid w:val="004A4C51"/>
    <w:rsid w:val="004B0720"/>
    <w:rsid w:val="004B0777"/>
    <w:rsid w:val="004B0F28"/>
    <w:rsid w:val="004B2B46"/>
    <w:rsid w:val="004B6D6F"/>
    <w:rsid w:val="004B716E"/>
    <w:rsid w:val="004C0121"/>
    <w:rsid w:val="004C0BCF"/>
    <w:rsid w:val="004C160C"/>
    <w:rsid w:val="004C2075"/>
    <w:rsid w:val="004C58F6"/>
    <w:rsid w:val="004C68EF"/>
    <w:rsid w:val="004C7D92"/>
    <w:rsid w:val="004D074A"/>
    <w:rsid w:val="004D127C"/>
    <w:rsid w:val="004D2936"/>
    <w:rsid w:val="004D310D"/>
    <w:rsid w:val="004D3B54"/>
    <w:rsid w:val="004D4589"/>
    <w:rsid w:val="004D4DD7"/>
    <w:rsid w:val="004D4E5A"/>
    <w:rsid w:val="004D522E"/>
    <w:rsid w:val="004E08E5"/>
    <w:rsid w:val="004E40B9"/>
    <w:rsid w:val="004E49C1"/>
    <w:rsid w:val="004E5D36"/>
    <w:rsid w:val="004E7865"/>
    <w:rsid w:val="004E7CAB"/>
    <w:rsid w:val="004F0092"/>
    <w:rsid w:val="004F0318"/>
    <w:rsid w:val="004F174D"/>
    <w:rsid w:val="004F2A39"/>
    <w:rsid w:val="004F2D40"/>
    <w:rsid w:val="004F3A44"/>
    <w:rsid w:val="004F5933"/>
    <w:rsid w:val="004F5CE1"/>
    <w:rsid w:val="004F743C"/>
    <w:rsid w:val="00500D7E"/>
    <w:rsid w:val="0050488B"/>
    <w:rsid w:val="005049E0"/>
    <w:rsid w:val="00506949"/>
    <w:rsid w:val="00507383"/>
    <w:rsid w:val="00511284"/>
    <w:rsid w:val="00512F38"/>
    <w:rsid w:val="00514204"/>
    <w:rsid w:val="005143D5"/>
    <w:rsid w:val="00516EC6"/>
    <w:rsid w:val="005202FC"/>
    <w:rsid w:val="00520C55"/>
    <w:rsid w:val="00521A18"/>
    <w:rsid w:val="00522450"/>
    <w:rsid w:val="00522C06"/>
    <w:rsid w:val="005252CF"/>
    <w:rsid w:val="005271DC"/>
    <w:rsid w:val="00527854"/>
    <w:rsid w:val="00527B2A"/>
    <w:rsid w:val="005309ED"/>
    <w:rsid w:val="00530A0F"/>
    <w:rsid w:val="00536C2E"/>
    <w:rsid w:val="0054030F"/>
    <w:rsid w:val="0054169B"/>
    <w:rsid w:val="00542685"/>
    <w:rsid w:val="005427E3"/>
    <w:rsid w:val="00542B39"/>
    <w:rsid w:val="005473AF"/>
    <w:rsid w:val="00547A1B"/>
    <w:rsid w:val="00547C22"/>
    <w:rsid w:val="00550A70"/>
    <w:rsid w:val="005516D9"/>
    <w:rsid w:val="0055385E"/>
    <w:rsid w:val="005542DB"/>
    <w:rsid w:val="00554DF8"/>
    <w:rsid w:val="00555F8C"/>
    <w:rsid w:val="005608C9"/>
    <w:rsid w:val="00566FC9"/>
    <w:rsid w:val="005670D1"/>
    <w:rsid w:val="005707D7"/>
    <w:rsid w:val="00571094"/>
    <w:rsid w:val="00571790"/>
    <w:rsid w:val="00571935"/>
    <w:rsid w:val="00571F3C"/>
    <w:rsid w:val="00573DD6"/>
    <w:rsid w:val="00574403"/>
    <w:rsid w:val="005767C2"/>
    <w:rsid w:val="0057732B"/>
    <w:rsid w:val="0058302D"/>
    <w:rsid w:val="005843EB"/>
    <w:rsid w:val="00585B66"/>
    <w:rsid w:val="005864C3"/>
    <w:rsid w:val="00586C1C"/>
    <w:rsid w:val="0058797A"/>
    <w:rsid w:val="0059208B"/>
    <w:rsid w:val="00592E3E"/>
    <w:rsid w:val="0059619C"/>
    <w:rsid w:val="00596B9B"/>
    <w:rsid w:val="005978A2"/>
    <w:rsid w:val="005978F0"/>
    <w:rsid w:val="005A0552"/>
    <w:rsid w:val="005A0A2B"/>
    <w:rsid w:val="005A12C1"/>
    <w:rsid w:val="005A30D2"/>
    <w:rsid w:val="005A72E5"/>
    <w:rsid w:val="005A7943"/>
    <w:rsid w:val="005B14F4"/>
    <w:rsid w:val="005B1905"/>
    <w:rsid w:val="005B2538"/>
    <w:rsid w:val="005B293D"/>
    <w:rsid w:val="005B6D69"/>
    <w:rsid w:val="005B7150"/>
    <w:rsid w:val="005B7659"/>
    <w:rsid w:val="005B76CD"/>
    <w:rsid w:val="005B77F7"/>
    <w:rsid w:val="005C1852"/>
    <w:rsid w:val="005C209A"/>
    <w:rsid w:val="005C33D6"/>
    <w:rsid w:val="005C3604"/>
    <w:rsid w:val="005C3A03"/>
    <w:rsid w:val="005C417F"/>
    <w:rsid w:val="005C4F1D"/>
    <w:rsid w:val="005C520C"/>
    <w:rsid w:val="005C53F5"/>
    <w:rsid w:val="005C6E7C"/>
    <w:rsid w:val="005C7620"/>
    <w:rsid w:val="005C7796"/>
    <w:rsid w:val="005C77F2"/>
    <w:rsid w:val="005C7C06"/>
    <w:rsid w:val="005D0115"/>
    <w:rsid w:val="005D2029"/>
    <w:rsid w:val="005D350B"/>
    <w:rsid w:val="005D3D8C"/>
    <w:rsid w:val="005D46A9"/>
    <w:rsid w:val="005D53C5"/>
    <w:rsid w:val="005D6172"/>
    <w:rsid w:val="005D623B"/>
    <w:rsid w:val="005E3E6A"/>
    <w:rsid w:val="005E4203"/>
    <w:rsid w:val="005E44A7"/>
    <w:rsid w:val="005E49F0"/>
    <w:rsid w:val="005E4AF6"/>
    <w:rsid w:val="005E52C9"/>
    <w:rsid w:val="005E6AE6"/>
    <w:rsid w:val="005E6FAB"/>
    <w:rsid w:val="005E787B"/>
    <w:rsid w:val="005F08CD"/>
    <w:rsid w:val="005F0EFF"/>
    <w:rsid w:val="005F31DF"/>
    <w:rsid w:val="005F3286"/>
    <w:rsid w:val="005F5197"/>
    <w:rsid w:val="005F6C69"/>
    <w:rsid w:val="005F6E29"/>
    <w:rsid w:val="005F6EA1"/>
    <w:rsid w:val="0060008D"/>
    <w:rsid w:val="00600360"/>
    <w:rsid w:val="00602466"/>
    <w:rsid w:val="006031EB"/>
    <w:rsid w:val="0060418F"/>
    <w:rsid w:val="00607886"/>
    <w:rsid w:val="00607F51"/>
    <w:rsid w:val="00610B08"/>
    <w:rsid w:val="0061188E"/>
    <w:rsid w:val="006141D6"/>
    <w:rsid w:val="00614966"/>
    <w:rsid w:val="00621C46"/>
    <w:rsid w:val="0062459F"/>
    <w:rsid w:val="006246E2"/>
    <w:rsid w:val="00624DD9"/>
    <w:rsid w:val="00624E60"/>
    <w:rsid w:val="00631F32"/>
    <w:rsid w:val="0063248B"/>
    <w:rsid w:val="00633CC2"/>
    <w:rsid w:val="00634ECF"/>
    <w:rsid w:val="00635A47"/>
    <w:rsid w:val="00635AA0"/>
    <w:rsid w:val="00635BC3"/>
    <w:rsid w:val="00636C48"/>
    <w:rsid w:val="006407CE"/>
    <w:rsid w:val="00640A1D"/>
    <w:rsid w:val="00642038"/>
    <w:rsid w:val="0064249B"/>
    <w:rsid w:val="0064313D"/>
    <w:rsid w:val="006432A3"/>
    <w:rsid w:val="00643454"/>
    <w:rsid w:val="0064437C"/>
    <w:rsid w:val="00644453"/>
    <w:rsid w:val="00644A4B"/>
    <w:rsid w:val="00644D35"/>
    <w:rsid w:val="006514CC"/>
    <w:rsid w:val="00651DAB"/>
    <w:rsid w:val="00653170"/>
    <w:rsid w:val="00653879"/>
    <w:rsid w:val="00653C01"/>
    <w:rsid w:val="00654AEE"/>
    <w:rsid w:val="00655C2D"/>
    <w:rsid w:val="00661A3E"/>
    <w:rsid w:val="00661A94"/>
    <w:rsid w:val="00662994"/>
    <w:rsid w:val="0066549B"/>
    <w:rsid w:val="00665D41"/>
    <w:rsid w:val="00666D5E"/>
    <w:rsid w:val="006673C9"/>
    <w:rsid w:val="00667C26"/>
    <w:rsid w:val="00667C3A"/>
    <w:rsid w:val="00667D9C"/>
    <w:rsid w:val="0067114F"/>
    <w:rsid w:val="006714C4"/>
    <w:rsid w:val="00671D6E"/>
    <w:rsid w:val="0067200E"/>
    <w:rsid w:val="00672174"/>
    <w:rsid w:val="0067229E"/>
    <w:rsid w:val="00675741"/>
    <w:rsid w:val="00675EAA"/>
    <w:rsid w:val="0067734E"/>
    <w:rsid w:val="0068020E"/>
    <w:rsid w:val="00680461"/>
    <w:rsid w:val="00680F73"/>
    <w:rsid w:val="0068385C"/>
    <w:rsid w:val="00683960"/>
    <w:rsid w:val="00684607"/>
    <w:rsid w:val="00685BFC"/>
    <w:rsid w:val="00686CC8"/>
    <w:rsid w:val="006920AD"/>
    <w:rsid w:val="00693780"/>
    <w:rsid w:val="0069631D"/>
    <w:rsid w:val="00696F58"/>
    <w:rsid w:val="006A0E4F"/>
    <w:rsid w:val="006A340A"/>
    <w:rsid w:val="006A3835"/>
    <w:rsid w:val="006A41DC"/>
    <w:rsid w:val="006A7F57"/>
    <w:rsid w:val="006B02A1"/>
    <w:rsid w:val="006B1226"/>
    <w:rsid w:val="006B1887"/>
    <w:rsid w:val="006B1C8E"/>
    <w:rsid w:val="006C0E07"/>
    <w:rsid w:val="006C22CF"/>
    <w:rsid w:val="006C28DA"/>
    <w:rsid w:val="006C3F89"/>
    <w:rsid w:val="006C44A1"/>
    <w:rsid w:val="006C45EE"/>
    <w:rsid w:val="006C4FCD"/>
    <w:rsid w:val="006C614C"/>
    <w:rsid w:val="006C61FF"/>
    <w:rsid w:val="006C6A40"/>
    <w:rsid w:val="006D1C0C"/>
    <w:rsid w:val="006D1EA6"/>
    <w:rsid w:val="006D28EC"/>
    <w:rsid w:val="006D5A8C"/>
    <w:rsid w:val="006E063E"/>
    <w:rsid w:val="006E1AB8"/>
    <w:rsid w:val="006E3215"/>
    <w:rsid w:val="006E3E1A"/>
    <w:rsid w:val="006E6F3E"/>
    <w:rsid w:val="006F02CD"/>
    <w:rsid w:val="006F04CF"/>
    <w:rsid w:val="006F0831"/>
    <w:rsid w:val="006F0E6B"/>
    <w:rsid w:val="006F395E"/>
    <w:rsid w:val="006F4716"/>
    <w:rsid w:val="006F5A45"/>
    <w:rsid w:val="006F610D"/>
    <w:rsid w:val="007023D8"/>
    <w:rsid w:val="0070246C"/>
    <w:rsid w:val="00705AE6"/>
    <w:rsid w:val="00706B29"/>
    <w:rsid w:val="007101FF"/>
    <w:rsid w:val="0071056F"/>
    <w:rsid w:val="00711653"/>
    <w:rsid w:val="00712962"/>
    <w:rsid w:val="0071355D"/>
    <w:rsid w:val="00713864"/>
    <w:rsid w:val="00713C52"/>
    <w:rsid w:val="00713D80"/>
    <w:rsid w:val="00714230"/>
    <w:rsid w:val="0072065C"/>
    <w:rsid w:val="007207BD"/>
    <w:rsid w:val="0072114F"/>
    <w:rsid w:val="007222E1"/>
    <w:rsid w:val="00724089"/>
    <w:rsid w:val="0072444C"/>
    <w:rsid w:val="0072705B"/>
    <w:rsid w:val="00727BA2"/>
    <w:rsid w:val="00730A97"/>
    <w:rsid w:val="007310FA"/>
    <w:rsid w:val="00732015"/>
    <w:rsid w:val="007334DD"/>
    <w:rsid w:val="00733FDC"/>
    <w:rsid w:val="007354D2"/>
    <w:rsid w:val="00736083"/>
    <w:rsid w:val="0073676B"/>
    <w:rsid w:val="00737917"/>
    <w:rsid w:val="007406C1"/>
    <w:rsid w:val="00743087"/>
    <w:rsid w:val="0074327D"/>
    <w:rsid w:val="00743A6F"/>
    <w:rsid w:val="00744354"/>
    <w:rsid w:val="007444CE"/>
    <w:rsid w:val="00745B85"/>
    <w:rsid w:val="00747DBB"/>
    <w:rsid w:val="00753346"/>
    <w:rsid w:val="007535A3"/>
    <w:rsid w:val="00753818"/>
    <w:rsid w:val="00755419"/>
    <w:rsid w:val="0075637D"/>
    <w:rsid w:val="00756BE4"/>
    <w:rsid w:val="00761576"/>
    <w:rsid w:val="00762D68"/>
    <w:rsid w:val="0076315B"/>
    <w:rsid w:val="00765AB7"/>
    <w:rsid w:val="0076623D"/>
    <w:rsid w:val="007675C7"/>
    <w:rsid w:val="00767AC9"/>
    <w:rsid w:val="00767EC5"/>
    <w:rsid w:val="00772338"/>
    <w:rsid w:val="00773436"/>
    <w:rsid w:val="0077406B"/>
    <w:rsid w:val="00776318"/>
    <w:rsid w:val="007768FF"/>
    <w:rsid w:val="0078228D"/>
    <w:rsid w:val="00782869"/>
    <w:rsid w:val="0078304E"/>
    <w:rsid w:val="00783A3F"/>
    <w:rsid w:val="007852D3"/>
    <w:rsid w:val="007876E0"/>
    <w:rsid w:val="007878B9"/>
    <w:rsid w:val="00790E2C"/>
    <w:rsid w:val="00792674"/>
    <w:rsid w:val="00793021"/>
    <w:rsid w:val="0079317C"/>
    <w:rsid w:val="00793B00"/>
    <w:rsid w:val="00795204"/>
    <w:rsid w:val="00796BDD"/>
    <w:rsid w:val="00796EA0"/>
    <w:rsid w:val="007A0F16"/>
    <w:rsid w:val="007A1B6A"/>
    <w:rsid w:val="007A1BA7"/>
    <w:rsid w:val="007A3FA6"/>
    <w:rsid w:val="007A5B4B"/>
    <w:rsid w:val="007A6C92"/>
    <w:rsid w:val="007A743F"/>
    <w:rsid w:val="007B0B74"/>
    <w:rsid w:val="007B1305"/>
    <w:rsid w:val="007B3CD7"/>
    <w:rsid w:val="007B664D"/>
    <w:rsid w:val="007C0936"/>
    <w:rsid w:val="007C135F"/>
    <w:rsid w:val="007C274D"/>
    <w:rsid w:val="007C30E7"/>
    <w:rsid w:val="007C4D06"/>
    <w:rsid w:val="007C5796"/>
    <w:rsid w:val="007C6D1A"/>
    <w:rsid w:val="007C7207"/>
    <w:rsid w:val="007C74A7"/>
    <w:rsid w:val="007C74CE"/>
    <w:rsid w:val="007D06C7"/>
    <w:rsid w:val="007D124D"/>
    <w:rsid w:val="007D161D"/>
    <w:rsid w:val="007D16A5"/>
    <w:rsid w:val="007D37A8"/>
    <w:rsid w:val="007D5D1E"/>
    <w:rsid w:val="007E037C"/>
    <w:rsid w:val="007E1E71"/>
    <w:rsid w:val="007E300D"/>
    <w:rsid w:val="007E4607"/>
    <w:rsid w:val="007E5C84"/>
    <w:rsid w:val="007E743C"/>
    <w:rsid w:val="007E7D10"/>
    <w:rsid w:val="007F013C"/>
    <w:rsid w:val="007F1189"/>
    <w:rsid w:val="007F22FC"/>
    <w:rsid w:val="007F243E"/>
    <w:rsid w:val="007F25A6"/>
    <w:rsid w:val="007F2B96"/>
    <w:rsid w:val="007F2CA9"/>
    <w:rsid w:val="007F2D2B"/>
    <w:rsid w:val="007F3B0E"/>
    <w:rsid w:val="007F4699"/>
    <w:rsid w:val="00801A15"/>
    <w:rsid w:val="00802FC4"/>
    <w:rsid w:val="008040A5"/>
    <w:rsid w:val="008043F0"/>
    <w:rsid w:val="00805339"/>
    <w:rsid w:val="00805C40"/>
    <w:rsid w:val="0080770A"/>
    <w:rsid w:val="0080781E"/>
    <w:rsid w:val="008103A0"/>
    <w:rsid w:val="00810B66"/>
    <w:rsid w:val="00812E0A"/>
    <w:rsid w:val="0081345D"/>
    <w:rsid w:val="00815DCF"/>
    <w:rsid w:val="0081732D"/>
    <w:rsid w:val="00817971"/>
    <w:rsid w:val="00817D91"/>
    <w:rsid w:val="00817E4C"/>
    <w:rsid w:val="00820397"/>
    <w:rsid w:val="00821DB6"/>
    <w:rsid w:val="00822F30"/>
    <w:rsid w:val="008232FD"/>
    <w:rsid w:val="008309F6"/>
    <w:rsid w:val="008320E5"/>
    <w:rsid w:val="0083485D"/>
    <w:rsid w:val="00835D09"/>
    <w:rsid w:val="0083620A"/>
    <w:rsid w:val="00836A3D"/>
    <w:rsid w:val="0083738A"/>
    <w:rsid w:val="008436E9"/>
    <w:rsid w:val="008438EB"/>
    <w:rsid w:val="00843C28"/>
    <w:rsid w:val="00844116"/>
    <w:rsid w:val="00844507"/>
    <w:rsid w:val="00844F87"/>
    <w:rsid w:val="00846287"/>
    <w:rsid w:val="008475D3"/>
    <w:rsid w:val="0084780C"/>
    <w:rsid w:val="00847CF9"/>
    <w:rsid w:val="00847D1F"/>
    <w:rsid w:val="00851755"/>
    <w:rsid w:val="00851B9E"/>
    <w:rsid w:val="00853F29"/>
    <w:rsid w:val="008552B0"/>
    <w:rsid w:val="00855967"/>
    <w:rsid w:val="00856544"/>
    <w:rsid w:val="00861AD4"/>
    <w:rsid w:val="00861BB2"/>
    <w:rsid w:val="008628CD"/>
    <w:rsid w:val="008633CB"/>
    <w:rsid w:val="00863BC3"/>
    <w:rsid w:val="0086410C"/>
    <w:rsid w:val="0086423B"/>
    <w:rsid w:val="008646A8"/>
    <w:rsid w:val="008667C2"/>
    <w:rsid w:val="00866C1C"/>
    <w:rsid w:val="00866E07"/>
    <w:rsid w:val="008673CF"/>
    <w:rsid w:val="008678A6"/>
    <w:rsid w:val="00867CC0"/>
    <w:rsid w:val="00871702"/>
    <w:rsid w:val="0087181D"/>
    <w:rsid w:val="00871D91"/>
    <w:rsid w:val="0087685C"/>
    <w:rsid w:val="00877287"/>
    <w:rsid w:val="0088150A"/>
    <w:rsid w:val="00882E03"/>
    <w:rsid w:val="0088415F"/>
    <w:rsid w:val="00884909"/>
    <w:rsid w:val="00884AB8"/>
    <w:rsid w:val="008859A6"/>
    <w:rsid w:val="00886560"/>
    <w:rsid w:val="00887521"/>
    <w:rsid w:val="0088753D"/>
    <w:rsid w:val="00890DFB"/>
    <w:rsid w:val="00891E29"/>
    <w:rsid w:val="00892420"/>
    <w:rsid w:val="0089340A"/>
    <w:rsid w:val="00893F60"/>
    <w:rsid w:val="008947C6"/>
    <w:rsid w:val="00894C8A"/>
    <w:rsid w:val="008A24E7"/>
    <w:rsid w:val="008A415E"/>
    <w:rsid w:val="008A64AA"/>
    <w:rsid w:val="008A6D60"/>
    <w:rsid w:val="008A75D0"/>
    <w:rsid w:val="008B0407"/>
    <w:rsid w:val="008B080E"/>
    <w:rsid w:val="008B205E"/>
    <w:rsid w:val="008B2868"/>
    <w:rsid w:val="008B419C"/>
    <w:rsid w:val="008B4DB1"/>
    <w:rsid w:val="008B544E"/>
    <w:rsid w:val="008B5B24"/>
    <w:rsid w:val="008C0CD0"/>
    <w:rsid w:val="008C0ED6"/>
    <w:rsid w:val="008C280B"/>
    <w:rsid w:val="008C47E6"/>
    <w:rsid w:val="008C47EA"/>
    <w:rsid w:val="008C544D"/>
    <w:rsid w:val="008C6C7C"/>
    <w:rsid w:val="008D0904"/>
    <w:rsid w:val="008D1F47"/>
    <w:rsid w:val="008D5C06"/>
    <w:rsid w:val="008D7DF5"/>
    <w:rsid w:val="008E052F"/>
    <w:rsid w:val="008E4F98"/>
    <w:rsid w:val="008E526A"/>
    <w:rsid w:val="008E5E38"/>
    <w:rsid w:val="008E610B"/>
    <w:rsid w:val="008E69A5"/>
    <w:rsid w:val="008F0A7E"/>
    <w:rsid w:val="008F15DE"/>
    <w:rsid w:val="008F1D8E"/>
    <w:rsid w:val="008F3F25"/>
    <w:rsid w:val="008F5584"/>
    <w:rsid w:val="008F5B3C"/>
    <w:rsid w:val="008F5E49"/>
    <w:rsid w:val="008F60F2"/>
    <w:rsid w:val="00900451"/>
    <w:rsid w:val="00900F86"/>
    <w:rsid w:val="00901012"/>
    <w:rsid w:val="00901A84"/>
    <w:rsid w:val="0090257E"/>
    <w:rsid w:val="00902A0C"/>
    <w:rsid w:val="00902D5F"/>
    <w:rsid w:val="00903B3F"/>
    <w:rsid w:val="00906DBB"/>
    <w:rsid w:val="009075CF"/>
    <w:rsid w:val="00909C0A"/>
    <w:rsid w:val="00910715"/>
    <w:rsid w:val="009110E6"/>
    <w:rsid w:val="00911658"/>
    <w:rsid w:val="00911743"/>
    <w:rsid w:val="009123EF"/>
    <w:rsid w:val="00913DD1"/>
    <w:rsid w:val="00914AB2"/>
    <w:rsid w:val="0091586A"/>
    <w:rsid w:val="00916E3A"/>
    <w:rsid w:val="00917B22"/>
    <w:rsid w:val="00921319"/>
    <w:rsid w:val="00922A48"/>
    <w:rsid w:val="00923C33"/>
    <w:rsid w:val="00923D02"/>
    <w:rsid w:val="009257E0"/>
    <w:rsid w:val="00925F71"/>
    <w:rsid w:val="009269AC"/>
    <w:rsid w:val="00926C8D"/>
    <w:rsid w:val="00927565"/>
    <w:rsid w:val="00927659"/>
    <w:rsid w:val="009278D6"/>
    <w:rsid w:val="00930DF8"/>
    <w:rsid w:val="00931EFF"/>
    <w:rsid w:val="00932BC8"/>
    <w:rsid w:val="009335DF"/>
    <w:rsid w:val="00935F47"/>
    <w:rsid w:val="0093677C"/>
    <w:rsid w:val="00941BD0"/>
    <w:rsid w:val="00942D40"/>
    <w:rsid w:val="00946116"/>
    <w:rsid w:val="009500D3"/>
    <w:rsid w:val="00952568"/>
    <w:rsid w:val="009536E5"/>
    <w:rsid w:val="00955F8E"/>
    <w:rsid w:val="00956310"/>
    <w:rsid w:val="00957075"/>
    <w:rsid w:val="00957A7D"/>
    <w:rsid w:val="00957E32"/>
    <w:rsid w:val="0096076C"/>
    <w:rsid w:val="00961C18"/>
    <w:rsid w:val="0096462D"/>
    <w:rsid w:val="00964CF9"/>
    <w:rsid w:val="00965A72"/>
    <w:rsid w:val="00966F5F"/>
    <w:rsid w:val="009677BE"/>
    <w:rsid w:val="00970344"/>
    <w:rsid w:val="00971041"/>
    <w:rsid w:val="00972DBD"/>
    <w:rsid w:val="00973E8F"/>
    <w:rsid w:val="00974F31"/>
    <w:rsid w:val="00980F58"/>
    <w:rsid w:val="00981BCA"/>
    <w:rsid w:val="009867BD"/>
    <w:rsid w:val="009872D3"/>
    <w:rsid w:val="00992E82"/>
    <w:rsid w:val="00994764"/>
    <w:rsid w:val="00996D82"/>
    <w:rsid w:val="00997229"/>
    <w:rsid w:val="009A15C7"/>
    <w:rsid w:val="009A247E"/>
    <w:rsid w:val="009A6B04"/>
    <w:rsid w:val="009A7A5A"/>
    <w:rsid w:val="009B18E6"/>
    <w:rsid w:val="009B2791"/>
    <w:rsid w:val="009B2D80"/>
    <w:rsid w:val="009B34A9"/>
    <w:rsid w:val="009B3F1B"/>
    <w:rsid w:val="009B71C0"/>
    <w:rsid w:val="009C19FB"/>
    <w:rsid w:val="009C4176"/>
    <w:rsid w:val="009C4218"/>
    <w:rsid w:val="009C44F2"/>
    <w:rsid w:val="009C774B"/>
    <w:rsid w:val="009C7B2B"/>
    <w:rsid w:val="009D1DB2"/>
    <w:rsid w:val="009D35B0"/>
    <w:rsid w:val="009D396C"/>
    <w:rsid w:val="009D42AB"/>
    <w:rsid w:val="009D7626"/>
    <w:rsid w:val="009E2477"/>
    <w:rsid w:val="009E338A"/>
    <w:rsid w:val="009E3ACC"/>
    <w:rsid w:val="009E4913"/>
    <w:rsid w:val="009E65D0"/>
    <w:rsid w:val="009E6B74"/>
    <w:rsid w:val="009F081F"/>
    <w:rsid w:val="009F1752"/>
    <w:rsid w:val="009F1F65"/>
    <w:rsid w:val="009F36D1"/>
    <w:rsid w:val="009F4EEC"/>
    <w:rsid w:val="009F62EE"/>
    <w:rsid w:val="009F6935"/>
    <w:rsid w:val="009F70DB"/>
    <w:rsid w:val="009F79D9"/>
    <w:rsid w:val="009F7B88"/>
    <w:rsid w:val="00A003D0"/>
    <w:rsid w:val="00A00A2E"/>
    <w:rsid w:val="00A013F2"/>
    <w:rsid w:val="00A0189A"/>
    <w:rsid w:val="00A024F1"/>
    <w:rsid w:val="00A02CF1"/>
    <w:rsid w:val="00A03280"/>
    <w:rsid w:val="00A03F5E"/>
    <w:rsid w:val="00A04CFE"/>
    <w:rsid w:val="00A052C8"/>
    <w:rsid w:val="00A05B47"/>
    <w:rsid w:val="00A069E0"/>
    <w:rsid w:val="00A06CC2"/>
    <w:rsid w:val="00A076DC"/>
    <w:rsid w:val="00A1131E"/>
    <w:rsid w:val="00A11593"/>
    <w:rsid w:val="00A130BC"/>
    <w:rsid w:val="00A13218"/>
    <w:rsid w:val="00A13FBA"/>
    <w:rsid w:val="00A14759"/>
    <w:rsid w:val="00A17356"/>
    <w:rsid w:val="00A1765E"/>
    <w:rsid w:val="00A20655"/>
    <w:rsid w:val="00A20B68"/>
    <w:rsid w:val="00A2288F"/>
    <w:rsid w:val="00A22B8B"/>
    <w:rsid w:val="00A22F5F"/>
    <w:rsid w:val="00A23C27"/>
    <w:rsid w:val="00A258E7"/>
    <w:rsid w:val="00A25E25"/>
    <w:rsid w:val="00A264E4"/>
    <w:rsid w:val="00A26761"/>
    <w:rsid w:val="00A30197"/>
    <w:rsid w:val="00A31436"/>
    <w:rsid w:val="00A338C1"/>
    <w:rsid w:val="00A36758"/>
    <w:rsid w:val="00A404F5"/>
    <w:rsid w:val="00A40E50"/>
    <w:rsid w:val="00A427E8"/>
    <w:rsid w:val="00A43656"/>
    <w:rsid w:val="00A447AD"/>
    <w:rsid w:val="00A46888"/>
    <w:rsid w:val="00A46A44"/>
    <w:rsid w:val="00A47947"/>
    <w:rsid w:val="00A508CE"/>
    <w:rsid w:val="00A50F9F"/>
    <w:rsid w:val="00A52A30"/>
    <w:rsid w:val="00A53B76"/>
    <w:rsid w:val="00A547C8"/>
    <w:rsid w:val="00A56679"/>
    <w:rsid w:val="00A56F3E"/>
    <w:rsid w:val="00A5711E"/>
    <w:rsid w:val="00A5726C"/>
    <w:rsid w:val="00A57691"/>
    <w:rsid w:val="00A61178"/>
    <w:rsid w:val="00A6471C"/>
    <w:rsid w:val="00A64A09"/>
    <w:rsid w:val="00A651F3"/>
    <w:rsid w:val="00A6545B"/>
    <w:rsid w:val="00A67887"/>
    <w:rsid w:val="00A67C51"/>
    <w:rsid w:val="00A71601"/>
    <w:rsid w:val="00A721C9"/>
    <w:rsid w:val="00A73967"/>
    <w:rsid w:val="00A7660A"/>
    <w:rsid w:val="00A81AA1"/>
    <w:rsid w:val="00A81CF6"/>
    <w:rsid w:val="00A8338D"/>
    <w:rsid w:val="00A8342F"/>
    <w:rsid w:val="00A84D7F"/>
    <w:rsid w:val="00A85839"/>
    <w:rsid w:val="00A86CD3"/>
    <w:rsid w:val="00A86F50"/>
    <w:rsid w:val="00A91EF1"/>
    <w:rsid w:val="00A93026"/>
    <w:rsid w:val="00A93435"/>
    <w:rsid w:val="00A93B8A"/>
    <w:rsid w:val="00A9664F"/>
    <w:rsid w:val="00A968B2"/>
    <w:rsid w:val="00AA09D4"/>
    <w:rsid w:val="00AA4992"/>
    <w:rsid w:val="00AA4CC2"/>
    <w:rsid w:val="00AA5C45"/>
    <w:rsid w:val="00AA5DF6"/>
    <w:rsid w:val="00AA6996"/>
    <w:rsid w:val="00AA777F"/>
    <w:rsid w:val="00AA78D4"/>
    <w:rsid w:val="00AB20E6"/>
    <w:rsid w:val="00AB33A3"/>
    <w:rsid w:val="00AB346B"/>
    <w:rsid w:val="00AB39D8"/>
    <w:rsid w:val="00AB5F67"/>
    <w:rsid w:val="00AB5FF3"/>
    <w:rsid w:val="00AB6475"/>
    <w:rsid w:val="00AC509A"/>
    <w:rsid w:val="00AC65AF"/>
    <w:rsid w:val="00AC7B53"/>
    <w:rsid w:val="00AD038E"/>
    <w:rsid w:val="00AD4566"/>
    <w:rsid w:val="00AD4BD5"/>
    <w:rsid w:val="00AD5F94"/>
    <w:rsid w:val="00AE0212"/>
    <w:rsid w:val="00AE1026"/>
    <w:rsid w:val="00AE30AB"/>
    <w:rsid w:val="00AE3C67"/>
    <w:rsid w:val="00AE3CE3"/>
    <w:rsid w:val="00AE7409"/>
    <w:rsid w:val="00AF08A3"/>
    <w:rsid w:val="00AF0A49"/>
    <w:rsid w:val="00AF1B15"/>
    <w:rsid w:val="00AF1E18"/>
    <w:rsid w:val="00AF3B91"/>
    <w:rsid w:val="00AF4231"/>
    <w:rsid w:val="00AF4820"/>
    <w:rsid w:val="00AF6458"/>
    <w:rsid w:val="00AF6ED0"/>
    <w:rsid w:val="00B01B97"/>
    <w:rsid w:val="00B0236E"/>
    <w:rsid w:val="00B053A8"/>
    <w:rsid w:val="00B05F47"/>
    <w:rsid w:val="00B06149"/>
    <w:rsid w:val="00B06BE3"/>
    <w:rsid w:val="00B07289"/>
    <w:rsid w:val="00B07CA1"/>
    <w:rsid w:val="00B1069A"/>
    <w:rsid w:val="00B12793"/>
    <w:rsid w:val="00B13BB1"/>
    <w:rsid w:val="00B16F03"/>
    <w:rsid w:val="00B21A7C"/>
    <w:rsid w:val="00B21B8E"/>
    <w:rsid w:val="00B22003"/>
    <w:rsid w:val="00B225B6"/>
    <w:rsid w:val="00B229DC"/>
    <w:rsid w:val="00B23A2A"/>
    <w:rsid w:val="00B24906"/>
    <w:rsid w:val="00B25400"/>
    <w:rsid w:val="00B2543D"/>
    <w:rsid w:val="00B2619F"/>
    <w:rsid w:val="00B2697C"/>
    <w:rsid w:val="00B301DC"/>
    <w:rsid w:val="00B32BD0"/>
    <w:rsid w:val="00B3310F"/>
    <w:rsid w:val="00B34605"/>
    <w:rsid w:val="00B34679"/>
    <w:rsid w:val="00B34A41"/>
    <w:rsid w:val="00B350BD"/>
    <w:rsid w:val="00B357FB"/>
    <w:rsid w:val="00B36245"/>
    <w:rsid w:val="00B408C1"/>
    <w:rsid w:val="00B40B37"/>
    <w:rsid w:val="00B40B5B"/>
    <w:rsid w:val="00B410FA"/>
    <w:rsid w:val="00B43E17"/>
    <w:rsid w:val="00B440AB"/>
    <w:rsid w:val="00B45D63"/>
    <w:rsid w:val="00B51254"/>
    <w:rsid w:val="00B517D6"/>
    <w:rsid w:val="00B567B3"/>
    <w:rsid w:val="00B569AE"/>
    <w:rsid w:val="00B56D74"/>
    <w:rsid w:val="00B57261"/>
    <w:rsid w:val="00B610A1"/>
    <w:rsid w:val="00B659CB"/>
    <w:rsid w:val="00B6719F"/>
    <w:rsid w:val="00B70693"/>
    <w:rsid w:val="00B70871"/>
    <w:rsid w:val="00B73AA3"/>
    <w:rsid w:val="00B75F82"/>
    <w:rsid w:val="00B76DEA"/>
    <w:rsid w:val="00B76F49"/>
    <w:rsid w:val="00B813CD"/>
    <w:rsid w:val="00B8371E"/>
    <w:rsid w:val="00B8396A"/>
    <w:rsid w:val="00B8471A"/>
    <w:rsid w:val="00B8546D"/>
    <w:rsid w:val="00B9249A"/>
    <w:rsid w:val="00B92A98"/>
    <w:rsid w:val="00B93ECB"/>
    <w:rsid w:val="00B94B5C"/>
    <w:rsid w:val="00B94F5D"/>
    <w:rsid w:val="00B95140"/>
    <w:rsid w:val="00B96673"/>
    <w:rsid w:val="00B9694F"/>
    <w:rsid w:val="00B970A4"/>
    <w:rsid w:val="00B97651"/>
    <w:rsid w:val="00B97C7B"/>
    <w:rsid w:val="00BA1B8E"/>
    <w:rsid w:val="00BA27FA"/>
    <w:rsid w:val="00BA2BA0"/>
    <w:rsid w:val="00BA2E34"/>
    <w:rsid w:val="00BA451E"/>
    <w:rsid w:val="00BA53A8"/>
    <w:rsid w:val="00BB1844"/>
    <w:rsid w:val="00BB1E8D"/>
    <w:rsid w:val="00BB477A"/>
    <w:rsid w:val="00BB546E"/>
    <w:rsid w:val="00BB595A"/>
    <w:rsid w:val="00BB7463"/>
    <w:rsid w:val="00BC04CE"/>
    <w:rsid w:val="00BC1079"/>
    <w:rsid w:val="00BC1E57"/>
    <w:rsid w:val="00BC3E39"/>
    <w:rsid w:val="00BC4C07"/>
    <w:rsid w:val="00BC584E"/>
    <w:rsid w:val="00BC6EC0"/>
    <w:rsid w:val="00BD0989"/>
    <w:rsid w:val="00BD34CC"/>
    <w:rsid w:val="00BD3C77"/>
    <w:rsid w:val="00BD4050"/>
    <w:rsid w:val="00BD4844"/>
    <w:rsid w:val="00BD5DF0"/>
    <w:rsid w:val="00BD62DE"/>
    <w:rsid w:val="00BD7E77"/>
    <w:rsid w:val="00BE039C"/>
    <w:rsid w:val="00BE04A9"/>
    <w:rsid w:val="00BE31EA"/>
    <w:rsid w:val="00BE3DD7"/>
    <w:rsid w:val="00BE65AE"/>
    <w:rsid w:val="00BE676C"/>
    <w:rsid w:val="00BE6E16"/>
    <w:rsid w:val="00BE7314"/>
    <w:rsid w:val="00BE7DC3"/>
    <w:rsid w:val="00BF15B8"/>
    <w:rsid w:val="00BF1771"/>
    <w:rsid w:val="00BF1B33"/>
    <w:rsid w:val="00BF44DE"/>
    <w:rsid w:val="00BF49CC"/>
    <w:rsid w:val="00C00C4C"/>
    <w:rsid w:val="00C02A97"/>
    <w:rsid w:val="00C0308B"/>
    <w:rsid w:val="00C03FA2"/>
    <w:rsid w:val="00C0457D"/>
    <w:rsid w:val="00C04EF9"/>
    <w:rsid w:val="00C057D7"/>
    <w:rsid w:val="00C05A9F"/>
    <w:rsid w:val="00C07E09"/>
    <w:rsid w:val="00C119C7"/>
    <w:rsid w:val="00C12796"/>
    <w:rsid w:val="00C157B0"/>
    <w:rsid w:val="00C1698B"/>
    <w:rsid w:val="00C173D3"/>
    <w:rsid w:val="00C20C55"/>
    <w:rsid w:val="00C211E0"/>
    <w:rsid w:val="00C21AE1"/>
    <w:rsid w:val="00C3050D"/>
    <w:rsid w:val="00C3080F"/>
    <w:rsid w:val="00C30AF3"/>
    <w:rsid w:val="00C30C41"/>
    <w:rsid w:val="00C33A1F"/>
    <w:rsid w:val="00C348C7"/>
    <w:rsid w:val="00C35236"/>
    <w:rsid w:val="00C368CF"/>
    <w:rsid w:val="00C371F1"/>
    <w:rsid w:val="00C40D2C"/>
    <w:rsid w:val="00C419AB"/>
    <w:rsid w:val="00C43364"/>
    <w:rsid w:val="00C4510A"/>
    <w:rsid w:val="00C45DEB"/>
    <w:rsid w:val="00C51919"/>
    <w:rsid w:val="00C530DC"/>
    <w:rsid w:val="00C552A2"/>
    <w:rsid w:val="00C5658B"/>
    <w:rsid w:val="00C56BA1"/>
    <w:rsid w:val="00C6133C"/>
    <w:rsid w:val="00C61EF4"/>
    <w:rsid w:val="00C64926"/>
    <w:rsid w:val="00C64D51"/>
    <w:rsid w:val="00C64E1D"/>
    <w:rsid w:val="00C65560"/>
    <w:rsid w:val="00C66546"/>
    <w:rsid w:val="00C67F2B"/>
    <w:rsid w:val="00C70A96"/>
    <w:rsid w:val="00C712CD"/>
    <w:rsid w:val="00C72EF4"/>
    <w:rsid w:val="00C73860"/>
    <w:rsid w:val="00C741D8"/>
    <w:rsid w:val="00C74E0B"/>
    <w:rsid w:val="00C74F54"/>
    <w:rsid w:val="00C771C9"/>
    <w:rsid w:val="00C83193"/>
    <w:rsid w:val="00C8643E"/>
    <w:rsid w:val="00C869CA"/>
    <w:rsid w:val="00C87A82"/>
    <w:rsid w:val="00C900A8"/>
    <w:rsid w:val="00C903DB"/>
    <w:rsid w:val="00C90FAF"/>
    <w:rsid w:val="00C92EE8"/>
    <w:rsid w:val="00C93281"/>
    <w:rsid w:val="00C96DDA"/>
    <w:rsid w:val="00C97FEF"/>
    <w:rsid w:val="00CA022D"/>
    <w:rsid w:val="00CA059D"/>
    <w:rsid w:val="00CA07C2"/>
    <w:rsid w:val="00CA0C2B"/>
    <w:rsid w:val="00CA0F63"/>
    <w:rsid w:val="00CA119C"/>
    <w:rsid w:val="00CA20A5"/>
    <w:rsid w:val="00CA2759"/>
    <w:rsid w:val="00CA2B62"/>
    <w:rsid w:val="00CA368A"/>
    <w:rsid w:val="00CA3C58"/>
    <w:rsid w:val="00CA6EEB"/>
    <w:rsid w:val="00CB0B7A"/>
    <w:rsid w:val="00CB0CCC"/>
    <w:rsid w:val="00CB1EA3"/>
    <w:rsid w:val="00CB351F"/>
    <w:rsid w:val="00CB3F73"/>
    <w:rsid w:val="00CB4416"/>
    <w:rsid w:val="00CB4AF4"/>
    <w:rsid w:val="00CB4E24"/>
    <w:rsid w:val="00CB77AD"/>
    <w:rsid w:val="00CB7BFC"/>
    <w:rsid w:val="00CC3E13"/>
    <w:rsid w:val="00CC5670"/>
    <w:rsid w:val="00CC5FB4"/>
    <w:rsid w:val="00CC64D7"/>
    <w:rsid w:val="00CC6780"/>
    <w:rsid w:val="00CD0230"/>
    <w:rsid w:val="00CD1570"/>
    <w:rsid w:val="00CD26AD"/>
    <w:rsid w:val="00CD4226"/>
    <w:rsid w:val="00CD4D80"/>
    <w:rsid w:val="00CD4DEB"/>
    <w:rsid w:val="00CD6793"/>
    <w:rsid w:val="00CE0CE7"/>
    <w:rsid w:val="00CE1D5D"/>
    <w:rsid w:val="00CE28D6"/>
    <w:rsid w:val="00CE29D8"/>
    <w:rsid w:val="00CE2F6A"/>
    <w:rsid w:val="00CE3D04"/>
    <w:rsid w:val="00CE5D02"/>
    <w:rsid w:val="00CE7CCA"/>
    <w:rsid w:val="00CF0126"/>
    <w:rsid w:val="00CF11EE"/>
    <w:rsid w:val="00CF1AF6"/>
    <w:rsid w:val="00CF2DD6"/>
    <w:rsid w:val="00CF3630"/>
    <w:rsid w:val="00CF395F"/>
    <w:rsid w:val="00CF42FB"/>
    <w:rsid w:val="00D009C7"/>
    <w:rsid w:val="00D0179E"/>
    <w:rsid w:val="00D0582E"/>
    <w:rsid w:val="00D103A6"/>
    <w:rsid w:val="00D123C1"/>
    <w:rsid w:val="00D12AD9"/>
    <w:rsid w:val="00D130E0"/>
    <w:rsid w:val="00D14216"/>
    <w:rsid w:val="00D1504D"/>
    <w:rsid w:val="00D16F58"/>
    <w:rsid w:val="00D20256"/>
    <w:rsid w:val="00D21118"/>
    <w:rsid w:val="00D21728"/>
    <w:rsid w:val="00D21E21"/>
    <w:rsid w:val="00D2402C"/>
    <w:rsid w:val="00D241E9"/>
    <w:rsid w:val="00D245D0"/>
    <w:rsid w:val="00D25193"/>
    <w:rsid w:val="00D26450"/>
    <w:rsid w:val="00D276C2"/>
    <w:rsid w:val="00D2780F"/>
    <w:rsid w:val="00D30D3C"/>
    <w:rsid w:val="00D32B17"/>
    <w:rsid w:val="00D33015"/>
    <w:rsid w:val="00D3356D"/>
    <w:rsid w:val="00D3444E"/>
    <w:rsid w:val="00D34C9D"/>
    <w:rsid w:val="00D35738"/>
    <w:rsid w:val="00D36E9C"/>
    <w:rsid w:val="00D37058"/>
    <w:rsid w:val="00D37C0F"/>
    <w:rsid w:val="00D40942"/>
    <w:rsid w:val="00D414E7"/>
    <w:rsid w:val="00D426B3"/>
    <w:rsid w:val="00D434A8"/>
    <w:rsid w:val="00D43DEC"/>
    <w:rsid w:val="00D44989"/>
    <w:rsid w:val="00D45631"/>
    <w:rsid w:val="00D45816"/>
    <w:rsid w:val="00D4776E"/>
    <w:rsid w:val="00D47A89"/>
    <w:rsid w:val="00D50203"/>
    <w:rsid w:val="00D50FC5"/>
    <w:rsid w:val="00D510A8"/>
    <w:rsid w:val="00D51E3E"/>
    <w:rsid w:val="00D522E5"/>
    <w:rsid w:val="00D52651"/>
    <w:rsid w:val="00D532D4"/>
    <w:rsid w:val="00D53F79"/>
    <w:rsid w:val="00D55E65"/>
    <w:rsid w:val="00D5660B"/>
    <w:rsid w:val="00D577E3"/>
    <w:rsid w:val="00D60B27"/>
    <w:rsid w:val="00D6162B"/>
    <w:rsid w:val="00D61A46"/>
    <w:rsid w:val="00D6476F"/>
    <w:rsid w:val="00D6491B"/>
    <w:rsid w:val="00D65529"/>
    <w:rsid w:val="00D65C4C"/>
    <w:rsid w:val="00D66A91"/>
    <w:rsid w:val="00D6797D"/>
    <w:rsid w:val="00D70D78"/>
    <w:rsid w:val="00D712B2"/>
    <w:rsid w:val="00D727F6"/>
    <w:rsid w:val="00D74798"/>
    <w:rsid w:val="00D74FC2"/>
    <w:rsid w:val="00D77F0A"/>
    <w:rsid w:val="00D8129C"/>
    <w:rsid w:val="00D81729"/>
    <w:rsid w:val="00D81C90"/>
    <w:rsid w:val="00D83500"/>
    <w:rsid w:val="00D8360A"/>
    <w:rsid w:val="00D83B34"/>
    <w:rsid w:val="00D83B96"/>
    <w:rsid w:val="00D83F9C"/>
    <w:rsid w:val="00D843F5"/>
    <w:rsid w:val="00D84BFC"/>
    <w:rsid w:val="00D851DF"/>
    <w:rsid w:val="00D878E6"/>
    <w:rsid w:val="00D90373"/>
    <w:rsid w:val="00D9152F"/>
    <w:rsid w:val="00D93914"/>
    <w:rsid w:val="00D944F4"/>
    <w:rsid w:val="00D95E6F"/>
    <w:rsid w:val="00D95F83"/>
    <w:rsid w:val="00D96142"/>
    <w:rsid w:val="00D97408"/>
    <w:rsid w:val="00D97FA2"/>
    <w:rsid w:val="00DA133C"/>
    <w:rsid w:val="00DA319B"/>
    <w:rsid w:val="00DA3D97"/>
    <w:rsid w:val="00DA4430"/>
    <w:rsid w:val="00DA4943"/>
    <w:rsid w:val="00DA4D48"/>
    <w:rsid w:val="00DB0E4E"/>
    <w:rsid w:val="00DB1438"/>
    <w:rsid w:val="00DB161D"/>
    <w:rsid w:val="00DB2A40"/>
    <w:rsid w:val="00DB328C"/>
    <w:rsid w:val="00DB3862"/>
    <w:rsid w:val="00DB3921"/>
    <w:rsid w:val="00DC00AC"/>
    <w:rsid w:val="00DC0BCB"/>
    <w:rsid w:val="00DC13B7"/>
    <w:rsid w:val="00DC15DF"/>
    <w:rsid w:val="00DC292D"/>
    <w:rsid w:val="00DC36C6"/>
    <w:rsid w:val="00DC4E4A"/>
    <w:rsid w:val="00DC51BA"/>
    <w:rsid w:val="00DC6351"/>
    <w:rsid w:val="00DD36A1"/>
    <w:rsid w:val="00DD3B6D"/>
    <w:rsid w:val="00DD6905"/>
    <w:rsid w:val="00DD70B4"/>
    <w:rsid w:val="00DE02E9"/>
    <w:rsid w:val="00DE0382"/>
    <w:rsid w:val="00DE29A8"/>
    <w:rsid w:val="00DE33AA"/>
    <w:rsid w:val="00DE5EEE"/>
    <w:rsid w:val="00DE648E"/>
    <w:rsid w:val="00DE79DF"/>
    <w:rsid w:val="00DF0278"/>
    <w:rsid w:val="00DF0DFE"/>
    <w:rsid w:val="00DF163B"/>
    <w:rsid w:val="00DF2C40"/>
    <w:rsid w:val="00DF3269"/>
    <w:rsid w:val="00DF4AE5"/>
    <w:rsid w:val="00DF6BC9"/>
    <w:rsid w:val="00DF76C4"/>
    <w:rsid w:val="00E00154"/>
    <w:rsid w:val="00E002E8"/>
    <w:rsid w:val="00E01428"/>
    <w:rsid w:val="00E01AD2"/>
    <w:rsid w:val="00E01C31"/>
    <w:rsid w:val="00E02BC7"/>
    <w:rsid w:val="00E03A71"/>
    <w:rsid w:val="00E03BA1"/>
    <w:rsid w:val="00E04190"/>
    <w:rsid w:val="00E06075"/>
    <w:rsid w:val="00E06B53"/>
    <w:rsid w:val="00E06EC3"/>
    <w:rsid w:val="00E0785B"/>
    <w:rsid w:val="00E07B19"/>
    <w:rsid w:val="00E07C9E"/>
    <w:rsid w:val="00E07EED"/>
    <w:rsid w:val="00E108D8"/>
    <w:rsid w:val="00E12E04"/>
    <w:rsid w:val="00E13956"/>
    <w:rsid w:val="00E168DD"/>
    <w:rsid w:val="00E17F60"/>
    <w:rsid w:val="00E20618"/>
    <w:rsid w:val="00E21697"/>
    <w:rsid w:val="00E23521"/>
    <w:rsid w:val="00E23E9E"/>
    <w:rsid w:val="00E23FB6"/>
    <w:rsid w:val="00E256B6"/>
    <w:rsid w:val="00E26B63"/>
    <w:rsid w:val="00E37C04"/>
    <w:rsid w:val="00E41883"/>
    <w:rsid w:val="00E41FFD"/>
    <w:rsid w:val="00E448BA"/>
    <w:rsid w:val="00E45A6B"/>
    <w:rsid w:val="00E45D0F"/>
    <w:rsid w:val="00E46C99"/>
    <w:rsid w:val="00E46FBF"/>
    <w:rsid w:val="00E50560"/>
    <w:rsid w:val="00E50A0F"/>
    <w:rsid w:val="00E51C85"/>
    <w:rsid w:val="00E52128"/>
    <w:rsid w:val="00E52238"/>
    <w:rsid w:val="00E524F0"/>
    <w:rsid w:val="00E5579C"/>
    <w:rsid w:val="00E57D07"/>
    <w:rsid w:val="00E60D36"/>
    <w:rsid w:val="00E624B9"/>
    <w:rsid w:val="00E6250B"/>
    <w:rsid w:val="00E636F5"/>
    <w:rsid w:val="00E63BF3"/>
    <w:rsid w:val="00E67F6D"/>
    <w:rsid w:val="00E7020C"/>
    <w:rsid w:val="00E70970"/>
    <w:rsid w:val="00E72141"/>
    <w:rsid w:val="00E737BC"/>
    <w:rsid w:val="00E7530B"/>
    <w:rsid w:val="00E75A72"/>
    <w:rsid w:val="00E766A9"/>
    <w:rsid w:val="00E767EA"/>
    <w:rsid w:val="00E83B4A"/>
    <w:rsid w:val="00E83FE0"/>
    <w:rsid w:val="00E83FE5"/>
    <w:rsid w:val="00E84199"/>
    <w:rsid w:val="00E84B57"/>
    <w:rsid w:val="00E84D54"/>
    <w:rsid w:val="00E87B85"/>
    <w:rsid w:val="00E9122A"/>
    <w:rsid w:val="00E91B57"/>
    <w:rsid w:val="00E91F25"/>
    <w:rsid w:val="00E924AE"/>
    <w:rsid w:val="00E93D98"/>
    <w:rsid w:val="00E96C5D"/>
    <w:rsid w:val="00E97663"/>
    <w:rsid w:val="00EA0F05"/>
    <w:rsid w:val="00EA4005"/>
    <w:rsid w:val="00EA4619"/>
    <w:rsid w:val="00EA5FE5"/>
    <w:rsid w:val="00EA6242"/>
    <w:rsid w:val="00EA7FC3"/>
    <w:rsid w:val="00EB14B1"/>
    <w:rsid w:val="00EB2987"/>
    <w:rsid w:val="00EB3976"/>
    <w:rsid w:val="00EB3CE6"/>
    <w:rsid w:val="00EB4D7F"/>
    <w:rsid w:val="00EB5131"/>
    <w:rsid w:val="00EB547F"/>
    <w:rsid w:val="00EB7E8C"/>
    <w:rsid w:val="00EC070C"/>
    <w:rsid w:val="00EC20B7"/>
    <w:rsid w:val="00EC2567"/>
    <w:rsid w:val="00EC270C"/>
    <w:rsid w:val="00EC63A5"/>
    <w:rsid w:val="00EC6AC7"/>
    <w:rsid w:val="00ED0CED"/>
    <w:rsid w:val="00ED1F5C"/>
    <w:rsid w:val="00ED2766"/>
    <w:rsid w:val="00ED33EF"/>
    <w:rsid w:val="00ED4CC6"/>
    <w:rsid w:val="00ED775E"/>
    <w:rsid w:val="00EE0B0F"/>
    <w:rsid w:val="00EE15F2"/>
    <w:rsid w:val="00EE1F69"/>
    <w:rsid w:val="00EE3050"/>
    <w:rsid w:val="00EE6085"/>
    <w:rsid w:val="00EE6573"/>
    <w:rsid w:val="00EF0DD0"/>
    <w:rsid w:val="00EF1178"/>
    <w:rsid w:val="00EF14BF"/>
    <w:rsid w:val="00EF2AF0"/>
    <w:rsid w:val="00EF2D18"/>
    <w:rsid w:val="00EF337C"/>
    <w:rsid w:val="00EF44E8"/>
    <w:rsid w:val="00EF5570"/>
    <w:rsid w:val="00EF5659"/>
    <w:rsid w:val="00EF6673"/>
    <w:rsid w:val="00F00F0C"/>
    <w:rsid w:val="00F010CB"/>
    <w:rsid w:val="00F02D4D"/>
    <w:rsid w:val="00F03974"/>
    <w:rsid w:val="00F069B9"/>
    <w:rsid w:val="00F07041"/>
    <w:rsid w:val="00F0741F"/>
    <w:rsid w:val="00F121BA"/>
    <w:rsid w:val="00F12E4A"/>
    <w:rsid w:val="00F12F6E"/>
    <w:rsid w:val="00F13872"/>
    <w:rsid w:val="00F14990"/>
    <w:rsid w:val="00F15151"/>
    <w:rsid w:val="00F1578F"/>
    <w:rsid w:val="00F209B0"/>
    <w:rsid w:val="00F21F66"/>
    <w:rsid w:val="00F2248C"/>
    <w:rsid w:val="00F228E3"/>
    <w:rsid w:val="00F24237"/>
    <w:rsid w:val="00F24A48"/>
    <w:rsid w:val="00F261EB"/>
    <w:rsid w:val="00F26E26"/>
    <w:rsid w:val="00F3038C"/>
    <w:rsid w:val="00F30C0E"/>
    <w:rsid w:val="00F34AA3"/>
    <w:rsid w:val="00F359B1"/>
    <w:rsid w:val="00F364F9"/>
    <w:rsid w:val="00F36A83"/>
    <w:rsid w:val="00F41254"/>
    <w:rsid w:val="00F425E4"/>
    <w:rsid w:val="00F42EBF"/>
    <w:rsid w:val="00F43E5A"/>
    <w:rsid w:val="00F4750A"/>
    <w:rsid w:val="00F538B8"/>
    <w:rsid w:val="00F54807"/>
    <w:rsid w:val="00F54867"/>
    <w:rsid w:val="00F55FF9"/>
    <w:rsid w:val="00F57B72"/>
    <w:rsid w:val="00F60FEB"/>
    <w:rsid w:val="00F61624"/>
    <w:rsid w:val="00F61BE1"/>
    <w:rsid w:val="00F63221"/>
    <w:rsid w:val="00F63759"/>
    <w:rsid w:val="00F64819"/>
    <w:rsid w:val="00F64A62"/>
    <w:rsid w:val="00F70175"/>
    <w:rsid w:val="00F70AF3"/>
    <w:rsid w:val="00F71664"/>
    <w:rsid w:val="00F71DB8"/>
    <w:rsid w:val="00F723E1"/>
    <w:rsid w:val="00F72C24"/>
    <w:rsid w:val="00F75A4A"/>
    <w:rsid w:val="00F76D83"/>
    <w:rsid w:val="00F80461"/>
    <w:rsid w:val="00F808B5"/>
    <w:rsid w:val="00F8104A"/>
    <w:rsid w:val="00F83606"/>
    <w:rsid w:val="00F87659"/>
    <w:rsid w:val="00F90E2F"/>
    <w:rsid w:val="00F911F6"/>
    <w:rsid w:val="00F913EE"/>
    <w:rsid w:val="00F91CF0"/>
    <w:rsid w:val="00F93DBE"/>
    <w:rsid w:val="00F94772"/>
    <w:rsid w:val="00F95363"/>
    <w:rsid w:val="00F96C1B"/>
    <w:rsid w:val="00FA04A2"/>
    <w:rsid w:val="00FA2455"/>
    <w:rsid w:val="00FA4F95"/>
    <w:rsid w:val="00FA5036"/>
    <w:rsid w:val="00FA79DA"/>
    <w:rsid w:val="00FB0DDA"/>
    <w:rsid w:val="00FB14FB"/>
    <w:rsid w:val="00FB2240"/>
    <w:rsid w:val="00FB23A3"/>
    <w:rsid w:val="00FB2DA2"/>
    <w:rsid w:val="00FB399E"/>
    <w:rsid w:val="00FB3AD3"/>
    <w:rsid w:val="00FB3E8D"/>
    <w:rsid w:val="00FB402C"/>
    <w:rsid w:val="00FB51D6"/>
    <w:rsid w:val="00FB7330"/>
    <w:rsid w:val="00FC0B02"/>
    <w:rsid w:val="00FC13C8"/>
    <w:rsid w:val="00FC2B7C"/>
    <w:rsid w:val="00FC3630"/>
    <w:rsid w:val="00FC3C02"/>
    <w:rsid w:val="00FC456F"/>
    <w:rsid w:val="00FC4F82"/>
    <w:rsid w:val="00FC7399"/>
    <w:rsid w:val="00FD035A"/>
    <w:rsid w:val="00FD075F"/>
    <w:rsid w:val="00FD0E61"/>
    <w:rsid w:val="00FD42BA"/>
    <w:rsid w:val="00FD58B6"/>
    <w:rsid w:val="00FD6101"/>
    <w:rsid w:val="00FD64BC"/>
    <w:rsid w:val="00FD7C52"/>
    <w:rsid w:val="00FE1B69"/>
    <w:rsid w:val="00FE3954"/>
    <w:rsid w:val="00FE5B39"/>
    <w:rsid w:val="00FE67A2"/>
    <w:rsid w:val="00FE7023"/>
    <w:rsid w:val="00FE7154"/>
    <w:rsid w:val="00FF0EE0"/>
    <w:rsid w:val="00FF10B0"/>
    <w:rsid w:val="00FF1688"/>
    <w:rsid w:val="00FF34E9"/>
    <w:rsid w:val="00FF4687"/>
    <w:rsid w:val="00FF5115"/>
    <w:rsid w:val="00FF52CB"/>
    <w:rsid w:val="00FF5FBF"/>
    <w:rsid w:val="00FF62D9"/>
    <w:rsid w:val="00FF7C0B"/>
    <w:rsid w:val="010234AA"/>
    <w:rsid w:val="0173A589"/>
    <w:rsid w:val="01C9EC7F"/>
    <w:rsid w:val="01D736DA"/>
    <w:rsid w:val="0229F26B"/>
    <w:rsid w:val="022BAB97"/>
    <w:rsid w:val="0297AEF9"/>
    <w:rsid w:val="0343152D"/>
    <w:rsid w:val="03A056BE"/>
    <w:rsid w:val="03B3EDDF"/>
    <w:rsid w:val="03B819F1"/>
    <w:rsid w:val="041DBDDE"/>
    <w:rsid w:val="042366D6"/>
    <w:rsid w:val="046932AB"/>
    <w:rsid w:val="047C806C"/>
    <w:rsid w:val="04B18E9E"/>
    <w:rsid w:val="04C1F4EE"/>
    <w:rsid w:val="04C3FE6E"/>
    <w:rsid w:val="04CC8B3A"/>
    <w:rsid w:val="04DEE58E"/>
    <w:rsid w:val="0516AEF7"/>
    <w:rsid w:val="05240E82"/>
    <w:rsid w:val="05434C5F"/>
    <w:rsid w:val="05C42808"/>
    <w:rsid w:val="05E4B4A3"/>
    <w:rsid w:val="05F05806"/>
    <w:rsid w:val="060E6D1A"/>
    <w:rsid w:val="0644BC0C"/>
    <w:rsid w:val="064CFD85"/>
    <w:rsid w:val="068A7A04"/>
    <w:rsid w:val="06CDFA9F"/>
    <w:rsid w:val="06F0ECC7"/>
    <w:rsid w:val="06F5E1D1"/>
    <w:rsid w:val="0743D940"/>
    <w:rsid w:val="07769149"/>
    <w:rsid w:val="0784BF6E"/>
    <w:rsid w:val="07CE1EA5"/>
    <w:rsid w:val="0804A20E"/>
    <w:rsid w:val="0819A21A"/>
    <w:rsid w:val="084E4FB9"/>
    <w:rsid w:val="085BAF44"/>
    <w:rsid w:val="088CBD28"/>
    <w:rsid w:val="08B205C3"/>
    <w:rsid w:val="09F933CC"/>
    <w:rsid w:val="09FD7B8C"/>
    <w:rsid w:val="0A6FCBD1"/>
    <w:rsid w:val="0AE73BF1"/>
    <w:rsid w:val="0AFBE5E1"/>
    <w:rsid w:val="0B0377AC"/>
    <w:rsid w:val="0B07BDEE"/>
    <w:rsid w:val="0B8667CD"/>
    <w:rsid w:val="0BA5A3A2"/>
    <w:rsid w:val="0BB640CC"/>
    <w:rsid w:val="0BBDC20B"/>
    <w:rsid w:val="0C10DECA"/>
    <w:rsid w:val="0C811507"/>
    <w:rsid w:val="0CD2E445"/>
    <w:rsid w:val="0F0304D0"/>
    <w:rsid w:val="0F245793"/>
    <w:rsid w:val="0F2A4843"/>
    <w:rsid w:val="0F4612C2"/>
    <w:rsid w:val="0F69C986"/>
    <w:rsid w:val="0F785158"/>
    <w:rsid w:val="0FF997E4"/>
    <w:rsid w:val="1061A9CC"/>
    <w:rsid w:val="10D38B80"/>
    <w:rsid w:val="10ECD7B1"/>
    <w:rsid w:val="111421B9"/>
    <w:rsid w:val="11602C88"/>
    <w:rsid w:val="1173D037"/>
    <w:rsid w:val="11C647CA"/>
    <w:rsid w:val="11E75048"/>
    <w:rsid w:val="12070EE6"/>
    <w:rsid w:val="1252109B"/>
    <w:rsid w:val="1269FF0C"/>
    <w:rsid w:val="131F0FC7"/>
    <w:rsid w:val="13BB3C7C"/>
    <w:rsid w:val="14497D21"/>
    <w:rsid w:val="144BA26B"/>
    <w:rsid w:val="1456EA41"/>
    <w:rsid w:val="14598D3E"/>
    <w:rsid w:val="1488472D"/>
    <w:rsid w:val="14895D67"/>
    <w:rsid w:val="14E835E1"/>
    <w:rsid w:val="15B399EC"/>
    <w:rsid w:val="15C048D4"/>
    <w:rsid w:val="15D05FEA"/>
    <w:rsid w:val="163D20CE"/>
    <w:rsid w:val="16B08277"/>
    <w:rsid w:val="16D8C60D"/>
    <w:rsid w:val="16E0016C"/>
    <w:rsid w:val="170DCC03"/>
    <w:rsid w:val="1730138D"/>
    <w:rsid w:val="173158D5"/>
    <w:rsid w:val="17449287"/>
    <w:rsid w:val="179DC509"/>
    <w:rsid w:val="17B28FDF"/>
    <w:rsid w:val="17E55D74"/>
    <w:rsid w:val="17E6A031"/>
    <w:rsid w:val="17EF2D26"/>
    <w:rsid w:val="17FD122C"/>
    <w:rsid w:val="182912CB"/>
    <w:rsid w:val="18EB6171"/>
    <w:rsid w:val="192CFE61"/>
    <w:rsid w:val="19C51542"/>
    <w:rsid w:val="19F861F1"/>
    <w:rsid w:val="1A326B6A"/>
    <w:rsid w:val="1A6985BC"/>
    <w:rsid w:val="1A8C1A0A"/>
    <w:rsid w:val="1B194BE9"/>
    <w:rsid w:val="1B26D8B8"/>
    <w:rsid w:val="1B6C3862"/>
    <w:rsid w:val="1B77D750"/>
    <w:rsid w:val="1B8366BA"/>
    <w:rsid w:val="1BC598E1"/>
    <w:rsid w:val="1C21F4D2"/>
    <w:rsid w:val="1C6C6C6A"/>
    <w:rsid w:val="1D456D5D"/>
    <w:rsid w:val="1D734731"/>
    <w:rsid w:val="1E006F84"/>
    <w:rsid w:val="1E3BD04F"/>
    <w:rsid w:val="1E48391A"/>
    <w:rsid w:val="1E5FA924"/>
    <w:rsid w:val="1E644589"/>
    <w:rsid w:val="1E65D1D6"/>
    <w:rsid w:val="1E7F5EC3"/>
    <w:rsid w:val="1ECBD314"/>
    <w:rsid w:val="1ED2FD69"/>
    <w:rsid w:val="1EE647A4"/>
    <w:rsid w:val="1F2F2620"/>
    <w:rsid w:val="1F30E759"/>
    <w:rsid w:val="1F64B1E0"/>
    <w:rsid w:val="1F758765"/>
    <w:rsid w:val="1F79A1FE"/>
    <w:rsid w:val="1F9E132A"/>
    <w:rsid w:val="1FFC6772"/>
    <w:rsid w:val="1FFF7F3A"/>
    <w:rsid w:val="202977F9"/>
    <w:rsid w:val="209B85EC"/>
    <w:rsid w:val="20C021A3"/>
    <w:rsid w:val="210BC3A2"/>
    <w:rsid w:val="2118FF2F"/>
    <w:rsid w:val="217FF40A"/>
    <w:rsid w:val="219F0F67"/>
    <w:rsid w:val="221E861C"/>
    <w:rsid w:val="22352E62"/>
    <w:rsid w:val="2267BDD2"/>
    <w:rsid w:val="227F1E42"/>
    <w:rsid w:val="22A79403"/>
    <w:rsid w:val="22B142C0"/>
    <w:rsid w:val="22C025E4"/>
    <w:rsid w:val="22CD222D"/>
    <w:rsid w:val="22D4AA4D"/>
    <w:rsid w:val="2341923E"/>
    <w:rsid w:val="235609C2"/>
    <w:rsid w:val="2359521C"/>
    <w:rsid w:val="236E71E4"/>
    <w:rsid w:val="237B0821"/>
    <w:rsid w:val="23A80B90"/>
    <w:rsid w:val="23BB05F0"/>
    <w:rsid w:val="24152C64"/>
    <w:rsid w:val="2462DB22"/>
    <w:rsid w:val="2465631E"/>
    <w:rsid w:val="2490E0A8"/>
    <w:rsid w:val="24A1DE56"/>
    <w:rsid w:val="24D2C787"/>
    <w:rsid w:val="24E225E3"/>
    <w:rsid w:val="25449D06"/>
    <w:rsid w:val="25458935"/>
    <w:rsid w:val="256373FB"/>
    <w:rsid w:val="25AFAEBB"/>
    <w:rsid w:val="25C0B258"/>
    <w:rsid w:val="25CE5D6E"/>
    <w:rsid w:val="25EF00EA"/>
    <w:rsid w:val="262F43D0"/>
    <w:rsid w:val="262FE9B7"/>
    <w:rsid w:val="26652A71"/>
    <w:rsid w:val="26823867"/>
    <w:rsid w:val="26825162"/>
    <w:rsid w:val="2692420A"/>
    <w:rsid w:val="26C4D462"/>
    <w:rsid w:val="26FC26E7"/>
    <w:rsid w:val="27066799"/>
    <w:rsid w:val="27DDB3AD"/>
    <w:rsid w:val="2940EEC6"/>
    <w:rsid w:val="29771111"/>
    <w:rsid w:val="29FFBA2E"/>
    <w:rsid w:val="2A22DEA5"/>
    <w:rsid w:val="2A471D72"/>
    <w:rsid w:val="2A831FDE"/>
    <w:rsid w:val="2AB10D40"/>
    <w:rsid w:val="2BB98D22"/>
    <w:rsid w:val="2C1EF03F"/>
    <w:rsid w:val="2C74A64C"/>
    <w:rsid w:val="2CF192E6"/>
    <w:rsid w:val="2CF2331E"/>
    <w:rsid w:val="2DC7388E"/>
    <w:rsid w:val="2DCD9B78"/>
    <w:rsid w:val="2DFABD1B"/>
    <w:rsid w:val="2E0BDD55"/>
    <w:rsid w:val="2E2A2CA2"/>
    <w:rsid w:val="2E3B2C57"/>
    <w:rsid w:val="2E3B4A11"/>
    <w:rsid w:val="2E488B74"/>
    <w:rsid w:val="2E664403"/>
    <w:rsid w:val="2E70C2D2"/>
    <w:rsid w:val="2E9D7013"/>
    <w:rsid w:val="2F232BA7"/>
    <w:rsid w:val="2F6308EF"/>
    <w:rsid w:val="2F767728"/>
    <w:rsid w:val="2F7BB6C7"/>
    <w:rsid w:val="2FB118CC"/>
    <w:rsid w:val="3029D3E0"/>
    <w:rsid w:val="30482266"/>
    <w:rsid w:val="30EE1FC6"/>
    <w:rsid w:val="315A98E8"/>
    <w:rsid w:val="317590D9"/>
    <w:rsid w:val="31D87553"/>
    <w:rsid w:val="31DC2E1D"/>
    <w:rsid w:val="3207A9B3"/>
    <w:rsid w:val="327EFE5D"/>
    <w:rsid w:val="32961F49"/>
    <w:rsid w:val="3329DE39"/>
    <w:rsid w:val="3342D0A1"/>
    <w:rsid w:val="334B9AFF"/>
    <w:rsid w:val="334E4D63"/>
    <w:rsid w:val="33B9C553"/>
    <w:rsid w:val="33CC9D2E"/>
    <w:rsid w:val="34009A05"/>
    <w:rsid w:val="340FFF0A"/>
    <w:rsid w:val="343B8770"/>
    <w:rsid w:val="345BBDAC"/>
    <w:rsid w:val="3478F9D2"/>
    <w:rsid w:val="347BB33D"/>
    <w:rsid w:val="348034C4"/>
    <w:rsid w:val="34900297"/>
    <w:rsid w:val="34B729BA"/>
    <w:rsid w:val="3575A4D8"/>
    <w:rsid w:val="35A838FE"/>
    <w:rsid w:val="35CFC98B"/>
    <w:rsid w:val="3626A329"/>
    <w:rsid w:val="36A84F27"/>
    <w:rsid w:val="36AF9F40"/>
    <w:rsid w:val="36B12988"/>
    <w:rsid w:val="37154B80"/>
    <w:rsid w:val="371D1669"/>
    <w:rsid w:val="3738FB9B"/>
    <w:rsid w:val="3769906C"/>
    <w:rsid w:val="377CFDF5"/>
    <w:rsid w:val="3781BF08"/>
    <w:rsid w:val="38AA1FE2"/>
    <w:rsid w:val="39076A4D"/>
    <w:rsid w:val="390DD5EC"/>
    <w:rsid w:val="396373BA"/>
    <w:rsid w:val="399D7D4F"/>
    <w:rsid w:val="3A1A7BC0"/>
    <w:rsid w:val="3A5E5197"/>
    <w:rsid w:val="3A6346A1"/>
    <w:rsid w:val="3AA7A424"/>
    <w:rsid w:val="3AC63428"/>
    <w:rsid w:val="3AD74A2B"/>
    <w:rsid w:val="3AE7A4BD"/>
    <w:rsid w:val="3B09E086"/>
    <w:rsid w:val="3BDD96D4"/>
    <w:rsid w:val="3C3F0B0F"/>
    <w:rsid w:val="3C5E0508"/>
    <w:rsid w:val="3CA4C92C"/>
    <w:rsid w:val="3CB8C097"/>
    <w:rsid w:val="3CD51E11"/>
    <w:rsid w:val="3CF0DE1B"/>
    <w:rsid w:val="3D0C02E8"/>
    <w:rsid w:val="3D154F2E"/>
    <w:rsid w:val="3D25FD9A"/>
    <w:rsid w:val="3D89D3CA"/>
    <w:rsid w:val="3DC00536"/>
    <w:rsid w:val="3DC52A55"/>
    <w:rsid w:val="3DF9D569"/>
    <w:rsid w:val="3E639999"/>
    <w:rsid w:val="3E6AC754"/>
    <w:rsid w:val="3E74E300"/>
    <w:rsid w:val="3E998C1D"/>
    <w:rsid w:val="3EB7796D"/>
    <w:rsid w:val="3F6DC284"/>
    <w:rsid w:val="3FB86A50"/>
    <w:rsid w:val="400697B5"/>
    <w:rsid w:val="40297D9D"/>
    <w:rsid w:val="4076760C"/>
    <w:rsid w:val="40D6823B"/>
    <w:rsid w:val="40EC33DB"/>
    <w:rsid w:val="40FCF350"/>
    <w:rsid w:val="414C5E89"/>
    <w:rsid w:val="41D2EF11"/>
    <w:rsid w:val="41F8A2CE"/>
    <w:rsid w:val="41FA447D"/>
    <w:rsid w:val="42707016"/>
    <w:rsid w:val="427B7B87"/>
    <w:rsid w:val="42B5C269"/>
    <w:rsid w:val="42C47C5B"/>
    <w:rsid w:val="43329638"/>
    <w:rsid w:val="433C4BB0"/>
    <w:rsid w:val="433F6A8B"/>
    <w:rsid w:val="434793F6"/>
    <w:rsid w:val="43B96039"/>
    <w:rsid w:val="43C44AAF"/>
    <w:rsid w:val="43C9962B"/>
    <w:rsid w:val="43FAD03B"/>
    <w:rsid w:val="4409640A"/>
    <w:rsid w:val="445192CA"/>
    <w:rsid w:val="44A54D4A"/>
    <w:rsid w:val="44CB9634"/>
    <w:rsid w:val="44EAF292"/>
    <w:rsid w:val="44F2BE9D"/>
    <w:rsid w:val="46099E24"/>
    <w:rsid w:val="461C18FD"/>
    <w:rsid w:val="467303D6"/>
    <w:rsid w:val="470B7214"/>
    <w:rsid w:val="47176189"/>
    <w:rsid w:val="478162C8"/>
    <w:rsid w:val="47AA53D8"/>
    <w:rsid w:val="47B28476"/>
    <w:rsid w:val="47C6B542"/>
    <w:rsid w:val="47C775A0"/>
    <w:rsid w:val="47DCEE0C"/>
    <w:rsid w:val="47E88F9E"/>
    <w:rsid w:val="47F42166"/>
    <w:rsid w:val="48362220"/>
    <w:rsid w:val="48686C63"/>
    <w:rsid w:val="48D85344"/>
    <w:rsid w:val="493510B9"/>
    <w:rsid w:val="493C2E01"/>
    <w:rsid w:val="4949ACBD"/>
    <w:rsid w:val="494E54D7"/>
    <w:rsid w:val="4982E5D0"/>
    <w:rsid w:val="49C4C988"/>
    <w:rsid w:val="4A468C4D"/>
    <w:rsid w:val="4A7546CD"/>
    <w:rsid w:val="4AC284A7"/>
    <w:rsid w:val="4B289A0C"/>
    <w:rsid w:val="4B3AD7B8"/>
    <w:rsid w:val="4B9D0925"/>
    <w:rsid w:val="4BCB2455"/>
    <w:rsid w:val="4BDF6F10"/>
    <w:rsid w:val="4C046A08"/>
    <w:rsid w:val="4C681A9C"/>
    <w:rsid w:val="4C9A9FBB"/>
    <w:rsid w:val="4CBBBA0F"/>
    <w:rsid w:val="4CC18FF0"/>
    <w:rsid w:val="4D2B657C"/>
    <w:rsid w:val="4D2DBFEF"/>
    <w:rsid w:val="4D5D45F9"/>
    <w:rsid w:val="4D6D28F7"/>
    <w:rsid w:val="4DA901E0"/>
    <w:rsid w:val="4DBAA5EB"/>
    <w:rsid w:val="4DE33BA5"/>
    <w:rsid w:val="4E211129"/>
    <w:rsid w:val="4E41F2A7"/>
    <w:rsid w:val="4EAABFCC"/>
    <w:rsid w:val="4ED2C7C1"/>
    <w:rsid w:val="4F1A68B0"/>
    <w:rsid w:val="4F75A64F"/>
    <w:rsid w:val="4FC1058A"/>
    <w:rsid w:val="4FCF45F9"/>
    <w:rsid w:val="50479A4E"/>
    <w:rsid w:val="5054363D"/>
    <w:rsid w:val="50583A43"/>
    <w:rsid w:val="50850874"/>
    <w:rsid w:val="5090063B"/>
    <w:rsid w:val="50EFCE31"/>
    <w:rsid w:val="5117AB76"/>
    <w:rsid w:val="5121682C"/>
    <w:rsid w:val="51D76E0B"/>
    <w:rsid w:val="5220D8D5"/>
    <w:rsid w:val="5230B71C"/>
    <w:rsid w:val="52482047"/>
    <w:rsid w:val="529DAE4A"/>
    <w:rsid w:val="52AD80E7"/>
    <w:rsid w:val="52E10EE7"/>
    <w:rsid w:val="536CC5CC"/>
    <w:rsid w:val="537E30EF"/>
    <w:rsid w:val="539D8210"/>
    <w:rsid w:val="539F0AF3"/>
    <w:rsid w:val="53BCA936"/>
    <w:rsid w:val="53D2CD30"/>
    <w:rsid w:val="5406E7CA"/>
    <w:rsid w:val="54241406"/>
    <w:rsid w:val="542A9700"/>
    <w:rsid w:val="54351DF5"/>
    <w:rsid w:val="54557186"/>
    <w:rsid w:val="54843D7D"/>
    <w:rsid w:val="55723419"/>
    <w:rsid w:val="55B125D7"/>
    <w:rsid w:val="55CBF94C"/>
    <w:rsid w:val="55D7A254"/>
    <w:rsid w:val="561297B8"/>
    <w:rsid w:val="561EE5C5"/>
    <w:rsid w:val="56437A4A"/>
    <w:rsid w:val="5648407B"/>
    <w:rsid w:val="5696B7A8"/>
    <w:rsid w:val="56AF4AB6"/>
    <w:rsid w:val="56C0DB66"/>
    <w:rsid w:val="570CD75D"/>
    <w:rsid w:val="570FF29C"/>
    <w:rsid w:val="5736D46E"/>
    <w:rsid w:val="5744D785"/>
    <w:rsid w:val="576237C2"/>
    <w:rsid w:val="579D590D"/>
    <w:rsid w:val="57A89D4F"/>
    <w:rsid w:val="57AE6819"/>
    <w:rsid w:val="57BAB626"/>
    <w:rsid w:val="57C86528"/>
    <w:rsid w:val="57CB10B8"/>
    <w:rsid w:val="583E046F"/>
    <w:rsid w:val="58437448"/>
    <w:rsid w:val="584B1B17"/>
    <w:rsid w:val="59551962"/>
    <w:rsid w:val="5966E119"/>
    <w:rsid w:val="596CAAA8"/>
    <w:rsid w:val="59872508"/>
    <w:rsid w:val="5996B142"/>
    <w:rsid w:val="59B03B03"/>
    <w:rsid w:val="59DF44A9"/>
    <w:rsid w:val="59E6BBEA"/>
    <w:rsid w:val="59FBD719"/>
    <w:rsid w:val="5A50C08D"/>
    <w:rsid w:val="5A59C3B4"/>
    <w:rsid w:val="5AA015B7"/>
    <w:rsid w:val="5AA89650"/>
    <w:rsid w:val="5AE608DB"/>
    <w:rsid w:val="5B56BA01"/>
    <w:rsid w:val="5B5F0CD7"/>
    <w:rsid w:val="5B90F47B"/>
    <w:rsid w:val="5BD4C80D"/>
    <w:rsid w:val="5BEB7D01"/>
    <w:rsid w:val="5C08C18E"/>
    <w:rsid w:val="5C7B5637"/>
    <w:rsid w:val="5CE7DBC5"/>
    <w:rsid w:val="5D2BA3C4"/>
    <w:rsid w:val="5E211F47"/>
    <w:rsid w:val="5E6DCDD6"/>
    <w:rsid w:val="5E8BFB2F"/>
    <w:rsid w:val="5E9089CA"/>
    <w:rsid w:val="5EAC4EC0"/>
    <w:rsid w:val="5EE78F36"/>
    <w:rsid w:val="5F3B32C5"/>
    <w:rsid w:val="5F406250"/>
    <w:rsid w:val="5F45F1E0"/>
    <w:rsid w:val="5F69EB01"/>
    <w:rsid w:val="5F962204"/>
    <w:rsid w:val="5F9F556C"/>
    <w:rsid w:val="5FC7E436"/>
    <w:rsid w:val="5FC985E5"/>
    <w:rsid w:val="600BAC35"/>
    <w:rsid w:val="60385328"/>
    <w:rsid w:val="603A01E6"/>
    <w:rsid w:val="604BFE8A"/>
    <w:rsid w:val="60DAB2E6"/>
    <w:rsid w:val="6123164B"/>
    <w:rsid w:val="6134FEC5"/>
    <w:rsid w:val="6161986C"/>
    <w:rsid w:val="617054CF"/>
    <w:rsid w:val="61B914FC"/>
    <w:rsid w:val="61F2F753"/>
    <w:rsid w:val="61FAEEF3"/>
    <w:rsid w:val="621F38AC"/>
    <w:rsid w:val="627DEBCC"/>
    <w:rsid w:val="62B75EE4"/>
    <w:rsid w:val="634AFEBA"/>
    <w:rsid w:val="63590162"/>
    <w:rsid w:val="63992223"/>
    <w:rsid w:val="63BB0059"/>
    <w:rsid w:val="63DC321B"/>
    <w:rsid w:val="640D3DDD"/>
    <w:rsid w:val="64532F45"/>
    <w:rsid w:val="6468F534"/>
    <w:rsid w:val="646A798F"/>
    <w:rsid w:val="64738602"/>
    <w:rsid w:val="6499392E"/>
    <w:rsid w:val="64DEBC8A"/>
    <w:rsid w:val="65AC3F4B"/>
    <w:rsid w:val="668562E2"/>
    <w:rsid w:val="66C21DB9"/>
    <w:rsid w:val="66F570E2"/>
    <w:rsid w:val="672799F9"/>
    <w:rsid w:val="67FA2013"/>
    <w:rsid w:val="69777FF1"/>
    <w:rsid w:val="69D59E42"/>
    <w:rsid w:val="6A0BF9BD"/>
    <w:rsid w:val="6A1319B7"/>
    <w:rsid w:val="6A16ACAC"/>
    <w:rsid w:val="6A2C4214"/>
    <w:rsid w:val="6A606D44"/>
    <w:rsid w:val="6A707254"/>
    <w:rsid w:val="6BFAFE19"/>
    <w:rsid w:val="6C594C20"/>
    <w:rsid w:val="6C86C63C"/>
    <w:rsid w:val="6C8CFC77"/>
    <w:rsid w:val="6CD5934F"/>
    <w:rsid w:val="6CE364FC"/>
    <w:rsid w:val="6CED1EC7"/>
    <w:rsid w:val="6D05ED15"/>
    <w:rsid w:val="6D4335D8"/>
    <w:rsid w:val="6D8F35A3"/>
    <w:rsid w:val="6DDC8B9C"/>
    <w:rsid w:val="6E2AABE1"/>
    <w:rsid w:val="6E774C6A"/>
    <w:rsid w:val="6E895C22"/>
    <w:rsid w:val="6E90131F"/>
    <w:rsid w:val="6E905821"/>
    <w:rsid w:val="6ECF2C3D"/>
    <w:rsid w:val="6F19138F"/>
    <w:rsid w:val="6F1A84B7"/>
    <w:rsid w:val="6F24A461"/>
    <w:rsid w:val="6F35FA92"/>
    <w:rsid w:val="6F66F823"/>
    <w:rsid w:val="6F811A45"/>
    <w:rsid w:val="6FF70824"/>
    <w:rsid w:val="6FFAE95C"/>
    <w:rsid w:val="702860A4"/>
    <w:rsid w:val="704F59AB"/>
    <w:rsid w:val="7064453A"/>
    <w:rsid w:val="713449FA"/>
    <w:rsid w:val="7170B0AE"/>
    <w:rsid w:val="71B9D47A"/>
    <w:rsid w:val="71CAE830"/>
    <w:rsid w:val="724608BF"/>
    <w:rsid w:val="726F60B9"/>
    <w:rsid w:val="72977FC0"/>
    <w:rsid w:val="729791A2"/>
    <w:rsid w:val="72E5E750"/>
    <w:rsid w:val="72EBD416"/>
    <w:rsid w:val="7334C7F1"/>
    <w:rsid w:val="7358C45C"/>
    <w:rsid w:val="737E6F0D"/>
    <w:rsid w:val="738D5CAE"/>
    <w:rsid w:val="73CA2155"/>
    <w:rsid w:val="73EAC2AF"/>
    <w:rsid w:val="7416211D"/>
    <w:rsid w:val="74209E59"/>
    <w:rsid w:val="744F8BED"/>
    <w:rsid w:val="746BEABC"/>
    <w:rsid w:val="752EE187"/>
    <w:rsid w:val="75405F2F"/>
    <w:rsid w:val="75545F2E"/>
    <w:rsid w:val="755A5187"/>
    <w:rsid w:val="75889634"/>
    <w:rsid w:val="759C9344"/>
    <w:rsid w:val="75B2B272"/>
    <w:rsid w:val="76655FDA"/>
    <w:rsid w:val="767C6102"/>
    <w:rsid w:val="76DC2F90"/>
    <w:rsid w:val="76E820F2"/>
    <w:rsid w:val="76F92E48"/>
    <w:rsid w:val="7711E9AB"/>
    <w:rsid w:val="7725C7EF"/>
    <w:rsid w:val="7798530C"/>
    <w:rsid w:val="77A87ED9"/>
    <w:rsid w:val="77BEA746"/>
    <w:rsid w:val="7801303B"/>
    <w:rsid w:val="78318846"/>
    <w:rsid w:val="7835C438"/>
    <w:rsid w:val="783A33EA"/>
    <w:rsid w:val="78AC2E93"/>
    <w:rsid w:val="78BE33D2"/>
    <w:rsid w:val="78D818C3"/>
    <w:rsid w:val="7952F737"/>
    <w:rsid w:val="795C0782"/>
    <w:rsid w:val="79F4D1A3"/>
    <w:rsid w:val="7A4F864D"/>
    <w:rsid w:val="7AAAD274"/>
    <w:rsid w:val="7ABFD1BC"/>
    <w:rsid w:val="7BCE819A"/>
    <w:rsid w:val="7BD9FBD4"/>
    <w:rsid w:val="7BF03971"/>
    <w:rsid w:val="7BF5A1C3"/>
    <w:rsid w:val="7C0225C2"/>
    <w:rsid w:val="7C173BD1"/>
    <w:rsid w:val="7C26FA06"/>
    <w:rsid w:val="7C46A2D5"/>
    <w:rsid w:val="7C4EB14D"/>
    <w:rsid w:val="7C51EF99"/>
    <w:rsid w:val="7C52921F"/>
    <w:rsid w:val="7C858D63"/>
    <w:rsid w:val="7C88798A"/>
    <w:rsid w:val="7CF98D59"/>
    <w:rsid w:val="7D75CC35"/>
    <w:rsid w:val="7D75F50B"/>
    <w:rsid w:val="7D97259E"/>
    <w:rsid w:val="7E8BB480"/>
    <w:rsid w:val="7EB2093D"/>
    <w:rsid w:val="7EC464CB"/>
    <w:rsid w:val="7ECDF55A"/>
    <w:rsid w:val="7EF5D4A5"/>
    <w:rsid w:val="7F119C96"/>
    <w:rsid w:val="7F355497"/>
    <w:rsid w:val="7FF319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B32F"/>
  <w15:chartTrackingRefBased/>
  <w15:docId w15:val="{67678BB2-DCB0-4041-BBF4-38917B62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41"/>
  </w:style>
  <w:style w:type="paragraph" w:styleId="Heading1">
    <w:name w:val="heading 1"/>
    <w:basedOn w:val="Normal"/>
    <w:next w:val="Normal"/>
    <w:link w:val="Heading1Char"/>
    <w:uiPriority w:val="9"/>
    <w:qFormat/>
    <w:rsid w:val="00EA5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5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20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52C8"/>
    <w:pPr>
      <w:keepNext/>
      <w:keepLines/>
      <w:spacing w:before="40" w:after="0"/>
      <w:outlineLvl w:val="3"/>
    </w:pPr>
    <w:rPr>
      <w:rFonts w:asciiTheme="majorHAnsi" w:eastAsiaTheme="majorEastAsia" w:hAnsiTheme="majorHAnsi" w:cstheme="majorBidi"/>
      <w:i/>
      <w:iCs/>
      <w:color w:val="2F5496" w:themeColor="accent1" w:themeShade="BF"/>
      <w:lang w:eastAsia="en-ID"/>
    </w:rPr>
  </w:style>
  <w:style w:type="paragraph" w:styleId="Heading5">
    <w:name w:val="heading 5"/>
    <w:basedOn w:val="Normal"/>
    <w:next w:val="Normal"/>
    <w:link w:val="Heading5Char"/>
    <w:uiPriority w:val="9"/>
    <w:unhideWhenUsed/>
    <w:qFormat/>
    <w:rsid w:val="002B5910"/>
    <w:pPr>
      <w:keepNext/>
      <w:keepLines/>
      <w:spacing w:before="40" w:after="0"/>
      <w:outlineLvl w:val="4"/>
    </w:pPr>
    <w:rPr>
      <w:rFonts w:asciiTheme="majorHAnsi" w:eastAsiaTheme="majorEastAsia" w:hAnsiTheme="majorHAnsi" w:cstheme="majorBidi"/>
      <w:color w:val="2F5496" w:themeColor="accent1" w:themeShade="BF"/>
      <w:kern w:val="2"/>
      <w14:ligatures w14:val="standardContextual"/>
    </w:rPr>
  </w:style>
  <w:style w:type="paragraph" w:styleId="Heading6">
    <w:name w:val="heading 6"/>
    <w:basedOn w:val="Normal"/>
    <w:next w:val="Normal"/>
    <w:link w:val="Heading6Char"/>
    <w:uiPriority w:val="9"/>
    <w:unhideWhenUsed/>
    <w:qFormat/>
    <w:rsid w:val="0085596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5FE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A5F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2024"/>
    <w:rPr>
      <w:rFonts w:asciiTheme="majorHAnsi" w:eastAsiaTheme="majorEastAsia" w:hAnsiTheme="majorHAnsi" w:cstheme="majorBidi"/>
      <w:color w:val="1F3763" w:themeColor="accent1" w:themeShade="7F"/>
      <w:sz w:val="24"/>
      <w:szCs w:val="24"/>
    </w:rPr>
  </w:style>
  <w:style w:type="paragraph" w:styleId="ListParagraph">
    <w:name w:val="List Paragraph"/>
    <w:aliases w:val="Dot pt,F5 List Paragraph,List Paragraph1,No Spacing1,List Paragraph Char Char Char,Indicator Text,Numbered Para 1,Recommendation,List Paragraph11,List Paragraph2,Bulit List -  Paragraph,Main numbered paragraph,Numbered List Paragraph,L"/>
    <w:basedOn w:val="Normal"/>
    <w:link w:val="ListParagraphChar"/>
    <w:uiPriority w:val="34"/>
    <w:qFormat/>
    <w:rsid w:val="00332024"/>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05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2C8"/>
  </w:style>
  <w:style w:type="paragraph" w:styleId="Footer">
    <w:name w:val="footer"/>
    <w:basedOn w:val="Normal"/>
    <w:link w:val="FooterChar"/>
    <w:uiPriority w:val="99"/>
    <w:unhideWhenUsed/>
    <w:rsid w:val="00A05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2C8"/>
  </w:style>
  <w:style w:type="character" w:customStyle="1" w:styleId="Heading4Char">
    <w:name w:val="Heading 4 Char"/>
    <w:basedOn w:val="DefaultParagraphFont"/>
    <w:link w:val="Heading4"/>
    <w:uiPriority w:val="9"/>
    <w:rsid w:val="00A052C8"/>
    <w:rPr>
      <w:rFonts w:asciiTheme="majorHAnsi" w:eastAsiaTheme="majorEastAsia" w:hAnsiTheme="majorHAnsi" w:cstheme="majorBidi"/>
      <w:i/>
      <w:iCs/>
      <w:color w:val="2F5496" w:themeColor="accent1" w:themeShade="BF"/>
      <w:lang w:eastAsia="en-ID"/>
    </w:rPr>
  </w:style>
  <w:style w:type="character" w:styleId="FootnoteReference">
    <w:name w:val="footnote reference"/>
    <w:basedOn w:val="DefaultParagraphFont"/>
    <w:uiPriority w:val="99"/>
    <w:semiHidden/>
    <w:unhideWhenUsed/>
    <w:rsid w:val="00A052C8"/>
    <w:rPr>
      <w:vertAlign w:val="superscript"/>
    </w:rPr>
  </w:style>
  <w:style w:type="paragraph" w:styleId="FootnoteText">
    <w:name w:val="footnote text"/>
    <w:basedOn w:val="Normal"/>
    <w:link w:val="FootnoteTextChar"/>
    <w:uiPriority w:val="99"/>
    <w:semiHidden/>
    <w:unhideWhenUsed/>
    <w:rsid w:val="00A05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2C8"/>
    <w:rPr>
      <w:sz w:val="20"/>
      <w:szCs w:val="20"/>
    </w:rPr>
  </w:style>
  <w:style w:type="character" w:styleId="UnresolvedMention">
    <w:name w:val="Unresolved Mention"/>
    <w:basedOn w:val="DefaultParagraphFont"/>
    <w:uiPriority w:val="99"/>
    <w:semiHidden/>
    <w:unhideWhenUsed/>
    <w:rsid w:val="00A8338D"/>
    <w:rPr>
      <w:color w:val="605E5C"/>
      <w:shd w:val="clear" w:color="auto" w:fill="E1DFDD"/>
    </w:rPr>
  </w:style>
  <w:style w:type="character" w:customStyle="1" w:styleId="normaltextrun">
    <w:name w:val="normaltextrun"/>
    <w:basedOn w:val="DefaultParagraphFont"/>
    <w:rsid w:val="00892420"/>
  </w:style>
  <w:style w:type="table" w:styleId="TableGrid">
    <w:name w:val="Table Grid"/>
    <w:basedOn w:val="TableNormal"/>
    <w:uiPriority w:val="39"/>
    <w:rsid w:val="00892420"/>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99"/>
    <w:rsid w:val="00892420"/>
    <w:pPr>
      <w:spacing w:after="0" w:line="240" w:lineRule="auto"/>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892420"/>
    <w:rPr>
      <w:b/>
      <w:bCs/>
      <w:noProof/>
      <w:lang w:val="id-ID"/>
    </w:rPr>
  </w:style>
  <w:style w:type="character" w:customStyle="1" w:styleId="CommentSubjectChar">
    <w:name w:val="Comment Subject Char"/>
    <w:basedOn w:val="CommentTextChar"/>
    <w:link w:val="CommentSubject"/>
    <w:uiPriority w:val="99"/>
    <w:semiHidden/>
    <w:rsid w:val="00892420"/>
    <w:rPr>
      <w:b/>
      <w:bCs/>
      <w:noProof/>
      <w:sz w:val="20"/>
      <w:szCs w:val="20"/>
      <w:lang w:val="id-ID"/>
    </w:rPr>
  </w:style>
  <w:style w:type="paragraph" w:customStyle="1" w:styleId="paragraph">
    <w:name w:val="paragraph"/>
    <w:basedOn w:val="Normal"/>
    <w:rsid w:val="0089242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eop">
    <w:name w:val="eop"/>
    <w:basedOn w:val="DefaultParagraphFont"/>
    <w:rsid w:val="00892420"/>
  </w:style>
  <w:style w:type="paragraph" w:styleId="Revision">
    <w:name w:val="Revision"/>
    <w:hidden/>
    <w:uiPriority w:val="99"/>
    <w:semiHidden/>
    <w:rsid w:val="00892420"/>
    <w:pPr>
      <w:spacing w:after="0" w:line="240" w:lineRule="auto"/>
    </w:pPr>
    <w:rPr>
      <w:noProof/>
      <w:lang w:val="id-ID"/>
    </w:rPr>
  </w:style>
  <w:style w:type="character" w:customStyle="1" w:styleId="DOSISMED9PT">
    <w:name w:val="DOSIS MED 9PT"/>
    <w:basedOn w:val="DefaultParagraphFont"/>
    <w:uiPriority w:val="1"/>
    <w:qFormat/>
    <w:rsid w:val="00892420"/>
    <w:rPr>
      <w:rFonts w:ascii="Dosis Medium" w:eastAsia="Calibri" w:hAnsi="Dosis Medium"/>
      <w:bCs/>
    </w:rPr>
  </w:style>
  <w:style w:type="paragraph" w:customStyle="1" w:styleId="Bullet1">
    <w:name w:val="Bullet 1"/>
    <w:basedOn w:val="Normal"/>
    <w:uiPriority w:val="1"/>
    <w:qFormat/>
    <w:rsid w:val="00221609"/>
    <w:pPr>
      <w:numPr>
        <w:numId w:val="1"/>
      </w:numPr>
      <w:tabs>
        <w:tab w:val="left" w:pos="567"/>
        <w:tab w:val="num" w:pos="284"/>
      </w:tabs>
      <w:spacing w:before="60" w:after="60" w:line="260" w:lineRule="atLeast"/>
      <w:ind w:left="284" w:hanging="284"/>
    </w:pPr>
    <w:rPr>
      <w:rFonts w:ascii="Calibri" w:eastAsia="Calibri" w:hAnsi="Calibri" w:cs="Calibri"/>
      <w:color w:val="44546A" w:themeColor="text2"/>
      <w:lang w:val="en-GB" w:eastAsia="en-ID"/>
    </w:rPr>
  </w:style>
  <w:style w:type="numbering" w:customStyle="1" w:styleId="CurrentList1">
    <w:name w:val="Current List1"/>
    <w:uiPriority w:val="99"/>
    <w:rsid w:val="00B93ECB"/>
    <w:pPr>
      <w:numPr>
        <w:numId w:val="5"/>
      </w:numPr>
    </w:pPr>
  </w:style>
  <w:style w:type="paragraph" w:customStyle="1" w:styleId="TABLETEXT">
    <w:name w:val="TABLE TEXT"/>
    <w:basedOn w:val="BodyText"/>
    <w:link w:val="TABLETEXTChar"/>
    <w:qFormat/>
    <w:rsid w:val="00033927"/>
    <w:pPr>
      <w:spacing w:after="0" w:line="240" w:lineRule="auto"/>
    </w:pPr>
    <w:rPr>
      <w:rFonts w:eastAsia="Times New Roman" w:cs="Times New Roman"/>
      <w:sz w:val="18"/>
      <w:szCs w:val="18"/>
      <w:lang w:eastAsia="en-AU"/>
    </w:rPr>
  </w:style>
  <w:style w:type="character" w:customStyle="1" w:styleId="TABLETEXTChar">
    <w:name w:val="TABLE TEXT Char"/>
    <w:basedOn w:val="BodyTextChar"/>
    <w:link w:val="TABLETEXT"/>
    <w:rsid w:val="00033927"/>
    <w:rPr>
      <w:rFonts w:eastAsia="Times New Roman" w:cs="Times New Roman"/>
      <w:sz w:val="18"/>
      <w:szCs w:val="18"/>
      <w:lang w:eastAsia="en-AU"/>
    </w:rPr>
  </w:style>
  <w:style w:type="paragraph" w:customStyle="1" w:styleId="TableText0">
    <w:name w:val="Table Text"/>
    <w:basedOn w:val="BodyText"/>
    <w:link w:val="TableTextChar0"/>
    <w:uiPriority w:val="99"/>
    <w:qFormat/>
    <w:rsid w:val="00033927"/>
    <w:pPr>
      <w:spacing w:after="40" w:line="240" w:lineRule="auto"/>
    </w:pPr>
    <w:rPr>
      <w:rFonts w:eastAsia="Times New Roman" w:cs="Times New Roman"/>
      <w:sz w:val="16"/>
      <w:lang w:eastAsia="en-AU"/>
    </w:rPr>
  </w:style>
  <w:style w:type="character" w:customStyle="1" w:styleId="TableTextChar0">
    <w:name w:val="Table Text Char"/>
    <w:basedOn w:val="DefaultParagraphFont"/>
    <w:link w:val="TableText0"/>
    <w:uiPriority w:val="99"/>
    <w:rsid w:val="00033927"/>
    <w:rPr>
      <w:rFonts w:eastAsia="Times New Roman" w:cs="Times New Roman"/>
      <w:sz w:val="16"/>
      <w:lang w:eastAsia="en-AU"/>
    </w:rPr>
  </w:style>
  <w:style w:type="paragraph" w:styleId="BodyText">
    <w:name w:val="Body Text"/>
    <w:basedOn w:val="Normal"/>
    <w:link w:val="BodyTextChar"/>
    <w:uiPriority w:val="99"/>
    <w:unhideWhenUsed/>
    <w:rsid w:val="00033927"/>
    <w:pPr>
      <w:spacing w:after="120"/>
    </w:pPr>
  </w:style>
  <w:style w:type="character" w:customStyle="1" w:styleId="BodyTextChar">
    <w:name w:val="Body Text Char"/>
    <w:basedOn w:val="DefaultParagraphFont"/>
    <w:link w:val="BodyText"/>
    <w:uiPriority w:val="99"/>
    <w:rsid w:val="00033927"/>
  </w:style>
  <w:style w:type="character" w:customStyle="1" w:styleId="Heading5Char">
    <w:name w:val="Heading 5 Char"/>
    <w:basedOn w:val="DefaultParagraphFont"/>
    <w:link w:val="Heading5"/>
    <w:uiPriority w:val="9"/>
    <w:rsid w:val="002B5910"/>
    <w:rPr>
      <w:rFonts w:asciiTheme="majorHAnsi" w:eastAsiaTheme="majorEastAsia" w:hAnsiTheme="majorHAnsi" w:cstheme="majorBidi"/>
      <w:color w:val="2F5496" w:themeColor="accent1" w:themeShade="BF"/>
      <w:kern w:val="2"/>
      <w14:ligatures w14:val="standardContextual"/>
    </w:rPr>
  </w:style>
  <w:style w:type="paragraph" w:styleId="NormalWeb">
    <w:name w:val="Normal (Web)"/>
    <w:basedOn w:val="Normal"/>
    <w:uiPriority w:val="99"/>
    <w:unhideWhenUsed/>
    <w:rsid w:val="002B59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Dot pt Char,F5 List Paragraph Char,List Paragraph1 Char,No Spacing1 Char,List Paragraph Char Char Char Char,Indicator Text Char,Numbered Para 1 Char,Recommendation Char,List Paragraph11 Char,List Paragraph2 Char,L Char"/>
    <w:basedOn w:val="DefaultParagraphFont"/>
    <w:link w:val="ListParagraph"/>
    <w:uiPriority w:val="34"/>
    <w:qFormat/>
    <w:locked/>
    <w:rsid w:val="002B5910"/>
  </w:style>
  <w:style w:type="character" w:styleId="Emphasis">
    <w:name w:val="Emphasis"/>
    <w:basedOn w:val="DefaultParagraphFont"/>
    <w:uiPriority w:val="20"/>
    <w:qFormat/>
    <w:rsid w:val="001A52A7"/>
    <w:rPr>
      <w:i/>
      <w:iCs/>
    </w:rPr>
  </w:style>
  <w:style w:type="paragraph" w:customStyle="1" w:styleId="m-1650826464676025574gmail-msolistparagraph">
    <w:name w:val="m_-1650826464676025574gmail-msolistparagraph"/>
    <w:basedOn w:val="Normal"/>
    <w:rsid w:val="00D9391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m-1650826464676025574msolistparagraph">
    <w:name w:val="m_-1650826464676025574msolistparagraph"/>
    <w:basedOn w:val="Normal"/>
    <w:rsid w:val="0022581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m-1650826464676025574gmail-normaltextrun">
    <w:name w:val="m_-1650826464676025574gmail-normaltextrun"/>
    <w:basedOn w:val="DefaultParagraphFont"/>
    <w:rsid w:val="00225812"/>
  </w:style>
  <w:style w:type="paragraph" w:styleId="TOCHeading">
    <w:name w:val="TOC Heading"/>
    <w:basedOn w:val="Heading1"/>
    <w:next w:val="Normal"/>
    <w:uiPriority w:val="39"/>
    <w:unhideWhenUsed/>
    <w:qFormat/>
    <w:rsid w:val="00252C83"/>
    <w:pPr>
      <w:spacing w:before="360" w:after="120" w:line="240" w:lineRule="auto"/>
      <w:outlineLvl w:val="9"/>
    </w:pPr>
    <w:rPr>
      <w:color w:val="4472C4" w:themeColor="accent1"/>
      <w:sz w:val="40"/>
      <w:lang w:val="en-US"/>
    </w:rPr>
  </w:style>
  <w:style w:type="paragraph" w:styleId="TOC1">
    <w:name w:val="toc 1"/>
    <w:basedOn w:val="Normal"/>
    <w:next w:val="Normal"/>
    <w:autoRedefine/>
    <w:uiPriority w:val="39"/>
    <w:unhideWhenUsed/>
    <w:rsid w:val="00B8546D"/>
    <w:pPr>
      <w:spacing w:before="120" w:after="120"/>
    </w:pPr>
    <w:rPr>
      <w:rFonts w:cstheme="minorHAnsi"/>
      <w:b/>
      <w:bCs/>
      <w:caps/>
      <w:sz w:val="20"/>
      <w:szCs w:val="20"/>
    </w:rPr>
  </w:style>
  <w:style w:type="paragraph" w:styleId="TOC2">
    <w:name w:val="toc 2"/>
    <w:basedOn w:val="Normal"/>
    <w:next w:val="Normal"/>
    <w:autoRedefine/>
    <w:uiPriority w:val="39"/>
    <w:unhideWhenUsed/>
    <w:rsid w:val="00D8360A"/>
    <w:pPr>
      <w:tabs>
        <w:tab w:val="left" w:pos="880"/>
        <w:tab w:val="right" w:leader="dot" w:pos="9016"/>
      </w:tabs>
      <w:spacing w:after="0"/>
      <w:ind w:left="220"/>
    </w:pPr>
    <w:rPr>
      <w:rFonts w:cstheme="minorHAnsi"/>
      <w:smallCaps/>
      <w:noProof/>
      <w:color w:val="000000" w:themeColor="text1"/>
      <w:sz w:val="20"/>
      <w:szCs w:val="20"/>
    </w:rPr>
  </w:style>
  <w:style w:type="paragraph" w:styleId="TOC3">
    <w:name w:val="toc 3"/>
    <w:basedOn w:val="Normal"/>
    <w:next w:val="Normal"/>
    <w:autoRedefine/>
    <w:uiPriority w:val="39"/>
    <w:unhideWhenUsed/>
    <w:rsid w:val="00D8360A"/>
    <w:pPr>
      <w:tabs>
        <w:tab w:val="left" w:pos="1100"/>
        <w:tab w:val="right" w:leader="dot" w:pos="9016"/>
      </w:tabs>
      <w:spacing w:after="0"/>
      <w:ind w:left="440"/>
    </w:pPr>
    <w:rPr>
      <w:rFonts w:eastAsiaTheme="majorEastAsia" w:cstheme="minorHAnsi"/>
      <w:i/>
      <w:iCs/>
      <w:noProof/>
      <w:sz w:val="20"/>
      <w:szCs w:val="20"/>
    </w:rPr>
  </w:style>
  <w:style w:type="paragraph" w:styleId="TOC4">
    <w:name w:val="toc 4"/>
    <w:basedOn w:val="Normal"/>
    <w:next w:val="Normal"/>
    <w:autoRedefine/>
    <w:uiPriority w:val="39"/>
    <w:unhideWhenUsed/>
    <w:rsid w:val="00B8546D"/>
    <w:pPr>
      <w:spacing w:after="0"/>
      <w:ind w:left="660"/>
    </w:pPr>
    <w:rPr>
      <w:rFonts w:cstheme="minorHAnsi"/>
      <w:sz w:val="18"/>
      <w:szCs w:val="18"/>
    </w:rPr>
  </w:style>
  <w:style w:type="paragraph" w:styleId="TOC5">
    <w:name w:val="toc 5"/>
    <w:basedOn w:val="Normal"/>
    <w:next w:val="Normal"/>
    <w:autoRedefine/>
    <w:uiPriority w:val="39"/>
    <w:unhideWhenUsed/>
    <w:rsid w:val="00B8546D"/>
    <w:pPr>
      <w:spacing w:after="0"/>
      <w:ind w:left="880"/>
    </w:pPr>
    <w:rPr>
      <w:rFonts w:cstheme="minorHAnsi"/>
      <w:sz w:val="18"/>
      <w:szCs w:val="18"/>
    </w:rPr>
  </w:style>
  <w:style w:type="paragraph" w:styleId="TOC6">
    <w:name w:val="toc 6"/>
    <w:basedOn w:val="Normal"/>
    <w:next w:val="Normal"/>
    <w:autoRedefine/>
    <w:uiPriority w:val="39"/>
    <w:unhideWhenUsed/>
    <w:rsid w:val="00B8546D"/>
    <w:pPr>
      <w:spacing w:after="0"/>
      <w:ind w:left="1100"/>
    </w:pPr>
    <w:rPr>
      <w:rFonts w:cstheme="minorHAnsi"/>
      <w:sz w:val="18"/>
      <w:szCs w:val="18"/>
    </w:rPr>
  </w:style>
  <w:style w:type="paragraph" w:styleId="TOC7">
    <w:name w:val="toc 7"/>
    <w:basedOn w:val="Normal"/>
    <w:next w:val="Normal"/>
    <w:autoRedefine/>
    <w:uiPriority w:val="39"/>
    <w:unhideWhenUsed/>
    <w:rsid w:val="00B8546D"/>
    <w:pPr>
      <w:spacing w:after="0"/>
      <w:ind w:left="1320"/>
    </w:pPr>
    <w:rPr>
      <w:rFonts w:cstheme="minorHAnsi"/>
      <w:sz w:val="18"/>
      <w:szCs w:val="18"/>
    </w:rPr>
  </w:style>
  <w:style w:type="paragraph" w:styleId="TOC8">
    <w:name w:val="toc 8"/>
    <w:basedOn w:val="Normal"/>
    <w:next w:val="Normal"/>
    <w:autoRedefine/>
    <w:uiPriority w:val="39"/>
    <w:unhideWhenUsed/>
    <w:rsid w:val="00B8546D"/>
    <w:pPr>
      <w:spacing w:after="0"/>
      <w:ind w:left="1540"/>
    </w:pPr>
    <w:rPr>
      <w:rFonts w:cstheme="minorHAnsi"/>
      <w:sz w:val="18"/>
      <w:szCs w:val="18"/>
    </w:rPr>
  </w:style>
  <w:style w:type="paragraph" w:styleId="TOC9">
    <w:name w:val="toc 9"/>
    <w:basedOn w:val="Normal"/>
    <w:next w:val="Normal"/>
    <w:autoRedefine/>
    <w:uiPriority w:val="39"/>
    <w:unhideWhenUsed/>
    <w:rsid w:val="00B8546D"/>
    <w:pPr>
      <w:spacing w:after="0"/>
      <w:ind w:left="1760"/>
    </w:pPr>
    <w:rPr>
      <w:rFonts w:cstheme="minorHAnsi"/>
      <w:sz w:val="18"/>
      <w:szCs w:val="18"/>
    </w:rPr>
  </w:style>
  <w:style w:type="character" w:customStyle="1" w:styleId="cf01">
    <w:name w:val="cf01"/>
    <w:basedOn w:val="DefaultParagraphFont"/>
    <w:rsid w:val="00D12AD9"/>
    <w:rPr>
      <w:rFonts w:ascii="Segoe UI" w:hAnsi="Segoe UI" w:cs="Segoe UI" w:hint="default"/>
      <w:sz w:val="18"/>
      <w:szCs w:val="18"/>
    </w:rPr>
  </w:style>
  <w:style w:type="character" w:customStyle="1" w:styleId="Heading6Char">
    <w:name w:val="Heading 6 Char"/>
    <w:basedOn w:val="DefaultParagraphFont"/>
    <w:link w:val="Heading6"/>
    <w:uiPriority w:val="9"/>
    <w:rsid w:val="00855967"/>
    <w:rPr>
      <w:rFonts w:asciiTheme="majorHAnsi" w:eastAsiaTheme="majorEastAsia" w:hAnsiTheme="majorHAnsi" w:cstheme="majorBidi"/>
      <w:color w:val="1F3763" w:themeColor="accent1" w:themeShade="7F"/>
    </w:rPr>
  </w:style>
  <w:style w:type="paragraph" w:styleId="NoSpacing">
    <w:name w:val="No Spacing"/>
    <w:uiPriority w:val="1"/>
    <w:qFormat/>
    <w:rsid w:val="00AA5C45"/>
    <w:pPr>
      <w:spacing w:after="0" w:line="240" w:lineRule="auto"/>
    </w:pPr>
    <w:rPr>
      <w:color w:val="44546A" w:themeColor="text2"/>
      <w:sz w:val="20"/>
      <w:szCs w:val="20"/>
      <w:lang w:val="en-US"/>
    </w:rPr>
  </w:style>
  <w:style w:type="table" w:styleId="GridTable4">
    <w:name w:val="Grid Table 4"/>
    <w:basedOn w:val="TableNormal"/>
    <w:uiPriority w:val="49"/>
    <w:rsid w:val="005B25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5B25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9330">
      <w:bodyDiv w:val="1"/>
      <w:marLeft w:val="0"/>
      <w:marRight w:val="0"/>
      <w:marTop w:val="0"/>
      <w:marBottom w:val="0"/>
      <w:divBdr>
        <w:top w:val="none" w:sz="0" w:space="0" w:color="auto"/>
        <w:left w:val="none" w:sz="0" w:space="0" w:color="auto"/>
        <w:bottom w:val="none" w:sz="0" w:space="0" w:color="auto"/>
        <w:right w:val="none" w:sz="0" w:space="0" w:color="auto"/>
      </w:divBdr>
    </w:div>
    <w:div w:id="402024537">
      <w:bodyDiv w:val="1"/>
      <w:marLeft w:val="0"/>
      <w:marRight w:val="0"/>
      <w:marTop w:val="0"/>
      <w:marBottom w:val="0"/>
      <w:divBdr>
        <w:top w:val="none" w:sz="0" w:space="0" w:color="auto"/>
        <w:left w:val="none" w:sz="0" w:space="0" w:color="auto"/>
        <w:bottom w:val="none" w:sz="0" w:space="0" w:color="auto"/>
        <w:right w:val="none" w:sz="0" w:space="0" w:color="auto"/>
      </w:divBdr>
    </w:div>
    <w:div w:id="689767956">
      <w:bodyDiv w:val="1"/>
      <w:marLeft w:val="0"/>
      <w:marRight w:val="0"/>
      <w:marTop w:val="0"/>
      <w:marBottom w:val="0"/>
      <w:divBdr>
        <w:top w:val="none" w:sz="0" w:space="0" w:color="auto"/>
        <w:left w:val="none" w:sz="0" w:space="0" w:color="auto"/>
        <w:bottom w:val="none" w:sz="0" w:space="0" w:color="auto"/>
        <w:right w:val="none" w:sz="0" w:space="0" w:color="auto"/>
      </w:divBdr>
    </w:div>
    <w:div w:id="940647798">
      <w:bodyDiv w:val="1"/>
      <w:marLeft w:val="0"/>
      <w:marRight w:val="0"/>
      <w:marTop w:val="0"/>
      <w:marBottom w:val="0"/>
      <w:divBdr>
        <w:top w:val="none" w:sz="0" w:space="0" w:color="auto"/>
        <w:left w:val="none" w:sz="0" w:space="0" w:color="auto"/>
        <w:bottom w:val="none" w:sz="0" w:space="0" w:color="auto"/>
        <w:right w:val="none" w:sz="0" w:space="0" w:color="auto"/>
      </w:divBdr>
    </w:div>
    <w:div w:id="1421944863">
      <w:bodyDiv w:val="1"/>
      <w:marLeft w:val="0"/>
      <w:marRight w:val="0"/>
      <w:marTop w:val="0"/>
      <w:marBottom w:val="0"/>
      <w:divBdr>
        <w:top w:val="none" w:sz="0" w:space="0" w:color="auto"/>
        <w:left w:val="none" w:sz="0" w:space="0" w:color="auto"/>
        <w:bottom w:val="none" w:sz="0" w:space="0" w:color="auto"/>
        <w:right w:val="none" w:sz="0" w:space="0" w:color="auto"/>
      </w:divBdr>
    </w:div>
    <w:div w:id="1651059850">
      <w:bodyDiv w:val="1"/>
      <w:marLeft w:val="0"/>
      <w:marRight w:val="0"/>
      <w:marTop w:val="0"/>
      <w:marBottom w:val="0"/>
      <w:divBdr>
        <w:top w:val="none" w:sz="0" w:space="0" w:color="auto"/>
        <w:left w:val="none" w:sz="0" w:space="0" w:color="auto"/>
        <w:bottom w:val="none" w:sz="0" w:space="0" w:color="auto"/>
        <w:right w:val="none" w:sz="0" w:space="0" w:color="auto"/>
      </w:divBdr>
    </w:div>
    <w:div w:id="19507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emlu.go.id/portal/en/read/3664/siaran_pers/joint-communiqu-indonesia-australia-annual-leaders-meeting" TargetMode="External"/><Relationship Id="rId2" Type="http://schemas.openxmlformats.org/officeDocument/2006/relationships/hyperlink" Target="https://www.thejakartapost.com/news/2020/11/23/indonesia-surpasses-half-a-million-coronavirus-cases.html" TargetMode="External"/><Relationship Id="rId1" Type="http://schemas.openxmlformats.org/officeDocument/2006/relationships/hyperlink" Target="https://www.thejakartapost.com/news/2020/04/03/indonesias-coronavirus-cases-may-reach-more-than-10%206000-by-july-according-to-spy-agency.html" TargetMode="External"/></Relationships>
</file>

<file path=word/documenttasks/documenttasks1.xml><?xml version="1.0" encoding="utf-8"?>
<t:Tasks xmlns:t="http://schemas.microsoft.com/office/tasks/2019/documenttasks" xmlns:oel="http://schemas.microsoft.com/office/2019/extlst">
  <t:Task id="{4F012AAF-9A0E-41E5-B675-1D813CA5D8CE}">
    <t:Anchor>
      <t:Comment id="210144281"/>
    </t:Anchor>
    <t:History>
      <t:Event id="{96B016D3-55C9-4B18-A3BB-EB2A6881F9B9}" time="2023-05-26T08:21:26.647Z">
        <t:Attribution userId="S::kirsty.madden@dfat.gov.au::6a076268-aab2-455e-b900-f9292ce76beb" userProvider="AD" userName="Kirsty Madden"/>
        <t:Anchor>
          <t:Comment id="210144281"/>
        </t:Anchor>
        <t:Create/>
      </t:Event>
      <t:Event id="{87681BEA-69F8-4943-8A34-6F19149A963B}" time="2023-05-26T08:21:26.647Z">
        <t:Attribution userId="S::kirsty.madden@dfat.gov.au::6a076268-aab2-455e-b900-f9292ce76beb" userProvider="AD" userName="Kirsty Madden"/>
        <t:Anchor>
          <t:Comment id="210144281"/>
        </t:Anchor>
        <t:Assign userId="S::NurArifina.Vivinia@dfat.gov.au::53108175-871a-46d6-816b-3858575cbb46" userProvider="AD" userName="Nur Arifina Vivinia"/>
      </t:Event>
      <t:Event id="{7FBE85CE-EAC6-4C8D-93DE-BAB78223C284}" time="2023-05-26T08:21:26.647Z">
        <t:Attribution userId="S::kirsty.madden@dfat.gov.au::6a076268-aab2-455e-b900-f9292ce76beb" userProvider="AD" userName="Kirsty Madden"/>
        <t:Anchor>
          <t:Comment id="210144281"/>
        </t:Anchor>
        <t:SetTitle title="@Nur Arifina Vivinia can you please double-check this"/>
      </t:Event>
    </t:History>
  </t:Task>
  <t:Task id="{EE8E58EF-7CC0-40BC-959E-B66F268C8A34}">
    <t:Anchor>
      <t:Comment id="840024557"/>
    </t:Anchor>
    <t:History>
      <t:Event id="{294D2B02-798D-4BC3-9EF5-C30962436C18}" time="2023-05-26T08:27:54.578Z">
        <t:Attribution userId="S::kirsty.madden@dfat.gov.au::6a076268-aab2-455e-b900-f9292ce76beb" userProvider="AD" userName="Kirsty Madden"/>
        <t:Anchor>
          <t:Comment id="840024557"/>
        </t:Anchor>
        <t:Create/>
      </t:Event>
      <t:Event id="{0B549A4E-9B05-40D1-B31A-F14A59BDC691}" time="2023-05-26T08:27:54.578Z">
        <t:Attribution userId="S::kirsty.madden@dfat.gov.au::6a076268-aab2-455e-b900-f9292ce76beb" userProvider="AD" userName="Kirsty Madden"/>
        <t:Anchor>
          <t:Comment id="840024557"/>
        </t:Anchor>
        <t:Assign userId="S::NurArifina.Vivinia@dfat.gov.au::53108175-871a-46d6-816b-3858575cbb46" userProvider="AD" userName="Nur Arifina Vivinia"/>
      </t:Event>
      <t:Event id="{C1631977-1342-4B65-8C0A-0409C4ACDC7A}" time="2023-05-26T08:27:54.578Z">
        <t:Attribution userId="S::kirsty.madden@dfat.gov.au::6a076268-aab2-455e-b900-f9292ce76beb" userProvider="AD" userName="Kirsty Madden"/>
        <t:Anchor>
          <t:Comment id="840024557"/>
        </t:Anchor>
        <t:SetTitle title="@Nur Arifina Vivinia this was actually at Jan I think - this looks like a direct reference to LMD. If so, can you please change to Jan as that is when the pilot reporting was shared.  Also, are these figures correct, based on the draft pilot report?"/>
      </t:Event>
      <t:Event id="{90CAB164-9B44-442C-91CF-B9B81CD80B55}" time="2023-05-29T04:54:58.248Z">
        <t:Attribution userId="S::kirsty.madden@dfat.gov.au::6a076268-aab2-455e-b900-f9292ce76beb" userProvider="AD" userName="Kirsty Madden"/>
        <t:Progress percentComplete="100"/>
      </t:Event>
    </t:History>
  </t:Task>
  <t:Task id="{6735BF29-85FB-4EEE-8908-CF6CFAB67687}">
    <t:Anchor>
      <t:Comment id="750068121"/>
    </t:Anchor>
    <t:History>
      <t:Event id="{294FB68E-CAE4-48B4-ADEF-B8172BB9BDCF}" time="2023-05-26T10:29:35.848Z">
        <t:Attribution userId="S::kirsty.madden@dfat.gov.au::6a076268-aab2-455e-b900-f9292ce76beb" userProvider="AD" userName="Kirsty Madden"/>
        <t:Anchor>
          <t:Comment id="750068121"/>
        </t:Anchor>
        <t:Create/>
      </t:Event>
      <t:Event id="{2C99ACA8-1959-4652-B7E4-0A92808D90CD}" time="2023-05-26T10:29:35.848Z">
        <t:Attribution userId="S::kirsty.madden@dfat.gov.au::6a076268-aab2-455e-b900-f9292ce76beb" userProvider="AD" userName="Kirsty Madden"/>
        <t:Anchor>
          <t:Comment id="750068121"/>
        </t:Anchor>
        <t:Assign userId="S::Enda.Pehulisa@dfat.gov.au::f306351a-56e6-4d61-b2fa-dd0849cf34ca" userProvider="AD" userName="Enda Pehulisa"/>
      </t:Event>
      <t:Event id="{96F704C5-23AE-4E7D-9FAA-20D74032A761}" time="2023-05-26T10:29:35.848Z">
        <t:Attribution userId="S::kirsty.madden@dfat.gov.au::6a076268-aab2-455e-b900-f9292ce76beb" userProvider="AD" userName="Kirsty Madden"/>
        <t:Anchor>
          <t:Comment id="750068121"/>
        </t:Anchor>
        <t:SetTitle title="@Enda Pehulisa I think this is true, can I check?"/>
      </t:Event>
    </t:History>
  </t:Task>
  <t:Task id="{C50DA8FB-6AD5-41B3-B106-E3818967DDB6}">
    <t:Anchor>
      <t:Comment id="1637693286"/>
    </t:Anchor>
    <t:History>
      <t:Event id="{59F5FD6C-87FF-46C0-BF67-BD64937A7C36}" time="2023-05-26T10:02:57.039Z">
        <t:Attribution userId="S::kirsty.madden@dfat.gov.au::6a076268-aab2-455e-b900-f9292ce76beb" userProvider="AD" userName="Kirsty Madden"/>
        <t:Anchor>
          <t:Comment id="1637693286"/>
        </t:Anchor>
        <t:Create/>
      </t:Event>
      <t:Event id="{BDC9AB87-A695-4613-AA40-3A9D19B4EF05}" time="2023-05-26T10:02:57.039Z">
        <t:Attribution userId="S::kirsty.madden@dfat.gov.au::6a076268-aab2-455e-b900-f9292ce76beb" userProvider="AD" userName="Kirsty Madden"/>
        <t:Anchor>
          <t:Comment id="1637693286"/>
        </t:Anchor>
        <t:Assign userId="S::Prudence.Borthwick@dfat.gov.au::de115756-154a-4daa-870c-026f133c2fe4" userProvider="AD" userName="Prudence Borthwick"/>
      </t:Event>
      <t:Event id="{B861FBE9-9547-4649-ABB4-132679FDA542}" time="2023-05-26T10:02:57.039Z">
        <t:Attribution userId="S::kirsty.madden@dfat.gov.au::6a076268-aab2-455e-b900-f9292ce76beb" userProvider="AD" userName="Kirsty Madden"/>
        <t:Anchor>
          <t:Comment id="1637693286"/>
        </t:Anchor>
        <t:SetTitle title="@Prudence Borthwick @Enda Pehulisa this seems reasonable?"/>
      </t:Event>
    </t:History>
  </t:Task>
  <t:Task id="{1979F681-3F18-43A7-844F-8A6CDB3EE29F}">
    <t:Anchor>
      <t:Comment id="1201253967"/>
    </t:Anchor>
    <t:History>
      <t:Event id="{0A717142-879B-40A1-9471-723DD04990EC}" time="2023-05-29T07:48:34.562Z">
        <t:Attribution userId="S::kirsty.madden@dfat.gov.au::6a076268-aab2-455e-b900-f9292ce76beb" userProvider="AD" userName="Kirsty Madden"/>
        <t:Anchor>
          <t:Comment id="1201253967"/>
        </t:Anchor>
        <t:Create/>
      </t:Event>
      <t:Event id="{808E3EB9-BA1B-4B26-8FCA-7A1DA3F19E53}" time="2023-05-29T07:48:34.562Z">
        <t:Attribution userId="S::kirsty.madden@dfat.gov.au::6a076268-aab2-455e-b900-f9292ce76beb" userProvider="AD" userName="Kirsty Madden"/>
        <t:Anchor>
          <t:Comment id="1201253967"/>
        </t:Anchor>
        <t:Assign userId="S::Enda.Pehulisa@dfat.gov.au::f306351a-56e6-4d61-b2fa-dd0849cf34ca" userProvider="AD" userName="Enda Pehulisa"/>
      </t:Event>
      <t:Event id="{276DA833-BF19-4018-9C62-01B17B48685D}" time="2023-05-29T07:48:34.562Z">
        <t:Attribution userId="S::kirsty.madden@dfat.gov.au::6a076268-aab2-455e-b900-f9292ce76beb" userProvider="AD" userName="Kirsty Madden"/>
        <t:Anchor>
          <t:Comment id="1201253967"/>
        </t:Anchor>
        <t:SetTitle title="@Prudence Borthwick @Enda Pehulisa is this an opportunity to comment on GoI sustainability? transitioning ownership? We can certainly do that in the management responses if that is better"/>
      </t:Event>
    </t:History>
  </t:Task>
  <t:Task id="{E0BB7C67-03DC-481F-AE42-72A1ABF4BE23}">
    <t:Anchor>
      <t:Comment id="867147428"/>
    </t:Anchor>
    <t:History>
      <t:Event id="{2DE1F701-0B03-4FB9-8191-427F165241A4}" time="2023-05-29T08:16:08.462Z">
        <t:Attribution userId="S::kirsty.madden@dfat.gov.au::6a076268-aab2-455e-b900-f9292ce76beb" userProvider="AD" userName="Kirsty Madden"/>
        <t:Anchor>
          <t:Comment id="867147428"/>
        </t:Anchor>
        <t:Create/>
      </t:Event>
      <t:Event id="{F0C9A6C9-A7BA-4768-AD9F-FFCC504BE4A6}" time="2023-05-29T08:16:08.462Z">
        <t:Attribution userId="S::kirsty.madden@dfat.gov.au::6a076268-aab2-455e-b900-f9292ce76beb" userProvider="AD" userName="Kirsty Madden"/>
        <t:Anchor>
          <t:Comment id="867147428"/>
        </t:Anchor>
        <t:Assign userId="S::Prudence.Borthwick@dfat.gov.au::de115756-154a-4daa-870c-026f133c2fe4" userProvider="AD" userName="Prudence Borthwick"/>
      </t:Event>
      <t:Event id="{9E3036B0-6A25-4C5A-94CB-6E741AE42C24}" time="2023-05-29T08:16:08.462Z">
        <t:Attribution userId="S::kirsty.madden@dfat.gov.au::6a076268-aab2-455e-b900-f9292ce76beb" userProvider="AD" userName="Kirsty Madden"/>
        <t:Anchor>
          <t:Comment id="867147428"/>
        </t:Anchor>
        <t:SetTitle title="@Prudence Borthwick @Enda Pehulisa is there something missing in these dot points? i.e. AIHSP resourcing/capability/managem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1F7CD9A-503D-4917-86C7-3DC995F993D5}"/>
      </w:docPartPr>
      <w:docPartBody>
        <w:p w:rsidR="00CD222F" w:rsidRDefault="00CD222F"/>
      </w:docPartBody>
    </w:docPart>
    <w:docPart>
      <w:docPartPr>
        <w:name w:val="5FC8DAB68C2A41E2B82A4F0707B606AB"/>
        <w:category>
          <w:name w:val="General"/>
          <w:gallery w:val="placeholder"/>
        </w:category>
        <w:types>
          <w:type w:val="bbPlcHdr"/>
        </w:types>
        <w:behaviors>
          <w:behavior w:val="content"/>
        </w:behaviors>
        <w:guid w:val="{0C7FBF9C-8A11-4F4F-AA41-9177C97D8390}"/>
      </w:docPartPr>
      <w:docPartBody>
        <w:p w:rsidR="001833C4" w:rsidRDefault="001833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osis Medium">
    <w:charset w:val="00"/>
    <w:family w:val="auto"/>
    <w:pitch w:val="variable"/>
    <w:sig w:usb0="A00000B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mo">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Dosis">
    <w:charset w:val="00"/>
    <w:family w:val="auto"/>
    <w:pitch w:val="variable"/>
    <w:sig w:usb0="A00000BF" w:usb1="4000207B" w:usb2="00000000" w:usb3="00000000" w:csb0="00000093" w:csb1="00000000"/>
  </w:font>
  <w:font w:name="Quattrocento Sans">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222F"/>
    <w:rsid w:val="0004410F"/>
    <w:rsid w:val="00052789"/>
    <w:rsid w:val="00080A2B"/>
    <w:rsid w:val="001546B8"/>
    <w:rsid w:val="001833C4"/>
    <w:rsid w:val="001B55E3"/>
    <w:rsid w:val="00243908"/>
    <w:rsid w:val="002C34D6"/>
    <w:rsid w:val="00301804"/>
    <w:rsid w:val="003158BD"/>
    <w:rsid w:val="003279AE"/>
    <w:rsid w:val="00352755"/>
    <w:rsid w:val="003B4774"/>
    <w:rsid w:val="003B7586"/>
    <w:rsid w:val="003D4A3F"/>
    <w:rsid w:val="00435102"/>
    <w:rsid w:val="00457076"/>
    <w:rsid w:val="00492EE1"/>
    <w:rsid w:val="004F01C8"/>
    <w:rsid w:val="00543D44"/>
    <w:rsid w:val="00560268"/>
    <w:rsid w:val="00562CC0"/>
    <w:rsid w:val="005651C3"/>
    <w:rsid w:val="005A1820"/>
    <w:rsid w:val="005C0533"/>
    <w:rsid w:val="00692729"/>
    <w:rsid w:val="00752F6C"/>
    <w:rsid w:val="007B733A"/>
    <w:rsid w:val="007E591F"/>
    <w:rsid w:val="0092281F"/>
    <w:rsid w:val="009511E6"/>
    <w:rsid w:val="009C385F"/>
    <w:rsid w:val="00A1789E"/>
    <w:rsid w:val="00A23669"/>
    <w:rsid w:val="00AC6A84"/>
    <w:rsid w:val="00B449B6"/>
    <w:rsid w:val="00B51E1C"/>
    <w:rsid w:val="00B74BCB"/>
    <w:rsid w:val="00BF679F"/>
    <w:rsid w:val="00C75511"/>
    <w:rsid w:val="00CD222F"/>
    <w:rsid w:val="00D83DB1"/>
    <w:rsid w:val="00D9704D"/>
    <w:rsid w:val="00E11C2E"/>
    <w:rsid w:val="00F6445A"/>
    <w:rsid w:val="00FD305B"/>
    <w:rsid w:val="00FD3611"/>
    <w:rsid w:val="00FD7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a9ee1c-e9d7-4c33-a893-a1e31be4ca82" xsi:nil="true"/>
    <lcf76f155ced4ddcb4097134ff3c332f xmlns="94957f58-8c9b-48f1-9a23-72185527d8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136183277E134E9915F59669268432" ma:contentTypeVersion="12" ma:contentTypeDescription="Create a new document." ma:contentTypeScope="" ma:versionID="afac3daf6b0cb20dd7d2e21691cc2f64">
  <xsd:schema xmlns:xsd="http://www.w3.org/2001/XMLSchema" xmlns:xs="http://www.w3.org/2001/XMLSchema" xmlns:p="http://schemas.microsoft.com/office/2006/metadata/properties" xmlns:ns2="94957f58-8c9b-48f1-9a23-72185527d8a2" xmlns:ns3="46a9ee1c-e9d7-4c33-a893-a1e31be4ca82" targetNamespace="http://schemas.microsoft.com/office/2006/metadata/properties" ma:root="true" ma:fieldsID="35ac1dc043a0d90f3431dfb4ec042ded" ns2:_="" ns3:_="">
    <xsd:import namespace="94957f58-8c9b-48f1-9a23-72185527d8a2"/>
    <xsd:import namespace="46a9ee1c-e9d7-4c33-a893-a1e31be4ca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57f58-8c9b-48f1-9a23-72185527d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ee1c-e9d7-4c33-a893-a1e31be4ca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b3a6b59-bf40-4580-85e0-5f5503e96093}" ma:internalName="TaxCatchAll" ma:showField="CatchAllData" ma:web="46a9ee1c-e9d7-4c33-a893-a1e31be4c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94EBF-1266-454F-AC82-BC762331250E}">
  <ds:schemaRefs>
    <ds:schemaRef ds:uri="http://schemas.openxmlformats.org/officeDocument/2006/bibliography"/>
  </ds:schemaRefs>
</ds:datastoreItem>
</file>

<file path=customXml/itemProps2.xml><?xml version="1.0" encoding="utf-8"?>
<ds:datastoreItem xmlns:ds="http://schemas.openxmlformats.org/officeDocument/2006/customXml" ds:itemID="{B8350B54-B4E0-4422-8842-87E1490F2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2F36B1-A7B6-4C5A-9928-5FFA393E97B4}">
  <ds:schemaRefs>
    <ds:schemaRef ds:uri="http://schemas.microsoft.com/sharepoint/v3/contenttype/forms"/>
  </ds:schemaRefs>
</ds:datastoreItem>
</file>

<file path=customXml/itemProps4.xml><?xml version="1.0" encoding="utf-8"?>
<ds:datastoreItem xmlns:ds="http://schemas.openxmlformats.org/officeDocument/2006/customXml" ds:itemID="{3C34045D-E8C8-4FDF-9A6A-F44BA566FADF}"/>
</file>

<file path=docProps/app.xml><?xml version="1.0" encoding="utf-8"?>
<Properties xmlns="http://schemas.openxmlformats.org/officeDocument/2006/extended-properties" xmlns:vt="http://schemas.openxmlformats.org/officeDocument/2006/docPropsVTypes">
  <Template>Normal.dotm</Template>
  <TotalTime>16</TotalTime>
  <Pages>41</Pages>
  <Words>21486</Words>
  <Characters>124625</Characters>
  <Application>Microsoft Office Word</Application>
  <DocSecurity>0</DocSecurity>
  <Lines>1963</Lines>
  <Paragraphs>643</Paragraphs>
  <ScaleCrop>false</ScaleCrop>
  <HeadingPairs>
    <vt:vector size="2" baseType="variant">
      <vt:variant>
        <vt:lpstr>Title</vt:lpstr>
      </vt:variant>
      <vt:variant>
        <vt:i4>1</vt:i4>
      </vt:variant>
    </vt:vector>
  </HeadingPairs>
  <TitlesOfParts>
    <vt:vector size="1" baseType="lpstr">
      <vt:lpstr>Australia Indonesia Health Security Partnership Mid-Term Review</vt:lpstr>
    </vt:vector>
  </TitlesOfParts>
  <Company/>
  <LinksUpToDate>false</LinksUpToDate>
  <CharactersWithSpaces>145696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Indonesia Health Security Partnership Mid-Term Review</dc:title>
  <dc:subject>Final Report</dc:subject>
  <dc:creator>Kathryn Dinh</dc:creator>
  <cp:keywords>[SEC=OFFICIAL:Sensitive]</cp:keywords>
  <dc:description/>
  <cp:lastModifiedBy>Sheila</cp:lastModifiedBy>
  <cp:revision>8</cp:revision>
  <dcterms:created xsi:type="dcterms:W3CDTF">2023-09-12T04:34:00Z</dcterms:created>
  <dcterms:modified xsi:type="dcterms:W3CDTF">2023-09-25T08:10:00Z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0x010100F4136183277E134E9915F59669268432</vt:lpwstr>
  </property>
  <property fmtid="{D5CDD505-2E9C-101B-9397-08002B2CF9AE}" pid="3" name="GrammarlyDocumentId">
    <vt:lpwstr>d253efda54de456141221948b3b7b7a94dbe8bec6fe93ae41184a8da6701e657</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 Sensitive</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InsertionValue">
    <vt:lpwstr>OFFICIAL: Sensitive</vt:lpwstr>
  </property>
  <property fmtid="{D5CDD505-2E9C-101B-9397-08002B2CF9AE}" pid="10" name="PM_Originating_FileId">
    <vt:lpwstr>7B53519605EC463C9B50709E9C810922</vt:lpwstr>
  </property>
  <property fmtid="{D5CDD505-2E9C-101B-9397-08002B2CF9AE}" pid="11" name="PM_ProtectiveMarkingValue_Footer">
    <vt:lpwstr>OFFICIAL: Sensitive</vt:lpwstr>
  </property>
  <property fmtid="{D5CDD505-2E9C-101B-9397-08002B2CF9AE}" pid="12" name="PM_Originator_Hash_SHA1">
    <vt:lpwstr>8735D83F76BE2C56422E8F578F14AB94239BD759</vt:lpwstr>
  </property>
  <property fmtid="{D5CDD505-2E9C-101B-9397-08002B2CF9AE}" pid="13" name="PM_OriginationTimeStamp">
    <vt:lpwstr>2023-06-22T05:17:48Z</vt:lpwstr>
  </property>
  <property fmtid="{D5CDD505-2E9C-101B-9397-08002B2CF9AE}" pid="14" name="PM_ProtectiveMarkingValue_Header">
    <vt:lpwstr>OFFICIAL: Sensitive</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 Sensitive</vt:lpwstr>
  </property>
  <property fmtid="{D5CDD505-2E9C-101B-9397-08002B2CF9AE}" pid="21" name="PMUuid">
    <vt:lpwstr>v=2022.2;d=gov.au;g=ABA70C08-925C-5FA3-8765-3178156983AC</vt:lpwstr>
  </property>
  <property fmtid="{D5CDD505-2E9C-101B-9397-08002B2CF9AE}" pid="22" name="PM_Hash_Version">
    <vt:lpwstr>2022.1</vt:lpwstr>
  </property>
  <property fmtid="{D5CDD505-2E9C-101B-9397-08002B2CF9AE}" pid="23" name="PM_Hash_Salt_Prev">
    <vt:lpwstr>75BA2D8690F9BEC34B3E63DA25B5FC87</vt:lpwstr>
  </property>
  <property fmtid="{D5CDD505-2E9C-101B-9397-08002B2CF9AE}" pid="24" name="PM_Hash_Salt">
    <vt:lpwstr>D75088BE567C9F23E9E993478CA618D9</vt:lpwstr>
  </property>
  <property fmtid="{D5CDD505-2E9C-101B-9397-08002B2CF9AE}" pid="25" name="PM_Hash_SHA1">
    <vt:lpwstr>264BDA095C5DF6ACD85FEB9842E3DFEF48DC792A</vt:lpwstr>
  </property>
  <property fmtid="{D5CDD505-2E9C-101B-9397-08002B2CF9AE}" pid="26" name="PM_OriginatorUserAccountName_SHA256">
    <vt:lpwstr>D6F4328B0339203B98EA1236F6A69A434FB1115DDADE64D167AA67D0D1C99C9B</vt:lpwstr>
  </property>
  <property fmtid="{D5CDD505-2E9C-101B-9397-08002B2CF9AE}" pid="27" name="PM_OriginatorDomainName_SHA256">
    <vt:lpwstr>6F3591835F3B2A8A025B00B5BA6418010DA3A17C9C26EA9C049FFD28039489A2</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PMHMAC">
    <vt:lpwstr>v=2022.1;a=SHA256;h=249CAEE39CF894E855C235762D23EE7B823A6222C18533EB6B1839C64C50DB83</vt:lpwstr>
  </property>
</Properties>
</file>