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CB387" w14:textId="77777777" w:rsidR="00454766" w:rsidRDefault="00454766" w:rsidP="00454766">
      <w:pPr>
        <w:spacing w:before="0"/>
        <w:rPr>
          <w:rFonts w:cs="Arial"/>
        </w:rPr>
      </w:pPr>
      <w:bookmarkStart w:id="0" w:name="_GoBack"/>
      <w:bookmarkEnd w:id="0"/>
    </w:p>
    <w:p w14:paraId="090CB388" w14:textId="77777777" w:rsidR="00944BC2" w:rsidRPr="00944BC2" w:rsidRDefault="00944BC2" w:rsidP="00944BC2">
      <w:pPr>
        <w:tabs>
          <w:tab w:val="left" w:pos="170"/>
        </w:tabs>
        <w:rPr>
          <w:sz w:val="18"/>
          <w:szCs w:val="18"/>
        </w:rPr>
      </w:pPr>
    </w:p>
    <w:p w14:paraId="090CB389" w14:textId="77777777" w:rsidR="00C657FB" w:rsidRDefault="00A52737"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Evaluation of Australia Indonesia Partnership for Emerging Infectious Diseases (AIP-EID), Animal Health Program 2010 - 2014</w:t>
      </w:r>
    </w:p>
    <w:p w14:paraId="090CB38A"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090CB38B"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090CB38E" w14:textId="77777777" w:rsidTr="00175FFC">
        <w:trPr>
          <w:cantSplit/>
          <w:tblHeader/>
        </w:trPr>
        <w:tc>
          <w:tcPr>
            <w:tcW w:w="2660" w:type="dxa"/>
            <w:shd w:val="clear" w:color="auto" w:fill="E0E0E0"/>
            <w:vAlign w:val="center"/>
          </w:tcPr>
          <w:p w14:paraId="090CB38C"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090CB38D" w14:textId="77777777" w:rsidR="00C657FB" w:rsidRPr="00F43CEC" w:rsidRDefault="00A52737" w:rsidP="00175FFC">
            <w:pPr>
              <w:pStyle w:val="Table-normal-text"/>
              <w:spacing w:before="120" w:after="120"/>
              <w:rPr>
                <w:b/>
              </w:rPr>
            </w:pPr>
            <w:r>
              <w:rPr>
                <w:b/>
              </w:rPr>
              <w:t>Australia Indonesia Partnership for Emerging Infectious Diseases (AIP-EID), Animal Health Program 2010 - 2014</w:t>
            </w:r>
          </w:p>
        </w:tc>
      </w:tr>
      <w:tr w:rsidR="00C657FB" w:rsidRPr="00F43CEC" w14:paraId="090CB391" w14:textId="77777777" w:rsidTr="00175FFC">
        <w:trPr>
          <w:cantSplit/>
        </w:trPr>
        <w:tc>
          <w:tcPr>
            <w:tcW w:w="2660" w:type="dxa"/>
            <w:shd w:val="clear" w:color="auto" w:fill="auto"/>
          </w:tcPr>
          <w:p w14:paraId="090CB38F"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090CB390" w14:textId="77777777" w:rsidR="00C657FB" w:rsidRPr="00F2320B" w:rsidRDefault="000B2C9C" w:rsidP="00175FFC">
            <w:pPr>
              <w:pStyle w:val="Table-normal-text"/>
            </w:pPr>
            <w:r>
              <w:t>INJ 509</w:t>
            </w:r>
          </w:p>
        </w:tc>
      </w:tr>
      <w:tr w:rsidR="00C657FB" w:rsidRPr="00F43CEC" w14:paraId="090CB396" w14:textId="77777777" w:rsidTr="00175FFC">
        <w:trPr>
          <w:cantSplit/>
        </w:trPr>
        <w:tc>
          <w:tcPr>
            <w:tcW w:w="2660" w:type="dxa"/>
            <w:shd w:val="clear" w:color="auto" w:fill="auto"/>
          </w:tcPr>
          <w:p w14:paraId="090CB392" w14:textId="77777777" w:rsidR="00C657FB" w:rsidRPr="00F2320B" w:rsidRDefault="00C657FB" w:rsidP="00175FFC">
            <w:pPr>
              <w:pStyle w:val="Table-normal-text"/>
            </w:pPr>
            <w:r w:rsidRPr="00F2320B">
              <w:t xml:space="preserve">Commencement </w:t>
            </w:r>
            <w:r>
              <w:t>d</w:t>
            </w:r>
            <w:r w:rsidRPr="00F2320B">
              <w:t>ate</w:t>
            </w:r>
            <w:r w:rsidR="009C7BC6">
              <w:t xml:space="preserve"> based on Initiative</w:t>
            </w:r>
          </w:p>
        </w:tc>
        <w:tc>
          <w:tcPr>
            <w:tcW w:w="2693" w:type="dxa"/>
            <w:shd w:val="clear" w:color="auto" w:fill="auto"/>
          </w:tcPr>
          <w:p w14:paraId="090CB393" w14:textId="77777777" w:rsidR="00C657FB" w:rsidRPr="00672985" w:rsidRDefault="000B2C9C" w:rsidP="00175FFC">
            <w:pPr>
              <w:pStyle w:val="Table-normal-text"/>
            </w:pPr>
            <w:r w:rsidRPr="006D75E4">
              <w:t>1 September 2010</w:t>
            </w:r>
          </w:p>
        </w:tc>
        <w:tc>
          <w:tcPr>
            <w:tcW w:w="1843" w:type="dxa"/>
            <w:shd w:val="clear" w:color="auto" w:fill="auto"/>
          </w:tcPr>
          <w:p w14:paraId="090CB394" w14:textId="77777777" w:rsidR="00C657FB" w:rsidRPr="00672985" w:rsidRDefault="00C657FB" w:rsidP="00175FFC">
            <w:pPr>
              <w:pStyle w:val="Table-normal-text"/>
            </w:pPr>
            <w:r w:rsidRPr="00672985">
              <w:t>Completion date</w:t>
            </w:r>
          </w:p>
        </w:tc>
        <w:tc>
          <w:tcPr>
            <w:tcW w:w="2693" w:type="dxa"/>
            <w:shd w:val="clear" w:color="auto" w:fill="auto"/>
          </w:tcPr>
          <w:p w14:paraId="090CB395" w14:textId="77777777" w:rsidR="00C657FB" w:rsidRPr="00672985" w:rsidRDefault="000B2C9C" w:rsidP="00175FFC">
            <w:pPr>
              <w:pStyle w:val="Table-normal-text"/>
            </w:pPr>
            <w:r w:rsidRPr="006D75E4">
              <w:t>30 June 2014</w:t>
            </w:r>
          </w:p>
        </w:tc>
      </w:tr>
      <w:tr w:rsidR="00BE545F" w:rsidRPr="00F43CEC" w14:paraId="090CB39B" w14:textId="77777777" w:rsidTr="00175FFC">
        <w:trPr>
          <w:cantSplit/>
        </w:trPr>
        <w:tc>
          <w:tcPr>
            <w:tcW w:w="2660" w:type="dxa"/>
            <w:shd w:val="clear" w:color="auto" w:fill="auto"/>
          </w:tcPr>
          <w:p w14:paraId="090CB397" w14:textId="77777777" w:rsidR="00BE545F" w:rsidRPr="00F2320B" w:rsidRDefault="00BE545F" w:rsidP="00175FFC">
            <w:pPr>
              <w:pStyle w:val="Table-normal-text"/>
            </w:pPr>
            <w:r>
              <w:t>Commencement date based on RoU</w:t>
            </w:r>
          </w:p>
        </w:tc>
        <w:tc>
          <w:tcPr>
            <w:tcW w:w="2693" w:type="dxa"/>
            <w:shd w:val="clear" w:color="auto" w:fill="auto"/>
          </w:tcPr>
          <w:p w14:paraId="090CB398" w14:textId="77777777" w:rsidR="00BE545F" w:rsidRPr="006D75E4" w:rsidRDefault="00BE545F" w:rsidP="00175FFC">
            <w:pPr>
              <w:pStyle w:val="Table-normal-text"/>
            </w:pPr>
            <w:r w:rsidRPr="006D75E4">
              <w:t>18 January 2011</w:t>
            </w:r>
          </w:p>
        </w:tc>
        <w:tc>
          <w:tcPr>
            <w:tcW w:w="1843" w:type="dxa"/>
            <w:shd w:val="clear" w:color="auto" w:fill="auto"/>
          </w:tcPr>
          <w:p w14:paraId="090CB399" w14:textId="77777777" w:rsidR="00BE545F" w:rsidRPr="00672985" w:rsidRDefault="00BE545F" w:rsidP="00175FFC">
            <w:pPr>
              <w:pStyle w:val="Table-normal-text"/>
            </w:pPr>
            <w:r w:rsidRPr="00672985">
              <w:t>Completion date</w:t>
            </w:r>
          </w:p>
        </w:tc>
        <w:tc>
          <w:tcPr>
            <w:tcW w:w="2693" w:type="dxa"/>
            <w:shd w:val="clear" w:color="auto" w:fill="auto"/>
          </w:tcPr>
          <w:p w14:paraId="090CB39A" w14:textId="77777777" w:rsidR="00BE545F" w:rsidRPr="006D75E4" w:rsidRDefault="00BE545F" w:rsidP="00175FFC">
            <w:pPr>
              <w:pStyle w:val="Table-normal-text"/>
            </w:pPr>
            <w:r w:rsidRPr="006D75E4">
              <w:t>31 December 2014</w:t>
            </w:r>
          </w:p>
        </w:tc>
      </w:tr>
      <w:tr w:rsidR="009C7BC6" w:rsidRPr="00F43CEC" w14:paraId="090CB3A0" w14:textId="77777777" w:rsidTr="00175FFC">
        <w:trPr>
          <w:cantSplit/>
        </w:trPr>
        <w:tc>
          <w:tcPr>
            <w:tcW w:w="2660" w:type="dxa"/>
            <w:shd w:val="clear" w:color="auto" w:fill="auto"/>
          </w:tcPr>
          <w:p w14:paraId="090CB39C" w14:textId="77777777" w:rsidR="009C7BC6" w:rsidRPr="00F2320B" w:rsidRDefault="009C7BC6" w:rsidP="00175FFC">
            <w:pPr>
              <w:pStyle w:val="Table-normal-text"/>
            </w:pPr>
            <w:r>
              <w:t xml:space="preserve">Commencement date based on </w:t>
            </w:r>
            <w:r w:rsidR="00BE545F">
              <w:t>Activity Schedule</w:t>
            </w:r>
          </w:p>
        </w:tc>
        <w:tc>
          <w:tcPr>
            <w:tcW w:w="2693" w:type="dxa"/>
            <w:shd w:val="clear" w:color="auto" w:fill="auto"/>
          </w:tcPr>
          <w:p w14:paraId="090CB39D" w14:textId="77777777" w:rsidR="009C7BC6" w:rsidRPr="006D75E4" w:rsidRDefault="00BE545F" w:rsidP="00175FFC">
            <w:pPr>
              <w:pStyle w:val="Table-normal-text"/>
            </w:pPr>
            <w:r w:rsidRPr="006D75E4">
              <w:t>12 December 2010</w:t>
            </w:r>
          </w:p>
        </w:tc>
        <w:tc>
          <w:tcPr>
            <w:tcW w:w="1843" w:type="dxa"/>
            <w:shd w:val="clear" w:color="auto" w:fill="auto"/>
          </w:tcPr>
          <w:p w14:paraId="090CB39E" w14:textId="77777777" w:rsidR="009C7BC6" w:rsidRPr="00672985" w:rsidRDefault="00BE545F" w:rsidP="00175FFC">
            <w:pPr>
              <w:pStyle w:val="Table-normal-text"/>
            </w:pPr>
            <w:r w:rsidRPr="00672985">
              <w:t>Completion date</w:t>
            </w:r>
          </w:p>
        </w:tc>
        <w:tc>
          <w:tcPr>
            <w:tcW w:w="2693" w:type="dxa"/>
            <w:shd w:val="clear" w:color="auto" w:fill="auto"/>
          </w:tcPr>
          <w:p w14:paraId="090CB39F" w14:textId="77777777" w:rsidR="009C7BC6" w:rsidRPr="006D75E4" w:rsidRDefault="009C7BC6" w:rsidP="00175FFC">
            <w:pPr>
              <w:pStyle w:val="Table-normal-text"/>
            </w:pPr>
            <w:r w:rsidRPr="006D75E4">
              <w:t xml:space="preserve">31 December 2014 </w:t>
            </w:r>
          </w:p>
        </w:tc>
      </w:tr>
      <w:tr w:rsidR="00C657FB" w:rsidRPr="00F43CEC" w14:paraId="090CB3A3" w14:textId="77777777" w:rsidTr="00175FFC">
        <w:trPr>
          <w:cantSplit/>
        </w:trPr>
        <w:tc>
          <w:tcPr>
            <w:tcW w:w="2660" w:type="dxa"/>
            <w:shd w:val="clear" w:color="auto" w:fill="auto"/>
          </w:tcPr>
          <w:p w14:paraId="090CB3A1" w14:textId="77777777" w:rsidR="00C657FB" w:rsidRPr="00F2320B" w:rsidRDefault="00C657FB" w:rsidP="00175FFC">
            <w:pPr>
              <w:pStyle w:val="Table-normal-text"/>
            </w:pPr>
            <w:r>
              <w:t>Total Australian $</w:t>
            </w:r>
          </w:p>
        </w:tc>
        <w:tc>
          <w:tcPr>
            <w:tcW w:w="7229" w:type="dxa"/>
            <w:gridSpan w:val="3"/>
            <w:shd w:val="clear" w:color="auto" w:fill="auto"/>
          </w:tcPr>
          <w:p w14:paraId="090CB3A2" w14:textId="77777777" w:rsidR="00C657FB" w:rsidRPr="00F2320B" w:rsidRDefault="00F4327F" w:rsidP="00175FFC">
            <w:pPr>
              <w:pStyle w:val="Table-normal-text"/>
            </w:pPr>
            <w:r>
              <w:t>$ 22 million</w:t>
            </w:r>
          </w:p>
        </w:tc>
      </w:tr>
      <w:tr w:rsidR="00C657FB" w:rsidRPr="00F43CEC" w14:paraId="090CB3A6" w14:textId="77777777" w:rsidTr="00175FFC">
        <w:trPr>
          <w:cantSplit/>
        </w:trPr>
        <w:tc>
          <w:tcPr>
            <w:tcW w:w="2660" w:type="dxa"/>
            <w:shd w:val="clear" w:color="auto" w:fill="auto"/>
          </w:tcPr>
          <w:p w14:paraId="090CB3A4" w14:textId="77777777" w:rsidR="00C657FB" w:rsidRPr="00F2320B" w:rsidRDefault="00C657FB" w:rsidP="00175FFC">
            <w:pPr>
              <w:pStyle w:val="Table-normal-text"/>
            </w:pPr>
            <w:r>
              <w:t>Total other $</w:t>
            </w:r>
          </w:p>
        </w:tc>
        <w:tc>
          <w:tcPr>
            <w:tcW w:w="7229" w:type="dxa"/>
            <w:gridSpan w:val="3"/>
            <w:shd w:val="clear" w:color="auto" w:fill="auto"/>
          </w:tcPr>
          <w:p w14:paraId="090CB3A5" w14:textId="77777777" w:rsidR="00C657FB" w:rsidRPr="00F2320B" w:rsidRDefault="00F4327F" w:rsidP="00175FFC">
            <w:pPr>
              <w:pStyle w:val="Table-normal-text"/>
            </w:pPr>
            <w:r>
              <w:t>-</w:t>
            </w:r>
          </w:p>
        </w:tc>
      </w:tr>
      <w:tr w:rsidR="00C657FB" w:rsidRPr="00F43CEC" w14:paraId="090CB3A9" w14:textId="77777777" w:rsidTr="00175FFC">
        <w:trPr>
          <w:cantSplit/>
        </w:trPr>
        <w:tc>
          <w:tcPr>
            <w:tcW w:w="2660" w:type="dxa"/>
            <w:shd w:val="clear" w:color="auto" w:fill="auto"/>
          </w:tcPr>
          <w:p w14:paraId="090CB3A7"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090CB3A8" w14:textId="77777777" w:rsidR="00C657FB" w:rsidRPr="00F2320B" w:rsidRDefault="00A52737" w:rsidP="00175FFC">
            <w:pPr>
              <w:pStyle w:val="Table-normal-text"/>
            </w:pPr>
            <w:r>
              <w:t>Australian Department of Agriculture, Fisheries and Forestry (DAFF)</w:t>
            </w:r>
          </w:p>
        </w:tc>
      </w:tr>
      <w:tr w:rsidR="00C657FB" w:rsidRPr="00F43CEC" w14:paraId="090CB3AC" w14:textId="77777777" w:rsidTr="00175FFC">
        <w:trPr>
          <w:cantSplit/>
        </w:trPr>
        <w:tc>
          <w:tcPr>
            <w:tcW w:w="2660" w:type="dxa"/>
            <w:shd w:val="clear" w:color="auto" w:fill="auto"/>
          </w:tcPr>
          <w:p w14:paraId="090CB3AA"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090CB3AB" w14:textId="77777777" w:rsidR="00C657FB" w:rsidRPr="00F2320B" w:rsidRDefault="00A52737" w:rsidP="00175FFC">
            <w:pPr>
              <w:pStyle w:val="Table-normal-text"/>
            </w:pPr>
            <w:r>
              <w:t>Indonesian Ministry of Agriculture</w:t>
            </w:r>
          </w:p>
        </w:tc>
      </w:tr>
      <w:tr w:rsidR="00C657FB" w:rsidRPr="00F43CEC" w14:paraId="090CB3AF" w14:textId="77777777" w:rsidTr="00175FFC">
        <w:trPr>
          <w:cantSplit/>
        </w:trPr>
        <w:tc>
          <w:tcPr>
            <w:tcW w:w="2660" w:type="dxa"/>
            <w:shd w:val="clear" w:color="auto" w:fill="auto"/>
          </w:tcPr>
          <w:p w14:paraId="090CB3AD" w14:textId="77777777" w:rsidR="00C657FB" w:rsidRPr="00F2320B" w:rsidRDefault="00C657FB" w:rsidP="00175FFC">
            <w:pPr>
              <w:pStyle w:val="Table-normal-text"/>
            </w:pPr>
            <w:r w:rsidRPr="00F2320B">
              <w:t>Country/Region</w:t>
            </w:r>
          </w:p>
        </w:tc>
        <w:tc>
          <w:tcPr>
            <w:tcW w:w="7229" w:type="dxa"/>
            <w:gridSpan w:val="3"/>
            <w:shd w:val="clear" w:color="auto" w:fill="auto"/>
          </w:tcPr>
          <w:p w14:paraId="090CB3AE" w14:textId="77777777" w:rsidR="00C657FB" w:rsidRPr="00F2320B" w:rsidRDefault="00A52737" w:rsidP="00175FFC">
            <w:pPr>
              <w:pStyle w:val="Table-normal-text"/>
            </w:pPr>
            <w:r>
              <w:t>Indonesia</w:t>
            </w:r>
          </w:p>
        </w:tc>
      </w:tr>
      <w:tr w:rsidR="00C657FB" w:rsidRPr="00F43CEC" w14:paraId="090CB3B2" w14:textId="77777777" w:rsidTr="00175FFC">
        <w:trPr>
          <w:cantSplit/>
        </w:trPr>
        <w:tc>
          <w:tcPr>
            <w:tcW w:w="2660" w:type="dxa"/>
            <w:shd w:val="clear" w:color="auto" w:fill="auto"/>
          </w:tcPr>
          <w:p w14:paraId="090CB3B0"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090CB3B1" w14:textId="77777777" w:rsidR="00C657FB" w:rsidRPr="00F2320B" w:rsidRDefault="00A52737" w:rsidP="00175FFC">
            <w:pPr>
              <w:pStyle w:val="Table-normal-text"/>
            </w:pPr>
            <w:r>
              <w:t>Health</w:t>
            </w:r>
          </w:p>
        </w:tc>
      </w:tr>
      <w:tr w:rsidR="00211FDF" w:rsidRPr="00F43CEC" w14:paraId="090CB3B5" w14:textId="77777777" w:rsidTr="00175FFC">
        <w:trPr>
          <w:cantSplit/>
        </w:trPr>
        <w:tc>
          <w:tcPr>
            <w:tcW w:w="2660" w:type="dxa"/>
            <w:shd w:val="clear" w:color="auto" w:fill="auto"/>
          </w:tcPr>
          <w:p w14:paraId="090CB3B3" w14:textId="77777777" w:rsidR="00211FDF" w:rsidRPr="00F2320B" w:rsidRDefault="00211FDF" w:rsidP="00845B17">
            <w:pPr>
              <w:pStyle w:val="Table-normal-text"/>
            </w:pPr>
            <w:r>
              <w:t>Initiative background</w:t>
            </w:r>
          </w:p>
        </w:tc>
        <w:tc>
          <w:tcPr>
            <w:tcW w:w="7229" w:type="dxa"/>
            <w:gridSpan w:val="3"/>
            <w:shd w:val="clear" w:color="auto" w:fill="auto"/>
          </w:tcPr>
          <w:p w14:paraId="090CB3B4" w14:textId="77777777" w:rsidR="00211FDF" w:rsidRDefault="00211FDF" w:rsidP="00175FFC">
            <w:pPr>
              <w:pStyle w:val="Table-normal-text"/>
            </w:pPr>
            <w:r>
              <w:rPr>
                <w:szCs w:val="20"/>
              </w:rPr>
              <w:t xml:space="preserve">Australia has supported Indonesia in the field of EID since 2004. </w:t>
            </w:r>
            <w:r w:rsidRPr="004251F7">
              <w:rPr>
                <w:szCs w:val="20"/>
              </w:rPr>
              <w:t xml:space="preserve">The previous Australian EID program for Indonesia focused on avian influenza prevention and control and comprised technical assistance and capacity building activities at the national level and program activities in South and West Sulawesi. The program </w:t>
            </w:r>
            <w:r>
              <w:rPr>
                <w:szCs w:val="20"/>
              </w:rPr>
              <w:t>ended on</w:t>
            </w:r>
            <w:r w:rsidRPr="004251F7">
              <w:rPr>
                <w:szCs w:val="20"/>
              </w:rPr>
              <w:t xml:space="preserve"> 30 June 2010</w:t>
            </w:r>
            <w:r>
              <w:rPr>
                <w:szCs w:val="20"/>
              </w:rPr>
              <w:t>. In 2010 a new initiative called the Australia Indonesia Partnership for EID commenced, aiming to strengthen Indonesian animal health systems to combat EID.  The program focuses strongly on systems improvement and emphasises sustainability rather than direct implementation of emergency procedures</w:t>
            </w:r>
          </w:p>
        </w:tc>
      </w:tr>
      <w:tr w:rsidR="00C657FB" w:rsidRPr="00F43CEC" w14:paraId="090CB3BA" w14:textId="77777777" w:rsidTr="00175FFC">
        <w:trPr>
          <w:cantSplit/>
        </w:trPr>
        <w:tc>
          <w:tcPr>
            <w:tcW w:w="2660" w:type="dxa"/>
            <w:shd w:val="clear" w:color="auto" w:fill="auto"/>
          </w:tcPr>
          <w:p w14:paraId="090CB3B6" w14:textId="77777777" w:rsidR="00C657FB" w:rsidRPr="00444D45" w:rsidRDefault="00390A59" w:rsidP="00175FFC">
            <w:pPr>
              <w:pStyle w:val="Table-normal-text"/>
            </w:pPr>
            <w:r w:rsidRPr="00444D45">
              <w:lastRenderedPageBreak/>
              <w:t>Initiative</w:t>
            </w:r>
            <w:r w:rsidR="00C657FB" w:rsidRPr="00444D45">
              <w:t xml:space="preserve"> objective</w:t>
            </w:r>
            <w:r w:rsidR="00614E79" w:rsidRPr="00444D45">
              <w:t>/s</w:t>
            </w:r>
          </w:p>
        </w:tc>
        <w:tc>
          <w:tcPr>
            <w:tcW w:w="7229" w:type="dxa"/>
            <w:gridSpan w:val="3"/>
            <w:shd w:val="clear" w:color="auto" w:fill="auto"/>
          </w:tcPr>
          <w:p w14:paraId="090CB3B7" w14:textId="77777777" w:rsidR="00F4327F" w:rsidRPr="00E10790" w:rsidRDefault="00F4327F" w:rsidP="00211FDF">
            <w:pPr>
              <w:numPr>
                <w:ilvl w:val="0"/>
                <w:numId w:val="43"/>
              </w:numPr>
              <w:tabs>
                <w:tab w:val="clear" w:pos="720"/>
                <w:tab w:val="num" w:pos="317"/>
              </w:tabs>
              <w:spacing w:before="0"/>
              <w:ind w:left="317" w:hanging="317"/>
              <w:jc w:val="both"/>
            </w:pPr>
            <w:r w:rsidRPr="00E10790">
              <w:t>Strengthen national planning and management for disease prevention and control includ</w:t>
            </w:r>
            <w:r>
              <w:t>ing</w:t>
            </w:r>
            <w:r w:rsidRPr="00E10790">
              <w:t xml:space="preserve"> supporting MOA to increase the performance of veterinary services and develop specific disease prevention and control plans for a number of high priority diseases</w:t>
            </w:r>
            <w:r>
              <w:t>;</w:t>
            </w:r>
          </w:p>
          <w:p w14:paraId="090CB3B8" w14:textId="77777777" w:rsidR="00F4327F" w:rsidRPr="00E10790" w:rsidRDefault="00F4327F" w:rsidP="00211FDF">
            <w:pPr>
              <w:numPr>
                <w:ilvl w:val="0"/>
                <w:numId w:val="43"/>
              </w:numPr>
              <w:tabs>
                <w:tab w:val="clear" w:pos="720"/>
                <w:tab w:val="num" w:pos="317"/>
              </w:tabs>
              <w:spacing w:before="0"/>
              <w:ind w:left="317" w:hanging="317"/>
              <w:jc w:val="both"/>
            </w:pPr>
            <w:r w:rsidRPr="00E10790">
              <w:t xml:space="preserve">Strengthen operational systems - in data, laboratory and quarantine </w:t>
            </w:r>
            <w:r w:rsidR="00211FDF" w:rsidRPr="00E10790">
              <w:t>- including</w:t>
            </w:r>
            <w:r w:rsidRPr="00E10790">
              <w:t xml:space="preserve"> improving the information on disease status and integrating animal health data sources, improving quality diagnostic testing and using risk analysis as the foundation of animal quarantine operations. </w:t>
            </w:r>
          </w:p>
          <w:p w14:paraId="090CB3B9" w14:textId="77777777" w:rsidR="00C657FB" w:rsidRPr="00F2320B" w:rsidRDefault="00F4327F" w:rsidP="00211FDF">
            <w:pPr>
              <w:numPr>
                <w:ilvl w:val="0"/>
                <w:numId w:val="43"/>
              </w:numPr>
              <w:tabs>
                <w:tab w:val="clear" w:pos="720"/>
                <w:tab w:val="num" w:pos="317"/>
              </w:tabs>
              <w:spacing w:before="0"/>
              <w:ind w:left="317" w:hanging="317"/>
              <w:jc w:val="both"/>
            </w:pPr>
            <w:r w:rsidRPr="00E10790">
              <w:t xml:space="preserve">Strengthen decentralised veterinary services including improving effective emergency disease response through routine district structures with coordination at provincial and central level; improving the communication system for detection, reporting, investigation and response; developing </w:t>
            </w:r>
            <w:r>
              <w:t xml:space="preserve">a </w:t>
            </w:r>
            <w:r w:rsidRPr="00E10790">
              <w:t xml:space="preserve">national strategic disease control/response plan that will be adapted to local conditions and implemented in the sub-national context and integrating Avian Influenza (AI) control activities into routine disease control functions. This sub national component will focus </w:t>
            </w:r>
            <w:r>
              <w:t>o</w:t>
            </w:r>
            <w:r w:rsidRPr="00E10790">
              <w:t>n South and West Sulawesi.</w:t>
            </w:r>
          </w:p>
        </w:tc>
      </w:tr>
    </w:tbl>
    <w:p w14:paraId="090CB3BB" w14:textId="77777777" w:rsidR="00683EB4" w:rsidRDefault="00070CD3" w:rsidP="00070CD3">
      <w:pPr>
        <w:pStyle w:val="Heading2"/>
      </w:pPr>
      <w:r>
        <w:t>Evaluation Summary</w:t>
      </w:r>
    </w:p>
    <w:p w14:paraId="090CB3BC" w14:textId="77777777" w:rsidR="00900CFF" w:rsidRDefault="008E1D06" w:rsidP="00070CD3">
      <w:r>
        <w:t xml:space="preserve">The </w:t>
      </w:r>
      <w:r w:rsidR="00900CFF">
        <w:t xml:space="preserve">Independent Progress Review (IPR) of the AIPEID – Animal Health </w:t>
      </w:r>
      <w:r w:rsidR="002419D5">
        <w:t>was</w:t>
      </w:r>
      <w:r w:rsidR="00900CFF">
        <w:t xml:space="preserve"> tasked to assess </w:t>
      </w:r>
      <w:r w:rsidR="00900CFF" w:rsidRPr="00E10790">
        <w:t>the</w:t>
      </w:r>
      <w:r w:rsidR="00900CFF">
        <w:t xml:space="preserve"> effectiveness of the current</w:t>
      </w:r>
      <w:r w:rsidR="00900CFF" w:rsidRPr="00E10790">
        <w:t xml:space="preserve"> implementation arrangements and management of AIP-EID Animal Health and </w:t>
      </w:r>
      <w:r w:rsidR="00900CFF">
        <w:t xml:space="preserve">to </w:t>
      </w:r>
      <w:r w:rsidR="00900CFF" w:rsidRPr="00E10790">
        <w:t>make recommendation</w:t>
      </w:r>
      <w:r w:rsidR="00900CFF">
        <w:t>s</w:t>
      </w:r>
      <w:r w:rsidR="00900CFF" w:rsidRPr="00E10790">
        <w:t xml:space="preserve"> for any necessary changes in the approach to improve program delivery.</w:t>
      </w:r>
      <w:r w:rsidR="00900CFF">
        <w:t xml:space="preserve"> </w:t>
      </w:r>
      <w:r w:rsidR="00EE4C80">
        <w:t>Due to early delays in implementation, detailed further below,  it is premature</w:t>
      </w:r>
      <w:r>
        <w:t xml:space="preserve"> to </w:t>
      </w:r>
      <w:r w:rsidRPr="00E10790">
        <w:t xml:space="preserve">assess </w:t>
      </w:r>
      <w:r w:rsidR="00EE4C80" w:rsidRPr="00E10790">
        <w:t xml:space="preserve">program </w:t>
      </w:r>
      <w:r w:rsidRPr="00E10790">
        <w:t>achievement</w:t>
      </w:r>
      <w:r w:rsidR="00EE4C80">
        <w:t>s</w:t>
      </w:r>
      <w:r w:rsidR="00900CFF">
        <w:t>. AusAID plans to conduct another review assessing program outputs and outcomes toward the end of the program implementation in early 2015.</w:t>
      </w:r>
    </w:p>
    <w:p w14:paraId="090CB3BD" w14:textId="77777777" w:rsidR="00070CD3" w:rsidRPr="00481494" w:rsidRDefault="00070CD3" w:rsidP="00070CD3">
      <w:r w:rsidRPr="00481494">
        <w:t xml:space="preserve">Overall, the IPR Team found that Program progress has been much slower than anticipated in the original design. </w:t>
      </w:r>
      <w:r w:rsidR="00524893">
        <w:t>A</w:t>
      </w:r>
      <w:r w:rsidRPr="00481494">
        <w:t>pproximately half the budgeted funds for the first 18 months remained unspent. However, there has been an increase in the quarterly rate of expenditure from almost 15 per cent in Program Quarter 1 to 86 per cent in Quarter 6</w:t>
      </w:r>
      <w:r w:rsidR="00524893">
        <w:t>.</w:t>
      </w:r>
      <w:r w:rsidRPr="00481494">
        <w:t xml:space="preserve"> This is an indicator of increasing activity which is expected to continue (or even accelerate) in 2013, now that project establishment has taken place and various sub-component reviews are being finalised.</w:t>
      </w:r>
    </w:p>
    <w:p w14:paraId="090CB3BE" w14:textId="77777777" w:rsidR="00070CD3" w:rsidRPr="00481494" w:rsidRDefault="00070CD3" w:rsidP="00070CD3">
      <w:r w:rsidRPr="00481494">
        <w:t xml:space="preserve">The Team found high levels of commitment and enthusiasm among program participants within the Ministry of Agriculture nationally and among South Sulawesi and West Sulawesi provincial and district officials. </w:t>
      </w:r>
    </w:p>
    <w:p w14:paraId="090CB3BF" w14:textId="77777777" w:rsidR="00070CD3" w:rsidRPr="00070CD3" w:rsidRDefault="009515FE" w:rsidP="00070CD3">
      <w:r>
        <w:t>The Team’s view is that w</w:t>
      </w:r>
      <w:r w:rsidR="00524893" w:rsidRPr="00481494">
        <w:t xml:space="preserve">hile the fundamentals are right, there is room for improvement in the Program which will enhance results. The Review team believes that implementation of the recommendations will lead to a stronger Program well able to deliver against planned outcomes. </w:t>
      </w:r>
    </w:p>
    <w:p w14:paraId="090CB3C0" w14:textId="77777777" w:rsidR="00C657FB" w:rsidRDefault="00C657FB" w:rsidP="00C657FB">
      <w:pPr>
        <w:rPr>
          <w:b/>
        </w:rPr>
      </w:pPr>
      <w:r w:rsidRPr="00123C3E">
        <w:rPr>
          <w:b/>
        </w:rPr>
        <w:t>Evaluation Objective:</w:t>
      </w:r>
      <w:r>
        <w:rPr>
          <w:b/>
        </w:rPr>
        <w:t xml:space="preserve"> </w:t>
      </w:r>
    </w:p>
    <w:p w14:paraId="090CB3C1" w14:textId="77777777" w:rsidR="00F4327F" w:rsidRPr="00481494" w:rsidRDefault="00F4327F" w:rsidP="00F4327F">
      <w:r w:rsidRPr="00481494">
        <w:t xml:space="preserve">The eight objectives of the IPR are: </w:t>
      </w:r>
    </w:p>
    <w:p w14:paraId="090CB3C2" w14:textId="77777777" w:rsidR="00F4327F" w:rsidRPr="00481494" w:rsidRDefault="00F4327F" w:rsidP="00F4327F">
      <w:pPr>
        <w:pStyle w:val="ListParagraph"/>
        <w:numPr>
          <w:ilvl w:val="0"/>
          <w:numId w:val="44"/>
        </w:numPr>
        <w:spacing w:before="0" w:after="120"/>
        <w:contextualSpacing w:val="0"/>
        <w:jc w:val="both"/>
      </w:pPr>
      <w:r w:rsidRPr="00481494">
        <w:t xml:space="preserve">To assess whether the current </w:t>
      </w:r>
      <w:r w:rsidRPr="00481494">
        <w:rPr>
          <w:b/>
          <w:bCs/>
        </w:rPr>
        <w:t>organisational arrangement</w:t>
      </w:r>
      <w:r w:rsidRPr="00481494">
        <w:t xml:space="preserve"> supports the achievement of the program’s intended outcomes.</w:t>
      </w:r>
    </w:p>
    <w:p w14:paraId="090CB3C3" w14:textId="77777777" w:rsidR="00F4327F" w:rsidRPr="00481494" w:rsidRDefault="00F4327F" w:rsidP="00F4327F">
      <w:pPr>
        <w:pStyle w:val="ListParagraph"/>
        <w:numPr>
          <w:ilvl w:val="0"/>
          <w:numId w:val="44"/>
        </w:numPr>
        <w:spacing w:before="0" w:after="120"/>
        <w:contextualSpacing w:val="0"/>
        <w:jc w:val="both"/>
      </w:pPr>
      <w:r w:rsidRPr="00481494">
        <w:t xml:space="preserve">To assess whether the current </w:t>
      </w:r>
      <w:r w:rsidRPr="00481494">
        <w:rPr>
          <w:b/>
          <w:bCs/>
        </w:rPr>
        <w:t>funding management</w:t>
      </w:r>
      <w:r w:rsidRPr="00481494">
        <w:t xml:space="preserve"> is able to respond adequately and quickly to changing needs during implementation.</w:t>
      </w:r>
    </w:p>
    <w:p w14:paraId="090CB3C4" w14:textId="77777777" w:rsidR="00F4327F" w:rsidRPr="00481494" w:rsidRDefault="00F4327F" w:rsidP="00F4327F">
      <w:pPr>
        <w:pStyle w:val="ListParagraph"/>
        <w:numPr>
          <w:ilvl w:val="0"/>
          <w:numId w:val="44"/>
        </w:numPr>
        <w:spacing w:before="0" w:after="120"/>
        <w:contextualSpacing w:val="0"/>
        <w:jc w:val="both"/>
      </w:pPr>
      <w:r w:rsidRPr="00481494">
        <w:t xml:space="preserve">To assess whether the </w:t>
      </w:r>
      <w:r w:rsidRPr="00481494">
        <w:rPr>
          <w:b/>
          <w:bCs/>
        </w:rPr>
        <w:t>current partnership arrangement</w:t>
      </w:r>
      <w:r w:rsidRPr="00481494">
        <w:t xml:space="preserve"> between DAFF and MoA (including the pilot sub national provinces of South Sulawesi and West Sulawesi) is sufficient and appropriate to support the achievement of the program’s intended outcomes.</w:t>
      </w:r>
    </w:p>
    <w:p w14:paraId="090CB3C5" w14:textId="77777777" w:rsidR="00F4327F" w:rsidRPr="00481494" w:rsidRDefault="00F4327F" w:rsidP="00F4327F">
      <w:pPr>
        <w:pStyle w:val="ListParagraph"/>
        <w:numPr>
          <w:ilvl w:val="0"/>
          <w:numId w:val="44"/>
        </w:numPr>
        <w:spacing w:before="0" w:after="120"/>
        <w:contextualSpacing w:val="0"/>
        <w:jc w:val="both"/>
      </w:pPr>
      <w:r w:rsidRPr="00481494">
        <w:t xml:space="preserve">To assess the </w:t>
      </w:r>
      <w:r w:rsidRPr="00481494">
        <w:rPr>
          <w:b/>
          <w:bCs/>
        </w:rPr>
        <w:t>absorptive capacity</w:t>
      </w:r>
      <w:r w:rsidRPr="00481494">
        <w:t xml:space="preserve"> of the Indonesia Ministry of Agriculture and the sub-national pilot areas of South Sulawesi and West Sulawesi.</w:t>
      </w:r>
    </w:p>
    <w:p w14:paraId="090CB3C6" w14:textId="77777777" w:rsidR="00F4327F" w:rsidRPr="00481494" w:rsidRDefault="00F4327F" w:rsidP="00F4327F">
      <w:pPr>
        <w:pStyle w:val="ListParagraph"/>
        <w:numPr>
          <w:ilvl w:val="0"/>
          <w:numId w:val="44"/>
        </w:numPr>
        <w:spacing w:before="0" w:after="120"/>
        <w:contextualSpacing w:val="0"/>
        <w:jc w:val="both"/>
      </w:pPr>
      <w:r w:rsidRPr="00481494">
        <w:t xml:space="preserve">To assess whether the planned Program activities are </w:t>
      </w:r>
      <w:r w:rsidRPr="00481494">
        <w:rPr>
          <w:b/>
          <w:bCs/>
        </w:rPr>
        <w:t xml:space="preserve">relevant to the GoI’s agenda </w:t>
      </w:r>
      <w:r w:rsidRPr="00481494">
        <w:t xml:space="preserve">in animal health system strengthening and whether these are aligned to combating emerging infectious diseases at source in animals, and to assess whether GoI is receptive to receiving assistance in areas they identify as </w:t>
      </w:r>
      <w:r w:rsidRPr="00481494">
        <w:rPr>
          <w:b/>
          <w:bCs/>
        </w:rPr>
        <w:t>animal health priorities</w:t>
      </w:r>
      <w:r w:rsidRPr="00481494">
        <w:t xml:space="preserve"> through the Program.</w:t>
      </w:r>
    </w:p>
    <w:p w14:paraId="090CB3C7" w14:textId="77777777" w:rsidR="00F4327F" w:rsidRPr="00481494" w:rsidRDefault="00F4327F" w:rsidP="00F4327F">
      <w:pPr>
        <w:pStyle w:val="ListParagraph"/>
        <w:numPr>
          <w:ilvl w:val="0"/>
          <w:numId w:val="44"/>
        </w:numPr>
        <w:spacing w:before="0" w:after="120"/>
        <w:contextualSpacing w:val="0"/>
        <w:jc w:val="both"/>
      </w:pPr>
      <w:r w:rsidRPr="00481494">
        <w:lastRenderedPageBreak/>
        <w:t xml:space="preserve">To assess whether the activities support </w:t>
      </w:r>
      <w:r w:rsidRPr="00481494">
        <w:rPr>
          <w:b/>
          <w:bCs/>
        </w:rPr>
        <w:t>institutional strengthening</w:t>
      </w:r>
      <w:r w:rsidRPr="00481494">
        <w:t xml:space="preserve"> to ensure the </w:t>
      </w:r>
      <w:r w:rsidRPr="00481494">
        <w:rPr>
          <w:b/>
          <w:bCs/>
        </w:rPr>
        <w:t>sustainability</w:t>
      </w:r>
      <w:r w:rsidRPr="00481494">
        <w:t xml:space="preserve"> of the assistance.</w:t>
      </w:r>
    </w:p>
    <w:p w14:paraId="090CB3C8" w14:textId="77777777" w:rsidR="00F4327F" w:rsidRPr="00481494" w:rsidRDefault="00F4327F" w:rsidP="00F4327F">
      <w:pPr>
        <w:pStyle w:val="ListParagraph"/>
        <w:numPr>
          <w:ilvl w:val="0"/>
          <w:numId w:val="44"/>
        </w:numPr>
        <w:spacing w:before="0" w:after="120"/>
        <w:contextualSpacing w:val="0"/>
        <w:jc w:val="both"/>
      </w:pPr>
      <w:r w:rsidRPr="00481494">
        <w:t xml:space="preserve">To explore possible linkages between the AIP-EID animal health programs with the </w:t>
      </w:r>
      <w:r w:rsidRPr="00481494">
        <w:rPr>
          <w:b/>
          <w:bCs/>
        </w:rPr>
        <w:t>AIP-EID human health</w:t>
      </w:r>
      <w:r w:rsidRPr="00481494">
        <w:t xml:space="preserve"> program that is delivered by the World health Organization (WHO).</w:t>
      </w:r>
    </w:p>
    <w:p w14:paraId="090CB3C9" w14:textId="77777777" w:rsidR="00F4327F" w:rsidRPr="0052194C" w:rsidRDefault="00F4327F" w:rsidP="00C657FB">
      <w:pPr>
        <w:pStyle w:val="ListParagraph"/>
        <w:numPr>
          <w:ilvl w:val="0"/>
          <w:numId w:val="44"/>
        </w:numPr>
        <w:spacing w:before="0" w:after="120"/>
        <w:contextualSpacing w:val="0"/>
        <w:jc w:val="both"/>
      </w:pPr>
      <w:r w:rsidRPr="00481494">
        <w:t xml:space="preserve">To provide recommendations for any </w:t>
      </w:r>
      <w:r w:rsidRPr="00481494">
        <w:rPr>
          <w:b/>
          <w:bCs/>
        </w:rPr>
        <w:t xml:space="preserve">modifications to existing activities or approaches in future. </w:t>
      </w:r>
      <w:r w:rsidRPr="00481494">
        <w:t xml:space="preserve">These include: </w:t>
      </w:r>
      <w:r w:rsidRPr="00481494">
        <w:rPr>
          <w:b/>
          <w:bCs/>
        </w:rPr>
        <w:t>contingency funding</w:t>
      </w:r>
      <w:r w:rsidRPr="00481494">
        <w:t xml:space="preserve"> for emergency response; and, provision of limited </w:t>
      </w:r>
      <w:r w:rsidRPr="00481494">
        <w:rPr>
          <w:b/>
          <w:bCs/>
        </w:rPr>
        <w:t>operational or infrastructure support</w:t>
      </w:r>
      <w:r w:rsidRPr="00481494">
        <w:t xml:space="preserve"> to supplement technical assistance (TA).</w:t>
      </w:r>
    </w:p>
    <w:p w14:paraId="090CB3CA" w14:textId="77777777" w:rsidR="00C657FB" w:rsidRPr="00BF5638" w:rsidRDefault="00C657FB" w:rsidP="00C657FB">
      <w:r w:rsidRPr="00123C3E">
        <w:rPr>
          <w:b/>
        </w:rPr>
        <w:t>Evaluation Completion Date:</w:t>
      </w:r>
      <w:r>
        <w:rPr>
          <w:b/>
        </w:rPr>
        <w:t xml:space="preserve"> </w:t>
      </w:r>
      <w:r w:rsidR="00BF5638">
        <w:t>In-country mission</w:t>
      </w:r>
      <w:r w:rsidR="00BF5638" w:rsidRPr="00BF5638">
        <w:t xml:space="preserve"> 15 – 29 October 201</w:t>
      </w:r>
      <w:r w:rsidR="00275419">
        <w:t>2</w:t>
      </w:r>
    </w:p>
    <w:p w14:paraId="090CB3CB" w14:textId="77777777" w:rsidR="00A52737" w:rsidRDefault="00C657FB" w:rsidP="00C657FB">
      <w:pPr>
        <w:rPr>
          <w:b/>
        </w:rPr>
      </w:pPr>
      <w:r w:rsidRPr="00123C3E">
        <w:rPr>
          <w:b/>
        </w:rPr>
        <w:t>Evaluation Team:</w:t>
      </w:r>
    </w:p>
    <w:p w14:paraId="090CB3CC" w14:textId="77777777" w:rsidR="00A52737" w:rsidRPr="00BF5638" w:rsidRDefault="00A52737" w:rsidP="00A52737">
      <w:pPr>
        <w:pStyle w:val="ListParagraph"/>
        <w:numPr>
          <w:ilvl w:val="0"/>
          <w:numId w:val="42"/>
        </w:numPr>
      </w:pPr>
      <w:r w:rsidRPr="00BF5638">
        <w:t>Susan Majid (Team Leader)</w:t>
      </w:r>
    </w:p>
    <w:p w14:paraId="090CB3CD" w14:textId="77777777" w:rsidR="00A52737" w:rsidRPr="00BF5638" w:rsidRDefault="00A52737" w:rsidP="00A52737">
      <w:pPr>
        <w:pStyle w:val="ListParagraph"/>
        <w:numPr>
          <w:ilvl w:val="0"/>
          <w:numId w:val="42"/>
        </w:numPr>
      </w:pPr>
      <w:r w:rsidRPr="00BF5638">
        <w:t>Prof</w:t>
      </w:r>
      <w:r w:rsidR="001A7CC6" w:rsidRPr="00BF5638">
        <w:t xml:space="preserve">essor </w:t>
      </w:r>
      <w:r w:rsidR="00BF5638" w:rsidRPr="00BF5638">
        <w:t>Pontjo Priosoeryanto (Animal Health Expert)</w:t>
      </w:r>
    </w:p>
    <w:p w14:paraId="090CB3CE" w14:textId="77777777" w:rsidR="00BF5638" w:rsidRDefault="00BF5638" w:rsidP="00A52737">
      <w:pPr>
        <w:pStyle w:val="ListParagraph"/>
        <w:numPr>
          <w:ilvl w:val="0"/>
          <w:numId w:val="42"/>
        </w:numPr>
      </w:pPr>
      <w:r w:rsidRPr="00BF5638">
        <w:t>Yoshiko Siswoko (AusAID Evaluation Manager)</w:t>
      </w:r>
    </w:p>
    <w:p w14:paraId="090CB3CF" w14:textId="77777777" w:rsidR="00C346A2" w:rsidRPr="00BF5638" w:rsidRDefault="00C346A2" w:rsidP="00A52737">
      <w:pPr>
        <w:pStyle w:val="ListParagraph"/>
        <w:numPr>
          <w:ilvl w:val="0"/>
          <w:numId w:val="42"/>
        </w:numPr>
      </w:pPr>
      <w:r>
        <w:t>Adrian Gilbert (AusAID Evaluation Delegate)</w:t>
      </w:r>
    </w:p>
    <w:p w14:paraId="090CB3D0" w14:textId="77777777" w:rsidR="0009067D" w:rsidRDefault="0009067D" w:rsidP="000D316D">
      <w:pPr>
        <w:rPr>
          <w:b/>
          <w:sz w:val="22"/>
          <w:szCs w:val="22"/>
          <w:lang w:eastAsia="en-AU"/>
        </w:rPr>
      </w:pPr>
    </w:p>
    <w:p w14:paraId="090CB3D1" w14:textId="77777777" w:rsidR="005E3939" w:rsidRPr="008B3156" w:rsidRDefault="00367DA3" w:rsidP="000D316D">
      <w:pPr>
        <w:rPr>
          <w:b/>
          <w:sz w:val="22"/>
          <w:szCs w:val="22"/>
          <w:lang w:eastAsia="en-AU"/>
        </w:rPr>
      </w:pPr>
      <w:r w:rsidRPr="008B3156">
        <w:rPr>
          <w:b/>
          <w:sz w:val="22"/>
          <w:szCs w:val="22"/>
          <w:lang w:eastAsia="en-AU"/>
        </w:rPr>
        <w:t>AusAID’s response to the evaluation report</w:t>
      </w:r>
    </w:p>
    <w:p w14:paraId="090CB3D2" w14:textId="77777777" w:rsidR="00C437BA" w:rsidRDefault="009515FE" w:rsidP="00A268C7">
      <w:pPr>
        <w:numPr>
          <w:ilvl w:val="0"/>
          <w:numId w:val="37"/>
        </w:numPr>
        <w:rPr>
          <w:rFonts w:cs="Arial"/>
        </w:rPr>
      </w:pPr>
      <w:r>
        <w:rPr>
          <w:rFonts w:cs="Arial"/>
        </w:rPr>
        <w:t xml:space="preserve">Overall, </w:t>
      </w:r>
      <w:r w:rsidR="00837B25" w:rsidRPr="00837B25">
        <w:rPr>
          <w:rFonts w:cs="Arial"/>
        </w:rPr>
        <w:t xml:space="preserve">AusAID found that the report is of good quality. It thoroughly addresses issues identified in the TOR and </w:t>
      </w:r>
      <w:r w:rsidRPr="00837B25">
        <w:rPr>
          <w:rFonts w:cs="Arial"/>
        </w:rPr>
        <w:t>articula</w:t>
      </w:r>
      <w:r>
        <w:rPr>
          <w:rFonts w:cs="Arial"/>
        </w:rPr>
        <w:t xml:space="preserve">tes well </w:t>
      </w:r>
      <w:r w:rsidR="00837B25" w:rsidRPr="00837B25">
        <w:rPr>
          <w:rFonts w:cs="Arial"/>
        </w:rPr>
        <w:t>the political nuance of the initiative as a whole of government program.</w:t>
      </w:r>
      <w:r w:rsidR="00C437BA">
        <w:rPr>
          <w:rFonts w:cs="Arial"/>
        </w:rPr>
        <w:t xml:space="preserve"> </w:t>
      </w:r>
      <w:r>
        <w:rPr>
          <w:rFonts w:cs="Arial"/>
        </w:rPr>
        <w:t>The Team used a good methodological approach to gather and analyse e</w:t>
      </w:r>
      <w:r w:rsidR="00C437BA">
        <w:rPr>
          <w:rFonts w:cs="Arial"/>
        </w:rPr>
        <w:t>vidence</w:t>
      </w:r>
      <w:r>
        <w:rPr>
          <w:rFonts w:cs="Arial"/>
        </w:rPr>
        <w:t>.</w:t>
      </w:r>
    </w:p>
    <w:p w14:paraId="090CB3D3" w14:textId="77777777" w:rsidR="00C437BA" w:rsidRDefault="00C437BA" w:rsidP="00A268C7">
      <w:pPr>
        <w:numPr>
          <w:ilvl w:val="0"/>
          <w:numId w:val="37"/>
        </w:numPr>
        <w:rPr>
          <w:rFonts w:cs="Arial"/>
        </w:rPr>
      </w:pPr>
      <w:r>
        <w:rPr>
          <w:rFonts w:cs="Arial"/>
        </w:rPr>
        <w:t xml:space="preserve">Although AusAID is in general agreement with most of the recommendations, there are several recommendations </w:t>
      </w:r>
      <w:r w:rsidR="009515FE">
        <w:rPr>
          <w:rFonts w:cs="Arial"/>
        </w:rPr>
        <w:t xml:space="preserve">that </w:t>
      </w:r>
      <w:r>
        <w:rPr>
          <w:rFonts w:cs="Arial"/>
        </w:rPr>
        <w:t>AusAID disagree</w:t>
      </w:r>
      <w:r w:rsidR="009515FE">
        <w:rPr>
          <w:rFonts w:cs="Arial"/>
        </w:rPr>
        <w:t>s</w:t>
      </w:r>
      <w:r>
        <w:rPr>
          <w:rFonts w:cs="Arial"/>
        </w:rPr>
        <w:t xml:space="preserve"> with. They are in particular related to</w:t>
      </w:r>
      <w:r w:rsidR="009515FE">
        <w:rPr>
          <w:rFonts w:cs="Arial"/>
        </w:rPr>
        <w:t xml:space="preserve"> how best to s</w:t>
      </w:r>
      <w:r w:rsidR="00D8146C">
        <w:rPr>
          <w:rFonts w:cs="Arial"/>
        </w:rPr>
        <w:t>treamlin</w:t>
      </w:r>
      <w:r w:rsidR="009515FE">
        <w:rPr>
          <w:rFonts w:cs="Arial"/>
        </w:rPr>
        <w:t>e</w:t>
      </w:r>
      <w:r w:rsidR="00D8146C">
        <w:rPr>
          <w:rFonts w:cs="Arial"/>
        </w:rPr>
        <w:t xml:space="preserve"> program governance meeting arrangement; </w:t>
      </w:r>
      <w:r w:rsidR="009515FE">
        <w:rPr>
          <w:rFonts w:cs="Arial"/>
        </w:rPr>
        <w:t xml:space="preserve">the </w:t>
      </w:r>
      <w:r w:rsidR="00D8146C">
        <w:rPr>
          <w:rFonts w:cs="Arial"/>
        </w:rPr>
        <w:t xml:space="preserve">establishment of financial system for both direct procurement and grant scheme as a result of expansion of the form of aid beyond current arrangement; and </w:t>
      </w:r>
      <w:r w:rsidR="009515FE">
        <w:rPr>
          <w:rFonts w:cs="Arial"/>
        </w:rPr>
        <w:t xml:space="preserve">the process required in order to </w:t>
      </w:r>
      <w:r w:rsidR="00D8146C">
        <w:rPr>
          <w:rFonts w:cs="Arial"/>
        </w:rPr>
        <w:t>utiliz</w:t>
      </w:r>
      <w:r w:rsidR="009515FE">
        <w:rPr>
          <w:rFonts w:cs="Arial"/>
        </w:rPr>
        <w:t xml:space="preserve">e a proposed </w:t>
      </w:r>
      <w:r w:rsidR="00D8146C">
        <w:rPr>
          <w:rFonts w:cs="Arial"/>
        </w:rPr>
        <w:t xml:space="preserve">emergency fund </w:t>
      </w:r>
    </w:p>
    <w:p w14:paraId="090CB3D4" w14:textId="77777777" w:rsidR="00C437BA" w:rsidRPr="00C437BA" w:rsidRDefault="00C437BA" w:rsidP="00A268C7">
      <w:pPr>
        <w:numPr>
          <w:ilvl w:val="0"/>
          <w:numId w:val="37"/>
        </w:numPr>
        <w:rPr>
          <w:rFonts w:cs="Arial"/>
        </w:rPr>
      </w:pPr>
      <w:r>
        <w:rPr>
          <w:rFonts w:cs="Arial"/>
        </w:rPr>
        <w:t xml:space="preserve">This management response has been widely consulted </w:t>
      </w:r>
      <w:r w:rsidR="00275419">
        <w:rPr>
          <w:rFonts w:cs="Arial"/>
        </w:rPr>
        <w:t xml:space="preserve">with </w:t>
      </w:r>
      <w:r>
        <w:rPr>
          <w:rFonts w:cs="Arial"/>
        </w:rPr>
        <w:t>DAFF and Indonesian Ministry of Agriculture.</w:t>
      </w:r>
      <w:r w:rsidR="005260EC">
        <w:rPr>
          <w:rFonts w:cs="Arial"/>
        </w:rPr>
        <w:t xml:space="preserve"> The actions planned </w:t>
      </w:r>
      <w:r w:rsidR="009515FE">
        <w:rPr>
          <w:rFonts w:cs="Arial"/>
        </w:rPr>
        <w:t>are</w:t>
      </w:r>
      <w:r w:rsidR="00D8146C">
        <w:rPr>
          <w:rFonts w:cs="Arial"/>
        </w:rPr>
        <w:t xml:space="preserve"> detail</w:t>
      </w:r>
      <w:r w:rsidR="009515FE">
        <w:rPr>
          <w:rFonts w:cs="Arial"/>
        </w:rPr>
        <w:t>ed</w:t>
      </w:r>
      <w:r w:rsidR="00D8146C">
        <w:rPr>
          <w:rFonts w:cs="Arial"/>
        </w:rPr>
        <w:t xml:space="preserve"> below. </w:t>
      </w:r>
    </w:p>
    <w:p w14:paraId="090CB3D5" w14:textId="77777777" w:rsidR="00C657FB" w:rsidRDefault="00C657FB" w:rsidP="00C657FB">
      <w:pPr>
        <w:rPr>
          <w:rFonts w:cs="Arial"/>
        </w:rPr>
      </w:pPr>
    </w:p>
    <w:p w14:paraId="090CB3D6" w14:textId="77777777" w:rsidR="00C657FB" w:rsidRDefault="00F63B43" w:rsidP="000D316D">
      <w:pPr>
        <w:rPr>
          <w:b/>
          <w:sz w:val="22"/>
          <w:szCs w:val="22"/>
          <w:lang w:eastAsia="en-AU"/>
        </w:rPr>
      </w:pPr>
      <w:r w:rsidRPr="008B3156">
        <w:rPr>
          <w:b/>
          <w:sz w:val="22"/>
          <w:szCs w:val="22"/>
          <w:lang w:eastAsia="en-AU"/>
        </w:rPr>
        <w:t>AusAID’s r</w:t>
      </w:r>
      <w:r w:rsidR="00C657FB" w:rsidRPr="008B3156">
        <w:rPr>
          <w:b/>
          <w:sz w:val="22"/>
          <w:szCs w:val="22"/>
          <w:lang w:eastAsia="en-AU"/>
        </w:rPr>
        <w:t>esponse to the specific rec</w:t>
      </w:r>
      <w:r w:rsidR="00367DA3" w:rsidRPr="008B3156">
        <w:rPr>
          <w:b/>
          <w:sz w:val="22"/>
          <w:szCs w:val="22"/>
          <w:lang w:eastAsia="en-AU"/>
        </w:rPr>
        <w:t>ommendations made in the report</w:t>
      </w:r>
    </w:p>
    <w:p w14:paraId="090CB3D7" w14:textId="77777777" w:rsidR="0052194C" w:rsidRDefault="0052194C" w:rsidP="000D316D">
      <w:pPr>
        <w:rPr>
          <w:b/>
          <w:sz w:val="22"/>
          <w:szCs w:val="22"/>
          <w:lang w:eastAsia="en-AU"/>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916"/>
        <w:gridCol w:w="3188"/>
        <w:gridCol w:w="3403"/>
        <w:gridCol w:w="991"/>
      </w:tblGrid>
      <w:tr w:rsidR="0052194C" w:rsidRPr="0052194C" w14:paraId="090CB3DD" w14:textId="77777777" w:rsidTr="005D5440">
        <w:trPr>
          <w:trHeight w:val="689"/>
          <w:tblHeader/>
        </w:trPr>
        <w:tc>
          <w:tcPr>
            <w:tcW w:w="266" w:type="pct"/>
            <w:shd w:val="clear" w:color="auto" w:fill="FFCC66"/>
            <w:vAlign w:val="center"/>
          </w:tcPr>
          <w:p w14:paraId="090CB3D8" w14:textId="77777777" w:rsidR="0052194C" w:rsidRPr="0052194C" w:rsidRDefault="002C7626" w:rsidP="00AD4643">
            <w:pPr>
              <w:spacing w:before="40" w:after="40"/>
              <w:jc w:val="center"/>
              <w:rPr>
                <w:rFonts w:eastAsia="SimSun" w:cs="Arial"/>
                <w:b/>
                <w:bCs/>
                <w:szCs w:val="20"/>
              </w:rPr>
            </w:pPr>
            <w:r>
              <w:rPr>
                <w:rFonts w:eastAsia="SimSun"/>
                <w:b/>
                <w:bCs/>
                <w:szCs w:val="20"/>
              </w:rPr>
              <w:t>No</w:t>
            </w:r>
          </w:p>
        </w:tc>
        <w:tc>
          <w:tcPr>
            <w:tcW w:w="955" w:type="pct"/>
            <w:shd w:val="clear" w:color="auto" w:fill="FFCC66"/>
            <w:vAlign w:val="center"/>
          </w:tcPr>
          <w:p w14:paraId="090CB3D9" w14:textId="77777777" w:rsidR="0052194C" w:rsidRPr="0052194C" w:rsidRDefault="0052194C" w:rsidP="00AD4643">
            <w:pPr>
              <w:spacing w:before="40" w:after="40"/>
              <w:jc w:val="center"/>
              <w:rPr>
                <w:rFonts w:eastAsia="SimSun" w:cs="Arial"/>
                <w:b/>
                <w:bCs/>
                <w:szCs w:val="20"/>
              </w:rPr>
            </w:pPr>
            <w:r w:rsidRPr="0052194C">
              <w:rPr>
                <w:rFonts w:eastAsia="SimSun" w:cs="Arial"/>
                <w:b/>
                <w:bCs/>
                <w:szCs w:val="20"/>
              </w:rPr>
              <w:t>Recommendation</w:t>
            </w:r>
          </w:p>
        </w:tc>
        <w:tc>
          <w:tcPr>
            <w:tcW w:w="1589" w:type="pct"/>
            <w:shd w:val="clear" w:color="auto" w:fill="FFCC66"/>
            <w:vAlign w:val="center"/>
          </w:tcPr>
          <w:p w14:paraId="090CB3DA" w14:textId="77777777" w:rsidR="0052194C" w:rsidRPr="0052194C" w:rsidRDefault="0052194C" w:rsidP="00AD4643">
            <w:pPr>
              <w:spacing w:before="40" w:after="40"/>
              <w:jc w:val="center"/>
              <w:rPr>
                <w:rFonts w:eastAsia="SimSun"/>
                <w:b/>
                <w:bCs/>
                <w:szCs w:val="20"/>
              </w:rPr>
            </w:pPr>
            <w:r w:rsidRPr="0052194C">
              <w:rPr>
                <w:rFonts w:eastAsia="SimSun"/>
                <w:b/>
                <w:bCs/>
                <w:szCs w:val="20"/>
              </w:rPr>
              <w:t>Response</w:t>
            </w:r>
          </w:p>
        </w:tc>
        <w:tc>
          <w:tcPr>
            <w:tcW w:w="1696" w:type="pct"/>
            <w:shd w:val="clear" w:color="auto" w:fill="FFCC66"/>
            <w:vAlign w:val="center"/>
          </w:tcPr>
          <w:p w14:paraId="090CB3DB" w14:textId="77777777" w:rsidR="0052194C" w:rsidRPr="0052194C" w:rsidRDefault="0052194C" w:rsidP="00AD4643">
            <w:pPr>
              <w:spacing w:before="40" w:after="40"/>
              <w:jc w:val="center"/>
              <w:rPr>
                <w:rFonts w:eastAsia="SimSun"/>
                <w:b/>
                <w:bCs/>
                <w:szCs w:val="20"/>
              </w:rPr>
            </w:pPr>
            <w:r w:rsidRPr="0052194C">
              <w:rPr>
                <w:rFonts w:eastAsia="SimSun"/>
                <w:b/>
                <w:bCs/>
                <w:szCs w:val="20"/>
              </w:rPr>
              <w:t>Actions</w:t>
            </w:r>
          </w:p>
        </w:tc>
        <w:tc>
          <w:tcPr>
            <w:tcW w:w="494" w:type="pct"/>
            <w:shd w:val="clear" w:color="auto" w:fill="FFCC66"/>
            <w:vAlign w:val="center"/>
          </w:tcPr>
          <w:p w14:paraId="090CB3DC" w14:textId="77777777" w:rsidR="0052194C" w:rsidRPr="0052194C" w:rsidRDefault="0052194C" w:rsidP="00AD4643">
            <w:pPr>
              <w:spacing w:before="40" w:after="40"/>
              <w:jc w:val="center"/>
              <w:rPr>
                <w:rFonts w:eastAsia="SimSun"/>
                <w:b/>
                <w:bCs/>
                <w:szCs w:val="20"/>
              </w:rPr>
            </w:pPr>
            <w:r w:rsidRPr="0052194C">
              <w:rPr>
                <w:rFonts w:eastAsia="SimSun"/>
                <w:b/>
                <w:bCs/>
                <w:szCs w:val="20"/>
              </w:rPr>
              <w:t>Responsibility</w:t>
            </w:r>
          </w:p>
        </w:tc>
      </w:tr>
      <w:tr w:rsidR="002C7626" w:rsidRPr="002C7626" w14:paraId="090CB3DF" w14:textId="77777777" w:rsidTr="002C7626">
        <w:trPr>
          <w:trHeight w:val="557"/>
        </w:trPr>
        <w:tc>
          <w:tcPr>
            <w:tcW w:w="5000" w:type="pct"/>
            <w:gridSpan w:val="5"/>
            <w:shd w:val="clear" w:color="auto" w:fill="auto"/>
          </w:tcPr>
          <w:p w14:paraId="090CB3DE" w14:textId="77777777" w:rsidR="002C7626" w:rsidRPr="002C7626" w:rsidRDefault="002C7626" w:rsidP="00AD4643">
            <w:pPr>
              <w:spacing w:before="40" w:after="40"/>
              <w:rPr>
                <w:rFonts w:eastAsia="SimSun"/>
                <w:b/>
                <w:szCs w:val="22"/>
              </w:rPr>
            </w:pPr>
            <w:r w:rsidRPr="002C7626">
              <w:rPr>
                <w:rFonts w:eastAsia="SimSun"/>
                <w:b/>
                <w:szCs w:val="22"/>
              </w:rPr>
              <w:t>IPR Objective 1 and 2: Organisational Arrangement and Financial Management</w:t>
            </w:r>
          </w:p>
        </w:tc>
      </w:tr>
      <w:tr w:rsidR="0052194C" w:rsidRPr="00901F91" w14:paraId="090CB3E7" w14:textId="77777777" w:rsidTr="005D5440">
        <w:tc>
          <w:tcPr>
            <w:tcW w:w="266" w:type="pct"/>
            <w:shd w:val="clear" w:color="auto" w:fill="auto"/>
          </w:tcPr>
          <w:p w14:paraId="090CB3E0" w14:textId="77777777" w:rsidR="0052194C" w:rsidRPr="00A004B2" w:rsidRDefault="0052194C" w:rsidP="00AD4643">
            <w:pPr>
              <w:spacing w:before="40" w:after="40"/>
              <w:rPr>
                <w:rFonts w:eastAsia="SimSun" w:cs="Arial"/>
              </w:rPr>
            </w:pPr>
            <w:r w:rsidRPr="00A004B2">
              <w:rPr>
                <w:rFonts w:eastAsia="SimSun" w:cs="Arial"/>
                <w:szCs w:val="22"/>
              </w:rPr>
              <w:t>1</w:t>
            </w:r>
          </w:p>
        </w:tc>
        <w:tc>
          <w:tcPr>
            <w:tcW w:w="955" w:type="pct"/>
            <w:vAlign w:val="center"/>
          </w:tcPr>
          <w:p w14:paraId="090CB3E1" w14:textId="77777777" w:rsidR="0052194C" w:rsidRPr="00A004B2" w:rsidRDefault="0052194C" w:rsidP="00AD4643">
            <w:pPr>
              <w:spacing w:before="40" w:after="40"/>
              <w:rPr>
                <w:rFonts w:eastAsia="SimSun" w:cs="Arial"/>
              </w:rPr>
            </w:pPr>
            <w:r w:rsidRPr="00A004B2">
              <w:rPr>
                <w:rFonts w:eastAsia="SimSun" w:cs="Arial"/>
                <w:szCs w:val="22"/>
              </w:rPr>
              <w:t xml:space="preserve">Governance Meetings should be streamlined by disbanding the </w:t>
            </w:r>
            <w:r w:rsidR="0009067D">
              <w:rPr>
                <w:rFonts w:eastAsia="SimSun" w:cs="Arial"/>
                <w:szCs w:val="22"/>
              </w:rPr>
              <w:t xml:space="preserve">Program Steering Committee </w:t>
            </w:r>
            <w:r w:rsidR="0009067D" w:rsidRPr="00A004B2">
              <w:rPr>
                <w:rFonts w:eastAsia="SimSun" w:cs="Arial"/>
                <w:szCs w:val="22"/>
              </w:rPr>
              <w:t xml:space="preserve"> </w:t>
            </w:r>
            <w:r w:rsidRPr="00A004B2">
              <w:rPr>
                <w:rFonts w:eastAsia="SimSun" w:cs="Arial"/>
                <w:szCs w:val="22"/>
              </w:rPr>
              <w:t xml:space="preserve">and retaining only the </w:t>
            </w:r>
            <w:r w:rsidR="0009067D">
              <w:rPr>
                <w:rFonts w:eastAsia="SimSun" w:cs="Arial"/>
                <w:szCs w:val="22"/>
              </w:rPr>
              <w:t>Program Coordinating Committee</w:t>
            </w:r>
            <w:r w:rsidRPr="00A004B2">
              <w:rPr>
                <w:rFonts w:eastAsia="SimSun" w:cs="Arial"/>
                <w:szCs w:val="22"/>
              </w:rPr>
              <w:t>.</w:t>
            </w:r>
          </w:p>
        </w:tc>
        <w:tc>
          <w:tcPr>
            <w:tcW w:w="1589" w:type="pct"/>
            <w:vAlign w:val="center"/>
          </w:tcPr>
          <w:p w14:paraId="090CB3E2" w14:textId="77777777" w:rsidR="00281C48" w:rsidRDefault="0009067D" w:rsidP="00AD4643">
            <w:pPr>
              <w:spacing w:before="40" w:after="40"/>
              <w:rPr>
                <w:rFonts w:eastAsia="SimSun"/>
              </w:rPr>
            </w:pPr>
            <w:r>
              <w:rPr>
                <w:rFonts w:eastAsia="SimSun"/>
              </w:rPr>
              <w:t>Disagree</w:t>
            </w:r>
            <w:r w:rsidR="009155E6">
              <w:rPr>
                <w:rFonts w:eastAsia="SimSun"/>
              </w:rPr>
              <w:t>.</w:t>
            </w:r>
            <w:r w:rsidR="0025731A">
              <w:rPr>
                <w:rFonts w:eastAsia="SimSun"/>
              </w:rPr>
              <w:t xml:space="preserve"> </w:t>
            </w:r>
            <w:r>
              <w:rPr>
                <w:rFonts w:eastAsia="SimSun"/>
              </w:rPr>
              <w:t>We agree that t</w:t>
            </w:r>
            <w:r w:rsidR="007E1092">
              <w:rPr>
                <w:rFonts w:eastAsia="SimSun"/>
              </w:rPr>
              <w:t xml:space="preserve">he </w:t>
            </w:r>
            <w:r w:rsidR="00815C86">
              <w:rPr>
                <w:rFonts w:eastAsia="SimSun"/>
              </w:rPr>
              <w:t>PCC and PSC have not performed the functions as originally intended and described in their respective terms of reference</w:t>
            </w:r>
            <w:r>
              <w:rPr>
                <w:rFonts w:eastAsia="SimSun"/>
              </w:rPr>
              <w:t>, but the response should be to correct this shortcoming rather than abandon the original structure which retains its relevance</w:t>
            </w:r>
            <w:r w:rsidR="00146BA1">
              <w:rPr>
                <w:rFonts w:eastAsia="SimSun"/>
              </w:rPr>
              <w:t>.</w:t>
            </w:r>
            <w:r>
              <w:rPr>
                <w:rFonts w:eastAsia="SimSun"/>
              </w:rPr>
              <w:t xml:space="preserve"> The problem is largely attributable to the unavailability of senior GOI </w:t>
            </w:r>
            <w:r w:rsidR="00146BA1">
              <w:rPr>
                <w:rFonts w:eastAsia="SimSun"/>
              </w:rPr>
              <w:t>representatives</w:t>
            </w:r>
            <w:r>
              <w:rPr>
                <w:rFonts w:eastAsia="SimSun"/>
              </w:rPr>
              <w:t xml:space="preserve"> for PCC meetings, meaning that they are commonly represented by less senior staff who also sit on the PSC. </w:t>
            </w:r>
            <w:r w:rsidR="009515FE">
              <w:rPr>
                <w:rFonts w:eastAsia="SimSun"/>
              </w:rPr>
              <w:t>The Team found that h</w:t>
            </w:r>
            <w:r>
              <w:rPr>
                <w:rFonts w:eastAsia="SimSun"/>
              </w:rPr>
              <w:t xml:space="preserve">aving the same personnel on both committees suggests one is </w:t>
            </w:r>
            <w:r>
              <w:rPr>
                <w:rFonts w:eastAsia="SimSun"/>
              </w:rPr>
              <w:lastRenderedPageBreak/>
              <w:t>redundant.</w:t>
            </w:r>
          </w:p>
          <w:p w14:paraId="090CB3E3" w14:textId="77777777" w:rsidR="00281C48" w:rsidRDefault="00092C1C" w:rsidP="00AD4643">
            <w:pPr>
              <w:spacing w:before="40" w:after="40"/>
              <w:rPr>
                <w:rFonts w:eastAsia="SimSun"/>
              </w:rPr>
            </w:pPr>
            <w:r>
              <w:rPr>
                <w:rFonts w:eastAsia="SimSun"/>
              </w:rPr>
              <w:t xml:space="preserve">GoI </w:t>
            </w:r>
            <w:r w:rsidR="0009067D">
              <w:rPr>
                <w:rFonts w:eastAsia="SimSun"/>
              </w:rPr>
              <w:t>disagrees</w:t>
            </w:r>
            <w:r>
              <w:rPr>
                <w:rFonts w:eastAsia="SimSun"/>
              </w:rPr>
              <w:t xml:space="preserve"> with the suggestion to disband the PSC</w:t>
            </w:r>
            <w:r w:rsidR="0009067D">
              <w:rPr>
                <w:rFonts w:eastAsia="SimSun"/>
              </w:rPr>
              <w:t>, but acknowledges the need for senior staff to be more involved at the PCC level in order for that committee to be more strategic</w:t>
            </w:r>
            <w:r>
              <w:rPr>
                <w:rFonts w:eastAsia="SimSun"/>
              </w:rPr>
              <w:t>. There is an ongoing need for regular operational and technical discussion across the components</w:t>
            </w:r>
            <w:r w:rsidR="0009067D">
              <w:rPr>
                <w:rFonts w:eastAsia="SimSun"/>
              </w:rPr>
              <w:t>, which would be compromised if the PSC were to be disbanded</w:t>
            </w:r>
            <w:r>
              <w:rPr>
                <w:rFonts w:eastAsia="SimSun"/>
              </w:rPr>
              <w:t xml:space="preserve">. </w:t>
            </w:r>
            <w:r w:rsidR="0009067D">
              <w:rPr>
                <w:rFonts w:eastAsia="SimSun"/>
              </w:rPr>
              <w:t>We agree with this view.</w:t>
            </w:r>
          </w:p>
        </w:tc>
        <w:tc>
          <w:tcPr>
            <w:tcW w:w="1696" w:type="pct"/>
          </w:tcPr>
          <w:p w14:paraId="090CB3E4" w14:textId="77777777" w:rsidR="00281C48" w:rsidRDefault="00F9462E" w:rsidP="00AD4643">
            <w:pPr>
              <w:spacing w:before="40" w:after="40"/>
              <w:rPr>
                <w:rFonts w:eastAsia="SimSun"/>
              </w:rPr>
            </w:pPr>
            <w:r>
              <w:rPr>
                <w:rFonts w:eastAsia="SimSun"/>
              </w:rPr>
              <w:lastRenderedPageBreak/>
              <w:t>DAFF and GoI partners to address this issue in the context of a broader engagement strategy and discussion on the preferred leadership model (</w:t>
            </w:r>
            <w:r w:rsidR="000A4D33">
              <w:rPr>
                <w:rFonts w:eastAsia="SimSun"/>
              </w:rPr>
              <w:t xml:space="preserve">see recommendation 6). The engagement strategy </w:t>
            </w:r>
            <w:r w:rsidR="00F24FBD">
              <w:rPr>
                <w:rFonts w:eastAsia="SimSun"/>
              </w:rPr>
              <w:t xml:space="preserve">should </w:t>
            </w:r>
            <w:r w:rsidR="00B205A4">
              <w:rPr>
                <w:rFonts w:eastAsia="SimSun"/>
              </w:rPr>
              <w:t xml:space="preserve">reduce the number of formal/governance meetings and ensure that meetings contribute to the achievement of program outcomes. </w:t>
            </w:r>
            <w:r w:rsidR="00FC4259">
              <w:rPr>
                <w:rFonts w:eastAsia="SimSun"/>
              </w:rPr>
              <w:t xml:space="preserve">It should </w:t>
            </w:r>
            <w:r w:rsidR="000A4D33">
              <w:rPr>
                <w:rFonts w:eastAsia="SimSun"/>
              </w:rPr>
              <w:t>define by whom</w:t>
            </w:r>
            <w:r w:rsidR="007552F3">
              <w:rPr>
                <w:rFonts w:eastAsia="SimSun"/>
              </w:rPr>
              <w:t>, when</w:t>
            </w:r>
            <w:r w:rsidR="000A4D33">
              <w:rPr>
                <w:rFonts w:eastAsia="SimSun"/>
              </w:rPr>
              <w:t xml:space="preserve"> and in what forum the partners engage on </w:t>
            </w:r>
            <w:r w:rsidR="007552F3">
              <w:rPr>
                <w:rFonts w:eastAsia="SimSun"/>
              </w:rPr>
              <w:t>a strategic</w:t>
            </w:r>
            <w:r w:rsidR="000A4D33">
              <w:rPr>
                <w:rFonts w:eastAsia="SimSun"/>
              </w:rPr>
              <w:t>/leadership level (PCC); technical/coordination level (the PSC); implementation/operational level (sub-committees and/or working groups); and informal ‘day-</w:t>
            </w:r>
            <w:r w:rsidR="000A4D33">
              <w:rPr>
                <w:rFonts w:eastAsia="SimSun"/>
              </w:rPr>
              <w:lastRenderedPageBreak/>
              <w:t>to-day’ interaction.</w:t>
            </w:r>
          </w:p>
        </w:tc>
        <w:tc>
          <w:tcPr>
            <w:tcW w:w="494" w:type="pct"/>
          </w:tcPr>
          <w:p w14:paraId="090CB3E5" w14:textId="77777777" w:rsidR="009515FE" w:rsidRDefault="009515FE" w:rsidP="00AD4643">
            <w:pPr>
              <w:spacing w:before="40" w:after="40"/>
              <w:jc w:val="center"/>
              <w:rPr>
                <w:rFonts w:eastAsia="SimSun"/>
                <w:szCs w:val="22"/>
              </w:rPr>
            </w:pPr>
            <w:r>
              <w:rPr>
                <w:rFonts w:eastAsia="SimSun"/>
                <w:szCs w:val="22"/>
              </w:rPr>
              <w:lastRenderedPageBreak/>
              <w:t>MoA/</w:t>
            </w:r>
          </w:p>
          <w:p w14:paraId="090CB3E6" w14:textId="77777777" w:rsidR="0052194C" w:rsidRDefault="0052194C" w:rsidP="00AD4643">
            <w:pPr>
              <w:spacing w:before="40" w:after="40"/>
              <w:jc w:val="center"/>
              <w:rPr>
                <w:rFonts w:eastAsia="SimSun"/>
              </w:rPr>
            </w:pPr>
            <w:r>
              <w:rPr>
                <w:rFonts w:eastAsia="SimSun"/>
                <w:szCs w:val="22"/>
              </w:rPr>
              <w:t>PCC</w:t>
            </w:r>
          </w:p>
        </w:tc>
      </w:tr>
      <w:tr w:rsidR="0052194C" w:rsidRPr="00901F91" w14:paraId="090CB3ED" w14:textId="77777777" w:rsidTr="005D5440">
        <w:trPr>
          <w:trHeight w:val="411"/>
        </w:trPr>
        <w:tc>
          <w:tcPr>
            <w:tcW w:w="266" w:type="pct"/>
          </w:tcPr>
          <w:p w14:paraId="090CB3E8" w14:textId="77777777" w:rsidR="0052194C" w:rsidRPr="00A004B2" w:rsidRDefault="0052194C" w:rsidP="00AD4643">
            <w:pPr>
              <w:spacing w:before="40" w:after="40"/>
              <w:rPr>
                <w:rFonts w:eastAsia="SimSun" w:cs="Arial"/>
              </w:rPr>
            </w:pPr>
            <w:r w:rsidRPr="00A004B2">
              <w:rPr>
                <w:rFonts w:eastAsia="SimSun" w:cs="Arial"/>
                <w:szCs w:val="22"/>
              </w:rPr>
              <w:lastRenderedPageBreak/>
              <w:t>2</w:t>
            </w:r>
          </w:p>
        </w:tc>
        <w:tc>
          <w:tcPr>
            <w:tcW w:w="955" w:type="pct"/>
            <w:vAlign w:val="center"/>
          </w:tcPr>
          <w:p w14:paraId="090CB3E9" w14:textId="77777777" w:rsidR="0052194C" w:rsidRPr="00A004B2" w:rsidRDefault="0052194C" w:rsidP="00AD4643">
            <w:pPr>
              <w:spacing w:before="40" w:after="40"/>
              <w:rPr>
                <w:rFonts w:eastAsia="SimSun" w:cs="Arial"/>
              </w:rPr>
            </w:pPr>
            <w:r w:rsidRPr="00A004B2">
              <w:rPr>
                <w:rFonts w:eastAsia="SimSun" w:cs="Arial"/>
                <w:szCs w:val="22"/>
              </w:rPr>
              <w:t>From 2013, DAFF should align six-monthly PCC Meetings with the six-monthly reporting schedule.</w:t>
            </w:r>
          </w:p>
        </w:tc>
        <w:tc>
          <w:tcPr>
            <w:tcW w:w="1589" w:type="pct"/>
            <w:vAlign w:val="center"/>
          </w:tcPr>
          <w:p w14:paraId="090CB3EA" w14:textId="77777777" w:rsidR="00281C48" w:rsidRPr="00146BA1" w:rsidRDefault="007552F3" w:rsidP="00AD4643">
            <w:pPr>
              <w:spacing w:before="40" w:after="40"/>
              <w:rPr>
                <w:rFonts w:eastAsia="SimSun"/>
              </w:rPr>
            </w:pPr>
            <w:r w:rsidRPr="00146BA1">
              <w:rPr>
                <w:rFonts w:eastAsia="SimSun"/>
              </w:rPr>
              <w:t xml:space="preserve">Agree. </w:t>
            </w:r>
            <w:r w:rsidR="00460A96" w:rsidRPr="00146BA1">
              <w:rPr>
                <w:rFonts w:eastAsia="SimSun"/>
              </w:rPr>
              <w:t>Governance meetings should be</w:t>
            </w:r>
            <w:r w:rsidRPr="00146BA1">
              <w:rPr>
                <w:rFonts w:eastAsia="SimSun"/>
              </w:rPr>
              <w:t xml:space="preserve"> aligned with the planning and reporting cycle.</w:t>
            </w:r>
          </w:p>
        </w:tc>
        <w:tc>
          <w:tcPr>
            <w:tcW w:w="1696" w:type="pct"/>
          </w:tcPr>
          <w:p w14:paraId="090CB3EB" w14:textId="77777777" w:rsidR="00281C48" w:rsidRDefault="00FC4259" w:rsidP="00AD4643">
            <w:pPr>
              <w:spacing w:before="40" w:after="40"/>
              <w:rPr>
                <w:rFonts w:eastAsia="SimSun"/>
              </w:rPr>
            </w:pPr>
            <w:r>
              <w:rPr>
                <w:rFonts w:eastAsia="SimSun"/>
              </w:rPr>
              <w:t>To consider and address as part of the broader engagement strategy (see notes for R1, above).</w:t>
            </w:r>
          </w:p>
        </w:tc>
        <w:tc>
          <w:tcPr>
            <w:tcW w:w="494" w:type="pct"/>
          </w:tcPr>
          <w:p w14:paraId="090CB3EC" w14:textId="77777777" w:rsidR="0052194C" w:rsidRDefault="0052194C" w:rsidP="00AD4643">
            <w:pPr>
              <w:spacing w:before="40" w:after="40"/>
              <w:jc w:val="center"/>
              <w:rPr>
                <w:rFonts w:eastAsia="SimSun"/>
              </w:rPr>
            </w:pPr>
            <w:r>
              <w:rPr>
                <w:rFonts w:eastAsia="SimSun"/>
                <w:szCs w:val="22"/>
              </w:rPr>
              <w:t>DAFF</w:t>
            </w:r>
          </w:p>
        </w:tc>
      </w:tr>
      <w:tr w:rsidR="0052194C" w:rsidRPr="00901F91" w14:paraId="090CB3F4" w14:textId="77777777" w:rsidTr="005D5440">
        <w:tc>
          <w:tcPr>
            <w:tcW w:w="266" w:type="pct"/>
            <w:shd w:val="clear" w:color="auto" w:fill="auto"/>
          </w:tcPr>
          <w:p w14:paraId="090CB3EE" w14:textId="77777777" w:rsidR="0052194C" w:rsidRPr="00A004B2" w:rsidRDefault="0052194C" w:rsidP="00AD4643">
            <w:pPr>
              <w:spacing w:before="40" w:after="40"/>
              <w:rPr>
                <w:rFonts w:eastAsia="SimSun" w:cs="Arial"/>
              </w:rPr>
            </w:pPr>
            <w:r w:rsidRPr="00A004B2">
              <w:rPr>
                <w:rFonts w:eastAsia="SimSun" w:cs="Arial"/>
                <w:szCs w:val="22"/>
              </w:rPr>
              <w:t>3</w:t>
            </w:r>
          </w:p>
        </w:tc>
        <w:tc>
          <w:tcPr>
            <w:tcW w:w="955" w:type="pct"/>
            <w:vAlign w:val="center"/>
          </w:tcPr>
          <w:p w14:paraId="090CB3EF" w14:textId="77777777" w:rsidR="0052194C" w:rsidRPr="00A004B2" w:rsidRDefault="0052194C" w:rsidP="00AD4643">
            <w:pPr>
              <w:spacing w:before="40" w:after="40"/>
              <w:rPr>
                <w:rFonts w:eastAsia="SimSun" w:cs="Arial"/>
              </w:rPr>
            </w:pPr>
            <w:r w:rsidRPr="00A004B2">
              <w:rPr>
                <w:rFonts w:eastAsia="SimSun" w:cs="Arial"/>
                <w:szCs w:val="22"/>
              </w:rPr>
              <w:t>Once a year, there should be a ‘super-PCC Meeting’ where Australian and Indonesian representatives of the five components (i.e. Components 1, 2.1, 2.2, 2.3, and 3) attend both the PCC Meeting and an Annual Reflection held immediately before the PCC Meeting.</w:t>
            </w:r>
          </w:p>
        </w:tc>
        <w:tc>
          <w:tcPr>
            <w:tcW w:w="1589" w:type="pct"/>
            <w:vAlign w:val="center"/>
          </w:tcPr>
          <w:p w14:paraId="090CB3F0" w14:textId="77777777" w:rsidR="00281C48" w:rsidRPr="00146BA1" w:rsidRDefault="00763ECB" w:rsidP="00AD4643">
            <w:pPr>
              <w:spacing w:before="40" w:after="40"/>
              <w:rPr>
                <w:rFonts w:eastAsia="SimSun"/>
              </w:rPr>
            </w:pPr>
            <w:r w:rsidRPr="00146BA1">
              <w:rPr>
                <w:rFonts w:eastAsia="SimSun"/>
              </w:rPr>
              <w:t>Disagree</w:t>
            </w:r>
            <w:r w:rsidR="007552F3" w:rsidRPr="00146BA1">
              <w:rPr>
                <w:rFonts w:eastAsia="SimSun"/>
              </w:rPr>
              <w:t xml:space="preserve">. </w:t>
            </w:r>
            <w:r w:rsidRPr="00146BA1">
              <w:rPr>
                <w:rFonts w:eastAsia="SimSun"/>
              </w:rPr>
              <w:t>An</w:t>
            </w:r>
            <w:r w:rsidR="007552F3" w:rsidRPr="00146BA1">
              <w:rPr>
                <w:rFonts w:eastAsia="SimSun"/>
              </w:rPr>
              <w:t xml:space="preserve"> annual ‘reflections and planning’ meeting including GoI and GoA representatives of all components</w:t>
            </w:r>
            <w:r w:rsidRPr="00146BA1">
              <w:rPr>
                <w:rFonts w:eastAsia="SimSun"/>
              </w:rPr>
              <w:t xml:space="preserve"> is supported</w:t>
            </w:r>
            <w:r w:rsidR="007552F3" w:rsidRPr="00146BA1">
              <w:rPr>
                <w:rFonts w:eastAsia="SimSun"/>
              </w:rPr>
              <w:t xml:space="preserve">. However, </w:t>
            </w:r>
            <w:r w:rsidRPr="00146BA1">
              <w:rPr>
                <w:rFonts w:eastAsia="SimSun"/>
              </w:rPr>
              <w:t xml:space="preserve">at least several weeks </w:t>
            </w:r>
            <w:r w:rsidR="0009067D" w:rsidRPr="00146BA1">
              <w:rPr>
                <w:rFonts w:eastAsia="SimSun"/>
              </w:rPr>
              <w:t xml:space="preserve">are </w:t>
            </w:r>
            <w:r w:rsidRPr="00146BA1">
              <w:rPr>
                <w:rFonts w:eastAsia="SimSun"/>
              </w:rPr>
              <w:t xml:space="preserve">required to digest and synthesise outcomes of the </w:t>
            </w:r>
            <w:r w:rsidR="00990E6C">
              <w:rPr>
                <w:rFonts w:eastAsia="SimSun"/>
              </w:rPr>
              <w:t xml:space="preserve">Reflexion and Planning </w:t>
            </w:r>
            <w:r w:rsidRPr="00146BA1">
              <w:rPr>
                <w:rFonts w:eastAsia="SimSun"/>
              </w:rPr>
              <w:t>workshop prior to the PCC.</w:t>
            </w:r>
            <w:r w:rsidR="00DD6C7B" w:rsidRPr="00146BA1">
              <w:rPr>
                <w:rFonts w:eastAsia="SimSun"/>
              </w:rPr>
              <w:t xml:space="preserve"> </w:t>
            </w:r>
          </w:p>
          <w:p w14:paraId="090CB3F1" w14:textId="77777777" w:rsidR="00281C48" w:rsidRPr="00146BA1" w:rsidRDefault="00A004B1" w:rsidP="00AD4643">
            <w:pPr>
              <w:spacing w:before="40" w:after="40"/>
              <w:rPr>
                <w:rFonts w:eastAsia="SimSun"/>
              </w:rPr>
            </w:pPr>
            <w:r w:rsidRPr="00146BA1">
              <w:rPr>
                <w:rFonts w:eastAsia="SimSun"/>
              </w:rPr>
              <w:t xml:space="preserve">A </w:t>
            </w:r>
            <w:r w:rsidR="00DD6C7B" w:rsidRPr="00146BA1">
              <w:rPr>
                <w:rFonts w:eastAsia="SimSun"/>
              </w:rPr>
              <w:t>‘Super-PCC’ that included a pre-meeting to showcase program achievements to a broader group of stakeholders (i.e. with the objective of socialization rather than internal planning)</w:t>
            </w:r>
            <w:r w:rsidRPr="00146BA1">
              <w:rPr>
                <w:rFonts w:eastAsia="SimSun"/>
              </w:rPr>
              <w:t xml:space="preserve"> is supported</w:t>
            </w:r>
            <w:r w:rsidR="00DD6C7B" w:rsidRPr="00146BA1">
              <w:rPr>
                <w:rFonts w:eastAsia="SimSun"/>
              </w:rPr>
              <w:t xml:space="preserve">. </w:t>
            </w:r>
          </w:p>
        </w:tc>
        <w:tc>
          <w:tcPr>
            <w:tcW w:w="1696" w:type="pct"/>
          </w:tcPr>
          <w:p w14:paraId="090CB3F2" w14:textId="77777777" w:rsidR="00281C48" w:rsidRDefault="00DD6C7B" w:rsidP="00AD4643">
            <w:pPr>
              <w:spacing w:before="40" w:after="40"/>
              <w:rPr>
                <w:rFonts w:eastAsia="SimSun"/>
              </w:rPr>
            </w:pPr>
            <w:r>
              <w:rPr>
                <w:rFonts w:eastAsia="SimSun"/>
              </w:rPr>
              <w:t>To consider and address as part of the broader engagement strategy (see notes for R1, above).</w:t>
            </w:r>
          </w:p>
        </w:tc>
        <w:tc>
          <w:tcPr>
            <w:tcW w:w="494" w:type="pct"/>
          </w:tcPr>
          <w:p w14:paraId="090CB3F3" w14:textId="77777777" w:rsidR="0052194C" w:rsidRDefault="0052194C" w:rsidP="00AD4643">
            <w:pPr>
              <w:spacing w:before="40" w:after="40"/>
              <w:jc w:val="center"/>
              <w:rPr>
                <w:rFonts w:eastAsia="SimSun"/>
              </w:rPr>
            </w:pPr>
            <w:r>
              <w:rPr>
                <w:rFonts w:eastAsia="SimSun"/>
                <w:szCs w:val="22"/>
              </w:rPr>
              <w:t>PCC</w:t>
            </w:r>
          </w:p>
        </w:tc>
      </w:tr>
      <w:tr w:rsidR="0052194C" w:rsidRPr="00901F91" w14:paraId="090CB3FA" w14:textId="77777777" w:rsidTr="005D5440">
        <w:tc>
          <w:tcPr>
            <w:tcW w:w="266" w:type="pct"/>
          </w:tcPr>
          <w:p w14:paraId="090CB3F5" w14:textId="77777777" w:rsidR="0052194C" w:rsidRPr="00A004B2" w:rsidRDefault="0052194C" w:rsidP="00AD4643">
            <w:pPr>
              <w:spacing w:before="40" w:after="40"/>
              <w:rPr>
                <w:rFonts w:eastAsia="SimSun" w:cs="Arial"/>
              </w:rPr>
            </w:pPr>
            <w:r w:rsidRPr="00A004B2">
              <w:rPr>
                <w:rFonts w:eastAsia="SimSun" w:cs="Arial"/>
                <w:szCs w:val="22"/>
              </w:rPr>
              <w:t>4</w:t>
            </w:r>
          </w:p>
        </w:tc>
        <w:tc>
          <w:tcPr>
            <w:tcW w:w="955" w:type="pct"/>
            <w:vAlign w:val="center"/>
          </w:tcPr>
          <w:p w14:paraId="090CB3F6" w14:textId="77777777" w:rsidR="0052194C" w:rsidRPr="00A004B2" w:rsidRDefault="0052194C" w:rsidP="00AD4643">
            <w:pPr>
              <w:spacing w:before="40" w:after="40"/>
              <w:rPr>
                <w:rFonts w:eastAsia="SimSun" w:cs="Arial"/>
              </w:rPr>
            </w:pPr>
            <w:r w:rsidRPr="00A004B2">
              <w:rPr>
                <w:rFonts w:eastAsia="SimSun" w:cs="Arial"/>
                <w:szCs w:val="22"/>
              </w:rPr>
              <w:t>At each PCC Meeting, the date for the next Meeting should be set.</w:t>
            </w:r>
          </w:p>
        </w:tc>
        <w:tc>
          <w:tcPr>
            <w:tcW w:w="1589" w:type="pct"/>
            <w:vAlign w:val="center"/>
          </w:tcPr>
          <w:p w14:paraId="090CB3F7" w14:textId="77777777" w:rsidR="00281C48" w:rsidRPr="00146BA1" w:rsidRDefault="0038194B" w:rsidP="00AD4643">
            <w:pPr>
              <w:spacing w:before="40" w:after="40"/>
              <w:rPr>
                <w:rFonts w:eastAsia="SimSun"/>
              </w:rPr>
            </w:pPr>
            <w:r w:rsidRPr="00146BA1">
              <w:rPr>
                <w:rFonts w:eastAsia="SimSun"/>
              </w:rPr>
              <w:t xml:space="preserve">Agree. </w:t>
            </w:r>
          </w:p>
        </w:tc>
        <w:tc>
          <w:tcPr>
            <w:tcW w:w="1696" w:type="pct"/>
          </w:tcPr>
          <w:p w14:paraId="090CB3F8" w14:textId="77777777" w:rsidR="00281C48" w:rsidRDefault="00FC4259" w:rsidP="00AD4643">
            <w:pPr>
              <w:spacing w:before="40" w:after="40"/>
              <w:rPr>
                <w:rFonts w:eastAsia="SimSun"/>
              </w:rPr>
            </w:pPr>
            <w:r>
              <w:rPr>
                <w:rFonts w:eastAsia="SimSun"/>
              </w:rPr>
              <w:t>To address as part of the broader engagement strategy (see notes for R1, above).</w:t>
            </w:r>
          </w:p>
        </w:tc>
        <w:tc>
          <w:tcPr>
            <w:tcW w:w="494" w:type="pct"/>
          </w:tcPr>
          <w:p w14:paraId="090CB3F9" w14:textId="77777777" w:rsidR="0052194C" w:rsidRDefault="0052194C" w:rsidP="00AD4643">
            <w:pPr>
              <w:spacing w:before="40" w:after="40"/>
              <w:jc w:val="center"/>
              <w:rPr>
                <w:rFonts w:eastAsia="SimSun"/>
              </w:rPr>
            </w:pPr>
            <w:r>
              <w:rPr>
                <w:rFonts w:eastAsia="SimSun"/>
                <w:szCs w:val="22"/>
              </w:rPr>
              <w:t>PCC</w:t>
            </w:r>
          </w:p>
        </w:tc>
      </w:tr>
      <w:tr w:rsidR="0052194C" w:rsidRPr="00901F91" w14:paraId="090CB401" w14:textId="77777777" w:rsidTr="005D5440">
        <w:tc>
          <w:tcPr>
            <w:tcW w:w="266" w:type="pct"/>
          </w:tcPr>
          <w:p w14:paraId="090CB3FB" w14:textId="77777777" w:rsidR="0052194C" w:rsidRPr="00A004B2" w:rsidRDefault="0052194C" w:rsidP="00AD4643">
            <w:pPr>
              <w:spacing w:before="40" w:after="40"/>
              <w:rPr>
                <w:rFonts w:eastAsia="SimSun" w:cs="Arial"/>
              </w:rPr>
            </w:pPr>
            <w:r w:rsidRPr="00A004B2">
              <w:rPr>
                <w:rFonts w:eastAsia="SimSun" w:cs="Arial"/>
                <w:szCs w:val="22"/>
              </w:rPr>
              <w:t>5</w:t>
            </w:r>
          </w:p>
        </w:tc>
        <w:tc>
          <w:tcPr>
            <w:tcW w:w="955" w:type="pct"/>
          </w:tcPr>
          <w:p w14:paraId="090CB3FC" w14:textId="77777777" w:rsidR="0052194C" w:rsidRPr="00A004B2" w:rsidRDefault="0052194C" w:rsidP="00AD4643">
            <w:pPr>
              <w:spacing w:before="40" w:after="40"/>
              <w:rPr>
                <w:rFonts w:eastAsia="SimSun" w:cs="Arial"/>
              </w:rPr>
            </w:pPr>
            <w:r w:rsidRPr="009B0F75">
              <w:rPr>
                <w:rFonts w:cs="Arial"/>
              </w:rPr>
              <w:t>Recognise and resource the DAFF team appropriately to work in multiple GoA (DAFF, DFAT, AusAID) and GoI systems.</w:t>
            </w:r>
          </w:p>
        </w:tc>
        <w:tc>
          <w:tcPr>
            <w:tcW w:w="1589" w:type="pct"/>
          </w:tcPr>
          <w:p w14:paraId="090CB3FD" w14:textId="77777777" w:rsidR="00281C48" w:rsidRPr="00146BA1" w:rsidRDefault="00FA4183" w:rsidP="00AD4643">
            <w:pPr>
              <w:spacing w:before="40" w:after="40"/>
              <w:rPr>
                <w:rFonts w:eastAsia="SimSun"/>
              </w:rPr>
            </w:pPr>
            <w:r w:rsidRPr="00146BA1">
              <w:rPr>
                <w:rFonts w:eastAsia="SimSun"/>
              </w:rPr>
              <w:t xml:space="preserve">Agree. </w:t>
            </w:r>
          </w:p>
        </w:tc>
        <w:tc>
          <w:tcPr>
            <w:tcW w:w="1696" w:type="pct"/>
          </w:tcPr>
          <w:p w14:paraId="090CB3FE" w14:textId="77777777" w:rsidR="00281C48" w:rsidRDefault="00572A8E" w:rsidP="00AD4643">
            <w:pPr>
              <w:spacing w:before="40" w:after="40"/>
              <w:rPr>
                <w:rFonts w:eastAsia="SimSun"/>
                <w:b/>
                <w:bCs/>
                <w:i/>
                <w:iCs/>
                <w:sz w:val="22"/>
                <w:szCs w:val="26"/>
              </w:rPr>
            </w:pPr>
            <w:r>
              <w:rPr>
                <w:rFonts w:eastAsia="SimSun"/>
              </w:rPr>
              <w:t>DAFF</w:t>
            </w:r>
            <w:r w:rsidR="00AF64AA">
              <w:rPr>
                <w:rFonts w:eastAsia="SimSun"/>
              </w:rPr>
              <w:t xml:space="preserve"> and AusAID</w:t>
            </w:r>
            <w:r>
              <w:rPr>
                <w:rFonts w:eastAsia="SimSun"/>
              </w:rPr>
              <w:t xml:space="preserve"> to identify any areas where systems/processes could be simplified.</w:t>
            </w:r>
          </w:p>
          <w:p w14:paraId="090CB3FF" w14:textId="77777777" w:rsidR="00281C48" w:rsidRDefault="00572A8E" w:rsidP="00AD4643">
            <w:pPr>
              <w:spacing w:before="40" w:after="40"/>
              <w:rPr>
                <w:rFonts w:eastAsia="SimSun"/>
                <w:b/>
                <w:bCs/>
                <w:i/>
                <w:iCs/>
                <w:sz w:val="22"/>
                <w:szCs w:val="26"/>
              </w:rPr>
            </w:pPr>
            <w:r>
              <w:rPr>
                <w:rFonts w:eastAsia="SimSun"/>
              </w:rPr>
              <w:t>DAFF to review roles &amp; responsibilities</w:t>
            </w:r>
            <w:r w:rsidR="00AF64AA">
              <w:rPr>
                <w:rFonts w:eastAsia="SimSun"/>
              </w:rPr>
              <w:t>.</w:t>
            </w:r>
          </w:p>
        </w:tc>
        <w:tc>
          <w:tcPr>
            <w:tcW w:w="494" w:type="pct"/>
          </w:tcPr>
          <w:p w14:paraId="090CB400" w14:textId="77777777" w:rsidR="0052194C" w:rsidRDefault="0052194C" w:rsidP="00AD4643">
            <w:pPr>
              <w:spacing w:before="40" w:after="40"/>
              <w:jc w:val="center"/>
              <w:rPr>
                <w:rFonts w:eastAsia="SimSun"/>
              </w:rPr>
            </w:pPr>
            <w:r w:rsidRPr="007220FB">
              <w:rPr>
                <w:rFonts w:cs="Arial"/>
                <w:szCs w:val="20"/>
              </w:rPr>
              <w:t>DAFF</w:t>
            </w:r>
          </w:p>
        </w:tc>
      </w:tr>
      <w:tr w:rsidR="0052194C" w:rsidRPr="00901F91" w14:paraId="090CB407" w14:textId="77777777" w:rsidTr="005D5440">
        <w:tc>
          <w:tcPr>
            <w:tcW w:w="266" w:type="pct"/>
          </w:tcPr>
          <w:p w14:paraId="090CB402" w14:textId="77777777" w:rsidR="0052194C" w:rsidRPr="00A004B2" w:rsidRDefault="0052194C" w:rsidP="00AD4643">
            <w:pPr>
              <w:spacing w:before="40" w:after="40"/>
              <w:rPr>
                <w:rFonts w:eastAsia="SimSun" w:cs="Arial"/>
              </w:rPr>
            </w:pPr>
            <w:r w:rsidRPr="00A004B2">
              <w:rPr>
                <w:rFonts w:eastAsia="SimSun" w:cs="Arial"/>
                <w:szCs w:val="22"/>
              </w:rPr>
              <w:t>6</w:t>
            </w:r>
          </w:p>
        </w:tc>
        <w:tc>
          <w:tcPr>
            <w:tcW w:w="955" w:type="pct"/>
            <w:vAlign w:val="center"/>
          </w:tcPr>
          <w:p w14:paraId="090CB403" w14:textId="77777777" w:rsidR="0052194C" w:rsidRPr="00A004B2" w:rsidRDefault="0052194C" w:rsidP="00AD4643">
            <w:pPr>
              <w:spacing w:before="40" w:after="40"/>
              <w:rPr>
                <w:rFonts w:eastAsia="SimSun" w:cs="Arial"/>
              </w:rPr>
            </w:pPr>
            <w:r w:rsidRPr="00A004B2">
              <w:rPr>
                <w:rFonts w:eastAsia="SimSun" w:cs="Arial"/>
                <w:szCs w:val="22"/>
              </w:rPr>
              <w:t>The leadership model should be considered by the PCC, deliberate choices made</w:t>
            </w:r>
            <w:r w:rsidRPr="00A004B2">
              <w:rPr>
                <w:rFonts w:eastAsia="SimSun"/>
                <w:szCs w:val="22"/>
              </w:rPr>
              <w:t xml:space="preserve"> </w:t>
            </w:r>
            <w:r w:rsidRPr="00A004B2">
              <w:rPr>
                <w:rFonts w:eastAsia="SimSun"/>
                <w:szCs w:val="22"/>
              </w:rPr>
              <w:lastRenderedPageBreak/>
              <w:t>about level of GoI engagement</w:t>
            </w:r>
            <w:r w:rsidRPr="00A004B2">
              <w:rPr>
                <w:rFonts w:eastAsia="SimSun" w:cs="Arial"/>
                <w:szCs w:val="22"/>
              </w:rPr>
              <w:t xml:space="preserve"> and followed through.</w:t>
            </w:r>
          </w:p>
        </w:tc>
        <w:tc>
          <w:tcPr>
            <w:tcW w:w="1589" w:type="pct"/>
            <w:vAlign w:val="center"/>
          </w:tcPr>
          <w:p w14:paraId="090CB404" w14:textId="77777777" w:rsidR="00281C48" w:rsidRPr="00146BA1" w:rsidRDefault="00572A8E" w:rsidP="00AD4643">
            <w:pPr>
              <w:spacing w:before="40" w:after="40"/>
              <w:rPr>
                <w:rFonts w:eastAsia="SimSun"/>
                <w:b/>
                <w:bCs/>
                <w:i/>
                <w:iCs/>
                <w:sz w:val="22"/>
                <w:szCs w:val="26"/>
              </w:rPr>
            </w:pPr>
            <w:r w:rsidRPr="00146BA1">
              <w:rPr>
                <w:rFonts w:eastAsia="SimSun"/>
              </w:rPr>
              <w:lastRenderedPageBreak/>
              <w:t xml:space="preserve">Agree. </w:t>
            </w:r>
          </w:p>
        </w:tc>
        <w:tc>
          <w:tcPr>
            <w:tcW w:w="1696" w:type="pct"/>
          </w:tcPr>
          <w:p w14:paraId="090CB405" w14:textId="77777777" w:rsidR="00281C48" w:rsidRDefault="00477C85" w:rsidP="00AD4643">
            <w:pPr>
              <w:spacing w:before="40" w:after="40"/>
              <w:rPr>
                <w:rFonts w:eastAsia="SimSun"/>
                <w:b/>
                <w:bCs/>
                <w:i/>
                <w:iCs/>
                <w:sz w:val="22"/>
                <w:szCs w:val="26"/>
              </w:rPr>
            </w:pPr>
            <w:r>
              <w:rPr>
                <w:rFonts w:eastAsia="SimSun"/>
              </w:rPr>
              <w:t xml:space="preserve">DAFF and GoI implementing partners to address this issue in the context of a broader engagement strategy and discussion on the preferred leadership model (see </w:t>
            </w:r>
            <w:r>
              <w:rPr>
                <w:rFonts w:eastAsia="SimSun"/>
              </w:rPr>
              <w:lastRenderedPageBreak/>
              <w:t xml:space="preserve">notes on R1). </w:t>
            </w:r>
          </w:p>
        </w:tc>
        <w:tc>
          <w:tcPr>
            <w:tcW w:w="494" w:type="pct"/>
          </w:tcPr>
          <w:p w14:paraId="090CB406" w14:textId="77777777" w:rsidR="0052194C" w:rsidRDefault="0052194C" w:rsidP="00AD4643">
            <w:pPr>
              <w:spacing w:before="40" w:after="40"/>
              <w:jc w:val="center"/>
              <w:rPr>
                <w:rFonts w:eastAsia="SimSun"/>
              </w:rPr>
            </w:pPr>
            <w:r>
              <w:rPr>
                <w:rFonts w:eastAsia="SimSun"/>
                <w:szCs w:val="22"/>
              </w:rPr>
              <w:lastRenderedPageBreak/>
              <w:t>PCC</w:t>
            </w:r>
          </w:p>
        </w:tc>
      </w:tr>
      <w:tr w:rsidR="0052194C" w:rsidRPr="00901F91" w14:paraId="090CB40F" w14:textId="77777777" w:rsidTr="005D5440">
        <w:tc>
          <w:tcPr>
            <w:tcW w:w="266" w:type="pct"/>
            <w:shd w:val="clear" w:color="auto" w:fill="auto"/>
          </w:tcPr>
          <w:p w14:paraId="090CB408" w14:textId="77777777" w:rsidR="0052194C" w:rsidRPr="00A004B2" w:rsidRDefault="0052194C" w:rsidP="00AD4643">
            <w:pPr>
              <w:spacing w:before="40" w:after="40"/>
              <w:rPr>
                <w:rFonts w:eastAsia="SimSun" w:cs="Arial"/>
              </w:rPr>
            </w:pPr>
            <w:r w:rsidRPr="00A004B2">
              <w:rPr>
                <w:rFonts w:eastAsia="SimSun"/>
                <w:szCs w:val="22"/>
              </w:rPr>
              <w:lastRenderedPageBreak/>
              <w:t>7</w:t>
            </w:r>
          </w:p>
        </w:tc>
        <w:tc>
          <w:tcPr>
            <w:tcW w:w="955" w:type="pct"/>
            <w:vAlign w:val="center"/>
          </w:tcPr>
          <w:p w14:paraId="090CB409" w14:textId="77777777" w:rsidR="0052194C" w:rsidRPr="00A004B2" w:rsidRDefault="0052194C" w:rsidP="00AD4643">
            <w:pPr>
              <w:spacing w:before="40" w:after="40"/>
              <w:rPr>
                <w:rFonts w:eastAsia="SimSun" w:cs="Arial"/>
              </w:rPr>
            </w:pPr>
            <w:r w:rsidRPr="00A004B2">
              <w:rPr>
                <w:rFonts w:eastAsia="SimSun" w:cs="Arial"/>
                <w:szCs w:val="22"/>
              </w:rPr>
              <w:t>DAFF review its management team’s roles and responsibilities to create greater efficiency, balanced workloads and anticipate growth in work volume.</w:t>
            </w:r>
          </w:p>
        </w:tc>
        <w:tc>
          <w:tcPr>
            <w:tcW w:w="1589" w:type="pct"/>
            <w:vAlign w:val="center"/>
          </w:tcPr>
          <w:p w14:paraId="090CB40A" w14:textId="77777777" w:rsidR="00281C48" w:rsidRPr="00146BA1" w:rsidRDefault="00477C85" w:rsidP="00AD4643">
            <w:pPr>
              <w:spacing w:before="40" w:after="40"/>
              <w:rPr>
                <w:rFonts w:eastAsia="SimSun"/>
                <w:b/>
                <w:bCs/>
                <w:i/>
                <w:iCs/>
                <w:sz w:val="22"/>
                <w:szCs w:val="26"/>
              </w:rPr>
            </w:pPr>
            <w:r w:rsidRPr="00146BA1">
              <w:rPr>
                <w:rFonts w:eastAsia="SimSun"/>
              </w:rPr>
              <w:t xml:space="preserve">Agree. </w:t>
            </w:r>
          </w:p>
        </w:tc>
        <w:tc>
          <w:tcPr>
            <w:tcW w:w="1696" w:type="pct"/>
          </w:tcPr>
          <w:p w14:paraId="090CB40B" w14:textId="77777777" w:rsidR="00281C48" w:rsidRDefault="00747FC1" w:rsidP="00AD4643">
            <w:pPr>
              <w:spacing w:before="40" w:after="40"/>
              <w:rPr>
                <w:rFonts w:eastAsia="SimSun"/>
                <w:b/>
                <w:bCs/>
                <w:i/>
                <w:iCs/>
                <w:sz w:val="22"/>
                <w:szCs w:val="26"/>
              </w:rPr>
            </w:pPr>
            <w:r>
              <w:rPr>
                <w:rFonts w:eastAsia="SimSun"/>
              </w:rPr>
              <w:t>DAFF to review roles &amp; responsibilities.</w:t>
            </w:r>
          </w:p>
          <w:p w14:paraId="090CB40C" w14:textId="77777777" w:rsidR="00281C48" w:rsidRDefault="00281C48" w:rsidP="00AD4643">
            <w:pPr>
              <w:spacing w:before="40" w:after="40"/>
              <w:rPr>
                <w:rFonts w:eastAsia="SimSun"/>
              </w:rPr>
            </w:pPr>
          </w:p>
          <w:p w14:paraId="090CB40D" w14:textId="77777777" w:rsidR="00281C48" w:rsidRDefault="00281C48" w:rsidP="00AD4643">
            <w:pPr>
              <w:spacing w:before="40" w:after="40"/>
              <w:rPr>
                <w:rFonts w:eastAsia="SimSun"/>
              </w:rPr>
            </w:pPr>
          </w:p>
        </w:tc>
        <w:tc>
          <w:tcPr>
            <w:tcW w:w="494" w:type="pct"/>
          </w:tcPr>
          <w:p w14:paraId="090CB40E" w14:textId="77777777" w:rsidR="0052194C" w:rsidRDefault="0052194C" w:rsidP="00AD4643">
            <w:pPr>
              <w:spacing w:before="40" w:after="40"/>
              <w:jc w:val="center"/>
              <w:rPr>
                <w:rFonts w:eastAsia="SimSun"/>
              </w:rPr>
            </w:pPr>
            <w:r>
              <w:rPr>
                <w:rFonts w:eastAsia="SimSun"/>
                <w:szCs w:val="22"/>
              </w:rPr>
              <w:t>DAFF</w:t>
            </w:r>
          </w:p>
        </w:tc>
      </w:tr>
      <w:tr w:rsidR="0052194C" w:rsidRPr="00901F91" w14:paraId="090CB415" w14:textId="77777777" w:rsidTr="005D5440">
        <w:tc>
          <w:tcPr>
            <w:tcW w:w="266" w:type="pct"/>
          </w:tcPr>
          <w:p w14:paraId="090CB410" w14:textId="77777777" w:rsidR="0052194C" w:rsidRPr="00A004B2" w:rsidRDefault="0052194C" w:rsidP="00AD4643">
            <w:pPr>
              <w:spacing w:before="40" w:after="40"/>
              <w:rPr>
                <w:rFonts w:eastAsia="SimSun"/>
              </w:rPr>
            </w:pPr>
            <w:r w:rsidRPr="00A004B2">
              <w:rPr>
                <w:rFonts w:eastAsia="SimSun"/>
                <w:szCs w:val="22"/>
              </w:rPr>
              <w:t>8</w:t>
            </w:r>
          </w:p>
        </w:tc>
        <w:tc>
          <w:tcPr>
            <w:tcW w:w="955" w:type="pct"/>
            <w:vAlign w:val="center"/>
          </w:tcPr>
          <w:p w14:paraId="090CB411" w14:textId="77777777" w:rsidR="0052194C" w:rsidRPr="00A004B2" w:rsidRDefault="00990E6C" w:rsidP="00AD4643">
            <w:pPr>
              <w:spacing w:before="40" w:after="40"/>
              <w:rPr>
                <w:rFonts w:eastAsia="SimSun"/>
              </w:rPr>
            </w:pPr>
            <w:r>
              <w:rPr>
                <w:rFonts w:eastAsia="SimSun" w:cs="Arial"/>
                <w:szCs w:val="22"/>
              </w:rPr>
              <w:t xml:space="preserve">Emma Watkins (Senior Veterinary Adviser) subnational </w:t>
            </w:r>
            <w:r w:rsidR="0052194C" w:rsidRPr="00A004B2">
              <w:rPr>
                <w:rFonts w:eastAsia="SimSun" w:cs="Arial"/>
                <w:szCs w:val="22"/>
              </w:rPr>
              <w:t>should become a member of the DAFF management team in recognition of her management role for sub-national activities including a staff complement of ten and running the Makassar office.</w:t>
            </w:r>
          </w:p>
        </w:tc>
        <w:tc>
          <w:tcPr>
            <w:tcW w:w="1589" w:type="pct"/>
            <w:vAlign w:val="center"/>
          </w:tcPr>
          <w:p w14:paraId="090CB412" w14:textId="77777777" w:rsidR="00281C48" w:rsidRPr="00146BA1" w:rsidRDefault="00EC5B6B" w:rsidP="00AD4643">
            <w:pPr>
              <w:spacing w:before="40" w:after="40"/>
              <w:rPr>
                <w:rFonts w:eastAsia="SimSun"/>
              </w:rPr>
            </w:pPr>
            <w:r w:rsidRPr="00146BA1">
              <w:rPr>
                <w:rFonts w:eastAsia="SimSun"/>
              </w:rPr>
              <w:t xml:space="preserve">Agree </w:t>
            </w:r>
          </w:p>
        </w:tc>
        <w:tc>
          <w:tcPr>
            <w:tcW w:w="1696" w:type="pct"/>
          </w:tcPr>
          <w:p w14:paraId="090CB413" w14:textId="77777777" w:rsidR="00281C48" w:rsidRDefault="0009067D" w:rsidP="00AD4643">
            <w:pPr>
              <w:spacing w:before="40" w:after="40"/>
              <w:rPr>
                <w:rFonts w:eastAsia="SimSun"/>
              </w:rPr>
            </w:pPr>
            <w:r>
              <w:rPr>
                <w:rFonts w:eastAsia="SimSun"/>
              </w:rPr>
              <w:t>Already implemented: t</w:t>
            </w:r>
            <w:r w:rsidR="00276E25">
              <w:rPr>
                <w:rFonts w:eastAsia="SimSun"/>
              </w:rPr>
              <w:t xml:space="preserve">he </w:t>
            </w:r>
            <w:r w:rsidR="00990E6C">
              <w:rPr>
                <w:rFonts w:eastAsia="SimSun"/>
              </w:rPr>
              <w:t xml:space="preserve">Senior Veterinary Adviser (SVA) </w:t>
            </w:r>
            <w:r w:rsidR="00276E25">
              <w:rPr>
                <w:rFonts w:eastAsia="SimSun"/>
              </w:rPr>
              <w:t>subnational has been a member of the management team since November 2012.</w:t>
            </w:r>
          </w:p>
        </w:tc>
        <w:tc>
          <w:tcPr>
            <w:tcW w:w="494" w:type="pct"/>
          </w:tcPr>
          <w:p w14:paraId="090CB414" w14:textId="77777777" w:rsidR="0052194C" w:rsidRDefault="0052194C" w:rsidP="00AD4643">
            <w:pPr>
              <w:spacing w:before="40" w:after="40"/>
              <w:jc w:val="center"/>
              <w:rPr>
                <w:rFonts w:eastAsia="SimSun"/>
              </w:rPr>
            </w:pPr>
            <w:r>
              <w:rPr>
                <w:rFonts w:eastAsia="SimSun"/>
                <w:szCs w:val="22"/>
              </w:rPr>
              <w:t>DAFF</w:t>
            </w:r>
          </w:p>
        </w:tc>
      </w:tr>
      <w:tr w:rsidR="0052194C" w:rsidRPr="00901F91" w14:paraId="090CB41C" w14:textId="77777777" w:rsidTr="005D5440">
        <w:tc>
          <w:tcPr>
            <w:tcW w:w="266" w:type="pct"/>
          </w:tcPr>
          <w:p w14:paraId="090CB416" w14:textId="77777777" w:rsidR="0052194C" w:rsidRPr="00A004B2" w:rsidRDefault="0052194C" w:rsidP="00AD4643">
            <w:pPr>
              <w:spacing w:before="40" w:after="40"/>
              <w:rPr>
                <w:rFonts w:eastAsia="SimSun" w:cs="Arial"/>
              </w:rPr>
            </w:pPr>
            <w:r w:rsidRPr="00A004B2">
              <w:rPr>
                <w:rFonts w:eastAsia="SimSun"/>
                <w:szCs w:val="22"/>
              </w:rPr>
              <w:t>9</w:t>
            </w:r>
          </w:p>
        </w:tc>
        <w:tc>
          <w:tcPr>
            <w:tcW w:w="955" w:type="pct"/>
            <w:vAlign w:val="center"/>
          </w:tcPr>
          <w:p w14:paraId="090CB417" w14:textId="77777777" w:rsidR="0052194C" w:rsidRPr="00A004B2" w:rsidRDefault="0052194C" w:rsidP="00AD4643">
            <w:pPr>
              <w:spacing w:before="40" w:after="40"/>
              <w:rPr>
                <w:rFonts w:eastAsia="SimSun" w:cs="Arial"/>
              </w:rPr>
            </w:pPr>
            <w:r w:rsidRPr="00A004B2">
              <w:rPr>
                <w:rFonts w:eastAsia="SimSun"/>
                <w:szCs w:val="22"/>
              </w:rPr>
              <w:t>DAFF to h</w:t>
            </w:r>
            <w:r w:rsidRPr="00A004B2">
              <w:rPr>
                <w:rFonts w:eastAsia="SimSun" w:cs="Arial"/>
                <w:szCs w:val="22"/>
              </w:rPr>
              <w:t xml:space="preserve">old weekly management </w:t>
            </w:r>
            <w:r w:rsidRPr="00A004B2">
              <w:rPr>
                <w:rFonts w:eastAsia="SimSun"/>
                <w:szCs w:val="22"/>
              </w:rPr>
              <w:t xml:space="preserve">team </w:t>
            </w:r>
            <w:r w:rsidRPr="00A004B2">
              <w:rPr>
                <w:rFonts w:eastAsia="SimSun" w:cs="Arial"/>
                <w:szCs w:val="22"/>
              </w:rPr>
              <w:t>meetings</w:t>
            </w:r>
            <w:r w:rsidRPr="00A004B2">
              <w:rPr>
                <w:rFonts w:eastAsia="SimSun"/>
                <w:szCs w:val="22"/>
              </w:rPr>
              <w:t>. Component and Sub-component leaders to be integrated into the DAFF team, for example through fortnightly management-cum-technical meetings.</w:t>
            </w:r>
          </w:p>
        </w:tc>
        <w:tc>
          <w:tcPr>
            <w:tcW w:w="1589" w:type="pct"/>
            <w:vAlign w:val="center"/>
          </w:tcPr>
          <w:p w14:paraId="090CB418" w14:textId="77777777" w:rsidR="00281C48" w:rsidRPr="00146BA1" w:rsidRDefault="000B06E9" w:rsidP="00AD4643">
            <w:pPr>
              <w:spacing w:before="40" w:after="40"/>
              <w:rPr>
                <w:rFonts w:eastAsia="SimSun"/>
              </w:rPr>
            </w:pPr>
            <w:r w:rsidRPr="00146BA1">
              <w:rPr>
                <w:rFonts w:eastAsia="SimSun"/>
              </w:rPr>
              <w:t xml:space="preserve">Agree. </w:t>
            </w:r>
          </w:p>
        </w:tc>
        <w:tc>
          <w:tcPr>
            <w:tcW w:w="1696" w:type="pct"/>
          </w:tcPr>
          <w:p w14:paraId="090CB419" w14:textId="77777777" w:rsidR="00281C48" w:rsidRDefault="00281C48" w:rsidP="00AD4643">
            <w:pPr>
              <w:spacing w:before="40" w:after="40"/>
              <w:rPr>
                <w:rFonts w:eastAsia="SimSun"/>
              </w:rPr>
            </w:pPr>
          </w:p>
          <w:p w14:paraId="090CB41A" w14:textId="77777777" w:rsidR="00281C48" w:rsidRDefault="0009067D" w:rsidP="00AD4643">
            <w:pPr>
              <w:spacing w:before="40" w:after="40"/>
              <w:rPr>
                <w:rFonts w:eastAsia="SimSun"/>
              </w:rPr>
            </w:pPr>
            <w:r>
              <w:rPr>
                <w:rFonts w:eastAsia="SimSun"/>
              </w:rPr>
              <w:t>Already implemented: s</w:t>
            </w:r>
            <w:r w:rsidR="008E2ADF">
              <w:rPr>
                <w:rFonts w:eastAsia="SimSun"/>
              </w:rPr>
              <w:t xml:space="preserve">ince December 2012, DAFF has held weekly meetings of the senior management team, with all component and sub-component leaders joining fortnightly (i.e. on alternate weeks) </w:t>
            </w:r>
          </w:p>
        </w:tc>
        <w:tc>
          <w:tcPr>
            <w:tcW w:w="494" w:type="pct"/>
          </w:tcPr>
          <w:p w14:paraId="090CB41B" w14:textId="77777777" w:rsidR="0052194C" w:rsidRDefault="0052194C" w:rsidP="00AD4643">
            <w:pPr>
              <w:spacing w:before="40" w:after="40"/>
              <w:jc w:val="center"/>
              <w:rPr>
                <w:rFonts w:eastAsia="SimSun"/>
              </w:rPr>
            </w:pPr>
            <w:r>
              <w:rPr>
                <w:rFonts w:eastAsia="SimSun"/>
                <w:szCs w:val="22"/>
              </w:rPr>
              <w:t>DAFF</w:t>
            </w:r>
          </w:p>
        </w:tc>
      </w:tr>
      <w:tr w:rsidR="0052194C" w:rsidRPr="00901F91" w14:paraId="090CB422" w14:textId="77777777" w:rsidTr="005D5440">
        <w:tc>
          <w:tcPr>
            <w:tcW w:w="266" w:type="pct"/>
          </w:tcPr>
          <w:p w14:paraId="090CB41D" w14:textId="77777777" w:rsidR="0052194C" w:rsidRPr="00A004B2" w:rsidRDefault="0052194C" w:rsidP="00AD4643">
            <w:pPr>
              <w:spacing w:before="40" w:after="40"/>
              <w:rPr>
                <w:rFonts w:eastAsia="SimSun" w:cs="Arial"/>
              </w:rPr>
            </w:pPr>
            <w:r w:rsidRPr="00A004B2">
              <w:rPr>
                <w:rFonts w:eastAsia="SimSun"/>
                <w:szCs w:val="22"/>
              </w:rPr>
              <w:t>10</w:t>
            </w:r>
          </w:p>
        </w:tc>
        <w:tc>
          <w:tcPr>
            <w:tcW w:w="955" w:type="pct"/>
            <w:vAlign w:val="center"/>
          </w:tcPr>
          <w:p w14:paraId="090CB41E" w14:textId="77777777" w:rsidR="0052194C" w:rsidRPr="00A004B2" w:rsidRDefault="0052194C" w:rsidP="00AD4643">
            <w:pPr>
              <w:spacing w:before="40" w:after="40"/>
              <w:rPr>
                <w:rFonts w:eastAsia="SimSun" w:cs="Arial"/>
              </w:rPr>
            </w:pPr>
            <w:r w:rsidRPr="00A004B2">
              <w:rPr>
                <w:rFonts w:eastAsia="SimSun" w:cs="Arial"/>
                <w:szCs w:val="22"/>
              </w:rPr>
              <w:t>DAFF should hold regular (e</w:t>
            </w:r>
            <w:r>
              <w:rPr>
                <w:rFonts w:eastAsia="SimSun" w:cs="Arial"/>
                <w:szCs w:val="22"/>
              </w:rPr>
              <w:t>.</w:t>
            </w:r>
            <w:r w:rsidRPr="00A004B2">
              <w:rPr>
                <w:rFonts w:eastAsia="SimSun" w:cs="Arial"/>
                <w:szCs w:val="22"/>
              </w:rPr>
              <w:t>g</w:t>
            </w:r>
            <w:r>
              <w:rPr>
                <w:rFonts w:eastAsia="SimSun" w:cs="Arial"/>
                <w:szCs w:val="22"/>
              </w:rPr>
              <w:t>.</w:t>
            </w:r>
            <w:r w:rsidRPr="00A004B2">
              <w:rPr>
                <w:rFonts w:eastAsia="SimSun" w:cs="Arial"/>
                <w:szCs w:val="22"/>
              </w:rPr>
              <w:t xml:space="preserve"> fortnightly) meetings with an expanded management /technical group inclusive</w:t>
            </w:r>
            <w:r w:rsidR="008E2143">
              <w:rPr>
                <w:rFonts w:eastAsia="SimSun" w:cs="Arial"/>
                <w:szCs w:val="22"/>
              </w:rPr>
              <w:t xml:space="preserve"> of Technical Quarantine Adviser, Senior Veterinary Adviser National Disease </w:t>
            </w:r>
            <w:r w:rsidR="008E2143">
              <w:rPr>
                <w:rFonts w:eastAsia="SimSun" w:cs="Arial"/>
                <w:szCs w:val="22"/>
              </w:rPr>
              <w:lastRenderedPageBreak/>
              <w:t>Control and Laboratory Adviser</w:t>
            </w:r>
            <w:r w:rsidRPr="00A004B2">
              <w:rPr>
                <w:rFonts w:eastAsia="SimSun" w:cs="Arial"/>
                <w:szCs w:val="22"/>
              </w:rPr>
              <w:t xml:space="preserve"> </w:t>
            </w:r>
          </w:p>
        </w:tc>
        <w:tc>
          <w:tcPr>
            <w:tcW w:w="1589" w:type="pct"/>
            <w:vAlign w:val="center"/>
          </w:tcPr>
          <w:p w14:paraId="090CB41F" w14:textId="77777777" w:rsidR="00281C48" w:rsidRPr="00146BA1" w:rsidRDefault="000B06E9" w:rsidP="00AD4643">
            <w:pPr>
              <w:spacing w:before="40" w:after="40"/>
              <w:rPr>
                <w:rFonts w:eastAsia="SimSun"/>
              </w:rPr>
            </w:pPr>
            <w:r w:rsidRPr="00146BA1">
              <w:rPr>
                <w:rFonts w:eastAsia="SimSun"/>
              </w:rPr>
              <w:lastRenderedPageBreak/>
              <w:t xml:space="preserve">Agree </w:t>
            </w:r>
          </w:p>
        </w:tc>
        <w:tc>
          <w:tcPr>
            <w:tcW w:w="1696" w:type="pct"/>
          </w:tcPr>
          <w:p w14:paraId="090CB420" w14:textId="77777777" w:rsidR="00281C48" w:rsidRDefault="000B06E9" w:rsidP="00AD4643">
            <w:pPr>
              <w:spacing w:before="40" w:after="40"/>
              <w:rPr>
                <w:rFonts w:eastAsia="SimSun"/>
              </w:rPr>
            </w:pPr>
            <w:r>
              <w:rPr>
                <w:rFonts w:eastAsia="SimSun"/>
              </w:rPr>
              <w:t>As per actions for R.9</w:t>
            </w:r>
          </w:p>
        </w:tc>
        <w:tc>
          <w:tcPr>
            <w:tcW w:w="494" w:type="pct"/>
          </w:tcPr>
          <w:p w14:paraId="090CB421" w14:textId="77777777" w:rsidR="0052194C" w:rsidRDefault="0052194C" w:rsidP="00AD4643">
            <w:pPr>
              <w:spacing w:before="40" w:after="40"/>
              <w:jc w:val="center"/>
              <w:rPr>
                <w:rFonts w:eastAsia="SimSun"/>
              </w:rPr>
            </w:pPr>
            <w:r>
              <w:rPr>
                <w:rFonts w:eastAsia="SimSun"/>
                <w:szCs w:val="22"/>
              </w:rPr>
              <w:t>DAFF</w:t>
            </w:r>
          </w:p>
        </w:tc>
      </w:tr>
      <w:tr w:rsidR="0052194C" w:rsidRPr="00901F91" w14:paraId="090CB42A" w14:textId="77777777" w:rsidTr="005D5440">
        <w:tc>
          <w:tcPr>
            <w:tcW w:w="266" w:type="pct"/>
          </w:tcPr>
          <w:p w14:paraId="090CB423" w14:textId="77777777" w:rsidR="0052194C" w:rsidRPr="00A004B2" w:rsidRDefault="0052194C" w:rsidP="00AD4643">
            <w:pPr>
              <w:spacing w:before="40" w:after="40"/>
              <w:rPr>
                <w:rFonts w:eastAsia="SimSun"/>
              </w:rPr>
            </w:pPr>
            <w:r w:rsidRPr="00A004B2">
              <w:rPr>
                <w:rFonts w:eastAsia="SimSun"/>
                <w:szCs w:val="22"/>
              </w:rPr>
              <w:lastRenderedPageBreak/>
              <w:t>11</w:t>
            </w:r>
          </w:p>
        </w:tc>
        <w:tc>
          <w:tcPr>
            <w:tcW w:w="955" w:type="pct"/>
            <w:vAlign w:val="center"/>
          </w:tcPr>
          <w:p w14:paraId="090CB424" w14:textId="77777777" w:rsidR="0052194C" w:rsidRPr="00A004B2" w:rsidRDefault="0052194C" w:rsidP="00AD4643">
            <w:pPr>
              <w:spacing w:before="40" w:after="40"/>
              <w:rPr>
                <w:rFonts w:eastAsia="SimSun" w:cs="Arial"/>
              </w:rPr>
            </w:pPr>
            <w:r w:rsidRPr="00A004B2">
              <w:rPr>
                <w:rFonts w:eastAsia="SimSun" w:cs="Arial"/>
                <w:szCs w:val="22"/>
              </w:rPr>
              <w:t>The Program leadership team needs to have a good awareness of which stakeholders need to share which information and then ensure that this happens efficiently and regularly.</w:t>
            </w:r>
          </w:p>
        </w:tc>
        <w:tc>
          <w:tcPr>
            <w:tcW w:w="1589" w:type="pct"/>
            <w:vAlign w:val="center"/>
          </w:tcPr>
          <w:p w14:paraId="090CB425" w14:textId="77777777" w:rsidR="00281C48" w:rsidRPr="00146BA1" w:rsidRDefault="000B06E9" w:rsidP="00AD4643">
            <w:pPr>
              <w:spacing w:before="40" w:after="40"/>
              <w:rPr>
                <w:rFonts w:eastAsia="SimSun"/>
              </w:rPr>
            </w:pPr>
            <w:r w:rsidRPr="00146BA1">
              <w:rPr>
                <w:rFonts w:eastAsia="SimSun"/>
              </w:rPr>
              <w:t>Agree. DAFF</w:t>
            </w:r>
            <w:r w:rsidR="0009067D" w:rsidRPr="00146BA1">
              <w:rPr>
                <w:rFonts w:eastAsia="SimSun"/>
              </w:rPr>
              <w:t xml:space="preserve"> and AusAID</w:t>
            </w:r>
            <w:r w:rsidRPr="00146BA1">
              <w:rPr>
                <w:rFonts w:eastAsia="SimSun"/>
              </w:rPr>
              <w:t xml:space="preserve"> accept that </w:t>
            </w:r>
            <w:r w:rsidR="005C34B7" w:rsidRPr="00146BA1">
              <w:rPr>
                <w:rFonts w:eastAsia="SimSun"/>
              </w:rPr>
              <w:t>information sharing among key stakeholders has not been optimal.</w:t>
            </w:r>
          </w:p>
        </w:tc>
        <w:tc>
          <w:tcPr>
            <w:tcW w:w="1696" w:type="pct"/>
          </w:tcPr>
          <w:p w14:paraId="090CB426" w14:textId="77777777" w:rsidR="00281C48" w:rsidRDefault="005C34B7" w:rsidP="00AD4643">
            <w:pPr>
              <w:spacing w:before="40" w:after="40"/>
              <w:rPr>
                <w:rFonts w:eastAsia="SimSun"/>
              </w:rPr>
            </w:pPr>
            <w:r>
              <w:rPr>
                <w:rFonts w:eastAsia="SimSun"/>
              </w:rPr>
              <w:t>DAFF to strengthen the systems and processes to facilitate timely sharing of information</w:t>
            </w:r>
            <w:r w:rsidR="00257572">
              <w:rPr>
                <w:rFonts w:eastAsia="SimSun"/>
              </w:rPr>
              <w:t>, including</w:t>
            </w:r>
            <w:r>
              <w:rPr>
                <w:rFonts w:eastAsia="SimSun"/>
              </w:rPr>
              <w:t>:</w:t>
            </w:r>
          </w:p>
          <w:p w14:paraId="090CB427" w14:textId="77777777" w:rsidR="005C34B7" w:rsidRDefault="00257572" w:rsidP="00AD4643">
            <w:pPr>
              <w:pStyle w:val="ListParagraph"/>
              <w:numPr>
                <w:ilvl w:val="0"/>
                <w:numId w:val="49"/>
              </w:numPr>
              <w:spacing w:before="40" w:after="40"/>
              <w:rPr>
                <w:rFonts w:eastAsia="SimSun"/>
              </w:rPr>
            </w:pPr>
            <w:r>
              <w:rPr>
                <w:rFonts w:eastAsia="SimSun"/>
              </w:rPr>
              <w:t>Strategies for communication and engagement</w:t>
            </w:r>
          </w:p>
          <w:p w14:paraId="090CB428" w14:textId="77777777" w:rsidR="005C34B7" w:rsidRPr="005C34B7" w:rsidRDefault="005C34B7" w:rsidP="00AD4643">
            <w:pPr>
              <w:pStyle w:val="ListParagraph"/>
              <w:numPr>
                <w:ilvl w:val="0"/>
                <w:numId w:val="49"/>
              </w:numPr>
              <w:spacing w:before="40" w:after="40"/>
              <w:rPr>
                <w:rFonts w:eastAsia="SimSun"/>
              </w:rPr>
            </w:pPr>
            <w:r>
              <w:rPr>
                <w:rFonts w:eastAsia="SimSun"/>
              </w:rPr>
              <w:t>ICT systems (to facilitate information exchange)</w:t>
            </w:r>
          </w:p>
        </w:tc>
        <w:tc>
          <w:tcPr>
            <w:tcW w:w="494" w:type="pct"/>
          </w:tcPr>
          <w:p w14:paraId="090CB429" w14:textId="77777777" w:rsidR="0052194C" w:rsidRDefault="0052194C" w:rsidP="00AD4643">
            <w:pPr>
              <w:spacing w:before="40" w:after="40"/>
              <w:jc w:val="center"/>
              <w:rPr>
                <w:rFonts w:eastAsia="SimSun"/>
              </w:rPr>
            </w:pPr>
            <w:r>
              <w:rPr>
                <w:rFonts w:eastAsia="SimSun"/>
                <w:szCs w:val="22"/>
              </w:rPr>
              <w:t>DAFF</w:t>
            </w:r>
          </w:p>
        </w:tc>
      </w:tr>
      <w:tr w:rsidR="0052194C" w:rsidRPr="00901F91" w14:paraId="090CB430" w14:textId="77777777" w:rsidTr="005D5440">
        <w:tc>
          <w:tcPr>
            <w:tcW w:w="266" w:type="pct"/>
          </w:tcPr>
          <w:p w14:paraId="090CB42B" w14:textId="77777777" w:rsidR="0052194C" w:rsidRPr="00A004B2" w:rsidRDefault="0052194C" w:rsidP="00AD4643">
            <w:pPr>
              <w:spacing w:before="40" w:after="40"/>
              <w:rPr>
                <w:rFonts w:eastAsia="SimSun" w:cs="Arial"/>
              </w:rPr>
            </w:pPr>
            <w:r w:rsidRPr="00A004B2">
              <w:rPr>
                <w:rFonts w:eastAsia="SimSun"/>
                <w:szCs w:val="22"/>
              </w:rPr>
              <w:t>12</w:t>
            </w:r>
          </w:p>
        </w:tc>
        <w:tc>
          <w:tcPr>
            <w:tcW w:w="955" w:type="pct"/>
            <w:vAlign w:val="center"/>
          </w:tcPr>
          <w:p w14:paraId="090CB42C" w14:textId="77777777" w:rsidR="0052194C" w:rsidRPr="00A004B2" w:rsidRDefault="0052194C" w:rsidP="00AD4643">
            <w:pPr>
              <w:spacing w:before="40" w:after="40"/>
              <w:rPr>
                <w:rFonts w:eastAsia="SimSun" w:cs="Arial"/>
              </w:rPr>
            </w:pPr>
            <w:r w:rsidRPr="00A004B2">
              <w:rPr>
                <w:rFonts w:eastAsia="SimSun" w:cs="Arial"/>
                <w:szCs w:val="22"/>
              </w:rPr>
              <w:t>DAFF should create an email protocol for staff use which avoids use of gmail</w:t>
            </w:r>
            <w:r w:rsidRPr="00A004B2">
              <w:rPr>
                <w:rFonts w:eastAsia="SimSun"/>
                <w:szCs w:val="22"/>
              </w:rPr>
              <w:t xml:space="preserve"> and is more professional.</w:t>
            </w:r>
          </w:p>
        </w:tc>
        <w:tc>
          <w:tcPr>
            <w:tcW w:w="1589" w:type="pct"/>
            <w:vAlign w:val="center"/>
          </w:tcPr>
          <w:p w14:paraId="090CB42D" w14:textId="77777777" w:rsidR="00281C48" w:rsidRPr="00146BA1" w:rsidRDefault="005C7F27" w:rsidP="00AD4643">
            <w:pPr>
              <w:spacing w:before="40" w:after="40"/>
              <w:rPr>
                <w:rFonts w:eastAsia="SimSun"/>
              </w:rPr>
            </w:pPr>
            <w:r w:rsidRPr="00146BA1">
              <w:rPr>
                <w:rFonts w:eastAsia="SimSun"/>
              </w:rPr>
              <w:t xml:space="preserve">Agree. </w:t>
            </w:r>
          </w:p>
        </w:tc>
        <w:tc>
          <w:tcPr>
            <w:tcW w:w="1696" w:type="pct"/>
          </w:tcPr>
          <w:p w14:paraId="090CB42E" w14:textId="77777777" w:rsidR="00281C48" w:rsidRDefault="005C7F27" w:rsidP="00AD4643">
            <w:pPr>
              <w:spacing w:before="40" w:after="40"/>
              <w:rPr>
                <w:rFonts w:eastAsia="SimSun"/>
              </w:rPr>
            </w:pPr>
            <w:r>
              <w:rPr>
                <w:rFonts w:eastAsia="SimSun"/>
              </w:rPr>
              <w:t xml:space="preserve">DAFF to establish a program email server/domain </w:t>
            </w:r>
            <w:r w:rsidR="00257572">
              <w:rPr>
                <w:rFonts w:eastAsia="SimSun"/>
              </w:rPr>
              <w:t>consistent</w:t>
            </w:r>
            <w:r>
              <w:rPr>
                <w:rFonts w:eastAsia="SimSun"/>
              </w:rPr>
              <w:t xml:space="preserve"> with Australian Government policies on ICT and record keeping.</w:t>
            </w:r>
          </w:p>
        </w:tc>
        <w:tc>
          <w:tcPr>
            <w:tcW w:w="494" w:type="pct"/>
          </w:tcPr>
          <w:p w14:paraId="090CB42F" w14:textId="77777777" w:rsidR="0052194C" w:rsidRDefault="0052194C" w:rsidP="00AD4643">
            <w:pPr>
              <w:spacing w:before="40" w:after="40"/>
              <w:jc w:val="center"/>
              <w:rPr>
                <w:rFonts w:eastAsia="SimSun"/>
              </w:rPr>
            </w:pPr>
            <w:r>
              <w:rPr>
                <w:rFonts w:eastAsia="SimSun"/>
                <w:szCs w:val="22"/>
              </w:rPr>
              <w:t>DAFF</w:t>
            </w:r>
          </w:p>
        </w:tc>
      </w:tr>
      <w:tr w:rsidR="0052194C" w:rsidRPr="00901F91" w14:paraId="090CB436" w14:textId="77777777" w:rsidTr="005D5440">
        <w:tc>
          <w:tcPr>
            <w:tcW w:w="266" w:type="pct"/>
          </w:tcPr>
          <w:p w14:paraId="090CB431" w14:textId="77777777" w:rsidR="0052194C" w:rsidRPr="00A004B2" w:rsidRDefault="0052194C" w:rsidP="00AD4643">
            <w:pPr>
              <w:spacing w:before="40" w:after="40"/>
              <w:rPr>
                <w:rFonts w:eastAsia="SimSun" w:cs="Arial"/>
              </w:rPr>
            </w:pPr>
            <w:r w:rsidRPr="00A004B2">
              <w:rPr>
                <w:rFonts w:eastAsia="SimSun"/>
                <w:szCs w:val="22"/>
              </w:rPr>
              <w:t>13</w:t>
            </w:r>
          </w:p>
        </w:tc>
        <w:tc>
          <w:tcPr>
            <w:tcW w:w="955" w:type="pct"/>
            <w:vAlign w:val="center"/>
          </w:tcPr>
          <w:p w14:paraId="090CB432" w14:textId="77777777" w:rsidR="0052194C" w:rsidRPr="00A004B2" w:rsidRDefault="0052194C" w:rsidP="00AD4643">
            <w:pPr>
              <w:spacing w:before="40" w:after="40"/>
              <w:rPr>
                <w:rFonts w:eastAsia="SimSun" w:cs="Arial"/>
              </w:rPr>
            </w:pPr>
            <w:r w:rsidRPr="00A004B2">
              <w:rPr>
                <w:rFonts w:eastAsia="SimSun" w:cs="Arial"/>
                <w:szCs w:val="22"/>
              </w:rPr>
              <w:t>A project summary in brochure format with text and pictures should be printed and posted on relevant websites (e.g. MoA, AusAID Jakarta, DAFF) and updated regularly.</w:t>
            </w:r>
          </w:p>
        </w:tc>
        <w:tc>
          <w:tcPr>
            <w:tcW w:w="1589" w:type="pct"/>
            <w:vAlign w:val="center"/>
          </w:tcPr>
          <w:p w14:paraId="090CB433" w14:textId="77777777" w:rsidR="00281C48" w:rsidRPr="00146BA1" w:rsidRDefault="005C7F27" w:rsidP="00AD4643">
            <w:pPr>
              <w:spacing w:before="40" w:after="40"/>
              <w:rPr>
                <w:rFonts w:eastAsia="SimSun"/>
                <w:b/>
                <w:bCs/>
                <w:i/>
                <w:iCs/>
                <w:sz w:val="22"/>
                <w:szCs w:val="26"/>
              </w:rPr>
            </w:pPr>
            <w:r w:rsidRPr="00146BA1">
              <w:rPr>
                <w:rFonts w:eastAsia="SimSun"/>
              </w:rPr>
              <w:t xml:space="preserve">Agree. </w:t>
            </w:r>
            <w:r w:rsidR="0015356D" w:rsidRPr="00146BA1">
              <w:rPr>
                <w:rFonts w:eastAsia="SimSun"/>
              </w:rPr>
              <w:t>The</w:t>
            </w:r>
            <w:r w:rsidRPr="00146BA1">
              <w:rPr>
                <w:rFonts w:eastAsia="SimSun"/>
              </w:rPr>
              <w:t xml:space="preserve"> need to have a brochure</w:t>
            </w:r>
            <w:r w:rsidR="00506FF4">
              <w:rPr>
                <w:rFonts w:eastAsia="SimSun"/>
              </w:rPr>
              <w:t xml:space="preserve"> or any other kind of material</w:t>
            </w:r>
            <w:r w:rsidR="0015356D" w:rsidRPr="00146BA1">
              <w:rPr>
                <w:rFonts w:eastAsia="SimSun"/>
              </w:rPr>
              <w:t xml:space="preserve"> </w:t>
            </w:r>
            <w:r w:rsidR="00506FF4">
              <w:rPr>
                <w:rFonts w:eastAsia="SimSun"/>
              </w:rPr>
              <w:t xml:space="preserve">to promote AIPEID – Animal Health work </w:t>
            </w:r>
            <w:r w:rsidR="0015356D" w:rsidRPr="00146BA1">
              <w:rPr>
                <w:rFonts w:eastAsia="SimSun"/>
              </w:rPr>
              <w:t>is widely acknowledged</w:t>
            </w:r>
            <w:r w:rsidR="00506FF4">
              <w:rPr>
                <w:rFonts w:eastAsia="SimSun"/>
              </w:rPr>
              <w:t xml:space="preserve"> and has been responded by DAFF</w:t>
            </w:r>
            <w:r w:rsidRPr="00146BA1">
              <w:rPr>
                <w:rFonts w:eastAsia="SimSun"/>
              </w:rPr>
              <w:t xml:space="preserve">. </w:t>
            </w:r>
          </w:p>
        </w:tc>
        <w:tc>
          <w:tcPr>
            <w:tcW w:w="1696" w:type="pct"/>
          </w:tcPr>
          <w:p w14:paraId="090CB434" w14:textId="77777777" w:rsidR="00281C48" w:rsidRDefault="002A29FF" w:rsidP="00506FF4">
            <w:pPr>
              <w:spacing w:before="40" w:after="40"/>
              <w:rPr>
                <w:rFonts w:eastAsia="SimSun"/>
                <w:b/>
                <w:bCs/>
                <w:i/>
                <w:iCs/>
                <w:sz w:val="22"/>
                <w:szCs w:val="26"/>
              </w:rPr>
            </w:pPr>
            <w:r>
              <w:rPr>
                <w:rFonts w:eastAsia="SimSun"/>
              </w:rPr>
              <w:t xml:space="preserve">DAFF </w:t>
            </w:r>
            <w:r w:rsidR="00506FF4">
              <w:rPr>
                <w:rFonts w:eastAsia="SimSun"/>
              </w:rPr>
              <w:t xml:space="preserve">has </w:t>
            </w:r>
            <w:r>
              <w:rPr>
                <w:rFonts w:eastAsia="SimSun"/>
              </w:rPr>
              <w:t>develop</w:t>
            </w:r>
            <w:r w:rsidR="00506FF4">
              <w:rPr>
                <w:rFonts w:eastAsia="SimSun"/>
              </w:rPr>
              <w:t>ed</w:t>
            </w:r>
            <w:r>
              <w:rPr>
                <w:rFonts w:eastAsia="SimSun"/>
              </w:rPr>
              <w:t xml:space="preserve"> a project summary (printed brochure or electronic equivalent) as a communications product and</w:t>
            </w:r>
            <w:r w:rsidR="00506FF4">
              <w:rPr>
                <w:rFonts w:eastAsia="SimSun"/>
              </w:rPr>
              <w:t xml:space="preserve"> will</w:t>
            </w:r>
            <w:r>
              <w:rPr>
                <w:rFonts w:eastAsia="SimSun"/>
              </w:rPr>
              <w:t xml:space="preserve"> </w:t>
            </w:r>
            <w:r w:rsidR="00506FF4">
              <w:rPr>
                <w:rFonts w:eastAsia="SimSun"/>
              </w:rPr>
              <w:t>ensure</w:t>
            </w:r>
            <w:r>
              <w:rPr>
                <w:rFonts w:eastAsia="SimSun"/>
              </w:rPr>
              <w:t xml:space="preserve"> it</w:t>
            </w:r>
            <w:r w:rsidR="00506FF4">
              <w:rPr>
                <w:rFonts w:eastAsia="SimSun"/>
              </w:rPr>
              <w:t xml:space="preserve"> i</w:t>
            </w:r>
            <w:r>
              <w:rPr>
                <w:rFonts w:eastAsia="SimSun"/>
              </w:rPr>
              <w:t xml:space="preserve">s </w:t>
            </w:r>
            <w:r w:rsidR="00506FF4">
              <w:rPr>
                <w:rFonts w:eastAsia="SimSun"/>
              </w:rPr>
              <w:t>widely distributed</w:t>
            </w:r>
            <w:r>
              <w:rPr>
                <w:rFonts w:eastAsia="SimSun"/>
              </w:rPr>
              <w:t xml:space="preserve"> including on relevant websites.</w:t>
            </w:r>
            <w:r w:rsidR="001A38FB">
              <w:rPr>
                <w:rFonts w:eastAsia="SimSun"/>
              </w:rPr>
              <w:t xml:space="preserve"> </w:t>
            </w:r>
            <w:r w:rsidR="00506FF4">
              <w:rPr>
                <w:rFonts w:eastAsia="SimSun"/>
              </w:rPr>
              <w:t xml:space="preserve">The brochure will be ready by June and eventually will be uploaded into DAFF and MOA’s websites. </w:t>
            </w:r>
            <w:r w:rsidR="001A38FB">
              <w:rPr>
                <w:rFonts w:eastAsia="SimSun"/>
              </w:rPr>
              <w:t>DAFF to ensure that web content is kept up-to-date</w:t>
            </w:r>
            <w:r w:rsidR="00506FF4">
              <w:rPr>
                <w:rFonts w:eastAsia="SimSun"/>
              </w:rPr>
              <w:t xml:space="preserve"> in a regular basis. </w:t>
            </w:r>
          </w:p>
        </w:tc>
        <w:tc>
          <w:tcPr>
            <w:tcW w:w="494" w:type="pct"/>
          </w:tcPr>
          <w:p w14:paraId="090CB435" w14:textId="77777777" w:rsidR="0052194C" w:rsidRDefault="0052194C" w:rsidP="00AD4643">
            <w:pPr>
              <w:spacing w:before="40" w:after="40"/>
              <w:jc w:val="center"/>
              <w:rPr>
                <w:rFonts w:eastAsia="SimSun"/>
              </w:rPr>
            </w:pPr>
            <w:r>
              <w:rPr>
                <w:rFonts w:eastAsia="SimSun"/>
                <w:szCs w:val="22"/>
              </w:rPr>
              <w:t>DAFF</w:t>
            </w:r>
          </w:p>
        </w:tc>
      </w:tr>
      <w:tr w:rsidR="0052194C" w:rsidRPr="00901F91" w14:paraId="090CB43C" w14:textId="77777777" w:rsidTr="005D5440">
        <w:tc>
          <w:tcPr>
            <w:tcW w:w="266" w:type="pct"/>
          </w:tcPr>
          <w:p w14:paraId="090CB437" w14:textId="77777777" w:rsidR="0052194C" w:rsidRPr="00A004B2" w:rsidDel="00C71D21" w:rsidRDefault="0052194C" w:rsidP="00AD4643">
            <w:pPr>
              <w:spacing w:before="40" w:after="40"/>
              <w:rPr>
                <w:rFonts w:eastAsia="SimSun"/>
              </w:rPr>
            </w:pPr>
            <w:r w:rsidRPr="00A004B2">
              <w:rPr>
                <w:rFonts w:eastAsia="SimSun"/>
                <w:szCs w:val="22"/>
              </w:rPr>
              <w:t>14</w:t>
            </w:r>
          </w:p>
        </w:tc>
        <w:tc>
          <w:tcPr>
            <w:tcW w:w="955" w:type="pct"/>
            <w:vAlign w:val="center"/>
          </w:tcPr>
          <w:p w14:paraId="090CB438" w14:textId="77777777" w:rsidR="0052194C" w:rsidRPr="00A004B2" w:rsidRDefault="0052194C" w:rsidP="00AD4643">
            <w:pPr>
              <w:spacing w:before="40" w:after="40"/>
              <w:rPr>
                <w:rFonts w:eastAsia="SimSun"/>
              </w:rPr>
            </w:pPr>
            <w:r w:rsidRPr="00A004B2">
              <w:rPr>
                <w:rFonts w:eastAsia="SimSun" w:cs="Arial"/>
                <w:szCs w:val="22"/>
              </w:rPr>
              <w:t>Additional costs of phone communication incurred by key GoI people in coordination roles should be funded by the Program.</w:t>
            </w:r>
          </w:p>
        </w:tc>
        <w:tc>
          <w:tcPr>
            <w:tcW w:w="1589" w:type="pct"/>
            <w:vAlign w:val="center"/>
          </w:tcPr>
          <w:p w14:paraId="090CB439" w14:textId="77777777" w:rsidR="00281C48" w:rsidRPr="00146BA1" w:rsidRDefault="008E2025" w:rsidP="00AD4643">
            <w:pPr>
              <w:spacing w:before="40" w:after="40"/>
              <w:rPr>
                <w:rFonts w:eastAsia="SimSun"/>
                <w:b/>
                <w:bCs/>
                <w:i/>
                <w:iCs/>
                <w:sz w:val="22"/>
                <w:szCs w:val="26"/>
              </w:rPr>
            </w:pPr>
            <w:r w:rsidRPr="00146BA1">
              <w:rPr>
                <w:rFonts w:eastAsia="SimSun"/>
              </w:rPr>
              <w:t>Agree</w:t>
            </w:r>
            <w:r w:rsidR="005E550B" w:rsidRPr="00146BA1">
              <w:rPr>
                <w:rFonts w:eastAsia="SimSun"/>
              </w:rPr>
              <w:t xml:space="preserve"> </w:t>
            </w:r>
          </w:p>
        </w:tc>
        <w:tc>
          <w:tcPr>
            <w:tcW w:w="1696" w:type="pct"/>
          </w:tcPr>
          <w:p w14:paraId="090CB43A" w14:textId="77777777" w:rsidR="00281C48" w:rsidRDefault="008E2025" w:rsidP="00AD4643">
            <w:pPr>
              <w:spacing w:before="40" w:after="40"/>
              <w:rPr>
                <w:rFonts w:eastAsia="SimSun"/>
                <w:b/>
                <w:bCs/>
                <w:i/>
                <w:iCs/>
                <w:sz w:val="22"/>
                <w:szCs w:val="26"/>
              </w:rPr>
            </w:pPr>
            <w:r>
              <w:rPr>
                <w:rFonts w:eastAsia="SimSun"/>
              </w:rPr>
              <w:t xml:space="preserve">DAFF to </w:t>
            </w:r>
            <w:r w:rsidR="005E550B">
              <w:rPr>
                <w:rFonts w:eastAsia="SimSun"/>
              </w:rPr>
              <w:t>address</w:t>
            </w:r>
            <w:r>
              <w:rPr>
                <w:rFonts w:eastAsia="SimSun"/>
              </w:rPr>
              <w:t xml:space="preserve"> </w:t>
            </w:r>
            <w:r w:rsidR="005E550B">
              <w:rPr>
                <w:rFonts w:eastAsia="SimSun"/>
              </w:rPr>
              <w:t xml:space="preserve">and implement this recommendation, </w:t>
            </w:r>
            <w:r>
              <w:rPr>
                <w:rFonts w:eastAsia="SimSun"/>
              </w:rPr>
              <w:t xml:space="preserve">in accordance with relevant policies and principles. </w:t>
            </w:r>
          </w:p>
        </w:tc>
        <w:tc>
          <w:tcPr>
            <w:tcW w:w="494" w:type="pct"/>
          </w:tcPr>
          <w:p w14:paraId="090CB43B" w14:textId="77777777" w:rsidR="0052194C" w:rsidRDefault="0052194C" w:rsidP="00AD4643">
            <w:pPr>
              <w:spacing w:before="40" w:after="40"/>
              <w:jc w:val="center"/>
              <w:rPr>
                <w:rFonts w:eastAsia="SimSun"/>
              </w:rPr>
            </w:pPr>
            <w:r>
              <w:rPr>
                <w:rFonts w:eastAsia="SimSun"/>
                <w:szCs w:val="22"/>
              </w:rPr>
              <w:t>DAFF</w:t>
            </w:r>
          </w:p>
        </w:tc>
      </w:tr>
      <w:tr w:rsidR="0052194C" w:rsidRPr="00901F91" w14:paraId="090CB442" w14:textId="77777777" w:rsidTr="005D5440">
        <w:tc>
          <w:tcPr>
            <w:tcW w:w="266" w:type="pct"/>
          </w:tcPr>
          <w:p w14:paraId="090CB43D" w14:textId="77777777" w:rsidR="0052194C" w:rsidRPr="00A004B2" w:rsidRDefault="0052194C" w:rsidP="00AD4643">
            <w:pPr>
              <w:spacing w:before="40" w:after="40"/>
              <w:rPr>
                <w:rFonts w:eastAsia="SimSun"/>
              </w:rPr>
            </w:pPr>
            <w:r w:rsidRPr="00A004B2">
              <w:rPr>
                <w:rFonts w:eastAsia="SimSun"/>
                <w:szCs w:val="22"/>
              </w:rPr>
              <w:t>15</w:t>
            </w:r>
          </w:p>
        </w:tc>
        <w:tc>
          <w:tcPr>
            <w:tcW w:w="955" w:type="pct"/>
            <w:vAlign w:val="center"/>
          </w:tcPr>
          <w:p w14:paraId="090CB43E" w14:textId="77777777" w:rsidR="0052194C" w:rsidRPr="00A004B2" w:rsidRDefault="0052194C" w:rsidP="00AD4643">
            <w:pPr>
              <w:spacing w:before="40" w:after="40"/>
              <w:rPr>
                <w:rFonts w:eastAsia="SimSun" w:cs="Arial"/>
              </w:rPr>
            </w:pPr>
            <w:r w:rsidRPr="00A004B2">
              <w:rPr>
                <w:rFonts w:eastAsia="SimSun"/>
                <w:szCs w:val="22"/>
              </w:rPr>
              <w:t>Early attention needs to be paid to ensuring that the new method being developed for the DAFF team’s records management is effective. It should allow file sharing and be a central repository for all Program documents.</w:t>
            </w:r>
          </w:p>
        </w:tc>
        <w:tc>
          <w:tcPr>
            <w:tcW w:w="1589" w:type="pct"/>
            <w:vAlign w:val="center"/>
          </w:tcPr>
          <w:p w14:paraId="090CB43F" w14:textId="77777777" w:rsidR="00281C48" w:rsidRPr="00146BA1" w:rsidRDefault="008E2025" w:rsidP="00AD4643">
            <w:pPr>
              <w:spacing w:before="40" w:after="40"/>
              <w:rPr>
                <w:rFonts w:eastAsia="SimSun"/>
                <w:b/>
                <w:bCs/>
                <w:i/>
                <w:iCs/>
                <w:sz w:val="22"/>
                <w:szCs w:val="26"/>
              </w:rPr>
            </w:pPr>
            <w:r w:rsidRPr="00146BA1">
              <w:rPr>
                <w:rFonts w:eastAsia="SimSun"/>
              </w:rPr>
              <w:t>Agree.</w:t>
            </w:r>
            <w:r w:rsidR="006448D3" w:rsidRPr="00146BA1">
              <w:rPr>
                <w:rFonts w:eastAsia="SimSun"/>
              </w:rPr>
              <w:t xml:space="preserve"> DAFF acknowledges the critical need to a more efficient ITC system and has already made progress towards this end.</w:t>
            </w:r>
          </w:p>
        </w:tc>
        <w:tc>
          <w:tcPr>
            <w:tcW w:w="1696" w:type="pct"/>
          </w:tcPr>
          <w:p w14:paraId="090CB440" w14:textId="77777777" w:rsidR="00281C48" w:rsidRDefault="006448D3" w:rsidP="00AD4643">
            <w:pPr>
              <w:spacing w:before="40" w:after="40"/>
              <w:rPr>
                <w:rFonts w:eastAsia="SimSun"/>
                <w:b/>
                <w:bCs/>
                <w:i/>
                <w:iCs/>
                <w:sz w:val="22"/>
                <w:szCs w:val="26"/>
              </w:rPr>
            </w:pPr>
            <w:r>
              <w:rPr>
                <w:rFonts w:eastAsia="SimSun"/>
              </w:rPr>
              <w:t xml:space="preserve">DAFF to establish an AIP-EID program ICT system and record keeping practices to </w:t>
            </w:r>
            <w:r w:rsidR="00EB798B">
              <w:rPr>
                <w:rFonts w:eastAsia="SimSun"/>
              </w:rPr>
              <w:t>facilitate file sharing</w:t>
            </w:r>
            <w:r w:rsidR="00BA3B5E">
              <w:rPr>
                <w:rFonts w:eastAsia="SimSun"/>
              </w:rPr>
              <w:t xml:space="preserve">, </w:t>
            </w:r>
            <w:r w:rsidR="00EB798B">
              <w:rPr>
                <w:rFonts w:eastAsia="SimSun"/>
              </w:rPr>
              <w:t xml:space="preserve">in compliance with </w:t>
            </w:r>
            <w:r>
              <w:rPr>
                <w:rFonts w:eastAsia="SimSun"/>
              </w:rPr>
              <w:t>relevant policies</w:t>
            </w:r>
            <w:r w:rsidR="00BA3B5E">
              <w:rPr>
                <w:rFonts w:eastAsia="SimSun"/>
              </w:rPr>
              <w:t>.</w:t>
            </w:r>
          </w:p>
        </w:tc>
        <w:tc>
          <w:tcPr>
            <w:tcW w:w="494" w:type="pct"/>
          </w:tcPr>
          <w:p w14:paraId="090CB441" w14:textId="77777777" w:rsidR="0052194C" w:rsidRDefault="0052194C" w:rsidP="00AD4643">
            <w:pPr>
              <w:spacing w:before="40" w:after="40"/>
              <w:jc w:val="center"/>
              <w:rPr>
                <w:rFonts w:eastAsia="SimSun"/>
              </w:rPr>
            </w:pPr>
            <w:r>
              <w:rPr>
                <w:rFonts w:eastAsia="SimSun"/>
              </w:rPr>
              <w:t>DAFF</w:t>
            </w:r>
          </w:p>
        </w:tc>
      </w:tr>
      <w:tr w:rsidR="0052194C" w:rsidRPr="00901F91" w14:paraId="090CB448" w14:textId="77777777" w:rsidTr="005D5440">
        <w:tc>
          <w:tcPr>
            <w:tcW w:w="266" w:type="pct"/>
          </w:tcPr>
          <w:p w14:paraId="090CB443" w14:textId="77777777" w:rsidR="0052194C" w:rsidRPr="00A004B2" w:rsidRDefault="0052194C" w:rsidP="00AD4643">
            <w:pPr>
              <w:spacing w:before="40" w:after="40"/>
              <w:rPr>
                <w:rFonts w:eastAsia="SimSun" w:cs="Arial"/>
              </w:rPr>
            </w:pPr>
            <w:r w:rsidRPr="00A004B2">
              <w:rPr>
                <w:rFonts w:eastAsia="SimSun"/>
                <w:szCs w:val="22"/>
              </w:rPr>
              <w:t>16</w:t>
            </w:r>
          </w:p>
        </w:tc>
        <w:tc>
          <w:tcPr>
            <w:tcW w:w="955" w:type="pct"/>
            <w:vAlign w:val="center"/>
          </w:tcPr>
          <w:p w14:paraId="090CB444" w14:textId="77777777" w:rsidR="0052194C" w:rsidRPr="00A004B2" w:rsidRDefault="0052194C" w:rsidP="00AD4643">
            <w:pPr>
              <w:spacing w:before="40" w:after="40"/>
              <w:rPr>
                <w:rFonts w:eastAsia="SimSun" w:cs="Arial"/>
              </w:rPr>
            </w:pPr>
            <w:r w:rsidRPr="00A004B2">
              <w:rPr>
                <w:rFonts w:eastAsia="SimSun" w:cs="Arial"/>
                <w:szCs w:val="22"/>
              </w:rPr>
              <w:t xml:space="preserve">A full-time </w:t>
            </w:r>
            <w:r w:rsidRPr="00A004B2">
              <w:rPr>
                <w:rFonts w:eastAsia="SimSun" w:cs="Arial"/>
                <w:szCs w:val="22"/>
              </w:rPr>
              <w:lastRenderedPageBreak/>
              <w:t>Technical Program Officer should be appointed to the DAFF team to support Quarantine Technical Advisor,, in coordination of the quarantine sub-component.</w:t>
            </w:r>
          </w:p>
        </w:tc>
        <w:tc>
          <w:tcPr>
            <w:tcW w:w="1589" w:type="pct"/>
            <w:vAlign w:val="center"/>
          </w:tcPr>
          <w:p w14:paraId="090CB445" w14:textId="77777777" w:rsidR="00281C48" w:rsidRPr="00146BA1" w:rsidRDefault="006448D3" w:rsidP="00AD4643">
            <w:pPr>
              <w:spacing w:before="40" w:after="40"/>
              <w:rPr>
                <w:rFonts w:eastAsia="SimSun"/>
                <w:b/>
                <w:bCs/>
                <w:i/>
                <w:iCs/>
                <w:sz w:val="22"/>
                <w:szCs w:val="26"/>
              </w:rPr>
            </w:pPr>
            <w:r w:rsidRPr="00146BA1">
              <w:rPr>
                <w:rFonts w:eastAsia="SimSun"/>
              </w:rPr>
              <w:lastRenderedPageBreak/>
              <w:t>Agree.</w:t>
            </w:r>
          </w:p>
        </w:tc>
        <w:tc>
          <w:tcPr>
            <w:tcW w:w="1696" w:type="pct"/>
          </w:tcPr>
          <w:p w14:paraId="090CB446" w14:textId="77777777" w:rsidR="00281C48" w:rsidRDefault="00FE697F" w:rsidP="00AD4643">
            <w:pPr>
              <w:spacing w:before="40" w:after="40"/>
              <w:rPr>
                <w:rFonts w:eastAsia="SimSun"/>
              </w:rPr>
            </w:pPr>
            <w:r>
              <w:rPr>
                <w:rFonts w:eastAsia="SimSun"/>
              </w:rPr>
              <w:t>Already actioned:</w:t>
            </w:r>
            <w:r w:rsidR="006448D3">
              <w:rPr>
                <w:rFonts w:eastAsia="SimSun"/>
              </w:rPr>
              <w:t xml:space="preserve"> position</w:t>
            </w:r>
            <w:r w:rsidR="00F30F04">
              <w:rPr>
                <w:rFonts w:eastAsia="SimSun"/>
              </w:rPr>
              <w:t xml:space="preserve">s for </w:t>
            </w:r>
            <w:r w:rsidR="008637ED">
              <w:rPr>
                <w:rFonts w:eastAsia="SimSun"/>
              </w:rPr>
              <w:lastRenderedPageBreak/>
              <w:t>Technical program Officer (</w:t>
            </w:r>
            <w:r w:rsidR="00F30F04">
              <w:rPr>
                <w:rFonts w:eastAsia="SimSun"/>
              </w:rPr>
              <w:t>TPO</w:t>
            </w:r>
            <w:r w:rsidR="008637ED">
              <w:rPr>
                <w:rFonts w:eastAsia="SimSun"/>
              </w:rPr>
              <w:t>)</w:t>
            </w:r>
            <w:r w:rsidR="00F30F04">
              <w:rPr>
                <w:rFonts w:eastAsia="SimSun"/>
              </w:rPr>
              <w:t>: quarantine and TPO: laboratories</w:t>
            </w:r>
            <w:r w:rsidR="006448D3">
              <w:rPr>
                <w:rFonts w:eastAsia="SimSun"/>
              </w:rPr>
              <w:t xml:space="preserve"> advertised 13 February 2013</w:t>
            </w:r>
            <w:r w:rsidR="00F30F04">
              <w:rPr>
                <w:rFonts w:eastAsia="SimSun"/>
              </w:rPr>
              <w:t xml:space="preserve">. Both positions will support fly-in-fly-out technical experts </w:t>
            </w:r>
          </w:p>
        </w:tc>
        <w:tc>
          <w:tcPr>
            <w:tcW w:w="494" w:type="pct"/>
          </w:tcPr>
          <w:p w14:paraId="090CB447" w14:textId="77777777" w:rsidR="0052194C" w:rsidRDefault="0052194C" w:rsidP="00AD4643">
            <w:pPr>
              <w:spacing w:before="40" w:after="40"/>
              <w:jc w:val="center"/>
              <w:rPr>
                <w:rFonts w:eastAsia="SimSun"/>
              </w:rPr>
            </w:pPr>
            <w:r>
              <w:rPr>
                <w:rFonts w:eastAsia="SimSun"/>
                <w:szCs w:val="22"/>
              </w:rPr>
              <w:lastRenderedPageBreak/>
              <w:t>DAFF</w:t>
            </w:r>
          </w:p>
        </w:tc>
      </w:tr>
      <w:tr w:rsidR="0052194C" w:rsidRPr="00901F91" w14:paraId="090CB44E" w14:textId="77777777" w:rsidTr="005D5440">
        <w:tc>
          <w:tcPr>
            <w:tcW w:w="266" w:type="pct"/>
          </w:tcPr>
          <w:p w14:paraId="090CB449" w14:textId="77777777" w:rsidR="0052194C" w:rsidRPr="00A004B2" w:rsidRDefault="0052194C" w:rsidP="00AD4643">
            <w:pPr>
              <w:spacing w:before="40" w:after="40"/>
              <w:rPr>
                <w:rFonts w:eastAsia="SimSun" w:cs="Arial"/>
              </w:rPr>
            </w:pPr>
            <w:r w:rsidRPr="00A004B2">
              <w:rPr>
                <w:rFonts w:eastAsia="SimSun"/>
                <w:szCs w:val="22"/>
              </w:rPr>
              <w:lastRenderedPageBreak/>
              <w:t>17</w:t>
            </w:r>
          </w:p>
        </w:tc>
        <w:tc>
          <w:tcPr>
            <w:tcW w:w="955" w:type="pct"/>
            <w:vAlign w:val="center"/>
          </w:tcPr>
          <w:p w14:paraId="090CB44A" w14:textId="77777777" w:rsidR="0052194C" w:rsidRPr="00A004B2" w:rsidRDefault="0052194C" w:rsidP="00AD4643">
            <w:pPr>
              <w:spacing w:before="40" w:after="40"/>
              <w:rPr>
                <w:rFonts w:eastAsia="SimSun" w:cs="Arial"/>
              </w:rPr>
            </w:pPr>
            <w:r w:rsidRPr="00A004B2">
              <w:rPr>
                <w:rFonts w:eastAsia="SimSun" w:cs="Arial"/>
                <w:szCs w:val="22"/>
              </w:rPr>
              <w:t>Program years align with calendar years so the best option is to report against calendar years, which are the Indonesian financial year.</w:t>
            </w:r>
            <w:r w:rsidRPr="00A004B2">
              <w:rPr>
                <w:rFonts w:eastAsia="SimSun"/>
                <w:szCs w:val="22"/>
              </w:rPr>
              <w:t xml:space="preserve"> For reporting to DAFF internally, the six month-units could be reconfigured against Australian financial years.</w:t>
            </w:r>
          </w:p>
        </w:tc>
        <w:tc>
          <w:tcPr>
            <w:tcW w:w="1589" w:type="pct"/>
            <w:vAlign w:val="center"/>
          </w:tcPr>
          <w:p w14:paraId="090CB44B" w14:textId="77777777" w:rsidR="00281C48" w:rsidRPr="00146BA1" w:rsidRDefault="006448D3" w:rsidP="00AD4643">
            <w:pPr>
              <w:spacing w:before="40" w:after="40"/>
              <w:rPr>
                <w:rFonts w:eastAsia="SimSun"/>
              </w:rPr>
            </w:pPr>
            <w:r w:rsidRPr="00146BA1">
              <w:rPr>
                <w:rFonts w:eastAsia="SimSun"/>
              </w:rPr>
              <w:t xml:space="preserve">Agree. </w:t>
            </w:r>
            <w:r w:rsidR="001F55E3" w:rsidRPr="00146BA1">
              <w:rPr>
                <w:rFonts w:eastAsia="SimSun"/>
              </w:rPr>
              <w:t xml:space="preserve">As planning and implementation is in Indonesia, it is more efficient to report on </w:t>
            </w:r>
            <w:r w:rsidRPr="00146BA1">
              <w:rPr>
                <w:rFonts w:eastAsia="SimSun"/>
              </w:rPr>
              <w:t xml:space="preserve">the Indonesian financial (= calendar) year. </w:t>
            </w:r>
          </w:p>
        </w:tc>
        <w:tc>
          <w:tcPr>
            <w:tcW w:w="1696" w:type="pct"/>
          </w:tcPr>
          <w:p w14:paraId="090CB44C" w14:textId="77777777" w:rsidR="00281C48" w:rsidRDefault="00FE697F" w:rsidP="00AD4643">
            <w:pPr>
              <w:spacing w:before="40" w:after="40"/>
              <w:rPr>
                <w:rFonts w:eastAsia="SimSun"/>
              </w:rPr>
            </w:pPr>
            <w:r>
              <w:rPr>
                <w:rFonts w:eastAsia="SimSun"/>
              </w:rPr>
              <w:t>Already implemented: t</w:t>
            </w:r>
            <w:r w:rsidR="006448D3">
              <w:rPr>
                <w:rFonts w:eastAsia="SimSun"/>
              </w:rPr>
              <w:t xml:space="preserve">he current operational plan </w:t>
            </w:r>
            <w:r w:rsidR="00A45E9E">
              <w:rPr>
                <w:rFonts w:eastAsia="SimSun"/>
              </w:rPr>
              <w:t xml:space="preserve">for the calendar year 2013 </w:t>
            </w:r>
            <w:r w:rsidR="006448D3">
              <w:rPr>
                <w:rFonts w:eastAsia="SimSun"/>
              </w:rPr>
              <w:t xml:space="preserve">has been developed </w:t>
            </w:r>
            <w:r w:rsidR="00A45E9E">
              <w:rPr>
                <w:rFonts w:eastAsia="SimSun"/>
              </w:rPr>
              <w:t>and approved by the PCC.</w:t>
            </w:r>
          </w:p>
        </w:tc>
        <w:tc>
          <w:tcPr>
            <w:tcW w:w="494" w:type="pct"/>
          </w:tcPr>
          <w:p w14:paraId="090CB44D" w14:textId="77777777" w:rsidR="0052194C" w:rsidRDefault="0052194C" w:rsidP="00AD4643">
            <w:pPr>
              <w:spacing w:before="40" w:after="40"/>
              <w:jc w:val="center"/>
              <w:rPr>
                <w:rFonts w:eastAsia="SimSun"/>
              </w:rPr>
            </w:pPr>
            <w:r>
              <w:rPr>
                <w:rFonts w:eastAsia="SimSun"/>
                <w:szCs w:val="22"/>
              </w:rPr>
              <w:t>DAFF</w:t>
            </w:r>
          </w:p>
        </w:tc>
      </w:tr>
      <w:tr w:rsidR="0052194C" w:rsidRPr="00901F91" w14:paraId="090CB454" w14:textId="77777777" w:rsidTr="005D5440">
        <w:tc>
          <w:tcPr>
            <w:tcW w:w="266" w:type="pct"/>
            <w:shd w:val="clear" w:color="auto" w:fill="auto"/>
          </w:tcPr>
          <w:p w14:paraId="090CB44F" w14:textId="77777777" w:rsidR="0052194C" w:rsidRPr="00A004B2" w:rsidDel="007700C4" w:rsidRDefault="0052194C" w:rsidP="00AD4643">
            <w:pPr>
              <w:spacing w:before="40" w:after="40"/>
              <w:rPr>
                <w:rFonts w:eastAsia="SimSun"/>
              </w:rPr>
            </w:pPr>
            <w:r w:rsidRPr="00A004B2">
              <w:rPr>
                <w:rFonts w:eastAsia="SimSun"/>
                <w:szCs w:val="22"/>
              </w:rPr>
              <w:t>18</w:t>
            </w:r>
          </w:p>
        </w:tc>
        <w:tc>
          <w:tcPr>
            <w:tcW w:w="955" w:type="pct"/>
          </w:tcPr>
          <w:p w14:paraId="090CB450" w14:textId="77777777" w:rsidR="0052194C" w:rsidRPr="00A004B2" w:rsidRDefault="0052194C" w:rsidP="00AD4643">
            <w:pPr>
              <w:spacing w:before="40" w:after="40"/>
              <w:rPr>
                <w:rFonts w:eastAsia="SimSun" w:cs="Arial"/>
              </w:rPr>
            </w:pPr>
            <w:r w:rsidRPr="009B0F75">
              <w:rPr>
                <w:rFonts w:cs="Arial"/>
              </w:rPr>
              <w:t>The model used to contract Indonesian staff in the DAFF team should be reviewed urgently</w:t>
            </w:r>
            <w:r>
              <w:rPr>
                <w:rFonts w:cs="Arial"/>
              </w:rPr>
              <w:t xml:space="preserve"> </w:t>
            </w:r>
            <w:r w:rsidRPr="00AD19A7">
              <w:rPr>
                <w:rFonts w:cs="Arial"/>
              </w:rPr>
              <w:t>with the intention of including more practicable provisions for sick leave and annual leave</w:t>
            </w:r>
            <w:r w:rsidRPr="009B0F75">
              <w:rPr>
                <w:rFonts w:cs="Arial"/>
              </w:rPr>
              <w:t xml:space="preserve">. </w:t>
            </w:r>
          </w:p>
        </w:tc>
        <w:tc>
          <w:tcPr>
            <w:tcW w:w="1589" w:type="pct"/>
          </w:tcPr>
          <w:p w14:paraId="090CB451" w14:textId="77777777" w:rsidR="00281C48" w:rsidRPr="00146BA1" w:rsidRDefault="006F2119" w:rsidP="00AD4643">
            <w:pPr>
              <w:spacing w:before="40" w:after="40"/>
              <w:rPr>
                <w:rFonts w:eastAsia="SimSun"/>
              </w:rPr>
            </w:pPr>
            <w:r w:rsidRPr="00146BA1">
              <w:rPr>
                <w:rFonts w:eastAsia="SimSun"/>
              </w:rPr>
              <w:t xml:space="preserve">Agree. </w:t>
            </w:r>
            <w:r w:rsidR="00613E0A" w:rsidRPr="00146BA1">
              <w:rPr>
                <w:rFonts w:eastAsia="SimSun"/>
              </w:rPr>
              <w:t>Any</w:t>
            </w:r>
            <w:r w:rsidRPr="00146BA1">
              <w:rPr>
                <w:rFonts w:eastAsia="SimSun"/>
              </w:rPr>
              <w:t xml:space="preserve"> areas of misunderstanding and/or inequity in LES staff contracts</w:t>
            </w:r>
            <w:r w:rsidR="00613E0A" w:rsidRPr="00146BA1">
              <w:rPr>
                <w:rFonts w:eastAsia="SimSun"/>
              </w:rPr>
              <w:t xml:space="preserve"> should be identified</w:t>
            </w:r>
            <w:r w:rsidRPr="00146BA1">
              <w:rPr>
                <w:rFonts w:eastAsia="SimSun"/>
              </w:rPr>
              <w:t xml:space="preserve">. </w:t>
            </w:r>
            <w:r w:rsidR="00613E0A" w:rsidRPr="00146BA1">
              <w:rPr>
                <w:rFonts w:eastAsia="SimSun"/>
              </w:rPr>
              <w:t>It should be noted that</w:t>
            </w:r>
            <w:r w:rsidRPr="00146BA1">
              <w:rPr>
                <w:rFonts w:eastAsia="SimSun"/>
              </w:rPr>
              <w:t xml:space="preserve"> DAFF </w:t>
            </w:r>
            <w:r w:rsidR="00DD2A98" w:rsidRPr="00146BA1">
              <w:rPr>
                <w:rFonts w:eastAsia="SimSun"/>
              </w:rPr>
              <w:t xml:space="preserve">LES </w:t>
            </w:r>
            <w:r w:rsidRPr="00146BA1">
              <w:rPr>
                <w:rFonts w:eastAsia="SimSun"/>
              </w:rPr>
              <w:t>staff are employed under agreed DFAT terms</w:t>
            </w:r>
            <w:r w:rsidR="00613E0A" w:rsidRPr="00146BA1">
              <w:rPr>
                <w:rFonts w:eastAsia="SimSun"/>
              </w:rPr>
              <w:t>.</w:t>
            </w:r>
            <w:r w:rsidRPr="00146BA1">
              <w:rPr>
                <w:rFonts w:eastAsia="SimSun"/>
              </w:rPr>
              <w:t xml:space="preserve"> </w:t>
            </w:r>
          </w:p>
        </w:tc>
        <w:tc>
          <w:tcPr>
            <w:tcW w:w="1696" w:type="pct"/>
          </w:tcPr>
          <w:p w14:paraId="090CB452" w14:textId="77777777" w:rsidR="00281C48" w:rsidRDefault="00837243" w:rsidP="00AD4643">
            <w:pPr>
              <w:spacing w:before="40" w:after="40"/>
              <w:rPr>
                <w:rFonts w:eastAsia="SimSun"/>
              </w:rPr>
            </w:pPr>
            <w:r>
              <w:rPr>
                <w:rFonts w:eastAsia="SimSun"/>
              </w:rPr>
              <w:t>DAFF to review LES contracts and address any areas of misunderstanding. Supervisors to be more active in ensuring that staff</w:t>
            </w:r>
            <w:r w:rsidR="006321A1">
              <w:rPr>
                <w:rFonts w:eastAsia="SimSun"/>
              </w:rPr>
              <w:t xml:space="preserve"> are aware of the contract conditions</w:t>
            </w:r>
            <w:r>
              <w:rPr>
                <w:rFonts w:eastAsia="SimSun"/>
              </w:rPr>
              <w:t xml:space="preserve"> and take sick and holiday leave, as intended in the 15% leave loading. </w:t>
            </w:r>
            <w:r w:rsidR="004D25EA">
              <w:rPr>
                <w:rFonts w:eastAsia="SimSun"/>
              </w:rPr>
              <w:t>If required</w:t>
            </w:r>
            <w:r>
              <w:rPr>
                <w:rFonts w:eastAsia="SimSun"/>
              </w:rPr>
              <w:t xml:space="preserve">, </w:t>
            </w:r>
            <w:r w:rsidR="004D25EA">
              <w:rPr>
                <w:rFonts w:eastAsia="SimSun"/>
              </w:rPr>
              <w:t>issues to</w:t>
            </w:r>
            <w:r>
              <w:rPr>
                <w:rFonts w:eastAsia="SimSun"/>
              </w:rPr>
              <w:t xml:space="preserve"> be referred to DFAT HR.</w:t>
            </w:r>
          </w:p>
        </w:tc>
        <w:tc>
          <w:tcPr>
            <w:tcW w:w="494" w:type="pct"/>
          </w:tcPr>
          <w:p w14:paraId="090CB453" w14:textId="77777777" w:rsidR="0052194C" w:rsidRDefault="0052194C" w:rsidP="00AD4643">
            <w:pPr>
              <w:spacing w:before="40" w:after="40"/>
              <w:jc w:val="center"/>
              <w:rPr>
                <w:rFonts w:eastAsia="SimSun"/>
              </w:rPr>
            </w:pPr>
            <w:r w:rsidRPr="009B0F75">
              <w:rPr>
                <w:rFonts w:cs="Arial"/>
              </w:rPr>
              <w:t>DAFF</w:t>
            </w:r>
          </w:p>
        </w:tc>
      </w:tr>
      <w:tr w:rsidR="0052194C" w:rsidRPr="00901F91" w14:paraId="090CB45A" w14:textId="77777777" w:rsidTr="005D5440">
        <w:tc>
          <w:tcPr>
            <w:tcW w:w="266" w:type="pct"/>
            <w:shd w:val="clear" w:color="auto" w:fill="auto"/>
          </w:tcPr>
          <w:p w14:paraId="090CB455" w14:textId="77777777" w:rsidR="0052194C" w:rsidRPr="00A004B2" w:rsidDel="007700C4" w:rsidRDefault="0052194C" w:rsidP="00AD4643">
            <w:pPr>
              <w:spacing w:before="40" w:after="40"/>
              <w:rPr>
                <w:rFonts w:eastAsia="SimSun"/>
              </w:rPr>
            </w:pPr>
            <w:r w:rsidRPr="00A004B2">
              <w:rPr>
                <w:rFonts w:eastAsia="SimSun"/>
                <w:szCs w:val="22"/>
              </w:rPr>
              <w:t>19</w:t>
            </w:r>
          </w:p>
        </w:tc>
        <w:tc>
          <w:tcPr>
            <w:tcW w:w="955" w:type="pct"/>
          </w:tcPr>
          <w:p w14:paraId="090CB456" w14:textId="77777777" w:rsidR="0052194C" w:rsidRPr="00A004B2" w:rsidRDefault="0052194C" w:rsidP="00AD4643">
            <w:pPr>
              <w:spacing w:before="40" w:after="40"/>
              <w:rPr>
                <w:rFonts w:eastAsia="SimSun" w:cs="Arial"/>
              </w:rPr>
            </w:pPr>
            <w:r w:rsidRPr="009B0F75">
              <w:rPr>
                <w:rFonts w:cs="Arial"/>
              </w:rPr>
              <w:t>Staff contracts should be prepared in English and Indonesian so that staff know the terms and conditions of the contract they are signing.</w:t>
            </w:r>
          </w:p>
        </w:tc>
        <w:tc>
          <w:tcPr>
            <w:tcW w:w="1589" w:type="pct"/>
          </w:tcPr>
          <w:p w14:paraId="090CB457" w14:textId="77777777" w:rsidR="00281C48" w:rsidRPr="00146BA1" w:rsidRDefault="00F72420" w:rsidP="00AD4643">
            <w:pPr>
              <w:spacing w:before="40" w:after="40"/>
              <w:rPr>
                <w:rFonts w:eastAsia="SimSun"/>
                <w:b/>
                <w:bCs/>
                <w:i/>
                <w:iCs/>
                <w:sz w:val="22"/>
                <w:szCs w:val="26"/>
              </w:rPr>
            </w:pPr>
            <w:r w:rsidRPr="00146BA1">
              <w:rPr>
                <w:rFonts w:eastAsia="SimSun"/>
              </w:rPr>
              <w:t xml:space="preserve">Agree </w:t>
            </w:r>
          </w:p>
        </w:tc>
        <w:tc>
          <w:tcPr>
            <w:tcW w:w="1696" w:type="pct"/>
          </w:tcPr>
          <w:p w14:paraId="090CB458" w14:textId="77777777" w:rsidR="00281C48" w:rsidRDefault="00FE697F" w:rsidP="00AD4643">
            <w:pPr>
              <w:spacing w:before="40" w:after="40"/>
              <w:rPr>
                <w:rFonts w:eastAsia="SimSun"/>
              </w:rPr>
            </w:pPr>
            <w:r>
              <w:rPr>
                <w:rFonts w:eastAsia="SimSun"/>
              </w:rPr>
              <w:t xml:space="preserve">Already implemented: </w:t>
            </w:r>
            <w:r w:rsidR="00F72420">
              <w:rPr>
                <w:rFonts w:eastAsia="SimSun"/>
              </w:rPr>
              <w:t>DAFF</w:t>
            </w:r>
            <w:r w:rsidR="004F1EF1">
              <w:rPr>
                <w:rFonts w:eastAsia="SimSun"/>
              </w:rPr>
              <w:t xml:space="preserve"> will continue to</w:t>
            </w:r>
            <w:r w:rsidR="00F72420">
              <w:rPr>
                <w:rFonts w:eastAsia="SimSun"/>
              </w:rPr>
              <w:t xml:space="preserve"> </w:t>
            </w:r>
            <w:r w:rsidR="004F1EF1">
              <w:rPr>
                <w:rFonts w:eastAsia="SimSun"/>
              </w:rPr>
              <w:t>provide</w:t>
            </w:r>
            <w:r w:rsidR="00F72420">
              <w:rPr>
                <w:rFonts w:eastAsia="SimSun"/>
              </w:rPr>
              <w:t xml:space="preserve"> contracts in bo</w:t>
            </w:r>
            <w:r w:rsidR="004F1EF1">
              <w:rPr>
                <w:rFonts w:eastAsia="SimSun"/>
              </w:rPr>
              <w:t>th English and Bahasa Indonesia.</w:t>
            </w:r>
          </w:p>
        </w:tc>
        <w:tc>
          <w:tcPr>
            <w:tcW w:w="494" w:type="pct"/>
          </w:tcPr>
          <w:p w14:paraId="090CB459" w14:textId="77777777" w:rsidR="0052194C" w:rsidRDefault="0052194C" w:rsidP="00AD4643">
            <w:pPr>
              <w:spacing w:before="40" w:after="40"/>
              <w:jc w:val="center"/>
              <w:rPr>
                <w:rFonts w:eastAsia="SimSun"/>
              </w:rPr>
            </w:pPr>
            <w:r w:rsidRPr="009B0F75">
              <w:rPr>
                <w:rFonts w:cs="Arial"/>
              </w:rPr>
              <w:t>DAFF</w:t>
            </w:r>
          </w:p>
        </w:tc>
      </w:tr>
      <w:tr w:rsidR="0052194C" w:rsidRPr="00901F91" w14:paraId="090CB461" w14:textId="77777777" w:rsidTr="005D5440">
        <w:tc>
          <w:tcPr>
            <w:tcW w:w="266" w:type="pct"/>
          </w:tcPr>
          <w:p w14:paraId="090CB45B" w14:textId="77777777" w:rsidR="0052194C" w:rsidRPr="00A004B2" w:rsidDel="007700C4" w:rsidRDefault="0052194C" w:rsidP="00AD4643">
            <w:pPr>
              <w:spacing w:before="40" w:after="40"/>
              <w:rPr>
                <w:rFonts w:eastAsia="SimSun"/>
              </w:rPr>
            </w:pPr>
            <w:r w:rsidRPr="00A004B2">
              <w:rPr>
                <w:rFonts w:eastAsia="SimSun"/>
                <w:szCs w:val="22"/>
              </w:rPr>
              <w:t>20</w:t>
            </w:r>
          </w:p>
        </w:tc>
        <w:tc>
          <w:tcPr>
            <w:tcW w:w="955" w:type="pct"/>
          </w:tcPr>
          <w:p w14:paraId="090CB45C" w14:textId="77777777" w:rsidR="0052194C" w:rsidRDefault="0052194C" w:rsidP="00AD4643">
            <w:pPr>
              <w:spacing w:before="40" w:after="40"/>
              <w:rPr>
                <w:rFonts w:eastAsia="SimSun" w:cs="Arial"/>
              </w:rPr>
            </w:pPr>
            <w:r w:rsidRPr="009B0F75">
              <w:rPr>
                <w:rFonts w:cs="Arial"/>
              </w:rPr>
              <w:t xml:space="preserve">DAFF should persist with arrangements </w:t>
            </w:r>
            <w:r>
              <w:rPr>
                <w:rFonts w:cs="Arial"/>
              </w:rPr>
              <w:t>with</w:t>
            </w:r>
            <w:r w:rsidRPr="009B0F75">
              <w:rPr>
                <w:rFonts w:cs="Arial"/>
              </w:rPr>
              <w:t xml:space="preserve"> greater security </w:t>
            </w:r>
            <w:r>
              <w:rPr>
                <w:rFonts w:cs="Arial"/>
              </w:rPr>
              <w:t xml:space="preserve">and </w:t>
            </w:r>
            <w:r w:rsidRPr="009B0F75">
              <w:rPr>
                <w:rFonts w:cs="Arial"/>
              </w:rPr>
              <w:t>offer</w:t>
            </w:r>
            <w:r>
              <w:rPr>
                <w:rFonts w:cs="Arial"/>
              </w:rPr>
              <w:t>ing</w:t>
            </w:r>
            <w:r w:rsidRPr="009B0F75">
              <w:rPr>
                <w:rFonts w:cs="Arial"/>
              </w:rPr>
              <w:t xml:space="preserve"> greater efficiencies </w:t>
            </w:r>
            <w:r>
              <w:rPr>
                <w:rFonts w:cs="Arial"/>
              </w:rPr>
              <w:t>to</w:t>
            </w:r>
            <w:r w:rsidRPr="009B0F75">
              <w:rPr>
                <w:rFonts w:cs="Arial"/>
              </w:rPr>
              <w:t xml:space="preserve"> access </w:t>
            </w:r>
            <w:r>
              <w:rPr>
                <w:rFonts w:cs="Arial"/>
              </w:rPr>
              <w:t xml:space="preserve">and handle </w:t>
            </w:r>
            <w:r w:rsidRPr="009B0F75">
              <w:rPr>
                <w:rFonts w:cs="Arial"/>
              </w:rPr>
              <w:t xml:space="preserve">cash for ongoing </w:t>
            </w:r>
            <w:r w:rsidRPr="009B0F75">
              <w:rPr>
                <w:rFonts w:cs="Arial"/>
              </w:rPr>
              <w:lastRenderedPageBreak/>
              <w:t>operational expenses.</w:t>
            </w:r>
          </w:p>
        </w:tc>
        <w:tc>
          <w:tcPr>
            <w:tcW w:w="1589" w:type="pct"/>
          </w:tcPr>
          <w:p w14:paraId="090CB45D" w14:textId="77777777" w:rsidR="00281C48" w:rsidRPr="00146BA1" w:rsidRDefault="00F72420" w:rsidP="00AD4643">
            <w:pPr>
              <w:spacing w:before="40" w:after="40"/>
              <w:rPr>
                <w:rFonts w:eastAsia="SimSun"/>
              </w:rPr>
            </w:pPr>
            <w:r w:rsidRPr="00146BA1">
              <w:rPr>
                <w:rFonts w:eastAsia="SimSun"/>
              </w:rPr>
              <w:lastRenderedPageBreak/>
              <w:t xml:space="preserve">Agree. </w:t>
            </w:r>
          </w:p>
        </w:tc>
        <w:tc>
          <w:tcPr>
            <w:tcW w:w="1696" w:type="pct"/>
          </w:tcPr>
          <w:p w14:paraId="090CB45E" w14:textId="77777777" w:rsidR="003A3C7E" w:rsidRDefault="003A3C7E" w:rsidP="00AD4643">
            <w:pPr>
              <w:spacing w:before="40" w:after="40"/>
              <w:rPr>
                <w:rFonts w:ascii="Calibri" w:hAnsi="Calibri" w:cs="Calibri"/>
                <w:sz w:val="22"/>
                <w:szCs w:val="22"/>
              </w:rPr>
            </w:pPr>
            <w:r>
              <w:rPr>
                <w:rFonts w:ascii="Calibri" w:hAnsi="Calibri" w:cs="Calibri"/>
                <w:sz w:val="22"/>
                <w:szCs w:val="22"/>
              </w:rPr>
              <w:t xml:space="preserve">DAFF has reviewed and will continue to refine its cash management for </w:t>
            </w:r>
            <w:r>
              <w:t xml:space="preserve">better security and efficiencies to access and handle cash for ongoing operational expenses. This include having security officers escorting the staffs getting the money from bank/post office and discussing with DAFF </w:t>
            </w:r>
            <w:r>
              <w:lastRenderedPageBreak/>
              <w:t>Canberra to allow DAFF field office in Makassar having separate bank accounts.</w:t>
            </w:r>
          </w:p>
          <w:p w14:paraId="090CB45F" w14:textId="77777777" w:rsidR="00281C48" w:rsidRDefault="00281C48" w:rsidP="00AD4643">
            <w:pPr>
              <w:spacing w:before="40" w:after="40"/>
              <w:rPr>
                <w:rFonts w:eastAsia="SimSun"/>
              </w:rPr>
            </w:pPr>
          </w:p>
        </w:tc>
        <w:tc>
          <w:tcPr>
            <w:tcW w:w="494" w:type="pct"/>
          </w:tcPr>
          <w:p w14:paraId="090CB460" w14:textId="77777777" w:rsidR="0052194C" w:rsidRDefault="0052194C" w:rsidP="00AD4643">
            <w:pPr>
              <w:spacing w:before="40" w:after="40"/>
              <w:jc w:val="center"/>
              <w:rPr>
                <w:rFonts w:eastAsia="SimSun"/>
              </w:rPr>
            </w:pPr>
            <w:r w:rsidRPr="009B0F75">
              <w:rPr>
                <w:rFonts w:cs="Arial"/>
              </w:rPr>
              <w:lastRenderedPageBreak/>
              <w:t>DAFF</w:t>
            </w:r>
          </w:p>
        </w:tc>
      </w:tr>
      <w:tr w:rsidR="0052194C" w:rsidRPr="00901F91" w14:paraId="090CB467" w14:textId="77777777" w:rsidTr="005D5440">
        <w:tc>
          <w:tcPr>
            <w:tcW w:w="266" w:type="pct"/>
          </w:tcPr>
          <w:p w14:paraId="090CB462" w14:textId="77777777" w:rsidR="0052194C" w:rsidRPr="00A004B2" w:rsidDel="007700C4" w:rsidRDefault="0052194C" w:rsidP="00AD4643">
            <w:pPr>
              <w:spacing w:before="40" w:after="40"/>
              <w:rPr>
                <w:rFonts w:eastAsia="SimSun"/>
              </w:rPr>
            </w:pPr>
            <w:r w:rsidRPr="00A004B2">
              <w:rPr>
                <w:rFonts w:eastAsia="SimSun"/>
                <w:szCs w:val="22"/>
              </w:rPr>
              <w:lastRenderedPageBreak/>
              <w:t>21</w:t>
            </w:r>
          </w:p>
        </w:tc>
        <w:tc>
          <w:tcPr>
            <w:tcW w:w="955" w:type="pct"/>
          </w:tcPr>
          <w:p w14:paraId="090CB463" w14:textId="77777777" w:rsidR="0052194C" w:rsidRPr="00A004B2" w:rsidRDefault="0052194C" w:rsidP="00AD4643">
            <w:pPr>
              <w:spacing w:before="40" w:after="40"/>
              <w:rPr>
                <w:rFonts w:eastAsia="SimSun" w:cs="Arial"/>
              </w:rPr>
            </w:pPr>
            <w:r w:rsidRPr="009B0F75">
              <w:rPr>
                <w:rFonts w:cs="Arial"/>
              </w:rPr>
              <w:t xml:space="preserve">At least two staff should be authorised to withdraw cash so that if </w:t>
            </w:r>
            <w:r>
              <w:rPr>
                <w:rFonts w:cs="Arial"/>
              </w:rPr>
              <w:t>one</w:t>
            </w:r>
            <w:r w:rsidRPr="009B0F75">
              <w:rPr>
                <w:rFonts w:cs="Arial"/>
              </w:rPr>
              <w:t xml:space="preserve"> is not available through illness or travel, cash can still be withdrawn. </w:t>
            </w:r>
          </w:p>
        </w:tc>
        <w:tc>
          <w:tcPr>
            <w:tcW w:w="1589" w:type="pct"/>
          </w:tcPr>
          <w:p w14:paraId="090CB464" w14:textId="77777777" w:rsidR="00281C48" w:rsidRPr="00146BA1" w:rsidRDefault="00F72420" w:rsidP="00AD4643">
            <w:pPr>
              <w:spacing w:before="40" w:after="40"/>
              <w:rPr>
                <w:rFonts w:eastAsia="SimSun"/>
              </w:rPr>
            </w:pPr>
            <w:r w:rsidRPr="00146BA1">
              <w:rPr>
                <w:rFonts w:eastAsia="SimSun"/>
              </w:rPr>
              <w:t>Agree.</w:t>
            </w:r>
          </w:p>
        </w:tc>
        <w:tc>
          <w:tcPr>
            <w:tcW w:w="1696" w:type="pct"/>
          </w:tcPr>
          <w:p w14:paraId="090CB465" w14:textId="77777777" w:rsidR="00281C48" w:rsidRDefault="001347C5" w:rsidP="00AD4643">
            <w:pPr>
              <w:spacing w:before="40" w:after="40"/>
              <w:rPr>
                <w:rFonts w:eastAsia="SimSun"/>
              </w:rPr>
            </w:pPr>
            <w:r>
              <w:rPr>
                <w:rFonts w:eastAsia="SimSun"/>
              </w:rPr>
              <w:t>Already implemented.</w:t>
            </w:r>
          </w:p>
        </w:tc>
        <w:tc>
          <w:tcPr>
            <w:tcW w:w="494" w:type="pct"/>
          </w:tcPr>
          <w:p w14:paraId="090CB466" w14:textId="77777777" w:rsidR="0052194C" w:rsidRDefault="0052194C" w:rsidP="00AD4643">
            <w:pPr>
              <w:spacing w:before="40" w:after="40"/>
              <w:jc w:val="center"/>
              <w:rPr>
                <w:rFonts w:eastAsia="SimSun"/>
              </w:rPr>
            </w:pPr>
            <w:r w:rsidRPr="009B0F75">
              <w:rPr>
                <w:rFonts w:cs="Arial"/>
              </w:rPr>
              <w:t>DAFF</w:t>
            </w:r>
          </w:p>
        </w:tc>
      </w:tr>
      <w:tr w:rsidR="0052194C" w:rsidRPr="00901F91" w14:paraId="090CB46D" w14:textId="77777777" w:rsidTr="005D5440">
        <w:tc>
          <w:tcPr>
            <w:tcW w:w="266" w:type="pct"/>
          </w:tcPr>
          <w:p w14:paraId="090CB468" w14:textId="77777777" w:rsidR="0052194C" w:rsidRPr="00A004B2" w:rsidDel="007700C4" w:rsidRDefault="0052194C" w:rsidP="00AD4643">
            <w:pPr>
              <w:spacing w:before="40" w:after="40"/>
              <w:rPr>
                <w:rFonts w:eastAsia="SimSun"/>
              </w:rPr>
            </w:pPr>
            <w:r w:rsidRPr="00A004B2">
              <w:rPr>
                <w:rFonts w:eastAsia="SimSun"/>
                <w:szCs w:val="22"/>
              </w:rPr>
              <w:t>22</w:t>
            </w:r>
          </w:p>
        </w:tc>
        <w:tc>
          <w:tcPr>
            <w:tcW w:w="955" w:type="pct"/>
          </w:tcPr>
          <w:p w14:paraId="090CB469" w14:textId="77777777" w:rsidR="0052194C" w:rsidRDefault="0052194C" w:rsidP="00AD4643">
            <w:pPr>
              <w:spacing w:before="40" w:after="40"/>
              <w:rPr>
                <w:rFonts w:eastAsia="SimSun" w:cs="Arial"/>
              </w:rPr>
            </w:pPr>
            <w:r w:rsidRPr="009B0F75">
              <w:rPr>
                <w:rFonts w:cs="Arial"/>
              </w:rPr>
              <w:t xml:space="preserve">Two people should </w:t>
            </w:r>
            <w:r>
              <w:rPr>
                <w:rFonts w:cs="Arial"/>
              </w:rPr>
              <w:t>be on hand</w:t>
            </w:r>
            <w:r w:rsidRPr="009B0F75">
              <w:rPr>
                <w:rFonts w:cs="Arial"/>
              </w:rPr>
              <w:t xml:space="preserve"> to withdraw cash so that one can be monitoring security (particularly other people nearby) while the other is handling the transaction. Having a driver waiting outside is not sufficient.</w:t>
            </w:r>
          </w:p>
        </w:tc>
        <w:tc>
          <w:tcPr>
            <w:tcW w:w="1589" w:type="pct"/>
          </w:tcPr>
          <w:p w14:paraId="090CB46A" w14:textId="77777777" w:rsidR="00281C48" w:rsidRPr="00146BA1" w:rsidRDefault="005A1697" w:rsidP="00AD4643">
            <w:pPr>
              <w:spacing w:before="40" w:after="40"/>
              <w:rPr>
                <w:rFonts w:eastAsia="SimSun"/>
              </w:rPr>
            </w:pPr>
            <w:r w:rsidRPr="00146BA1">
              <w:rPr>
                <w:rFonts w:eastAsia="SimSun"/>
              </w:rPr>
              <w:t>Agree.</w:t>
            </w:r>
            <w:r w:rsidR="00B567E0" w:rsidRPr="00146BA1">
              <w:rPr>
                <w:rFonts w:eastAsia="SimSun"/>
              </w:rPr>
              <w:t xml:space="preserve"> </w:t>
            </w:r>
          </w:p>
        </w:tc>
        <w:tc>
          <w:tcPr>
            <w:tcW w:w="1696" w:type="pct"/>
          </w:tcPr>
          <w:p w14:paraId="090CB46B" w14:textId="77777777" w:rsidR="00281C48" w:rsidRDefault="001347C5" w:rsidP="00AD4643">
            <w:pPr>
              <w:spacing w:before="40" w:after="40"/>
              <w:rPr>
                <w:rFonts w:eastAsia="SimSun"/>
              </w:rPr>
            </w:pPr>
            <w:r>
              <w:rPr>
                <w:rFonts w:eastAsia="SimSun"/>
              </w:rPr>
              <w:t>Already implemented</w:t>
            </w:r>
          </w:p>
        </w:tc>
        <w:tc>
          <w:tcPr>
            <w:tcW w:w="494" w:type="pct"/>
          </w:tcPr>
          <w:p w14:paraId="090CB46C" w14:textId="77777777" w:rsidR="0052194C" w:rsidRDefault="0052194C" w:rsidP="00AD4643">
            <w:pPr>
              <w:spacing w:before="40" w:after="40"/>
              <w:jc w:val="center"/>
              <w:rPr>
                <w:rFonts w:eastAsia="SimSun"/>
              </w:rPr>
            </w:pPr>
            <w:r w:rsidRPr="009B0F75">
              <w:rPr>
                <w:rFonts w:cs="Arial"/>
              </w:rPr>
              <w:t>DAFF</w:t>
            </w:r>
          </w:p>
        </w:tc>
      </w:tr>
      <w:tr w:rsidR="0052194C" w:rsidRPr="00901F91" w14:paraId="090CB474" w14:textId="77777777" w:rsidTr="005D5440">
        <w:tc>
          <w:tcPr>
            <w:tcW w:w="266" w:type="pct"/>
          </w:tcPr>
          <w:p w14:paraId="090CB46E" w14:textId="77777777" w:rsidR="0052194C" w:rsidRPr="00A004B2" w:rsidDel="007700C4" w:rsidRDefault="002C7626" w:rsidP="00AD4643">
            <w:pPr>
              <w:spacing w:before="40" w:after="40"/>
              <w:rPr>
                <w:rFonts w:eastAsia="SimSun"/>
              </w:rPr>
            </w:pPr>
            <w:r>
              <w:rPr>
                <w:rFonts w:eastAsia="SimSun"/>
                <w:szCs w:val="22"/>
              </w:rPr>
              <w:t>23</w:t>
            </w:r>
          </w:p>
        </w:tc>
        <w:tc>
          <w:tcPr>
            <w:tcW w:w="955" w:type="pct"/>
          </w:tcPr>
          <w:p w14:paraId="090CB46F" w14:textId="77777777" w:rsidR="0052194C" w:rsidRPr="00A004B2" w:rsidRDefault="0052194C" w:rsidP="00AD4643">
            <w:pPr>
              <w:spacing w:before="40" w:after="40"/>
              <w:rPr>
                <w:rFonts w:eastAsia="SimSun" w:cs="Arial"/>
              </w:rPr>
            </w:pPr>
            <w:r w:rsidRPr="009B0F75">
              <w:rPr>
                <w:rFonts w:cs="Arial"/>
              </w:rPr>
              <w:t xml:space="preserve">Recognise that working in GoI systems adds time and complexity as GoA systems are still in use. </w:t>
            </w:r>
          </w:p>
        </w:tc>
        <w:tc>
          <w:tcPr>
            <w:tcW w:w="1589" w:type="pct"/>
          </w:tcPr>
          <w:p w14:paraId="090CB470" w14:textId="77777777" w:rsidR="00281C48" w:rsidRPr="00146BA1" w:rsidRDefault="005A1697" w:rsidP="00AD4643">
            <w:pPr>
              <w:spacing w:before="40" w:after="40"/>
              <w:rPr>
                <w:rFonts w:eastAsia="SimSun"/>
                <w:b/>
                <w:bCs/>
                <w:i/>
                <w:iCs/>
                <w:sz w:val="22"/>
                <w:szCs w:val="26"/>
              </w:rPr>
            </w:pPr>
            <w:r w:rsidRPr="00146BA1">
              <w:rPr>
                <w:rFonts w:eastAsia="SimSun"/>
              </w:rPr>
              <w:t>Agree.</w:t>
            </w:r>
          </w:p>
        </w:tc>
        <w:tc>
          <w:tcPr>
            <w:tcW w:w="1696" w:type="pct"/>
          </w:tcPr>
          <w:p w14:paraId="090CB471" w14:textId="77777777" w:rsidR="00281C48" w:rsidRDefault="005A1697" w:rsidP="00AD4643">
            <w:pPr>
              <w:spacing w:before="40" w:after="40"/>
              <w:rPr>
                <w:rFonts w:eastAsia="SimSun"/>
                <w:b/>
                <w:bCs/>
                <w:i/>
                <w:iCs/>
                <w:sz w:val="22"/>
                <w:szCs w:val="26"/>
              </w:rPr>
            </w:pPr>
            <w:r>
              <w:rPr>
                <w:rFonts w:eastAsia="SimSun"/>
              </w:rPr>
              <w:t>DAFF to review rol</w:t>
            </w:r>
            <w:r w:rsidR="00FE697F">
              <w:rPr>
                <w:rFonts w:eastAsia="SimSun"/>
              </w:rPr>
              <w:t>e</w:t>
            </w:r>
            <w:r>
              <w:rPr>
                <w:rFonts w:eastAsia="SimSun"/>
              </w:rPr>
              <w:t>s, responsibilities and workloads with this in mind (see also notes on R.5)</w:t>
            </w:r>
          </w:p>
          <w:p w14:paraId="090CB472" w14:textId="77777777" w:rsidR="00281C48" w:rsidRDefault="00281C48" w:rsidP="00AD4643">
            <w:pPr>
              <w:spacing w:before="40" w:after="40"/>
              <w:rPr>
                <w:rFonts w:eastAsia="SimSun"/>
              </w:rPr>
            </w:pPr>
          </w:p>
        </w:tc>
        <w:tc>
          <w:tcPr>
            <w:tcW w:w="494" w:type="pct"/>
          </w:tcPr>
          <w:p w14:paraId="090CB473" w14:textId="77777777" w:rsidR="0052194C" w:rsidRDefault="0052194C" w:rsidP="00AD4643">
            <w:pPr>
              <w:spacing w:before="40" w:after="40"/>
              <w:jc w:val="center"/>
              <w:rPr>
                <w:rFonts w:eastAsia="SimSun"/>
              </w:rPr>
            </w:pPr>
            <w:r w:rsidRPr="007220FB">
              <w:rPr>
                <w:rFonts w:cs="Arial"/>
                <w:szCs w:val="20"/>
              </w:rPr>
              <w:t>DAFF</w:t>
            </w:r>
          </w:p>
        </w:tc>
      </w:tr>
      <w:tr w:rsidR="0052194C" w:rsidRPr="00901F91" w14:paraId="090CB47A" w14:textId="77777777" w:rsidTr="005D5440">
        <w:tc>
          <w:tcPr>
            <w:tcW w:w="266" w:type="pct"/>
          </w:tcPr>
          <w:p w14:paraId="090CB475" w14:textId="77777777" w:rsidR="0052194C" w:rsidRPr="00A004B2" w:rsidDel="007700C4" w:rsidRDefault="002C7626" w:rsidP="00AD4643">
            <w:pPr>
              <w:spacing w:before="40" w:after="40"/>
              <w:rPr>
                <w:rFonts w:eastAsia="SimSun"/>
              </w:rPr>
            </w:pPr>
            <w:r>
              <w:rPr>
                <w:rFonts w:eastAsia="SimSun"/>
                <w:szCs w:val="22"/>
              </w:rPr>
              <w:t>24</w:t>
            </w:r>
          </w:p>
        </w:tc>
        <w:tc>
          <w:tcPr>
            <w:tcW w:w="955" w:type="pct"/>
          </w:tcPr>
          <w:p w14:paraId="090CB476" w14:textId="77777777" w:rsidR="0052194C" w:rsidRPr="00A004B2" w:rsidRDefault="0052194C" w:rsidP="00AD4643">
            <w:pPr>
              <w:spacing w:before="40" w:after="40"/>
              <w:rPr>
                <w:rFonts w:eastAsia="SimSun" w:cs="Arial"/>
              </w:rPr>
            </w:pPr>
            <w:r w:rsidRPr="009B0F75">
              <w:rPr>
                <w:rFonts w:cs="Arial"/>
              </w:rPr>
              <w:t xml:space="preserve">Where possible, set standards for project documents </w:t>
            </w:r>
            <w:r>
              <w:rPr>
                <w:rFonts w:cs="Arial"/>
              </w:rPr>
              <w:t xml:space="preserve">and create templates </w:t>
            </w:r>
            <w:r w:rsidRPr="009B0F75">
              <w:rPr>
                <w:rFonts w:cs="Arial"/>
              </w:rPr>
              <w:t>which are acceptable to both GoI and GoA (e.g. Minutes of PCC Meetings, financial reports) rather than have inefficient dual systems.</w:t>
            </w:r>
          </w:p>
        </w:tc>
        <w:tc>
          <w:tcPr>
            <w:tcW w:w="1589" w:type="pct"/>
          </w:tcPr>
          <w:p w14:paraId="090CB477" w14:textId="77777777" w:rsidR="00281C48" w:rsidRPr="00146BA1" w:rsidRDefault="003D1A10" w:rsidP="00AD4643">
            <w:pPr>
              <w:spacing w:before="40" w:after="40"/>
              <w:rPr>
                <w:rFonts w:eastAsia="SimSun"/>
              </w:rPr>
            </w:pPr>
            <w:r w:rsidRPr="00146BA1">
              <w:rPr>
                <w:rFonts w:eastAsia="SimSun"/>
              </w:rPr>
              <w:t xml:space="preserve">Agree. </w:t>
            </w:r>
            <w:r w:rsidR="001347C5" w:rsidRPr="00146BA1">
              <w:rPr>
                <w:rFonts w:eastAsia="SimSun"/>
              </w:rPr>
              <w:t xml:space="preserve">While </w:t>
            </w:r>
            <w:r w:rsidRPr="00146BA1">
              <w:rPr>
                <w:rFonts w:eastAsia="SimSun"/>
              </w:rPr>
              <w:t>support</w:t>
            </w:r>
            <w:r w:rsidR="001347C5" w:rsidRPr="00146BA1">
              <w:rPr>
                <w:rFonts w:eastAsia="SimSun"/>
              </w:rPr>
              <w:t xml:space="preserve">ing </w:t>
            </w:r>
            <w:r w:rsidRPr="00146BA1">
              <w:rPr>
                <w:rFonts w:eastAsia="SimSun"/>
              </w:rPr>
              <w:t>the concept</w:t>
            </w:r>
            <w:r w:rsidR="001347C5" w:rsidRPr="00146BA1">
              <w:rPr>
                <w:rFonts w:eastAsia="SimSun"/>
              </w:rPr>
              <w:t xml:space="preserve">, it is noted that </w:t>
            </w:r>
            <w:r w:rsidRPr="00146BA1">
              <w:rPr>
                <w:rFonts w:eastAsia="SimSun"/>
              </w:rPr>
              <w:t xml:space="preserve">templates or ‘standards’ </w:t>
            </w:r>
            <w:r w:rsidR="001269D4" w:rsidRPr="00146BA1">
              <w:rPr>
                <w:rFonts w:eastAsia="SimSun"/>
              </w:rPr>
              <w:t>may not be sufficient to overcome some of the cultural, institutional or technical issues</w:t>
            </w:r>
            <w:r w:rsidR="000D736D" w:rsidRPr="00146BA1">
              <w:rPr>
                <w:rFonts w:eastAsia="SimSun"/>
              </w:rPr>
              <w:t>/constraints</w:t>
            </w:r>
            <w:r w:rsidR="001269D4" w:rsidRPr="00146BA1">
              <w:rPr>
                <w:rFonts w:eastAsia="SimSun"/>
              </w:rPr>
              <w:t xml:space="preserve"> that affect that quality of minutes and reports. </w:t>
            </w:r>
          </w:p>
        </w:tc>
        <w:tc>
          <w:tcPr>
            <w:tcW w:w="1696" w:type="pct"/>
          </w:tcPr>
          <w:p w14:paraId="090CB478" w14:textId="77777777" w:rsidR="00281C48" w:rsidRDefault="00D140B9" w:rsidP="00AD4643">
            <w:pPr>
              <w:spacing w:before="40" w:after="40"/>
              <w:rPr>
                <w:rFonts w:eastAsia="SimSun"/>
              </w:rPr>
            </w:pPr>
            <w:r>
              <w:rPr>
                <w:rFonts w:eastAsia="SimSun"/>
              </w:rPr>
              <w:t>DAFF to review project documentation and where possible agree common standards with GoI.</w:t>
            </w:r>
          </w:p>
        </w:tc>
        <w:tc>
          <w:tcPr>
            <w:tcW w:w="494" w:type="pct"/>
          </w:tcPr>
          <w:p w14:paraId="090CB479" w14:textId="77777777" w:rsidR="0052194C" w:rsidRDefault="0052194C" w:rsidP="00AD4643">
            <w:pPr>
              <w:spacing w:before="40" w:after="40"/>
              <w:jc w:val="center"/>
              <w:rPr>
                <w:rFonts w:eastAsia="SimSun"/>
              </w:rPr>
            </w:pPr>
            <w:r w:rsidRPr="007220FB">
              <w:rPr>
                <w:rFonts w:cs="Arial"/>
                <w:szCs w:val="20"/>
              </w:rPr>
              <w:t>DAFF</w:t>
            </w:r>
          </w:p>
        </w:tc>
      </w:tr>
      <w:tr w:rsidR="002C7626" w:rsidRPr="002C7626" w14:paraId="090CB47C" w14:textId="77777777" w:rsidTr="002C7626">
        <w:trPr>
          <w:trHeight w:val="523"/>
        </w:trPr>
        <w:tc>
          <w:tcPr>
            <w:tcW w:w="5000" w:type="pct"/>
            <w:gridSpan w:val="5"/>
          </w:tcPr>
          <w:p w14:paraId="090CB47B" w14:textId="77777777" w:rsidR="002C7626" w:rsidRPr="00146BA1" w:rsidRDefault="002C7626" w:rsidP="00AD4643">
            <w:pPr>
              <w:spacing w:before="40" w:after="40"/>
              <w:rPr>
                <w:b/>
              </w:rPr>
            </w:pPr>
            <w:r w:rsidRPr="00146BA1">
              <w:rPr>
                <w:b/>
              </w:rPr>
              <w:t>IPR Objective 3: Partnership</w:t>
            </w:r>
          </w:p>
        </w:tc>
      </w:tr>
      <w:tr w:rsidR="002C7626" w:rsidRPr="00901F91" w14:paraId="090CB483" w14:textId="77777777" w:rsidTr="005D5440">
        <w:tc>
          <w:tcPr>
            <w:tcW w:w="266" w:type="pct"/>
          </w:tcPr>
          <w:p w14:paraId="090CB47D" w14:textId="77777777" w:rsidR="002C7626" w:rsidRPr="00A004B2" w:rsidRDefault="002C7626" w:rsidP="00AD4643">
            <w:pPr>
              <w:spacing w:before="40" w:after="40"/>
              <w:rPr>
                <w:rFonts w:eastAsia="SimSun" w:cs="Arial"/>
              </w:rPr>
            </w:pPr>
            <w:r>
              <w:t>25</w:t>
            </w:r>
          </w:p>
        </w:tc>
        <w:tc>
          <w:tcPr>
            <w:tcW w:w="955" w:type="pct"/>
          </w:tcPr>
          <w:p w14:paraId="090CB47E" w14:textId="77777777" w:rsidR="002C7626" w:rsidRPr="00A004B2" w:rsidRDefault="002C7626" w:rsidP="00AD4643">
            <w:pPr>
              <w:spacing w:before="40" w:after="40"/>
              <w:rPr>
                <w:rFonts w:eastAsia="SimSun" w:cs="Arial"/>
              </w:rPr>
            </w:pPr>
            <w:r w:rsidRPr="00711A93">
              <w:t xml:space="preserve">DAFF should engage with other Australian agencies which share an interest in animal and zoonotic disease </w:t>
            </w:r>
            <w:r w:rsidRPr="00711A93">
              <w:lastRenderedPageBreak/>
              <w:t>control. These include ACIAR, AusAID more broadly, DFAT and the Department of Health and Ageing.</w:t>
            </w:r>
          </w:p>
        </w:tc>
        <w:tc>
          <w:tcPr>
            <w:tcW w:w="1589" w:type="pct"/>
          </w:tcPr>
          <w:p w14:paraId="090CB47F" w14:textId="77777777" w:rsidR="00281C48" w:rsidRPr="00146BA1" w:rsidRDefault="00E022EA" w:rsidP="00AD4643">
            <w:pPr>
              <w:spacing w:before="40" w:after="40"/>
              <w:rPr>
                <w:rFonts w:eastAsia="SimSun"/>
              </w:rPr>
            </w:pPr>
            <w:r w:rsidRPr="00146BA1">
              <w:rPr>
                <w:rFonts w:eastAsia="SimSun"/>
              </w:rPr>
              <w:lastRenderedPageBreak/>
              <w:t>Agree.</w:t>
            </w:r>
          </w:p>
        </w:tc>
        <w:tc>
          <w:tcPr>
            <w:tcW w:w="1696" w:type="pct"/>
          </w:tcPr>
          <w:p w14:paraId="090CB480" w14:textId="77777777" w:rsidR="00281C48" w:rsidRDefault="00E022EA" w:rsidP="00AD4643">
            <w:pPr>
              <w:spacing w:before="40" w:after="40"/>
              <w:rPr>
                <w:rFonts w:eastAsia="SimSun"/>
              </w:rPr>
            </w:pPr>
            <w:r>
              <w:rPr>
                <w:rFonts w:eastAsia="SimSun"/>
              </w:rPr>
              <w:t>DAFF to identify these stakeholders and ensure that key program documents, plans and reports are distributed</w:t>
            </w:r>
            <w:r w:rsidR="00D140B9">
              <w:rPr>
                <w:rFonts w:eastAsia="SimSun"/>
              </w:rPr>
              <w:t xml:space="preserve"> (also see  R</w:t>
            </w:r>
            <w:r w:rsidR="00747E4F">
              <w:rPr>
                <w:rFonts w:eastAsia="SimSun"/>
              </w:rPr>
              <w:t>.</w:t>
            </w:r>
            <w:r w:rsidR="00D140B9">
              <w:rPr>
                <w:rFonts w:eastAsia="SimSun"/>
              </w:rPr>
              <w:t>11)</w:t>
            </w:r>
          </w:p>
          <w:p w14:paraId="090CB481" w14:textId="77777777" w:rsidR="00281C48" w:rsidRDefault="00281C48" w:rsidP="00AD4643">
            <w:pPr>
              <w:spacing w:before="40" w:after="40"/>
              <w:rPr>
                <w:rFonts w:eastAsia="SimSun"/>
              </w:rPr>
            </w:pPr>
          </w:p>
        </w:tc>
        <w:tc>
          <w:tcPr>
            <w:tcW w:w="494" w:type="pct"/>
          </w:tcPr>
          <w:p w14:paraId="090CB482" w14:textId="77777777" w:rsidR="002C7626" w:rsidRDefault="002C7626" w:rsidP="00AD4643">
            <w:pPr>
              <w:spacing w:before="40" w:after="40"/>
              <w:jc w:val="center"/>
              <w:rPr>
                <w:rFonts w:eastAsia="SimSun"/>
              </w:rPr>
            </w:pPr>
            <w:r w:rsidRPr="00711A93">
              <w:t>DAFF</w:t>
            </w:r>
          </w:p>
        </w:tc>
      </w:tr>
      <w:tr w:rsidR="00A72EDA" w:rsidRPr="00901F91" w14:paraId="090CB485" w14:textId="77777777" w:rsidTr="00A72EDA">
        <w:trPr>
          <w:trHeight w:val="513"/>
        </w:trPr>
        <w:tc>
          <w:tcPr>
            <w:tcW w:w="5000" w:type="pct"/>
            <w:gridSpan w:val="5"/>
          </w:tcPr>
          <w:p w14:paraId="090CB484" w14:textId="77777777" w:rsidR="00A72EDA" w:rsidRPr="00146BA1" w:rsidRDefault="00A72EDA" w:rsidP="00AD4643">
            <w:pPr>
              <w:spacing w:before="40" w:after="40"/>
              <w:rPr>
                <w:rFonts w:eastAsia="SimSun"/>
                <w:b/>
                <w:szCs w:val="22"/>
              </w:rPr>
            </w:pPr>
            <w:r w:rsidRPr="00146BA1">
              <w:rPr>
                <w:rFonts w:eastAsia="SimSun"/>
                <w:b/>
                <w:szCs w:val="22"/>
              </w:rPr>
              <w:lastRenderedPageBreak/>
              <w:t>IPR Objective 4: Resource Availability and Absorptive Capacity</w:t>
            </w:r>
          </w:p>
        </w:tc>
      </w:tr>
      <w:tr w:rsidR="002C7626" w:rsidRPr="00901F91" w14:paraId="090CB48D" w14:textId="77777777" w:rsidTr="005D5440">
        <w:tc>
          <w:tcPr>
            <w:tcW w:w="266" w:type="pct"/>
          </w:tcPr>
          <w:p w14:paraId="090CB486" w14:textId="77777777" w:rsidR="002C7626" w:rsidRDefault="002C7626" w:rsidP="00AD4643">
            <w:pPr>
              <w:spacing w:before="40" w:after="40"/>
              <w:rPr>
                <w:rFonts w:eastAsia="SimSun"/>
                <w:szCs w:val="22"/>
              </w:rPr>
            </w:pPr>
            <w:r>
              <w:rPr>
                <w:rFonts w:eastAsia="SimSun"/>
                <w:szCs w:val="22"/>
              </w:rPr>
              <w:t>26</w:t>
            </w:r>
          </w:p>
        </w:tc>
        <w:tc>
          <w:tcPr>
            <w:tcW w:w="955" w:type="pct"/>
            <w:vAlign w:val="center"/>
          </w:tcPr>
          <w:p w14:paraId="090CB487" w14:textId="77777777" w:rsidR="002C7626" w:rsidRPr="00A004B2" w:rsidRDefault="002C7626" w:rsidP="00AD4643">
            <w:pPr>
              <w:spacing w:before="40" w:after="40"/>
              <w:rPr>
                <w:rFonts w:eastAsia="SimSun" w:cs="Arial"/>
                <w:szCs w:val="22"/>
              </w:rPr>
            </w:pPr>
            <w:r w:rsidRPr="00A004B2">
              <w:rPr>
                <w:rFonts w:eastAsia="SimSun" w:cs="Arial"/>
                <w:szCs w:val="22"/>
              </w:rPr>
              <w:t xml:space="preserve">Both </w:t>
            </w:r>
            <w:r w:rsidR="008E2143">
              <w:rPr>
                <w:rFonts w:eastAsia="SimSun" w:cs="Arial"/>
                <w:szCs w:val="22"/>
              </w:rPr>
              <w:t xml:space="preserve">Directorate General of Livestock and Animal Health </w:t>
            </w:r>
            <w:r w:rsidR="009D07FA">
              <w:rPr>
                <w:rFonts w:eastAsia="SimSun" w:cs="Arial"/>
                <w:szCs w:val="22"/>
              </w:rPr>
              <w:t xml:space="preserve">(DGLSAH) </w:t>
            </w:r>
            <w:r w:rsidRPr="00A004B2">
              <w:rPr>
                <w:rFonts w:eastAsia="SimSun" w:cs="Arial"/>
                <w:szCs w:val="22"/>
              </w:rPr>
              <w:t xml:space="preserve">and </w:t>
            </w:r>
            <w:r w:rsidR="009D07FA">
              <w:rPr>
                <w:rFonts w:eastAsia="SimSun" w:cs="Arial"/>
                <w:szCs w:val="22"/>
              </w:rPr>
              <w:t>Department of Agriculture, Fisheries and Forestry (</w:t>
            </w:r>
            <w:r w:rsidRPr="00A004B2">
              <w:rPr>
                <w:rFonts w:eastAsia="SimSun" w:cs="Arial"/>
                <w:szCs w:val="22"/>
              </w:rPr>
              <w:t>DAFF</w:t>
            </w:r>
            <w:r w:rsidR="009D07FA">
              <w:rPr>
                <w:rFonts w:eastAsia="SimSun" w:cs="Arial"/>
                <w:szCs w:val="22"/>
              </w:rPr>
              <w:t>)</w:t>
            </w:r>
            <w:r w:rsidRPr="00A004B2">
              <w:rPr>
                <w:rFonts w:eastAsia="SimSun" w:cs="Arial"/>
                <w:szCs w:val="22"/>
              </w:rPr>
              <w:t xml:space="preserve"> have responsibility to prepare new staff better through a handover and induction when they enter the Program. The DAFF </w:t>
            </w:r>
            <w:r w:rsidR="00C85E85">
              <w:rPr>
                <w:rFonts w:eastAsia="SimSun" w:cs="Arial"/>
                <w:szCs w:val="22"/>
              </w:rPr>
              <w:t>Program Operations Manager Technical (</w:t>
            </w:r>
            <w:r w:rsidRPr="00A004B2">
              <w:rPr>
                <w:rFonts w:eastAsia="SimSun" w:cs="Arial"/>
                <w:szCs w:val="22"/>
              </w:rPr>
              <w:t>POMT</w:t>
            </w:r>
            <w:r w:rsidR="00C85E85">
              <w:rPr>
                <w:rFonts w:eastAsia="SimSun" w:cs="Arial"/>
                <w:szCs w:val="22"/>
              </w:rPr>
              <w:t>)</w:t>
            </w:r>
            <w:r w:rsidRPr="00A004B2">
              <w:rPr>
                <w:rFonts w:eastAsia="SimSun" w:cs="Arial"/>
                <w:szCs w:val="22"/>
              </w:rPr>
              <w:t xml:space="preserve"> should work with the MoA Coordinator to prepare induction materials in Indonesian for use by incoming staff.</w:t>
            </w:r>
          </w:p>
        </w:tc>
        <w:tc>
          <w:tcPr>
            <w:tcW w:w="1589" w:type="pct"/>
            <w:vAlign w:val="center"/>
          </w:tcPr>
          <w:p w14:paraId="090CB488" w14:textId="77777777" w:rsidR="00281C48" w:rsidRPr="007F10BC" w:rsidRDefault="00130F87" w:rsidP="00AD4643">
            <w:pPr>
              <w:spacing w:before="40" w:after="40"/>
              <w:rPr>
                <w:rFonts w:eastAsia="SimSun"/>
              </w:rPr>
            </w:pPr>
            <w:r w:rsidRPr="007F10BC">
              <w:rPr>
                <w:rFonts w:eastAsia="SimSun"/>
              </w:rPr>
              <w:t>Agree.</w:t>
            </w:r>
          </w:p>
        </w:tc>
        <w:tc>
          <w:tcPr>
            <w:tcW w:w="1696" w:type="pct"/>
          </w:tcPr>
          <w:p w14:paraId="090CB489" w14:textId="77777777" w:rsidR="00281C48" w:rsidRDefault="00130F87" w:rsidP="00AD4643">
            <w:pPr>
              <w:spacing w:before="40" w:after="40"/>
              <w:rPr>
                <w:rFonts w:eastAsia="SimSun"/>
              </w:rPr>
            </w:pPr>
            <w:r>
              <w:rPr>
                <w:rFonts w:eastAsia="SimSun"/>
              </w:rPr>
              <w:t>Incorporate as part of the engagement strategy (</w:t>
            </w:r>
            <w:r w:rsidR="00747E4F">
              <w:rPr>
                <w:rFonts w:eastAsia="SimSun"/>
              </w:rPr>
              <w:t>see R.</w:t>
            </w:r>
            <w:r w:rsidR="00D140B9">
              <w:rPr>
                <w:rFonts w:eastAsia="SimSun"/>
              </w:rPr>
              <w:t>11</w:t>
            </w:r>
            <w:r>
              <w:rPr>
                <w:rFonts w:eastAsia="SimSun"/>
              </w:rPr>
              <w:t>).</w:t>
            </w:r>
          </w:p>
          <w:p w14:paraId="090CB48A" w14:textId="77777777" w:rsidR="00281C48" w:rsidRDefault="00080B33" w:rsidP="00AD4643">
            <w:pPr>
              <w:spacing w:before="40" w:after="40"/>
              <w:rPr>
                <w:rFonts w:eastAsia="SimSun"/>
              </w:rPr>
            </w:pPr>
            <w:r>
              <w:rPr>
                <w:rFonts w:eastAsia="SimSun"/>
              </w:rPr>
              <w:t>Reflect in program roles and responsibilities – key role for the POMT.</w:t>
            </w:r>
          </w:p>
          <w:p w14:paraId="090CB48B" w14:textId="77777777" w:rsidR="00281C48" w:rsidRDefault="00080B33" w:rsidP="00AD4643">
            <w:pPr>
              <w:spacing w:before="40" w:after="40"/>
              <w:rPr>
                <w:rFonts w:eastAsia="SimSun"/>
              </w:rPr>
            </w:pPr>
            <w:r>
              <w:rPr>
                <w:rFonts w:eastAsia="SimSun"/>
              </w:rPr>
              <w:t>Strengthen communications (implementation of the communications strategy) to promote broader ‘baseline’ awareness of the program.</w:t>
            </w:r>
          </w:p>
        </w:tc>
        <w:tc>
          <w:tcPr>
            <w:tcW w:w="494" w:type="pct"/>
          </w:tcPr>
          <w:p w14:paraId="090CB48C" w14:textId="77777777" w:rsidR="002C7626" w:rsidRDefault="002C7626" w:rsidP="00AD4643">
            <w:pPr>
              <w:spacing w:before="40" w:after="40"/>
              <w:jc w:val="center"/>
              <w:rPr>
                <w:rFonts w:eastAsia="SimSun"/>
                <w:szCs w:val="22"/>
              </w:rPr>
            </w:pPr>
            <w:r>
              <w:rPr>
                <w:rFonts w:eastAsia="SimSun"/>
                <w:szCs w:val="22"/>
              </w:rPr>
              <w:t>MOA/DAFF</w:t>
            </w:r>
          </w:p>
        </w:tc>
      </w:tr>
      <w:tr w:rsidR="00A72EDA" w:rsidRPr="00901F91" w14:paraId="090CB48F" w14:textId="77777777" w:rsidTr="00A72EDA">
        <w:trPr>
          <w:trHeight w:val="481"/>
        </w:trPr>
        <w:tc>
          <w:tcPr>
            <w:tcW w:w="5000" w:type="pct"/>
            <w:gridSpan w:val="5"/>
          </w:tcPr>
          <w:p w14:paraId="090CB48E" w14:textId="77777777" w:rsidR="00A72EDA" w:rsidRPr="00146BA1" w:rsidRDefault="00A72EDA" w:rsidP="00AD4643">
            <w:pPr>
              <w:spacing w:before="40" w:after="40"/>
              <w:rPr>
                <w:rFonts w:eastAsia="SimSun"/>
                <w:b/>
                <w:szCs w:val="22"/>
              </w:rPr>
            </w:pPr>
            <w:r w:rsidRPr="00146BA1">
              <w:rPr>
                <w:rFonts w:eastAsia="SimSun"/>
                <w:b/>
                <w:szCs w:val="22"/>
              </w:rPr>
              <w:t>IPR Objective 5: Relevance of Program Activities to GOI Priorities</w:t>
            </w:r>
          </w:p>
        </w:tc>
      </w:tr>
      <w:tr w:rsidR="00A72EDA" w:rsidRPr="00901F91" w14:paraId="090CB495" w14:textId="77777777" w:rsidTr="005D5440">
        <w:tc>
          <w:tcPr>
            <w:tcW w:w="266" w:type="pct"/>
          </w:tcPr>
          <w:p w14:paraId="090CB490" w14:textId="77777777" w:rsidR="00A72EDA" w:rsidRDefault="00A72EDA" w:rsidP="00AD4643">
            <w:pPr>
              <w:spacing w:before="40" w:after="40"/>
              <w:rPr>
                <w:rFonts w:eastAsia="SimSun"/>
                <w:szCs w:val="22"/>
              </w:rPr>
            </w:pPr>
          </w:p>
        </w:tc>
        <w:tc>
          <w:tcPr>
            <w:tcW w:w="955" w:type="pct"/>
            <w:vAlign w:val="center"/>
          </w:tcPr>
          <w:p w14:paraId="090CB491" w14:textId="77777777" w:rsidR="00A72EDA" w:rsidRPr="00A004B2" w:rsidRDefault="00A72EDA" w:rsidP="00AD4643">
            <w:pPr>
              <w:spacing w:before="40" w:after="40"/>
              <w:rPr>
                <w:rFonts w:eastAsia="SimSun" w:cs="Arial"/>
                <w:szCs w:val="22"/>
              </w:rPr>
            </w:pPr>
          </w:p>
        </w:tc>
        <w:tc>
          <w:tcPr>
            <w:tcW w:w="1589" w:type="pct"/>
            <w:vAlign w:val="center"/>
          </w:tcPr>
          <w:p w14:paraId="090CB492" w14:textId="77777777" w:rsidR="00281C48" w:rsidRPr="00146BA1" w:rsidRDefault="00281C48" w:rsidP="00AD4643">
            <w:pPr>
              <w:spacing w:before="40" w:after="40"/>
              <w:rPr>
                <w:rFonts w:eastAsia="SimSun"/>
                <w:szCs w:val="22"/>
              </w:rPr>
            </w:pPr>
          </w:p>
        </w:tc>
        <w:tc>
          <w:tcPr>
            <w:tcW w:w="1696" w:type="pct"/>
          </w:tcPr>
          <w:p w14:paraId="090CB493" w14:textId="77777777" w:rsidR="00281C48" w:rsidRDefault="00281C48" w:rsidP="00AD4643">
            <w:pPr>
              <w:spacing w:before="40" w:after="40"/>
              <w:rPr>
                <w:rFonts w:eastAsia="SimSun"/>
              </w:rPr>
            </w:pPr>
          </w:p>
        </w:tc>
        <w:tc>
          <w:tcPr>
            <w:tcW w:w="494" w:type="pct"/>
          </w:tcPr>
          <w:p w14:paraId="090CB494" w14:textId="77777777" w:rsidR="00A72EDA" w:rsidRDefault="00A72EDA" w:rsidP="00AD4643">
            <w:pPr>
              <w:spacing w:before="40" w:after="40"/>
              <w:jc w:val="center"/>
              <w:rPr>
                <w:rFonts w:eastAsia="SimSun"/>
                <w:szCs w:val="22"/>
              </w:rPr>
            </w:pPr>
          </w:p>
        </w:tc>
      </w:tr>
      <w:tr w:rsidR="00A72EDA" w:rsidRPr="00901F91" w14:paraId="090CB497" w14:textId="77777777" w:rsidTr="00A72EDA">
        <w:trPr>
          <w:trHeight w:val="479"/>
        </w:trPr>
        <w:tc>
          <w:tcPr>
            <w:tcW w:w="5000" w:type="pct"/>
            <w:gridSpan w:val="5"/>
          </w:tcPr>
          <w:p w14:paraId="090CB496" w14:textId="77777777" w:rsidR="00A72EDA" w:rsidRPr="00146BA1" w:rsidRDefault="00A72EDA" w:rsidP="00AD4643">
            <w:pPr>
              <w:spacing w:before="40" w:after="40"/>
              <w:rPr>
                <w:rFonts w:eastAsia="SimSun"/>
                <w:b/>
                <w:szCs w:val="22"/>
              </w:rPr>
            </w:pPr>
            <w:r w:rsidRPr="00146BA1">
              <w:rPr>
                <w:rFonts w:eastAsia="SimSun"/>
                <w:b/>
                <w:szCs w:val="22"/>
              </w:rPr>
              <w:t>IPR Objective 6: Institutional Strengthening and Sustainability</w:t>
            </w:r>
          </w:p>
        </w:tc>
      </w:tr>
      <w:tr w:rsidR="00A72EDA" w:rsidRPr="00901F91" w14:paraId="090CB49D" w14:textId="77777777" w:rsidTr="005D5440">
        <w:tc>
          <w:tcPr>
            <w:tcW w:w="266" w:type="pct"/>
          </w:tcPr>
          <w:p w14:paraId="090CB498" w14:textId="77777777" w:rsidR="00A72EDA" w:rsidRDefault="00A72EDA" w:rsidP="00AD4643">
            <w:pPr>
              <w:spacing w:before="40" w:after="40"/>
              <w:rPr>
                <w:rFonts w:eastAsia="SimSun"/>
                <w:szCs w:val="22"/>
              </w:rPr>
            </w:pPr>
          </w:p>
        </w:tc>
        <w:tc>
          <w:tcPr>
            <w:tcW w:w="955" w:type="pct"/>
            <w:vAlign w:val="center"/>
          </w:tcPr>
          <w:p w14:paraId="090CB499" w14:textId="77777777" w:rsidR="00A72EDA" w:rsidRPr="00A004B2" w:rsidRDefault="00A72EDA" w:rsidP="00AD4643">
            <w:pPr>
              <w:spacing w:before="40" w:after="40"/>
              <w:rPr>
                <w:rFonts w:eastAsia="SimSun" w:cs="Arial"/>
                <w:szCs w:val="22"/>
              </w:rPr>
            </w:pPr>
          </w:p>
        </w:tc>
        <w:tc>
          <w:tcPr>
            <w:tcW w:w="1589" w:type="pct"/>
            <w:vAlign w:val="center"/>
          </w:tcPr>
          <w:p w14:paraId="090CB49A" w14:textId="77777777" w:rsidR="00281C48" w:rsidRPr="00146BA1" w:rsidRDefault="00281C48" w:rsidP="00AD4643">
            <w:pPr>
              <w:spacing w:before="40" w:after="40"/>
              <w:rPr>
                <w:rFonts w:eastAsia="SimSun"/>
                <w:szCs w:val="22"/>
              </w:rPr>
            </w:pPr>
          </w:p>
        </w:tc>
        <w:tc>
          <w:tcPr>
            <w:tcW w:w="1696" w:type="pct"/>
          </w:tcPr>
          <w:p w14:paraId="090CB49B" w14:textId="77777777" w:rsidR="00281C48" w:rsidRDefault="00281C48" w:rsidP="00AD4643">
            <w:pPr>
              <w:spacing w:before="40" w:after="40"/>
              <w:rPr>
                <w:rFonts w:eastAsia="SimSun"/>
              </w:rPr>
            </w:pPr>
          </w:p>
        </w:tc>
        <w:tc>
          <w:tcPr>
            <w:tcW w:w="494" w:type="pct"/>
          </w:tcPr>
          <w:p w14:paraId="090CB49C" w14:textId="77777777" w:rsidR="00A72EDA" w:rsidRDefault="00A72EDA" w:rsidP="00AD4643">
            <w:pPr>
              <w:spacing w:before="40" w:after="40"/>
              <w:jc w:val="center"/>
              <w:rPr>
                <w:rFonts w:eastAsia="SimSun"/>
                <w:szCs w:val="22"/>
              </w:rPr>
            </w:pPr>
          </w:p>
        </w:tc>
      </w:tr>
      <w:tr w:rsidR="00A72EDA" w:rsidRPr="00901F91" w14:paraId="090CB49F" w14:textId="77777777" w:rsidTr="00A72EDA">
        <w:trPr>
          <w:trHeight w:val="477"/>
        </w:trPr>
        <w:tc>
          <w:tcPr>
            <w:tcW w:w="5000" w:type="pct"/>
            <w:gridSpan w:val="5"/>
          </w:tcPr>
          <w:p w14:paraId="090CB49E" w14:textId="77777777" w:rsidR="00A72EDA" w:rsidRPr="00146BA1" w:rsidRDefault="00A72EDA" w:rsidP="00AD4643">
            <w:pPr>
              <w:spacing w:before="40" w:after="40"/>
              <w:rPr>
                <w:rFonts w:eastAsia="SimSun"/>
                <w:b/>
                <w:szCs w:val="22"/>
              </w:rPr>
            </w:pPr>
            <w:r w:rsidRPr="00146BA1">
              <w:rPr>
                <w:rFonts w:eastAsia="SimSun"/>
                <w:b/>
                <w:szCs w:val="22"/>
              </w:rPr>
              <w:t>IPR Objective 7: Synergies between AIP-EID Animal and Human Health Program</w:t>
            </w:r>
          </w:p>
        </w:tc>
      </w:tr>
      <w:tr w:rsidR="0052194C" w:rsidRPr="00901F91" w14:paraId="090CB4A8" w14:textId="77777777" w:rsidTr="005D5440">
        <w:tc>
          <w:tcPr>
            <w:tcW w:w="266" w:type="pct"/>
          </w:tcPr>
          <w:p w14:paraId="090CB4A0" w14:textId="77777777" w:rsidR="0052194C" w:rsidRPr="00A004B2" w:rsidRDefault="0052194C" w:rsidP="00AD4643">
            <w:pPr>
              <w:spacing w:before="40" w:after="40"/>
              <w:rPr>
                <w:rFonts w:eastAsia="SimSun" w:cs="Arial"/>
              </w:rPr>
            </w:pPr>
            <w:r>
              <w:rPr>
                <w:rFonts w:eastAsia="SimSun"/>
                <w:szCs w:val="22"/>
              </w:rPr>
              <w:t>27</w:t>
            </w:r>
          </w:p>
        </w:tc>
        <w:tc>
          <w:tcPr>
            <w:tcW w:w="955" w:type="pct"/>
            <w:vAlign w:val="center"/>
          </w:tcPr>
          <w:p w14:paraId="090CB4A1" w14:textId="77777777" w:rsidR="0052194C" w:rsidRPr="00A004B2" w:rsidRDefault="0052194C" w:rsidP="00AD4643">
            <w:pPr>
              <w:spacing w:before="40" w:after="40"/>
              <w:rPr>
                <w:rFonts w:eastAsia="SimSun" w:cs="Arial"/>
              </w:rPr>
            </w:pPr>
            <w:r w:rsidRPr="00A004B2">
              <w:rPr>
                <w:rFonts w:eastAsia="SimSun" w:cs="Arial"/>
                <w:szCs w:val="22"/>
              </w:rPr>
              <w:t xml:space="preserve">DAFF and MoA should focus on their own five components and ‘getting their house in order’ before considering any new activities which would involve the AIP </w:t>
            </w:r>
            <w:r w:rsidRPr="00A004B2">
              <w:rPr>
                <w:rFonts w:eastAsia="SimSun" w:cs="Arial"/>
                <w:szCs w:val="22"/>
              </w:rPr>
              <w:lastRenderedPageBreak/>
              <w:t>EID Human Health Program.</w:t>
            </w:r>
          </w:p>
        </w:tc>
        <w:tc>
          <w:tcPr>
            <w:tcW w:w="1589" w:type="pct"/>
            <w:vAlign w:val="center"/>
          </w:tcPr>
          <w:p w14:paraId="090CB4A2" w14:textId="77777777" w:rsidR="008E1D06" w:rsidRPr="00146BA1" w:rsidRDefault="00275419" w:rsidP="00AD4643">
            <w:pPr>
              <w:spacing w:before="40" w:after="40"/>
              <w:rPr>
                <w:rFonts w:eastAsia="SimSun"/>
              </w:rPr>
            </w:pPr>
            <w:r>
              <w:rPr>
                <w:rFonts w:eastAsia="SimSun"/>
              </w:rPr>
              <w:lastRenderedPageBreak/>
              <w:t>Disagree</w:t>
            </w:r>
            <w:r w:rsidR="00080B33" w:rsidRPr="00146BA1">
              <w:rPr>
                <w:rFonts w:eastAsia="SimSun"/>
              </w:rPr>
              <w:t xml:space="preserve">. </w:t>
            </w:r>
            <w:r w:rsidR="00D140B9" w:rsidRPr="00146BA1">
              <w:rPr>
                <w:rFonts w:eastAsia="SimSun"/>
              </w:rPr>
              <w:t>The</w:t>
            </w:r>
            <w:r w:rsidR="00E01FF4">
              <w:rPr>
                <w:rFonts w:eastAsia="SimSun"/>
              </w:rPr>
              <w:t>re is growing evidence on the need to promote</w:t>
            </w:r>
            <w:r w:rsidR="00D140B9" w:rsidRPr="00146BA1">
              <w:rPr>
                <w:rFonts w:eastAsia="SimSun"/>
              </w:rPr>
              <w:t xml:space="preserve"> </w:t>
            </w:r>
            <w:r w:rsidR="00080B33" w:rsidRPr="00146BA1">
              <w:rPr>
                <w:rFonts w:eastAsia="SimSun"/>
              </w:rPr>
              <w:t>‘One Health’ approach</w:t>
            </w:r>
            <w:r w:rsidR="00E01FF4">
              <w:rPr>
                <w:rFonts w:eastAsia="SimSun"/>
              </w:rPr>
              <w:t xml:space="preserve"> worldwide. Although the two programs, AIPEID – Animal Health and AIPEID – Human Health were designed as separate programs with no joint activities, AusAID would like to explore opportunities to </w:t>
            </w:r>
            <w:r w:rsidR="00E01FF4">
              <w:rPr>
                <w:rFonts w:eastAsia="SimSun"/>
              </w:rPr>
              <w:lastRenderedPageBreak/>
              <w:t xml:space="preserve">synergise or strengthen linkages between the two programs. </w:t>
            </w:r>
            <w:r w:rsidR="008E1D06">
              <w:rPr>
                <w:rFonts w:eastAsia="SimSun"/>
              </w:rPr>
              <w:t>Therefore, at this stage potential linkages</w:t>
            </w:r>
            <w:r w:rsidR="00080B33" w:rsidRPr="00146BA1">
              <w:rPr>
                <w:rFonts w:eastAsia="SimSun"/>
              </w:rPr>
              <w:t xml:space="preserve"> </w:t>
            </w:r>
            <w:r w:rsidR="00D140B9" w:rsidRPr="00146BA1">
              <w:rPr>
                <w:rFonts w:eastAsia="SimSun"/>
              </w:rPr>
              <w:t xml:space="preserve">should be promoted </w:t>
            </w:r>
            <w:r w:rsidR="00080B33" w:rsidRPr="00146BA1">
              <w:rPr>
                <w:rFonts w:eastAsia="SimSun"/>
              </w:rPr>
              <w:t xml:space="preserve">across all </w:t>
            </w:r>
            <w:r w:rsidR="00550A04" w:rsidRPr="00146BA1">
              <w:rPr>
                <w:rFonts w:eastAsia="SimSun"/>
              </w:rPr>
              <w:t xml:space="preserve">program </w:t>
            </w:r>
            <w:r w:rsidR="00080B33" w:rsidRPr="00146BA1">
              <w:rPr>
                <w:rFonts w:eastAsia="SimSun"/>
              </w:rPr>
              <w:t>activities, where relevant</w:t>
            </w:r>
            <w:r w:rsidR="008E1D06">
              <w:rPr>
                <w:rFonts w:eastAsia="SimSun"/>
              </w:rPr>
              <w:t xml:space="preserve"> and coordination meeting should be held regularly.</w:t>
            </w:r>
            <w:r w:rsidR="00080B33" w:rsidRPr="00146BA1">
              <w:rPr>
                <w:rFonts w:eastAsia="SimSun"/>
              </w:rPr>
              <w:t xml:space="preserve"> </w:t>
            </w:r>
          </w:p>
          <w:p w14:paraId="090CB4A3" w14:textId="77777777" w:rsidR="00281C48" w:rsidRPr="00146BA1" w:rsidRDefault="00281C48" w:rsidP="00AD4643">
            <w:pPr>
              <w:spacing w:before="40" w:after="40"/>
              <w:rPr>
                <w:rFonts w:eastAsia="SimSun"/>
              </w:rPr>
            </w:pPr>
          </w:p>
        </w:tc>
        <w:tc>
          <w:tcPr>
            <w:tcW w:w="1696" w:type="pct"/>
          </w:tcPr>
          <w:p w14:paraId="090CB4A4" w14:textId="77777777" w:rsidR="00281C48" w:rsidRDefault="008E1D06" w:rsidP="00AD4643">
            <w:pPr>
              <w:spacing w:before="40" w:after="40"/>
              <w:rPr>
                <w:rFonts w:eastAsia="SimSun"/>
              </w:rPr>
            </w:pPr>
            <w:r>
              <w:rPr>
                <w:rFonts w:eastAsia="SimSun"/>
              </w:rPr>
              <w:lastRenderedPageBreak/>
              <w:t xml:space="preserve">DAFF will explore potential linkages between animal health and human health program with </w:t>
            </w:r>
            <w:r w:rsidR="00F32138">
              <w:rPr>
                <w:rFonts w:eastAsia="SimSun"/>
              </w:rPr>
              <w:t xml:space="preserve">the </w:t>
            </w:r>
            <w:r>
              <w:rPr>
                <w:rFonts w:eastAsia="SimSun"/>
              </w:rPr>
              <w:t>WHO.</w:t>
            </w:r>
            <w:r w:rsidR="00F32138">
              <w:rPr>
                <w:rFonts w:eastAsia="SimSun"/>
              </w:rPr>
              <w:t xml:space="preserve"> There are two areas for potential collaboration: i) strengthening pandemic-related information system; and ii) DAFF to participate in strengthening the Early Warning Alert and Response System (EWARS) that is currently delivered </w:t>
            </w:r>
            <w:r w:rsidR="00F32138">
              <w:rPr>
                <w:rFonts w:eastAsia="SimSun"/>
              </w:rPr>
              <w:lastRenderedPageBreak/>
              <w:t>by  the WHO and Ministry of Health under the Human Health component.</w:t>
            </w:r>
          </w:p>
          <w:p w14:paraId="090CB4A5" w14:textId="77777777" w:rsidR="008E1D06" w:rsidRDefault="008E1D06" w:rsidP="00AD4643">
            <w:pPr>
              <w:spacing w:before="40" w:after="40"/>
              <w:rPr>
                <w:rFonts w:eastAsia="SimSun"/>
              </w:rPr>
            </w:pPr>
          </w:p>
          <w:p w14:paraId="090CB4A6" w14:textId="77777777" w:rsidR="008E1D06" w:rsidRDefault="00F32138" w:rsidP="00AD4643">
            <w:pPr>
              <w:spacing w:before="40" w:after="40"/>
              <w:rPr>
                <w:rFonts w:eastAsia="SimSun"/>
              </w:rPr>
            </w:pPr>
            <w:r>
              <w:rPr>
                <w:rFonts w:eastAsia="SimSun"/>
              </w:rPr>
              <w:t xml:space="preserve">In addition to actively participating in the existing coordination forums among “One Health” players, </w:t>
            </w:r>
            <w:r w:rsidR="008E1D06">
              <w:rPr>
                <w:rFonts w:eastAsia="SimSun"/>
              </w:rPr>
              <w:t>AusAID will facilitate regular</w:t>
            </w:r>
            <w:r>
              <w:rPr>
                <w:rFonts w:eastAsia="SimSun"/>
              </w:rPr>
              <w:t xml:space="preserve"> internal</w:t>
            </w:r>
            <w:r w:rsidR="008E1D06">
              <w:rPr>
                <w:rFonts w:eastAsia="SimSun"/>
              </w:rPr>
              <w:t xml:space="preserve"> coordination meeting with DAFF and WHO.</w:t>
            </w:r>
            <w:r>
              <w:rPr>
                <w:rFonts w:eastAsia="SimSun"/>
              </w:rPr>
              <w:t xml:space="preserve"> The first meeting will be held in May/June 2012.</w:t>
            </w:r>
          </w:p>
        </w:tc>
        <w:tc>
          <w:tcPr>
            <w:tcW w:w="494" w:type="pct"/>
          </w:tcPr>
          <w:p w14:paraId="090CB4A7" w14:textId="77777777" w:rsidR="0052194C" w:rsidRDefault="008E1D06" w:rsidP="00AD4643">
            <w:pPr>
              <w:spacing w:before="40" w:after="40"/>
              <w:jc w:val="center"/>
              <w:rPr>
                <w:rFonts w:eastAsia="SimSun"/>
              </w:rPr>
            </w:pPr>
            <w:r>
              <w:rPr>
                <w:rFonts w:eastAsia="SimSun"/>
                <w:szCs w:val="22"/>
              </w:rPr>
              <w:lastRenderedPageBreak/>
              <w:t>DAFF/WHO/AusAID</w:t>
            </w:r>
            <w:r w:rsidR="00233CC8">
              <w:rPr>
                <w:rFonts w:eastAsia="SimSun"/>
                <w:szCs w:val="22"/>
              </w:rPr>
              <w:t>AFF/AusAID</w:t>
            </w:r>
          </w:p>
        </w:tc>
      </w:tr>
      <w:tr w:rsidR="00A72EDA" w:rsidRPr="00901F91" w14:paraId="090CB4AA" w14:textId="77777777" w:rsidTr="00A72EDA">
        <w:trPr>
          <w:trHeight w:val="463"/>
        </w:trPr>
        <w:tc>
          <w:tcPr>
            <w:tcW w:w="5000" w:type="pct"/>
            <w:gridSpan w:val="5"/>
            <w:shd w:val="clear" w:color="auto" w:fill="auto"/>
          </w:tcPr>
          <w:p w14:paraId="090CB4A9" w14:textId="77777777" w:rsidR="00A72EDA" w:rsidRPr="00146BA1" w:rsidRDefault="00A72EDA" w:rsidP="00AD4643">
            <w:pPr>
              <w:spacing w:before="40" w:after="40"/>
              <w:rPr>
                <w:rFonts w:eastAsia="SimSun"/>
                <w:b/>
                <w:szCs w:val="22"/>
              </w:rPr>
            </w:pPr>
            <w:r w:rsidRPr="00146BA1">
              <w:rPr>
                <w:rFonts w:eastAsia="SimSun"/>
                <w:b/>
                <w:szCs w:val="22"/>
              </w:rPr>
              <w:lastRenderedPageBreak/>
              <w:t>IPR Objective 8: Future Direction</w:t>
            </w:r>
          </w:p>
        </w:tc>
      </w:tr>
      <w:tr w:rsidR="0052194C" w:rsidRPr="00901F91" w14:paraId="090CB4B0" w14:textId="77777777" w:rsidTr="0009067D">
        <w:tc>
          <w:tcPr>
            <w:tcW w:w="266" w:type="pct"/>
            <w:shd w:val="clear" w:color="auto" w:fill="auto"/>
          </w:tcPr>
          <w:p w14:paraId="090CB4AB" w14:textId="77777777" w:rsidR="0052194C" w:rsidRPr="00A004B2" w:rsidRDefault="0052194C" w:rsidP="00AD4643">
            <w:pPr>
              <w:spacing w:before="40" w:after="40"/>
              <w:rPr>
                <w:rFonts w:eastAsia="SimSun" w:cs="Arial"/>
              </w:rPr>
            </w:pPr>
            <w:r>
              <w:rPr>
                <w:rFonts w:eastAsia="SimSun"/>
                <w:szCs w:val="22"/>
              </w:rPr>
              <w:t>28</w:t>
            </w:r>
          </w:p>
        </w:tc>
        <w:tc>
          <w:tcPr>
            <w:tcW w:w="955" w:type="pct"/>
            <w:vAlign w:val="center"/>
          </w:tcPr>
          <w:p w14:paraId="090CB4AC" w14:textId="77777777" w:rsidR="0052194C" w:rsidRPr="00A004B2" w:rsidRDefault="0052194C" w:rsidP="00AD4643">
            <w:pPr>
              <w:spacing w:before="40" w:after="40"/>
              <w:rPr>
                <w:rFonts w:eastAsia="SimSun" w:cs="Arial"/>
              </w:rPr>
            </w:pPr>
            <w:r w:rsidRPr="00A004B2">
              <w:rPr>
                <w:rFonts w:eastAsia="SimSun" w:cs="Arial"/>
                <w:szCs w:val="22"/>
              </w:rPr>
              <w:t>Operational expenditure and grants for small pieces of equipment which support application of training and other capacity development should be funded through the Program.</w:t>
            </w:r>
          </w:p>
        </w:tc>
        <w:tc>
          <w:tcPr>
            <w:tcW w:w="1589" w:type="pct"/>
            <w:vAlign w:val="center"/>
          </w:tcPr>
          <w:p w14:paraId="090CB4AD" w14:textId="77777777" w:rsidR="00281C48" w:rsidRPr="00146BA1" w:rsidRDefault="00D40A04" w:rsidP="00AD4643">
            <w:pPr>
              <w:spacing w:before="40" w:after="40"/>
              <w:rPr>
                <w:rFonts w:eastAsia="SimSun"/>
              </w:rPr>
            </w:pPr>
            <w:r w:rsidRPr="00146BA1">
              <w:rPr>
                <w:rFonts w:eastAsia="SimSun"/>
              </w:rPr>
              <w:t xml:space="preserve">Agree. </w:t>
            </w:r>
            <w:r w:rsidR="00294085" w:rsidRPr="00146BA1">
              <w:rPr>
                <w:rFonts w:eastAsia="SimSun"/>
              </w:rPr>
              <w:t>Consistent with resource availability, the</w:t>
            </w:r>
            <w:r w:rsidRPr="00146BA1">
              <w:rPr>
                <w:rFonts w:eastAsia="SimSun"/>
              </w:rPr>
              <w:t xml:space="preserve"> funding </w:t>
            </w:r>
            <w:r w:rsidR="00294085" w:rsidRPr="00146BA1">
              <w:rPr>
                <w:rFonts w:eastAsia="SimSun"/>
              </w:rPr>
              <w:t xml:space="preserve">of small </w:t>
            </w:r>
            <w:r w:rsidRPr="00146BA1">
              <w:rPr>
                <w:rFonts w:eastAsia="SimSun"/>
              </w:rPr>
              <w:t xml:space="preserve">equipment and/or limited operational expenses </w:t>
            </w:r>
            <w:r w:rsidR="00294085" w:rsidRPr="00146BA1">
              <w:rPr>
                <w:rFonts w:eastAsia="SimSun"/>
              </w:rPr>
              <w:t>which d</w:t>
            </w:r>
            <w:r w:rsidRPr="00146BA1">
              <w:rPr>
                <w:rFonts w:eastAsia="SimSun"/>
              </w:rPr>
              <w:t>irectly contribute to program objectives (e.g. application of training)</w:t>
            </w:r>
            <w:r w:rsidR="00294085" w:rsidRPr="00146BA1">
              <w:rPr>
                <w:rFonts w:eastAsia="SimSun"/>
              </w:rPr>
              <w:t xml:space="preserve"> should be supported where they facilitate the achievement of program objectives</w:t>
            </w:r>
            <w:r w:rsidRPr="00146BA1">
              <w:rPr>
                <w:rFonts w:eastAsia="SimSun"/>
              </w:rPr>
              <w:t xml:space="preserve">. </w:t>
            </w:r>
          </w:p>
        </w:tc>
        <w:tc>
          <w:tcPr>
            <w:tcW w:w="1696" w:type="pct"/>
          </w:tcPr>
          <w:p w14:paraId="090CB4AE" w14:textId="77777777" w:rsidR="00281C48" w:rsidRDefault="00317B4A" w:rsidP="00AD4643">
            <w:pPr>
              <w:spacing w:before="40" w:after="40"/>
              <w:rPr>
                <w:rFonts w:eastAsia="SimSun"/>
              </w:rPr>
            </w:pPr>
            <w:r>
              <w:rPr>
                <w:rFonts w:eastAsia="SimSun"/>
              </w:rPr>
              <w:t xml:space="preserve">DAFF and MoA partners to </w:t>
            </w:r>
            <w:r w:rsidR="00CC0B11">
              <w:rPr>
                <w:rFonts w:eastAsia="SimSun"/>
              </w:rPr>
              <w:t>consider proposals and exercise due diligence.</w:t>
            </w:r>
          </w:p>
        </w:tc>
        <w:tc>
          <w:tcPr>
            <w:tcW w:w="494" w:type="pct"/>
          </w:tcPr>
          <w:p w14:paraId="090CB4AF" w14:textId="77777777" w:rsidR="0052194C" w:rsidRDefault="0052194C" w:rsidP="00AD4643">
            <w:pPr>
              <w:spacing w:before="40" w:after="40"/>
              <w:jc w:val="center"/>
              <w:rPr>
                <w:rFonts w:eastAsia="SimSun"/>
              </w:rPr>
            </w:pPr>
            <w:r>
              <w:rPr>
                <w:rFonts w:eastAsia="SimSun"/>
                <w:szCs w:val="22"/>
              </w:rPr>
              <w:t>DAFF</w:t>
            </w:r>
          </w:p>
        </w:tc>
      </w:tr>
      <w:tr w:rsidR="0052194C" w:rsidRPr="00901F91" w14:paraId="090CB4B6" w14:textId="77777777" w:rsidTr="0009067D">
        <w:tc>
          <w:tcPr>
            <w:tcW w:w="266" w:type="pct"/>
            <w:shd w:val="clear" w:color="auto" w:fill="auto"/>
          </w:tcPr>
          <w:p w14:paraId="090CB4B1" w14:textId="77777777" w:rsidR="0052194C" w:rsidRPr="00A004B2" w:rsidRDefault="0052194C" w:rsidP="00AD4643">
            <w:pPr>
              <w:spacing w:before="40" w:after="40"/>
              <w:rPr>
                <w:rFonts w:eastAsia="SimSun" w:cs="Arial"/>
              </w:rPr>
            </w:pPr>
            <w:r>
              <w:rPr>
                <w:rFonts w:eastAsia="SimSun"/>
                <w:szCs w:val="22"/>
              </w:rPr>
              <w:t>29</w:t>
            </w:r>
          </w:p>
        </w:tc>
        <w:tc>
          <w:tcPr>
            <w:tcW w:w="955" w:type="pct"/>
            <w:vAlign w:val="center"/>
          </w:tcPr>
          <w:p w14:paraId="090CB4B2" w14:textId="77777777" w:rsidR="0052194C" w:rsidRPr="00A004B2" w:rsidRDefault="0052194C" w:rsidP="00AD4643">
            <w:pPr>
              <w:spacing w:before="40" w:after="40"/>
              <w:rPr>
                <w:rFonts w:eastAsia="SimSun" w:cs="Arial"/>
              </w:rPr>
            </w:pPr>
            <w:r w:rsidRPr="00A004B2">
              <w:rPr>
                <w:rFonts w:eastAsia="SimSun" w:cs="Arial"/>
                <w:szCs w:val="22"/>
              </w:rPr>
              <w:t>DAFF should establish financial systems for both direct procurement and a grants scheme and decide the procurement strategy on a case-by-case basis.</w:t>
            </w:r>
          </w:p>
        </w:tc>
        <w:tc>
          <w:tcPr>
            <w:tcW w:w="1589" w:type="pct"/>
            <w:vAlign w:val="center"/>
          </w:tcPr>
          <w:p w14:paraId="090CB4B3" w14:textId="77777777" w:rsidR="00281C48" w:rsidRPr="00146BA1" w:rsidRDefault="00957A84" w:rsidP="00AD4643">
            <w:pPr>
              <w:spacing w:before="40" w:after="40"/>
              <w:rPr>
                <w:rFonts w:eastAsia="SimSun"/>
              </w:rPr>
            </w:pPr>
            <w:r w:rsidRPr="00146BA1">
              <w:rPr>
                <w:rFonts w:eastAsia="SimSun"/>
              </w:rPr>
              <w:t>Disagree</w:t>
            </w:r>
            <w:r w:rsidR="00317B4A" w:rsidRPr="00146BA1">
              <w:rPr>
                <w:rFonts w:eastAsia="SimSun"/>
              </w:rPr>
              <w:t xml:space="preserve"> (pending </w:t>
            </w:r>
            <w:r w:rsidR="007F6519" w:rsidRPr="00146BA1">
              <w:rPr>
                <w:rFonts w:eastAsia="SimSun"/>
              </w:rPr>
              <w:t>review of the feasibility and cost effectiveness of a grants scheme</w:t>
            </w:r>
            <w:r w:rsidR="001F3A57" w:rsidRPr="00146BA1">
              <w:rPr>
                <w:rFonts w:eastAsia="SimSun"/>
              </w:rPr>
              <w:t>)</w:t>
            </w:r>
            <w:r w:rsidR="007F6519" w:rsidRPr="00146BA1">
              <w:rPr>
                <w:rFonts w:eastAsia="SimSun"/>
              </w:rPr>
              <w:t>. T</w:t>
            </w:r>
            <w:r w:rsidR="00317B4A" w:rsidRPr="00146BA1">
              <w:rPr>
                <w:rFonts w:eastAsia="SimSun"/>
              </w:rPr>
              <w:t xml:space="preserve">he management/administration of grants on such a small scale </w:t>
            </w:r>
            <w:r w:rsidR="007F6519" w:rsidRPr="00146BA1">
              <w:rPr>
                <w:rFonts w:eastAsia="SimSun"/>
              </w:rPr>
              <w:t>may</w:t>
            </w:r>
            <w:r w:rsidR="00317B4A" w:rsidRPr="00146BA1">
              <w:rPr>
                <w:rFonts w:eastAsia="SimSun"/>
              </w:rPr>
              <w:t xml:space="preserve"> incur an unfeasibly large unit cost.</w:t>
            </w:r>
            <w:r w:rsidR="00451B65" w:rsidRPr="00146BA1">
              <w:rPr>
                <w:rFonts w:eastAsia="SimSun"/>
              </w:rPr>
              <w:t xml:space="preserve"> In addition (and particularly if R.28 is addressed), </w:t>
            </w:r>
            <w:r w:rsidR="000B023E" w:rsidRPr="00146BA1">
              <w:rPr>
                <w:rFonts w:eastAsia="SimSun"/>
              </w:rPr>
              <w:t xml:space="preserve">a grants scheme may not be </w:t>
            </w:r>
            <w:r w:rsidR="00451B65" w:rsidRPr="00146BA1">
              <w:rPr>
                <w:rFonts w:eastAsia="SimSun"/>
              </w:rPr>
              <w:t>imperative to the achievement of program outcomes.</w:t>
            </w:r>
          </w:p>
        </w:tc>
        <w:tc>
          <w:tcPr>
            <w:tcW w:w="1696" w:type="pct"/>
          </w:tcPr>
          <w:p w14:paraId="090CB4B4" w14:textId="77777777" w:rsidR="00281C48" w:rsidRDefault="00451B65" w:rsidP="00AD4643">
            <w:pPr>
              <w:spacing w:before="40" w:after="40"/>
              <w:rPr>
                <w:rFonts w:eastAsia="SimSun"/>
              </w:rPr>
            </w:pPr>
            <w:r>
              <w:rPr>
                <w:rFonts w:eastAsia="SimSun"/>
              </w:rPr>
              <w:t xml:space="preserve">DAFF </w:t>
            </w:r>
            <w:r w:rsidR="00AC79AE">
              <w:rPr>
                <w:rFonts w:eastAsia="SimSun"/>
              </w:rPr>
              <w:t xml:space="preserve">to seek </w:t>
            </w:r>
            <w:r>
              <w:rPr>
                <w:rFonts w:eastAsia="SimSun"/>
              </w:rPr>
              <w:t>advice from AusAID or other parties experienced in managing development grants in Indonesia on the feasibility of implementing this recommendation.</w:t>
            </w:r>
          </w:p>
        </w:tc>
        <w:tc>
          <w:tcPr>
            <w:tcW w:w="494" w:type="pct"/>
          </w:tcPr>
          <w:p w14:paraId="090CB4B5" w14:textId="77777777" w:rsidR="0052194C" w:rsidRDefault="0052194C" w:rsidP="00AD4643">
            <w:pPr>
              <w:spacing w:before="40" w:after="40"/>
              <w:jc w:val="center"/>
              <w:rPr>
                <w:rFonts w:eastAsia="SimSun"/>
              </w:rPr>
            </w:pPr>
            <w:r>
              <w:rPr>
                <w:rFonts w:eastAsia="SimSun"/>
                <w:szCs w:val="22"/>
              </w:rPr>
              <w:t>DAFF</w:t>
            </w:r>
          </w:p>
        </w:tc>
      </w:tr>
      <w:tr w:rsidR="0052194C" w:rsidRPr="00901F91" w14:paraId="090CB4BC" w14:textId="77777777" w:rsidTr="0009067D">
        <w:tc>
          <w:tcPr>
            <w:tcW w:w="266" w:type="pct"/>
            <w:shd w:val="clear" w:color="auto" w:fill="auto"/>
          </w:tcPr>
          <w:p w14:paraId="090CB4B7" w14:textId="77777777" w:rsidR="0052194C" w:rsidRPr="00A004B2" w:rsidRDefault="0052194C" w:rsidP="00AD4643">
            <w:pPr>
              <w:spacing w:before="40" w:after="40"/>
              <w:rPr>
                <w:rFonts w:eastAsia="SimSun" w:cs="Arial"/>
              </w:rPr>
            </w:pPr>
            <w:r>
              <w:rPr>
                <w:rFonts w:eastAsia="SimSun"/>
                <w:szCs w:val="22"/>
              </w:rPr>
              <w:t>30</w:t>
            </w:r>
          </w:p>
        </w:tc>
        <w:tc>
          <w:tcPr>
            <w:tcW w:w="955" w:type="pct"/>
            <w:vAlign w:val="center"/>
          </w:tcPr>
          <w:p w14:paraId="090CB4B8" w14:textId="77777777" w:rsidR="0052194C" w:rsidRPr="00A004B2" w:rsidRDefault="0052194C" w:rsidP="00AD4643">
            <w:pPr>
              <w:spacing w:before="40" w:after="40"/>
              <w:rPr>
                <w:rFonts w:eastAsia="SimSun" w:cs="Arial"/>
              </w:rPr>
            </w:pPr>
            <w:r w:rsidRPr="00A004B2">
              <w:rPr>
                <w:rFonts w:eastAsia="SimSun" w:cs="Arial"/>
                <w:szCs w:val="22"/>
              </w:rPr>
              <w:t>DAFF should seek guidance from AusAID and access to both processes and lessons learned from procurement, particularly grants schemes, in other AIP activities.</w:t>
            </w:r>
          </w:p>
        </w:tc>
        <w:tc>
          <w:tcPr>
            <w:tcW w:w="1589" w:type="pct"/>
            <w:vAlign w:val="center"/>
          </w:tcPr>
          <w:p w14:paraId="090CB4B9" w14:textId="77777777" w:rsidR="00281C48" w:rsidRPr="00146BA1" w:rsidRDefault="00957A84" w:rsidP="00AD4643">
            <w:pPr>
              <w:spacing w:before="40" w:after="40"/>
              <w:rPr>
                <w:rFonts w:eastAsia="SimSun"/>
                <w:b/>
                <w:bCs/>
                <w:i/>
                <w:iCs/>
                <w:sz w:val="22"/>
                <w:szCs w:val="26"/>
              </w:rPr>
            </w:pPr>
            <w:r w:rsidRPr="00146BA1">
              <w:rPr>
                <w:rFonts w:eastAsia="SimSun"/>
              </w:rPr>
              <w:t>Agree. This seems to a</w:t>
            </w:r>
            <w:r w:rsidR="001A225A" w:rsidRPr="00146BA1">
              <w:rPr>
                <w:rFonts w:eastAsia="SimSun"/>
              </w:rPr>
              <w:t xml:space="preserve"> be a</w:t>
            </w:r>
            <w:r w:rsidRPr="00146BA1">
              <w:rPr>
                <w:rFonts w:eastAsia="SimSun"/>
              </w:rPr>
              <w:t xml:space="preserve"> pre</w:t>
            </w:r>
            <w:r w:rsidR="001A225A" w:rsidRPr="00146BA1">
              <w:rPr>
                <w:rFonts w:eastAsia="SimSun"/>
              </w:rPr>
              <w:noBreakHyphen/>
            </w:r>
            <w:r w:rsidRPr="00146BA1">
              <w:rPr>
                <w:rFonts w:eastAsia="SimSun"/>
              </w:rPr>
              <w:t xml:space="preserve">requisite for </w:t>
            </w:r>
            <w:r w:rsidR="001A225A" w:rsidRPr="00146BA1">
              <w:rPr>
                <w:rFonts w:eastAsia="SimSun"/>
              </w:rPr>
              <w:t>consideration of R.29 (see notes on R.29 above)</w:t>
            </w:r>
          </w:p>
        </w:tc>
        <w:tc>
          <w:tcPr>
            <w:tcW w:w="1696" w:type="pct"/>
          </w:tcPr>
          <w:p w14:paraId="090CB4BA" w14:textId="77777777" w:rsidR="00281C48" w:rsidRDefault="001A225A" w:rsidP="00AD4643">
            <w:pPr>
              <w:spacing w:before="40" w:after="40"/>
              <w:rPr>
                <w:rFonts w:eastAsia="SimSun"/>
                <w:b/>
                <w:bCs/>
                <w:i/>
                <w:iCs/>
                <w:sz w:val="22"/>
                <w:szCs w:val="26"/>
              </w:rPr>
            </w:pPr>
            <w:r>
              <w:rPr>
                <w:rFonts w:eastAsia="SimSun"/>
              </w:rPr>
              <w:t xml:space="preserve">DAFF and AusAID to discuss this issue. </w:t>
            </w:r>
          </w:p>
        </w:tc>
        <w:tc>
          <w:tcPr>
            <w:tcW w:w="494" w:type="pct"/>
          </w:tcPr>
          <w:p w14:paraId="090CB4BB" w14:textId="77777777" w:rsidR="0052194C" w:rsidRDefault="0052194C" w:rsidP="00AD4643">
            <w:pPr>
              <w:spacing w:before="40" w:after="40"/>
              <w:jc w:val="center"/>
              <w:rPr>
                <w:rFonts w:eastAsia="SimSun"/>
              </w:rPr>
            </w:pPr>
            <w:r>
              <w:rPr>
                <w:rFonts w:eastAsia="SimSun"/>
                <w:szCs w:val="22"/>
              </w:rPr>
              <w:t>DAFF</w:t>
            </w:r>
            <w:r w:rsidR="00275419">
              <w:rPr>
                <w:rFonts w:eastAsia="SimSun"/>
                <w:szCs w:val="22"/>
              </w:rPr>
              <w:t>/AusAID</w:t>
            </w:r>
          </w:p>
        </w:tc>
      </w:tr>
      <w:tr w:rsidR="0052194C" w:rsidRPr="00901F91" w14:paraId="090CB4C2" w14:textId="77777777" w:rsidTr="0009067D">
        <w:tc>
          <w:tcPr>
            <w:tcW w:w="266" w:type="pct"/>
            <w:shd w:val="clear" w:color="auto" w:fill="auto"/>
          </w:tcPr>
          <w:p w14:paraId="090CB4BD" w14:textId="77777777" w:rsidR="0052194C" w:rsidRPr="00A004B2" w:rsidRDefault="0052194C" w:rsidP="00AD4643">
            <w:pPr>
              <w:spacing w:before="40" w:after="40"/>
              <w:rPr>
                <w:rFonts w:eastAsia="SimSun" w:cs="Arial"/>
              </w:rPr>
            </w:pPr>
            <w:r>
              <w:rPr>
                <w:rFonts w:eastAsia="SimSun"/>
                <w:szCs w:val="22"/>
              </w:rPr>
              <w:t>31</w:t>
            </w:r>
          </w:p>
        </w:tc>
        <w:tc>
          <w:tcPr>
            <w:tcW w:w="955" w:type="pct"/>
            <w:vAlign w:val="center"/>
          </w:tcPr>
          <w:p w14:paraId="090CB4BE" w14:textId="77777777" w:rsidR="0052194C" w:rsidRPr="00A004B2" w:rsidRDefault="0052194C" w:rsidP="00AD4643">
            <w:pPr>
              <w:spacing w:before="40" w:after="40"/>
              <w:rPr>
                <w:rFonts w:eastAsia="SimSun" w:cs="Arial"/>
              </w:rPr>
            </w:pPr>
            <w:r w:rsidRPr="00A004B2">
              <w:rPr>
                <w:rFonts w:eastAsia="SimSun" w:cs="Arial"/>
                <w:szCs w:val="22"/>
              </w:rPr>
              <w:t xml:space="preserve">A contingency fund of </w:t>
            </w:r>
            <w:r>
              <w:rPr>
                <w:rFonts w:eastAsia="SimSun" w:cs="Arial"/>
                <w:szCs w:val="22"/>
              </w:rPr>
              <w:t>A</w:t>
            </w:r>
            <w:r w:rsidRPr="00A004B2">
              <w:rPr>
                <w:rFonts w:eastAsia="SimSun" w:cs="Arial"/>
                <w:szCs w:val="22"/>
              </w:rPr>
              <w:t xml:space="preserve">$100,000 (as is the case in the AIP-EID Human Health Program) should be set aside for use in a potential animal health </w:t>
            </w:r>
            <w:r w:rsidRPr="00A004B2">
              <w:rPr>
                <w:rFonts w:eastAsia="SimSun" w:cs="Arial"/>
                <w:szCs w:val="22"/>
              </w:rPr>
              <w:lastRenderedPageBreak/>
              <w:t>disease emergency.</w:t>
            </w:r>
          </w:p>
        </w:tc>
        <w:tc>
          <w:tcPr>
            <w:tcW w:w="1589" w:type="pct"/>
            <w:vAlign w:val="center"/>
          </w:tcPr>
          <w:p w14:paraId="090CB4BF" w14:textId="77777777" w:rsidR="00281C48" w:rsidRPr="00146BA1" w:rsidRDefault="00EA4135" w:rsidP="00AD4643">
            <w:pPr>
              <w:spacing w:before="40" w:after="40"/>
              <w:rPr>
                <w:rFonts w:eastAsia="SimSun"/>
              </w:rPr>
            </w:pPr>
            <w:r w:rsidRPr="00146BA1">
              <w:rPr>
                <w:rFonts w:eastAsia="SimSun"/>
              </w:rPr>
              <w:lastRenderedPageBreak/>
              <w:t>Agree. This recommendation is also supported by GoI partners.</w:t>
            </w:r>
          </w:p>
        </w:tc>
        <w:tc>
          <w:tcPr>
            <w:tcW w:w="1696" w:type="pct"/>
          </w:tcPr>
          <w:p w14:paraId="090CB4C0" w14:textId="77777777" w:rsidR="00281C48" w:rsidRDefault="00EA4135" w:rsidP="00AD4643">
            <w:pPr>
              <w:spacing w:before="40" w:after="40"/>
              <w:rPr>
                <w:rFonts w:eastAsia="SimSun"/>
              </w:rPr>
            </w:pPr>
            <w:r>
              <w:rPr>
                <w:rFonts w:eastAsia="SimSun"/>
              </w:rPr>
              <w:t xml:space="preserve">DAFF and GoI counterparts to develop guidelines on the circumstances, scope and mechanism for such funds to be used. </w:t>
            </w:r>
            <w:r w:rsidR="00FE697F">
              <w:rPr>
                <w:rFonts w:eastAsia="SimSun"/>
              </w:rPr>
              <w:t>The AIP-EID Human Health contingency fund may provide a model.</w:t>
            </w:r>
          </w:p>
        </w:tc>
        <w:tc>
          <w:tcPr>
            <w:tcW w:w="494" w:type="pct"/>
          </w:tcPr>
          <w:p w14:paraId="090CB4C1" w14:textId="77777777" w:rsidR="0052194C" w:rsidRDefault="007F10BC" w:rsidP="00AD4643">
            <w:pPr>
              <w:spacing w:before="40" w:after="40"/>
              <w:jc w:val="center"/>
              <w:rPr>
                <w:rFonts w:eastAsia="SimSun"/>
              </w:rPr>
            </w:pPr>
            <w:r>
              <w:rPr>
                <w:rFonts w:eastAsia="SimSun"/>
                <w:szCs w:val="22"/>
              </w:rPr>
              <w:t xml:space="preserve">DAFF/ </w:t>
            </w:r>
            <w:r w:rsidR="0052194C">
              <w:rPr>
                <w:rFonts w:eastAsia="SimSun"/>
                <w:szCs w:val="22"/>
              </w:rPr>
              <w:t>PCC</w:t>
            </w:r>
          </w:p>
        </w:tc>
      </w:tr>
      <w:tr w:rsidR="0052194C" w:rsidRPr="00901F91" w14:paraId="090CB4C8" w14:textId="77777777" w:rsidTr="0009067D">
        <w:tc>
          <w:tcPr>
            <w:tcW w:w="266" w:type="pct"/>
            <w:shd w:val="clear" w:color="auto" w:fill="auto"/>
          </w:tcPr>
          <w:p w14:paraId="090CB4C3" w14:textId="77777777" w:rsidR="0052194C" w:rsidRPr="00A004B2" w:rsidRDefault="0052194C" w:rsidP="00AD4643">
            <w:pPr>
              <w:spacing w:before="40" w:after="40"/>
              <w:rPr>
                <w:rFonts w:eastAsia="SimSun" w:cs="Arial"/>
              </w:rPr>
            </w:pPr>
            <w:r>
              <w:rPr>
                <w:rFonts w:eastAsia="SimSun"/>
                <w:szCs w:val="22"/>
              </w:rPr>
              <w:lastRenderedPageBreak/>
              <w:t>32</w:t>
            </w:r>
          </w:p>
        </w:tc>
        <w:tc>
          <w:tcPr>
            <w:tcW w:w="955" w:type="pct"/>
            <w:vAlign w:val="center"/>
          </w:tcPr>
          <w:p w14:paraId="090CB4C4" w14:textId="77777777" w:rsidR="0052194C" w:rsidRPr="00A004B2" w:rsidRDefault="0052194C" w:rsidP="00AD4643">
            <w:pPr>
              <w:spacing w:before="40" w:after="40"/>
              <w:rPr>
                <w:rFonts w:eastAsia="SimSun" w:cs="Arial"/>
              </w:rPr>
            </w:pPr>
            <w:r w:rsidRPr="00A004B2">
              <w:rPr>
                <w:rFonts w:eastAsia="SimSun" w:cs="Arial"/>
                <w:szCs w:val="22"/>
              </w:rPr>
              <w:t>DAFF would need to set up processes for easy access to the contingency fund in the event of an emergency, as well as provision for its retention over Australian financial years.</w:t>
            </w:r>
          </w:p>
        </w:tc>
        <w:tc>
          <w:tcPr>
            <w:tcW w:w="1589" w:type="pct"/>
            <w:vAlign w:val="center"/>
          </w:tcPr>
          <w:p w14:paraId="090CB4C5" w14:textId="77777777" w:rsidR="00281C48" w:rsidRPr="00146BA1" w:rsidRDefault="00707D6D" w:rsidP="00AD4643">
            <w:pPr>
              <w:spacing w:before="40" w:after="40"/>
              <w:rPr>
                <w:rFonts w:eastAsia="SimSun"/>
              </w:rPr>
            </w:pPr>
            <w:r w:rsidRPr="00146BA1">
              <w:rPr>
                <w:rFonts w:eastAsia="SimSun"/>
              </w:rPr>
              <w:t>Agree. This essentially describes the action required to address R.31.</w:t>
            </w:r>
          </w:p>
        </w:tc>
        <w:tc>
          <w:tcPr>
            <w:tcW w:w="1696" w:type="pct"/>
          </w:tcPr>
          <w:p w14:paraId="090CB4C6" w14:textId="77777777" w:rsidR="00281C48" w:rsidRDefault="00707D6D" w:rsidP="00AD4643">
            <w:pPr>
              <w:spacing w:before="40" w:after="40"/>
              <w:rPr>
                <w:rFonts w:eastAsia="SimSun"/>
              </w:rPr>
            </w:pPr>
            <w:r>
              <w:rPr>
                <w:rFonts w:eastAsia="SimSun"/>
              </w:rPr>
              <w:t>As above for R.31.</w:t>
            </w:r>
          </w:p>
        </w:tc>
        <w:tc>
          <w:tcPr>
            <w:tcW w:w="494" w:type="pct"/>
          </w:tcPr>
          <w:p w14:paraId="090CB4C7" w14:textId="77777777" w:rsidR="0052194C" w:rsidRDefault="0052194C" w:rsidP="00AD4643">
            <w:pPr>
              <w:spacing w:before="40" w:after="40"/>
              <w:jc w:val="center"/>
              <w:rPr>
                <w:rFonts w:eastAsia="SimSun"/>
              </w:rPr>
            </w:pPr>
            <w:r>
              <w:rPr>
                <w:rFonts w:eastAsia="SimSun"/>
                <w:szCs w:val="22"/>
              </w:rPr>
              <w:t>DAFF</w:t>
            </w:r>
          </w:p>
        </w:tc>
      </w:tr>
      <w:tr w:rsidR="0052194C" w:rsidRPr="00901F91" w14:paraId="090CB4CF" w14:textId="77777777" w:rsidTr="0009067D">
        <w:tc>
          <w:tcPr>
            <w:tcW w:w="266" w:type="pct"/>
            <w:shd w:val="clear" w:color="auto" w:fill="auto"/>
          </w:tcPr>
          <w:p w14:paraId="090CB4C9" w14:textId="77777777" w:rsidR="0052194C" w:rsidRPr="00A004B2" w:rsidRDefault="0052194C" w:rsidP="00AD4643">
            <w:pPr>
              <w:spacing w:before="40" w:after="40"/>
              <w:rPr>
                <w:rFonts w:eastAsia="SimSun" w:cs="Arial"/>
              </w:rPr>
            </w:pPr>
            <w:r>
              <w:rPr>
                <w:rFonts w:eastAsia="SimSun"/>
                <w:szCs w:val="22"/>
              </w:rPr>
              <w:t>33</w:t>
            </w:r>
          </w:p>
        </w:tc>
        <w:tc>
          <w:tcPr>
            <w:tcW w:w="955" w:type="pct"/>
            <w:vAlign w:val="center"/>
          </w:tcPr>
          <w:p w14:paraId="090CB4CA" w14:textId="77777777" w:rsidR="0052194C" w:rsidRPr="00A004B2" w:rsidRDefault="0052194C" w:rsidP="00AD4643">
            <w:pPr>
              <w:spacing w:before="40" w:after="40"/>
              <w:rPr>
                <w:rFonts w:eastAsia="SimSun" w:cs="Arial"/>
              </w:rPr>
            </w:pPr>
            <w:r w:rsidRPr="00A004B2">
              <w:rPr>
                <w:rFonts w:eastAsia="SimSun" w:cs="Arial"/>
                <w:szCs w:val="22"/>
              </w:rPr>
              <w:t xml:space="preserve">The PCC Chair would endorse plans for draw-down of the funds. Should no emergency eventuate during the Program, the PCC would determine the best use of the </w:t>
            </w:r>
            <w:r>
              <w:rPr>
                <w:rFonts w:eastAsia="SimSun" w:cs="Arial"/>
                <w:szCs w:val="22"/>
              </w:rPr>
              <w:t>A</w:t>
            </w:r>
            <w:r w:rsidRPr="00A004B2">
              <w:rPr>
                <w:rFonts w:eastAsia="SimSun" w:cs="Arial"/>
                <w:szCs w:val="22"/>
              </w:rPr>
              <w:t>$100,000 six months prior to Program completion.</w:t>
            </w:r>
          </w:p>
        </w:tc>
        <w:tc>
          <w:tcPr>
            <w:tcW w:w="1589" w:type="pct"/>
            <w:vAlign w:val="center"/>
          </w:tcPr>
          <w:p w14:paraId="090CB4CB" w14:textId="77777777" w:rsidR="00BE4E79" w:rsidRDefault="00FE697F" w:rsidP="00EE4C80">
            <w:pPr>
              <w:spacing w:before="40" w:after="40"/>
              <w:rPr>
                <w:rFonts w:eastAsia="SimSun"/>
              </w:rPr>
            </w:pPr>
            <w:r w:rsidRPr="00146BA1">
              <w:rPr>
                <w:rFonts w:eastAsia="SimSun"/>
              </w:rPr>
              <w:t>Dis</w:t>
            </w:r>
            <w:r w:rsidR="001536A0" w:rsidRPr="00146BA1">
              <w:rPr>
                <w:rFonts w:eastAsia="SimSun"/>
              </w:rPr>
              <w:t>agree</w:t>
            </w:r>
            <w:r w:rsidR="00BE4E79">
              <w:rPr>
                <w:rFonts w:eastAsia="SimSun"/>
              </w:rPr>
              <w:t xml:space="preserve"> to the recommendation that the PCC Chair would endorse plans for draw-down of the funds</w:t>
            </w:r>
            <w:r w:rsidR="001536A0" w:rsidRPr="00146BA1">
              <w:rPr>
                <w:rFonts w:eastAsia="SimSun"/>
              </w:rPr>
              <w:t>. This recommendation offers some specifics related to the actions required to address R.31</w:t>
            </w:r>
            <w:r w:rsidR="00BE4E79">
              <w:rPr>
                <w:rFonts w:eastAsia="SimSun"/>
              </w:rPr>
              <w:t xml:space="preserve"> and R.32</w:t>
            </w:r>
            <w:r w:rsidR="001536A0" w:rsidRPr="00146BA1">
              <w:rPr>
                <w:rFonts w:eastAsia="SimSun"/>
              </w:rPr>
              <w:t>.</w:t>
            </w:r>
            <w:r w:rsidR="00BE4E79">
              <w:rPr>
                <w:rFonts w:eastAsia="SimSun"/>
              </w:rPr>
              <w:t xml:space="preserve"> The PCC</w:t>
            </w:r>
            <w:r w:rsidR="001536A0" w:rsidRPr="00146BA1">
              <w:rPr>
                <w:rFonts w:eastAsia="SimSun"/>
              </w:rPr>
              <w:t xml:space="preserve"> </w:t>
            </w:r>
            <w:r w:rsidR="00BE4E79">
              <w:rPr>
                <w:rFonts w:eastAsia="SimSun"/>
              </w:rPr>
              <w:t>as the governing body of the program will endorse plans developed jointly by DAFF and key partners in the MOA. DAFF will ensure a timely access to the emergency fund and it meets Australian financial requirements.</w:t>
            </w:r>
          </w:p>
          <w:p w14:paraId="090CB4CC" w14:textId="77777777" w:rsidR="00281C48" w:rsidRPr="00146BA1" w:rsidRDefault="00BE4E79" w:rsidP="00BE4E79">
            <w:pPr>
              <w:spacing w:before="40" w:after="40"/>
              <w:rPr>
                <w:rFonts w:eastAsia="SimSun"/>
              </w:rPr>
            </w:pPr>
            <w:r>
              <w:rPr>
                <w:rFonts w:eastAsia="SimSun"/>
              </w:rPr>
              <w:t xml:space="preserve"> </w:t>
            </w:r>
          </w:p>
        </w:tc>
        <w:tc>
          <w:tcPr>
            <w:tcW w:w="1696" w:type="pct"/>
          </w:tcPr>
          <w:p w14:paraId="090CB4CD" w14:textId="77777777" w:rsidR="00281C48" w:rsidRDefault="001536A0" w:rsidP="00AD4643">
            <w:pPr>
              <w:spacing w:before="40" w:after="40"/>
              <w:rPr>
                <w:rFonts w:eastAsia="SimSun"/>
              </w:rPr>
            </w:pPr>
            <w:r>
              <w:rPr>
                <w:rFonts w:eastAsia="SimSun"/>
              </w:rPr>
              <w:t>DAFF to incorporate these specific recommendations in the action arising from R.31</w:t>
            </w:r>
            <w:r w:rsidR="00BE4E79">
              <w:rPr>
                <w:rFonts w:eastAsia="SimSun"/>
              </w:rPr>
              <w:t xml:space="preserve"> and R.32</w:t>
            </w:r>
            <w:r>
              <w:rPr>
                <w:rFonts w:eastAsia="SimSun"/>
              </w:rPr>
              <w:t>.</w:t>
            </w:r>
          </w:p>
        </w:tc>
        <w:tc>
          <w:tcPr>
            <w:tcW w:w="494" w:type="pct"/>
          </w:tcPr>
          <w:p w14:paraId="090CB4CE" w14:textId="77777777" w:rsidR="0052194C" w:rsidRDefault="007F10BC" w:rsidP="00AD4643">
            <w:pPr>
              <w:spacing w:before="40" w:after="40"/>
              <w:jc w:val="center"/>
              <w:rPr>
                <w:rFonts w:eastAsia="SimSun"/>
              </w:rPr>
            </w:pPr>
            <w:r>
              <w:rPr>
                <w:rFonts w:eastAsia="SimSun"/>
                <w:szCs w:val="22"/>
              </w:rPr>
              <w:t xml:space="preserve">DAFF/ </w:t>
            </w:r>
            <w:r w:rsidR="0052194C">
              <w:rPr>
                <w:rFonts w:eastAsia="SimSun"/>
                <w:szCs w:val="22"/>
              </w:rPr>
              <w:t>PCC</w:t>
            </w:r>
          </w:p>
        </w:tc>
      </w:tr>
      <w:tr w:rsidR="0052194C" w:rsidRPr="00901F91" w14:paraId="090CB4D5" w14:textId="77777777" w:rsidTr="0009067D">
        <w:tc>
          <w:tcPr>
            <w:tcW w:w="266" w:type="pct"/>
            <w:shd w:val="clear" w:color="auto" w:fill="auto"/>
          </w:tcPr>
          <w:p w14:paraId="090CB4D0" w14:textId="77777777" w:rsidR="0052194C" w:rsidRPr="00A004B2" w:rsidRDefault="0052194C" w:rsidP="00AD4643">
            <w:pPr>
              <w:spacing w:before="40" w:after="40"/>
              <w:rPr>
                <w:rFonts w:eastAsia="SimSun" w:cs="Arial"/>
              </w:rPr>
            </w:pPr>
            <w:r>
              <w:rPr>
                <w:rFonts w:eastAsia="SimSun"/>
                <w:szCs w:val="22"/>
              </w:rPr>
              <w:t>34</w:t>
            </w:r>
          </w:p>
        </w:tc>
        <w:tc>
          <w:tcPr>
            <w:tcW w:w="955" w:type="pct"/>
            <w:vAlign w:val="center"/>
          </w:tcPr>
          <w:p w14:paraId="090CB4D1" w14:textId="77777777" w:rsidR="0052194C" w:rsidRPr="00A004B2" w:rsidRDefault="0052194C" w:rsidP="00AD4643">
            <w:pPr>
              <w:spacing w:before="40" w:after="40"/>
              <w:rPr>
                <w:rFonts w:eastAsia="SimSun" w:cs="Arial"/>
              </w:rPr>
            </w:pPr>
            <w:r w:rsidRPr="00A004B2">
              <w:rPr>
                <w:rFonts w:eastAsia="SimSun" w:cs="Arial"/>
                <w:szCs w:val="22"/>
              </w:rPr>
              <w:t>The IPR team endorses the call by respondents for achieving tangible / ‘monumental’ results. It is recommended that even greater focus is applied to current and planned activities.</w:t>
            </w:r>
          </w:p>
        </w:tc>
        <w:tc>
          <w:tcPr>
            <w:tcW w:w="1589" w:type="pct"/>
            <w:vAlign w:val="center"/>
          </w:tcPr>
          <w:p w14:paraId="090CB4D2" w14:textId="77777777" w:rsidR="00281C48" w:rsidRPr="00146BA1" w:rsidRDefault="00506C00" w:rsidP="00AD4643">
            <w:pPr>
              <w:spacing w:before="40" w:after="40"/>
              <w:rPr>
                <w:rFonts w:eastAsia="SimSun"/>
              </w:rPr>
            </w:pPr>
            <w:r w:rsidRPr="00146BA1">
              <w:rPr>
                <w:rFonts w:eastAsia="SimSun"/>
              </w:rPr>
              <w:t xml:space="preserve">Agree. </w:t>
            </w:r>
            <w:r w:rsidR="00345171" w:rsidRPr="00146BA1">
              <w:rPr>
                <w:rFonts w:eastAsia="SimSun"/>
              </w:rPr>
              <w:t>There</w:t>
            </w:r>
            <w:r w:rsidRPr="00146BA1">
              <w:rPr>
                <w:rFonts w:eastAsia="SimSun"/>
              </w:rPr>
              <w:t xml:space="preserve"> has been </w:t>
            </w:r>
            <w:r w:rsidR="00345171" w:rsidRPr="00146BA1">
              <w:rPr>
                <w:rFonts w:eastAsia="SimSun"/>
              </w:rPr>
              <w:t>an</w:t>
            </w:r>
            <w:r w:rsidRPr="00146BA1">
              <w:rPr>
                <w:rFonts w:eastAsia="SimSun"/>
              </w:rPr>
              <w:t xml:space="preserve"> evolution of the program from the broad scope of the original PDD to a focussed program with greater cross-component linkages towards several ‘monumental’ outcomes. </w:t>
            </w:r>
            <w:r w:rsidR="00345171" w:rsidRPr="00146BA1">
              <w:rPr>
                <w:rFonts w:eastAsia="SimSun"/>
              </w:rPr>
              <w:t>These are described</w:t>
            </w:r>
            <w:r w:rsidRPr="00146BA1">
              <w:rPr>
                <w:rFonts w:eastAsia="SimSun"/>
              </w:rPr>
              <w:t xml:space="preserve"> in the operational plan for 2013 and recent refinement of the M&amp;E framework. The operational plan has been </w:t>
            </w:r>
            <w:r w:rsidR="00345171" w:rsidRPr="00146BA1">
              <w:rPr>
                <w:rFonts w:eastAsia="SimSun"/>
              </w:rPr>
              <w:t>endorsed by the PCC.</w:t>
            </w:r>
          </w:p>
        </w:tc>
        <w:tc>
          <w:tcPr>
            <w:tcW w:w="1696" w:type="pct"/>
          </w:tcPr>
          <w:p w14:paraId="090CB4D3" w14:textId="77777777" w:rsidR="00281C48" w:rsidRDefault="00FE697F" w:rsidP="00AD4643">
            <w:pPr>
              <w:spacing w:before="40" w:after="40"/>
              <w:rPr>
                <w:rFonts w:eastAsia="SimSun"/>
              </w:rPr>
            </w:pPr>
            <w:r>
              <w:rPr>
                <w:rFonts w:eastAsia="SimSun"/>
              </w:rPr>
              <w:t xml:space="preserve">Already </w:t>
            </w:r>
            <w:r w:rsidR="00345171">
              <w:rPr>
                <w:rFonts w:eastAsia="SimSun"/>
              </w:rPr>
              <w:t>Implemented – see the</w:t>
            </w:r>
            <w:r w:rsidR="00506C00">
              <w:rPr>
                <w:rFonts w:eastAsia="SimSun"/>
              </w:rPr>
              <w:t xml:space="preserve"> operational plan for 2013.</w:t>
            </w:r>
          </w:p>
        </w:tc>
        <w:tc>
          <w:tcPr>
            <w:tcW w:w="494" w:type="pct"/>
          </w:tcPr>
          <w:p w14:paraId="090CB4D4" w14:textId="77777777" w:rsidR="0052194C" w:rsidRDefault="0052194C" w:rsidP="00AD4643">
            <w:pPr>
              <w:spacing w:before="40" w:after="40"/>
              <w:jc w:val="center"/>
              <w:rPr>
                <w:rFonts w:eastAsia="SimSun"/>
              </w:rPr>
            </w:pPr>
            <w:r>
              <w:rPr>
                <w:rFonts w:eastAsia="SimSun"/>
                <w:szCs w:val="22"/>
              </w:rPr>
              <w:t>MoA / DAFF</w:t>
            </w:r>
          </w:p>
        </w:tc>
      </w:tr>
      <w:tr w:rsidR="0052194C" w:rsidRPr="00901F91" w14:paraId="090CB4DC" w14:textId="77777777" w:rsidTr="0009067D">
        <w:tc>
          <w:tcPr>
            <w:tcW w:w="266" w:type="pct"/>
            <w:shd w:val="clear" w:color="auto" w:fill="auto"/>
          </w:tcPr>
          <w:p w14:paraId="090CB4D6" w14:textId="77777777" w:rsidR="0052194C" w:rsidRPr="00A004B2" w:rsidRDefault="0052194C" w:rsidP="00AD4643">
            <w:pPr>
              <w:spacing w:before="40" w:after="40"/>
              <w:rPr>
                <w:rFonts w:eastAsia="SimSun" w:cs="Arial"/>
              </w:rPr>
            </w:pPr>
            <w:r>
              <w:rPr>
                <w:rFonts w:eastAsia="SimSun"/>
                <w:szCs w:val="22"/>
              </w:rPr>
              <w:t>35</w:t>
            </w:r>
          </w:p>
        </w:tc>
        <w:tc>
          <w:tcPr>
            <w:tcW w:w="955" w:type="pct"/>
            <w:vAlign w:val="center"/>
          </w:tcPr>
          <w:p w14:paraId="090CB4D7" w14:textId="77777777" w:rsidR="0052194C" w:rsidRPr="00A004B2" w:rsidRDefault="0052194C" w:rsidP="00AD4643">
            <w:pPr>
              <w:spacing w:before="40" w:after="40"/>
              <w:rPr>
                <w:rFonts w:eastAsia="SimSun" w:cs="Arial"/>
              </w:rPr>
            </w:pPr>
            <w:r w:rsidRPr="00A004B2">
              <w:rPr>
                <w:rFonts w:eastAsia="SimSun" w:cs="Arial"/>
                <w:szCs w:val="22"/>
              </w:rPr>
              <w:t xml:space="preserve">Where practicable, focus activities on brucellosis and rabies detection and control in line with needs in South Sulawesi and West Sulawesi. </w:t>
            </w:r>
          </w:p>
        </w:tc>
        <w:tc>
          <w:tcPr>
            <w:tcW w:w="1589" w:type="pct"/>
            <w:vAlign w:val="center"/>
          </w:tcPr>
          <w:p w14:paraId="090CB4D8" w14:textId="77777777" w:rsidR="00281C48" w:rsidRPr="00146BA1" w:rsidRDefault="00506C00" w:rsidP="00AD4643">
            <w:pPr>
              <w:spacing w:before="40" w:after="40"/>
              <w:rPr>
                <w:rFonts w:eastAsia="SimSun"/>
              </w:rPr>
            </w:pPr>
            <w:r w:rsidRPr="00146BA1">
              <w:rPr>
                <w:rFonts w:eastAsia="SimSun"/>
              </w:rPr>
              <w:t xml:space="preserve">Agree. </w:t>
            </w:r>
          </w:p>
        </w:tc>
        <w:tc>
          <w:tcPr>
            <w:tcW w:w="1696" w:type="pct"/>
          </w:tcPr>
          <w:p w14:paraId="090CB4D9" w14:textId="77777777" w:rsidR="00281C48" w:rsidRDefault="00FE697F" w:rsidP="00AD4643">
            <w:pPr>
              <w:spacing w:before="40" w:after="40"/>
              <w:rPr>
                <w:rFonts w:eastAsia="SimSun"/>
              </w:rPr>
            </w:pPr>
            <w:r>
              <w:rPr>
                <w:rFonts w:eastAsia="SimSun"/>
              </w:rPr>
              <w:t xml:space="preserve">Already implemented: </w:t>
            </w:r>
            <w:r w:rsidR="00D66C85">
              <w:rPr>
                <w:rFonts w:eastAsia="SimSun"/>
              </w:rPr>
              <w:t>The operational plan for 2013 includes the development of a disease control program in South Sulawesi, with supportive activities in each of the components.</w:t>
            </w:r>
          </w:p>
          <w:p w14:paraId="090CB4DA" w14:textId="77777777" w:rsidR="00281C48" w:rsidRDefault="00FE697F" w:rsidP="00AD4643">
            <w:pPr>
              <w:spacing w:before="40" w:after="40"/>
              <w:rPr>
                <w:rFonts w:eastAsia="SimSun"/>
              </w:rPr>
            </w:pPr>
            <w:r>
              <w:rPr>
                <w:rFonts w:eastAsia="SimSun"/>
              </w:rPr>
              <w:t xml:space="preserve">In order to demonstrate ‘systems strengthening’ and achieve measurable results, we support the suggestion to focus on brucellosis and rabies. However, the program will maintain the objectives of sustainable systems strengthening, rather than making the control of these diseases the </w:t>
            </w:r>
            <w:r>
              <w:rPr>
                <w:rFonts w:eastAsia="SimSun"/>
                <w:i/>
              </w:rPr>
              <w:t xml:space="preserve">primary </w:t>
            </w:r>
            <w:r>
              <w:rPr>
                <w:rFonts w:eastAsia="SimSun"/>
              </w:rPr>
              <w:lastRenderedPageBreak/>
              <w:t xml:space="preserve">objective. </w:t>
            </w:r>
          </w:p>
        </w:tc>
        <w:tc>
          <w:tcPr>
            <w:tcW w:w="494" w:type="pct"/>
          </w:tcPr>
          <w:p w14:paraId="090CB4DB" w14:textId="77777777" w:rsidR="0052194C" w:rsidRDefault="0052194C" w:rsidP="00AD4643">
            <w:pPr>
              <w:spacing w:before="40" w:after="40"/>
              <w:jc w:val="center"/>
              <w:rPr>
                <w:rFonts w:eastAsia="SimSun"/>
              </w:rPr>
            </w:pPr>
            <w:r>
              <w:rPr>
                <w:rFonts w:eastAsia="SimSun"/>
                <w:szCs w:val="22"/>
              </w:rPr>
              <w:lastRenderedPageBreak/>
              <w:t>MoA / DAFF</w:t>
            </w:r>
          </w:p>
        </w:tc>
      </w:tr>
      <w:tr w:rsidR="0052194C" w:rsidRPr="00901F91" w14:paraId="090CB4E2" w14:textId="77777777" w:rsidTr="0009067D">
        <w:tc>
          <w:tcPr>
            <w:tcW w:w="266" w:type="pct"/>
          </w:tcPr>
          <w:p w14:paraId="090CB4DD" w14:textId="77777777" w:rsidR="0052194C" w:rsidRPr="00A004B2" w:rsidRDefault="0052194C" w:rsidP="00AD4643">
            <w:pPr>
              <w:spacing w:before="40" w:after="40"/>
              <w:rPr>
                <w:rFonts w:eastAsia="SimSun" w:cs="Arial"/>
              </w:rPr>
            </w:pPr>
            <w:r>
              <w:rPr>
                <w:rFonts w:eastAsia="SimSun"/>
                <w:szCs w:val="22"/>
              </w:rPr>
              <w:lastRenderedPageBreak/>
              <w:t>36</w:t>
            </w:r>
          </w:p>
        </w:tc>
        <w:tc>
          <w:tcPr>
            <w:tcW w:w="955" w:type="pct"/>
            <w:vAlign w:val="center"/>
          </w:tcPr>
          <w:p w14:paraId="090CB4DE" w14:textId="77777777" w:rsidR="0052194C" w:rsidRPr="00A004B2" w:rsidRDefault="0052194C" w:rsidP="00AD4643">
            <w:pPr>
              <w:spacing w:before="40" w:after="40"/>
              <w:rPr>
                <w:rFonts w:eastAsia="SimSun" w:cs="Arial"/>
              </w:rPr>
            </w:pPr>
            <w:r w:rsidRPr="00A004B2">
              <w:rPr>
                <w:rFonts w:eastAsia="SimSun"/>
                <w:szCs w:val="22"/>
              </w:rPr>
              <w:t>A</w:t>
            </w:r>
            <w:r w:rsidRPr="00A004B2">
              <w:rPr>
                <w:rFonts w:eastAsia="SimSun" w:cs="Arial"/>
                <w:szCs w:val="22"/>
              </w:rPr>
              <w:t>d hoc requests from MoA or Sulawesi sub-national departments should not be considered unless it is demonstrated that they are essential to meet Program outcomes.</w:t>
            </w:r>
          </w:p>
        </w:tc>
        <w:tc>
          <w:tcPr>
            <w:tcW w:w="1589" w:type="pct"/>
            <w:vAlign w:val="center"/>
          </w:tcPr>
          <w:p w14:paraId="090CB4DF" w14:textId="77777777" w:rsidR="00281C48" w:rsidRPr="00146BA1" w:rsidRDefault="00506690" w:rsidP="00AD4643">
            <w:pPr>
              <w:spacing w:before="40" w:after="40"/>
              <w:rPr>
                <w:rFonts w:eastAsia="SimSun"/>
              </w:rPr>
            </w:pPr>
            <w:r w:rsidRPr="00146BA1">
              <w:rPr>
                <w:rFonts w:eastAsia="SimSun"/>
              </w:rPr>
              <w:t xml:space="preserve">Agree </w:t>
            </w:r>
          </w:p>
        </w:tc>
        <w:tc>
          <w:tcPr>
            <w:tcW w:w="1696" w:type="pct"/>
          </w:tcPr>
          <w:p w14:paraId="090CB4E0" w14:textId="77777777" w:rsidR="00281C48" w:rsidRDefault="00506690" w:rsidP="00AD4643">
            <w:pPr>
              <w:spacing w:before="40" w:after="40"/>
              <w:rPr>
                <w:rFonts w:eastAsia="SimSun"/>
              </w:rPr>
            </w:pPr>
            <w:r>
              <w:rPr>
                <w:rFonts w:eastAsia="SimSun"/>
              </w:rPr>
              <w:t>No specific actions required.</w:t>
            </w:r>
          </w:p>
        </w:tc>
        <w:tc>
          <w:tcPr>
            <w:tcW w:w="494" w:type="pct"/>
          </w:tcPr>
          <w:p w14:paraId="090CB4E1" w14:textId="77777777" w:rsidR="0052194C" w:rsidRDefault="0052194C" w:rsidP="00AD4643">
            <w:pPr>
              <w:spacing w:before="40" w:after="40"/>
              <w:jc w:val="center"/>
              <w:rPr>
                <w:rFonts w:eastAsia="SimSun"/>
              </w:rPr>
            </w:pPr>
            <w:r>
              <w:rPr>
                <w:rFonts w:eastAsia="SimSun"/>
                <w:szCs w:val="22"/>
              </w:rPr>
              <w:t>MoA / DAFF</w:t>
            </w:r>
          </w:p>
        </w:tc>
      </w:tr>
      <w:tr w:rsidR="0052194C" w:rsidRPr="00901F91" w14:paraId="090CB4EB" w14:textId="77777777" w:rsidTr="0009067D">
        <w:tc>
          <w:tcPr>
            <w:tcW w:w="266" w:type="pct"/>
            <w:shd w:val="clear" w:color="auto" w:fill="auto"/>
          </w:tcPr>
          <w:p w14:paraId="090CB4E3" w14:textId="77777777" w:rsidR="0052194C" w:rsidRPr="00A004B2" w:rsidRDefault="0052194C" w:rsidP="00AD4643">
            <w:pPr>
              <w:spacing w:before="40" w:after="40"/>
              <w:rPr>
                <w:rFonts w:eastAsia="SimSun" w:cs="Arial"/>
              </w:rPr>
            </w:pPr>
            <w:r>
              <w:rPr>
                <w:rFonts w:eastAsia="SimSun"/>
                <w:szCs w:val="22"/>
              </w:rPr>
              <w:t>37</w:t>
            </w:r>
          </w:p>
        </w:tc>
        <w:tc>
          <w:tcPr>
            <w:tcW w:w="955" w:type="pct"/>
            <w:vAlign w:val="center"/>
          </w:tcPr>
          <w:p w14:paraId="090CB4E4" w14:textId="77777777" w:rsidR="0052194C" w:rsidRPr="00A004B2" w:rsidRDefault="0052194C" w:rsidP="00AD4643">
            <w:pPr>
              <w:spacing w:before="40" w:after="40"/>
              <w:rPr>
                <w:rFonts w:eastAsia="SimSun" w:cs="Arial"/>
              </w:rPr>
            </w:pPr>
            <w:r w:rsidRPr="00A004B2">
              <w:rPr>
                <w:rFonts w:eastAsia="SimSun" w:cs="Arial"/>
                <w:szCs w:val="22"/>
              </w:rPr>
              <w:t>Extension of Program duration by an extra year to December 2015 at no additional cost would make up for time lost in the slow start-up and position the program to achieve planned outcomes.</w:t>
            </w:r>
          </w:p>
        </w:tc>
        <w:tc>
          <w:tcPr>
            <w:tcW w:w="1589" w:type="pct"/>
            <w:vAlign w:val="center"/>
          </w:tcPr>
          <w:p w14:paraId="090CB4E5" w14:textId="77777777" w:rsidR="00281C48" w:rsidRPr="00146BA1" w:rsidRDefault="00506690" w:rsidP="00AD4643">
            <w:pPr>
              <w:spacing w:before="40" w:after="40"/>
              <w:rPr>
                <w:rFonts w:eastAsia="SimSun"/>
              </w:rPr>
            </w:pPr>
            <w:r w:rsidRPr="00146BA1">
              <w:rPr>
                <w:rFonts w:eastAsia="SimSun"/>
              </w:rPr>
              <w:t>Agree. D</w:t>
            </w:r>
            <w:r w:rsidR="001D6CAE" w:rsidRPr="00146BA1">
              <w:rPr>
                <w:rFonts w:eastAsia="SimSun"/>
              </w:rPr>
              <w:t>AFF supports a no-cost extension. The</w:t>
            </w:r>
            <w:r w:rsidRPr="00146BA1">
              <w:rPr>
                <w:rFonts w:eastAsia="SimSun"/>
              </w:rPr>
              <w:t xml:space="preserve"> optimal period for extension </w:t>
            </w:r>
            <w:r w:rsidR="001D6CAE" w:rsidRPr="00146BA1">
              <w:rPr>
                <w:rFonts w:eastAsia="SimSun"/>
              </w:rPr>
              <w:t>may be</w:t>
            </w:r>
            <w:r w:rsidRPr="00146BA1">
              <w:rPr>
                <w:rFonts w:eastAsia="SimSun"/>
              </w:rPr>
              <w:t xml:space="preserve"> six months; i.e. to 30 June 2015.</w:t>
            </w:r>
          </w:p>
        </w:tc>
        <w:tc>
          <w:tcPr>
            <w:tcW w:w="1696" w:type="pct"/>
          </w:tcPr>
          <w:p w14:paraId="090CB4E6" w14:textId="77777777" w:rsidR="00672985" w:rsidRDefault="00BB74C4" w:rsidP="00672985">
            <w:pPr>
              <w:spacing w:before="40" w:after="40"/>
              <w:rPr>
                <w:rFonts w:eastAsia="SimSun"/>
              </w:rPr>
            </w:pPr>
            <w:r>
              <w:rPr>
                <w:rFonts w:eastAsia="SimSun"/>
              </w:rPr>
              <w:t xml:space="preserve">AusAID </w:t>
            </w:r>
            <w:r w:rsidR="001D6CAE">
              <w:rPr>
                <w:rFonts w:eastAsia="SimSun"/>
              </w:rPr>
              <w:t xml:space="preserve">and DAFF </w:t>
            </w:r>
            <w:r>
              <w:rPr>
                <w:rFonts w:eastAsia="SimSun"/>
              </w:rPr>
              <w:t xml:space="preserve">to consider and </w:t>
            </w:r>
            <w:r w:rsidR="007F10BC">
              <w:rPr>
                <w:rFonts w:eastAsia="SimSun"/>
              </w:rPr>
              <w:t xml:space="preserve">subject to approvals </w:t>
            </w:r>
            <w:r>
              <w:rPr>
                <w:rFonts w:eastAsia="SimSun"/>
              </w:rPr>
              <w:t xml:space="preserve">action any necessary amendments to the </w:t>
            </w:r>
            <w:r w:rsidR="000F5BE2">
              <w:rPr>
                <w:rFonts w:eastAsia="SimSun"/>
              </w:rPr>
              <w:t xml:space="preserve">Subsidiary Arrangement between the </w:t>
            </w:r>
            <w:r w:rsidR="00BA7D87">
              <w:rPr>
                <w:rFonts w:eastAsia="SimSun"/>
              </w:rPr>
              <w:t xml:space="preserve">Governments </w:t>
            </w:r>
            <w:r w:rsidR="000F5BE2">
              <w:rPr>
                <w:rFonts w:eastAsia="SimSun"/>
              </w:rPr>
              <w:t>of Indonesia and Australia and the Record of Understanding between AusAID and DAFF</w:t>
            </w:r>
            <w:r>
              <w:rPr>
                <w:rFonts w:eastAsia="SimSun"/>
              </w:rPr>
              <w:t>.</w:t>
            </w:r>
            <w:r w:rsidR="00275419">
              <w:rPr>
                <w:rFonts w:eastAsia="SimSun"/>
              </w:rPr>
              <w:t xml:space="preserve"> </w:t>
            </w:r>
          </w:p>
          <w:p w14:paraId="090CB4E7" w14:textId="77777777" w:rsidR="00281C48" w:rsidRDefault="00672985" w:rsidP="00672985">
            <w:pPr>
              <w:spacing w:before="40" w:after="40"/>
              <w:rPr>
                <w:rFonts w:eastAsia="SimSun"/>
              </w:rPr>
            </w:pPr>
            <w:r>
              <w:rPr>
                <w:rFonts w:eastAsia="SimSun"/>
              </w:rPr>
              <w:t>DAFF will seek PCC’s endorsement for a no-cost extension to June 2015 by February 2014 and request to AusAID formally after getting the endorsement.</w:t>
            </w:r>
          </w:p>
          <w:p w14:paraId="090CB4E8" w14:textId="77777777" w:rsidR="00672985" w:rsidRDefault="00672985" w:rsidP="00672985">
            <w:pPr>
              <w:spacing w:before="40" w:after="40"/>
              <w:rPr>
                <w:rFonts w:eastAsia="SimSun"/>
              </w:rPr>
            </w:pPr>
            <w:r>
              <w:rPr>
                <w:rFonts w:eastAsia="SimSun"/>
              </w:rPr>
              <w:t>DAFF and AusAID will investigate the need and mechanism for the Subsidiary Arrangement extension.</w:t>
            </w:r>
          </w:p>
          <w:p w14:paraId="090CB4E9" w14:textId="77777777" w:rsidR="00672985" w:rsidRDefault="00672985" w:rsidP="00672985">
            <w:pPr>
              <w:spacing w:before="40" w:after="40"/>
              <w:rPr>
                <w:rFonts w:eastAsia="SimSun"/>
              </w:rPr>
            </w:pPr>
          </w:p>
        </w:tc>
        <w:tc>
          <w:tcPr>
            <w:tcW w:w="494" w:type="pct"/>
          </w:tcPr>
          <w:p w14:paraId="090CB4EA" w14:textId="77777777" w:rsidR="0052194C" w:rsidRDefault="0052194C" w:rsidP="00AD4643">
            <w:pPr>
              <w:spacing w:before="40" w:after="40"/>
              <w:jc w:val="center"/>
              <w:rPr>
                <w:rFonts w:eastAsia="SimSun"/>
              </w:rPr>
            </w:pPr>
            <w:r>
              <w:rPr>
                <w:rFonts w:eastAsia="SimSun"/>
                <w:szCs w:val="22"/>
              </w:rPr>
              <w:t>AusAID</w:t>
            </w:r>
            <w:r w:rsidR="00672985">
              <w:rPr>
                <w:rFonts w:eastAsia="SimSun"/>
                <w:szCs w:val="22"/>
              </w:rPr>
              <w:t>/DAFF</w:t>
            </w:r>
          </w:p>
        </w:tc>
      </w:tr>
      <w:tr w:rsidR="0052194C" w:rsidRPr="00901F91" w14:paraId="090CB4F1" w14:textId="77777777" w:rsidTr="0009067D">
        <w:tc>
          <w:tcPr>
            <w:tcW w:w="266" w:type="pct"/>
          </w:tcPr>
          <w:p w14:paraId="090CB4EC" w14:textId="77777777" w:rsidR="0052194C" w:rsidRPr="00A004B2" w:rsidRDefault="0052194C" w:rsidP="00AD4643">
            <w:pPr>
              <w:spacing w:before="40" w:after="40"/>
              <w:rPr>
                <w:rFonts w:eastAsia="SimSun" w:cs="Arial"/>
              </w:rPr>
            </w:pPr>
            <w:r>
              <w:rPr>
                <w:rFonts w:eastAsia="SimSun"/>
                <w:szCs w:val="22"/>
              </w:rPr>
              <w:t>38</w:t>
            </w:r>
          </w:p>
        </w:tc>
        <w:tc>
          <w:tcPr>
            <w:tcW w:w="955" w:type="pct"/>
            <w:vAlign w:val="center"/>
          </w:tcPr>
          <w:p w14:paraId="090CB4ED" w14:textId="77777777" w:rsidR="0052194C" w:rsidRDefault="0052194C" w:rsidP="00AD4643">
            <w:pPr>
              <w:spacing w:before="40" w:after="40"/>
              <w:rPr>
                <w:rFonts w:eastAsia="SimSun" w:cs="Arial"/>
                <w:color w:val="244061" w:themeColor="accent1" w:themeShade="80"/>
              </w:rPr>
            </w:pPr>
            <w:r w:rsidRPr="00A004B2">
              <w:rPr>
                <w:rFonts w:eastAsia="SimSun" w:cs="Arial"/>
                <w:szCs w:val="22"/>
              </w:rPr>
              <w:t xml:space="preserve">The PCC should monitor financial as well as </w:t>
            </w:r>
            <w:r>
              <w:rPr>
                <w:rFonts w:eastAsia="SimSun" w:cs="Arial"/>
                <w:szCs w:val="22"/>
              </w:rPr>
              <w:t>progress towards program objectives.</w:t>
            </w:r>
            <w:r w:rsidRPr="00A004B2">
              <w:rPr>
                <w:rFonts w:eastAsia="SimSun" w:cs="Arial"/>
                <w:szCs w:val="22"/>
              </w:rPr>
              <w:t xml:space="preserve"> </w:t>
            </w:r>
          </w:p>
        </w:tc>
        <w:tc>
          <w:tcPr>
            <w:tcW w:w="1589" w:type="pct"/>
            <w:vAlign w:val="center"/>
          </w:tcPr>
          <w:p w14:paraId="090CB4EE" w14:textId="77777777" w:rsidR="00281C48" w:rsidRPr="00146BA1" w:rsidRDefault="00BB74C4" w:rsidP="00AD4643">
            <w:pPr>
              <w:spacing w:before="40" w:after="40"/>
              <w:rPr>
                <w:rFonts w:eastAsia="SimSun"/>
              </w:rPr>
            </w:pPr>
            <w:r w:rsidRPr="00146BA1">
              <w:rPr>
                <w:rFonts w:eastAsia="SimSun"/>
              </w:rPr>
              <w:t xml:space="preserve">Agree. </w:t>
            </w:r>
          </w:p>
        </w:tc>
        <w:tc>
          <w:tcPr>
            <w:tcW w:w="1696" w:type="pct"/>
          </w:tcPr>
          <w:p w14:paraId="090CB4EF" w14:textId="77777777" w:rsidR="00281C48" w:rsidRDefault="00BB74C4" w:rsidP="00AD4643">
            <w:pPr>
              <w:spacing w:before="40" w:after="40"/>
              <w:rPr>
                <w:rFonts w:eastAsia="SimSun"/>
              </w:rPr>
            </w:pPr>
            <w:r>
              <w:rPr>
                <w:rFonts w:eastAsia="SimSun"/>
              </w:rPr>
              <w:t>DAFF and MoA to review financial reporting to the PCC to ensure the committee receives and can respond to financial information.</w:t>
            </w:r>
          </w:p>
        </w:tc>
        <w:tc>
          <w:tcPr>
            <w:tcW w:w="494" w:type="pct"/>
          </w:tcPr>
          <w:p w14:paraId="090CB4F0" w14:textId="77777777" w:rsidR="0052194C" w:rsidRDefault="007F10BC" w:rsidP="00AD4643">
            <w:pPr>
              <w:spacing w:before="40" w:after="40"/>
              <w:jc w:val="center"/>
              <w:rPr>
                <w:rFonts w:eastAsia="SimSun"/>
              </w:rPr>
            </w:pPr>
            <w:r>
              <w:rPr>
                <w:rFonts w:eastAsia="SimSun"/>
                <w:szCs w:val="22"/>
              </w:rPr>
              <w:t xml:space="preserve">DAFF/ MOA/ </w:t>
            </w:r>
            <w:r w:rsidR="0052194C">
              <w:rPr>
                <w:rFonts w:eastAsia="SimSun"/>
                <w:szCs w:val="22"/>
              </w:rPr>
              <w:t>PCC</w:t>
            </w:r>
          </w:p>
        </w:tc>
      </w:tr>
      <w:tr w:rsidR="0052194C" w:rsidRPr="00901F91" w14:paraId="090CB4F7" w14:textId="77777777" w:rsidTr="0009067D">
        <w:tc>
          <w:tcPr>
            <w:tcW w:w="266" w:type="pct"/>
            <w:shd w:val="clear" w:color="auto" w:fill="auto"/>
          </w:tcPr>
          <w:p w14:paraId="090CB4F2" w14:textId="77777777" w:rsidR="0052194C" w:rsidRPr="00A004B2" w:rsidDel="00064966" w:rsidRDefault="0052194C" w:rsidP="00AD4643">
            <w:pPr>
              <w:spacing w:before="40" w:after="40"/>
              <w:rPr>
                <w:rFonts w:eastAsia="SimSun"/>
              </w:rPr>
            </w:pPr>
            <w:r>
              <w:rPr>
                <w:rFonts w:eastAsia="SimSun"/>
                <w:szCs w:val="22"/>
              </w:rPr>
              <w:t>39</w:t>
            </w:r>
          </w:p>
        </w:tc>
        <w:tc>
          <w:tcPr>
            <w:tcW w:w="955" w:type="pct"/>
          </w:tcPr>
          <w:p w14:paraId="090CB4F3" w14:textId="77777777" w:rsidR="0052194C" w:rsidRPr="00A004B2" w:rsidRDefault="0052194C" w:rsidP="00AD4643">
            <w:pPr>
              <w:spacing w:before="40" w:after="40"/>
              <w:rPr>
                <w:rFonts w:eastAsia="SimSun" w:cs="Arial"/>
              </w:rPr>
            </w:pPr>
            <w:r w:rsidRPr="009B0F75">
              <w:rPr>
                <w:rFonts w:cs="Arial"/>
              </w:rPr>
              <w:t xml:space="preserve">Recognise that there is a process for another </w:t>
            </w:r>
            <w:r>
              <w:rPr>
                <w:rFonts w:cs="Arial"/>
              </w:rPr>
              <w:t xml:space="preserve">Australian </w:t>
            </w:r>
            <w:r w:rsidRPr="009B0F75">
              <w:rPr>
                <w:rFonts w:cs="Arial"/>
              </w:rPr>
              <w:t>government department</w:t>
            </w:r>
            <w:r>
              <w:rPr>
                <w:rFonts w:cs="Arial"/>
              </w:rPr>
              <w:t xml:space="preserve"> (i.e. other than AusAID)</w:t>
            </w:r>
            <w:r w:rsidRPr="009B0F75">
              <w:rPr>
                <w:rFonts w:cs="Arial"/>
              </w:rPr>
              <w:t xml:space="preserve"> to learn how to implement aid effectively and make </w:t>
            </w:r>
            <w:r>
              <w:rPr>
                <w:rFonts w:cs="Arial"/>
              </w:rPr>
              <w:t>the process</w:t>
            </w:r>
            <w:r w:rsidRPr="009B0F75">
              <w:rPr>
                <w:rFonts w:cs="Arial"/>
              </w:rPr>
              <w:t xml:space="preserve"> intentional.</w:t>
            </w:r>
          </w:p>
        </w:tc>
        <w:tc>
          <w:tcPr>
            <w:tcW w:w="1589" w:type="pct"/>
          </w:tcPr>
          <w:p w14:paraId="090CB4F4" w14:textId="77777777" w:rsidR="00281C48" w:rsidRPr="00146BA1" w:rsidRDefault="001662C9" w:rsidP="00AD4643">
            <w:pPr>
              <w:spacing w:before="40" w:after="40"/>
              <w:rPr>
                <w:rFonts w:eastAsia="SimSun"/>
              </w:rPr>
            </w:pPr>
            <w:r w:rsidRPr="00146BA1">
              <w:rPr>
                <w:rFonts w:eastAsia="SimSun"/>
              </w:rPr>
              <w:t xml:space="preserve">Agree. This recommendation alludes to ‘whole of government’ interests and the mutually supportive roles of various departments and agencies. There is great opportunity/importance for DAFF to continue its relationship with Indonesia and potentially to expand its role in the delivery of ODA more generally. AusAID </w:t>
            </w:r>
            <w:r w:rsidR="00BF1A4E" w:rsidRPr="00146BA1">
              <w:rPr>
                <w:rFonts w:eastAsia="SimSun"/>
              </w:rPr>
              <w:t xml:space="preserve">has </w:t>
            </w:r>
            <w:r w:rsidRPr="00146BA1">
              <w:rPr>
                <w:rFonts w:eastAsia="SimSun"/>
              </w:rPr>
              <w:t>a role in supporting this.</w:t>
            </w:r>
          </w:p>
        </w:tc>
        <w:tc>
          <w:tcPr>
            <w:tcW w:w="1696" w:type="pct"/>
          </w:tcPr>
          <w:p w14:paraId="090CB4F5" w14:textId="77777777" w:rsidR="00281C48" w:rsidRDefault="000F5BE2" w:rsidP="00AD4643">
            <w:pPr>
              <w:spacing w:before="40" w:after="40"/>
              <w:rPr>
                <w:rFonts w:eastAsia="SimSun"/>
              </w:rPr>
            </w:pPr>
            <w:r>
              <w:rPr>
                <w:rFonts w:eastAsia="SimSun"/>
              </w:rPr>
              <w:t>DAFF and AusAID (Whole of Government Branch) in Canberra to build a stronger relationship to progressively take on the mentoring role currently played by the Jakarta program manager</w:t>
            </w:r>
            <w:r w:rsidR="002807AF">
              <w:rPr>
                <w:rFonts w:eastAsia="SimSun"/>
              </w:rPr>
              <w:t>. This will shift support from AusAID from the programmatic to the strategic level, and will free the program manager to play a more appropriate and objective role in monitoring and assessing program performance and quality.</w:t>
            </w:r>
          </w:p>
        </w:tc>
        <w:tc>
          <w:tcPr>
            <w:tcW w:w="494" w:type="pct"/>
          </w:tcPr>
          <w:p w14:paraId="090CB4F6" w14:textId="77777777" w:rsidR="0052194C" w:rsidRDefault="0052194C" w:rsidP="00AD4643">
            <w:pPr>
              <w:spacing w:before="40" w:after="40"/>
              <w:jc w:val="center"/>
              <w:rPr>
                <w:rFonts w:eastAsia="SimSun"/>
              </w:rPr>
            </w:pPr>
            <w:r w:rsidRPr="007220FB">
              <w:rPr>
                <w:rFonts w:cs="Arial"/>
                <w:szCs w:val="20"/>
              </w:rPr>
              <w:t>AusAID</w:t>
            </w:r>
          </w:p>
        </w:tc>
      </w:tr>
      <w:tr w:rsidR="0052194C" w:rsidRPr="00901F91" w14:paraId="090CB4FE" w14:textId="77777777" w:rsidTr="0009067D">
        <w:tc>
          <w:tcPr>
            <w:tcW w:w="266" w:type="pct"/>
            <w:shd w:val="clear" w:color="auto" w:fill="auto"/>
          </w:tcPr>
          <w:p w14:paraId="090CB4F8" w14:textId="77777777" w:rsidR="0052194C" w:rsidRPr="00A004B2" w:rsidDel="00064966" w:rsidRDefault="0052194C" w:rsidP="00AD4643">
            <w:pPr>
              <w:spacing w:before="40" w:after="40"/>
              <w:rPr>
                <w:rFonts w:eastAsia="SimSun"/>
              </w:rPr>
            </w:pPr>
            <w:r>
              <w:rPr>
                <w:rFonts w:eastAsia="SimSun"/>
                <w:szCs w:val="22"/>
              </w:rPr>
              <w:t>40</w:t>
            </w:r>
          </w:p>
        </w:tc>
        <w:tc>
          <w:tcPr>
            <w:tcW w:w="955" w:type="pct"/>
          </w:tcPr>
          <w:p w14:paraId="090CB4F9" w14:textId="77777777" w:rsidR="0052194C" w:rsidRPr="00A004B2" w:rsidRDefault="0052194C" w:rsidP="00AD4643">
            <w:pPr>
              <w:spacing w:before="40" w:after="40"/>
              <w:rPr>
                <w:rFonts w:eastAsia="SimSun" w:cs="Arial"/>
              </w:rPr>
            </w:pPr>
            <w:r w:rsidRPr="009B0F75">
              <w:rPr>
                <w:rFonts w:cs="Arial"/>
              </w:rPr>
              <w:t xml:space="preserve">AusAID </w:t>
            </w:r>
            <w:r>
              <w:rPr>
                <w:rFonts w:cs="Arial"/>
              </w:rPr>
              <w:t xml:space="preserve">should </w:t>
            </w:r>
            <w:r w:rsidRPr="009B0F75">
              <w:rPr>
                <w:rFonts w:cs="Arial"/>
              </w:rPr>
              <w:t>provide mentoring support to DAFF in a more strategic way.</w:t>
            </w:r>
          </w:p>
        </w:tc>
        <w:tc>
          <w:tcPr>
            <w:tcW w:w="1589" w:type="pct"/>
          </w:tcPr>
          <w:p w14:paraId="090CB4FA" w14:textId="77777777" w:rsidR="00281C48" w:rsidRPr="00146BA1" w:rsidRDefault="001662C9" w:rsidP="00AD4643">
            <w:pPr>
              <w:spacing w:before="40" w:after="40"/>
              <w:rPr>
                <w:rFonts w:eastAsia="SimSun"/>
                <w:b/>
                <w:bCs/>
                <w:i/>
                <w:iCs/>
                <w:sz w:val="22"/>
                <w:szCs w:val="26"/>
              </w:rPr>
            </w:pPr>
            <w:r w:rsidRPr="00146BA1">
              <w:rPr>
                <w:rFonts w:eastAsia="SimSun"/>
              </w:rPr>
              <w:t>Agree. This is perhaps a sub-recommendation of R.39.</w:t>
            </w:r>
          </w:p>
        </w:tc>
        <w:tc>
          <w:tcPr>
            <w:tcW w:w="1696" w:type="pct"/>
          </w:tcPr>
          <w:p w14:paraId="090CB4FB" w14:textId="77777777" w:rsidR="00281C48" w:rsidRDefault="002807AF" w:rsidP="00AD4643">
            <w:pPr>
              <w:spacing w:before="40" w:after="40"/>
              <w:rPr>
                <w:rFonts w:eastAsia="SimSun"/>
              </w:rPr>
            </w:pPr>
            <w:r>
              <w:rPr>
                <w:rFonts w:eastAsia="SimSun"/>
              </w:rPr>
              <w:t>See R.39</w:t>
            </w:r>
          </w:p>
          <w:p w14:paraId="090CB4FC" w14:textId="77777777" w:rsidR="00281C48" w:rsidRDefault="00281C48" w:rsidP="00AD4643">
            <w:pPr>
              <w:spacing w:before="40" w:after="40"/>
              <w:rPr>
                <w:rFonts w:eastAsia="SimSun"/>
              </w:rPr>
            </w:pPr>
          </w:p>
        </w:tc>
        <w:tc>
          <w:tcPr>
            <w:tcW w:w="494" w:type="pct"/>
          </w:tcPr>
          <w:p w14:paraId="090CB4FD" w14:textId="77777777" w:rsidR="0052194C" w:rsidRDefault="0052194C" w:rsidP="00AD4643">
            <w:pPr>
              <w:spacing w:before="40" w:after="40"/>
              <w:jc w:val="center"/>
              <w:rPr>
                <w:rFonts w:eastAsia="SimSun"/>
              </w:rPr>
            </w:pPr>
            <w:r w:rsidRPr="007220FB">
              <w:rPr>
                <w:rFonts w:cs="Arial"/>
                <w:szCs w:val="20"/>
              </w:rPr>
              <w:t>AusAID</w:t>
            </w:r>
          </w:p>
        </w:tc>
      </w:tr>
      <w:tr w:rsidR="0052194C" w:rsidRPr="00901F91" w14:paraId="090CB504" w14:textId="77777777" w:rsidTr="0009067D">
        <w:tc>
          <w:tcPr>
            <w:tcW w:w="266" w:type="pct"/>
            <w:shd w:val="clear" w:color="auto" w:fill="auto"/>
          </w:tcPr>
          <w:p w14:paraId="090CB4FF" w14:textId="77777777" w:rsidR="0052194C" w:rsidRPr="00A004B2" w:rsidDel="00064966" w:rsidRDefault="0052194C" w:rsidP="00AD4643">
            <w:pPr>
              <w:spacing w:before="40" w:after="40"/>
              <w:rPr>
                <w:rFonts w:eastAsia="SimSun"/>
              </w:rPr>
            </w:pPr>
            <w:r>
              <w:rPr>
                <w:rFonts w:eastAsia="SimSun"/>
                <w:szCs w:val="22"/>
              </w:rPr>
              <w:lastRenderedPageBreak/>
              <w:t>41</w:t>
            </w:r>
          </w:p>
        </w:tc>
        <w:tc>
          <w:tcPr>
            <w:tcW w:w="955" w:type="pct"/>
          </w:tcPr>
          <w:p w14:paraId="090CB500" w14:textId="77777777" w:rsidR="0052194C" w:rsidRPr="00A004B2" w:rsidRDefault="0052194C" w:rsidP="00AD4643">
            <w:pPr>
              <w:spacing w:before="40" w:after="40"/>
              <w:rPr>
                <w:rFonts w:eastAsia="SimSun" w:cs="Arial"/>
              </w:rPr>
            </w:pPr>
            <w:r w:rsidRPr="009B0F75">
              <w:rPr>
                <w:rFonts w:cs="Arial"/>
              </w:rPr>
              <w:t xml:space="preserve">Separate AusAID’s mentoring from monitoring roles to avoid potential for conflict of interest in one unit carrying out this dual role. </w:t>
            </w:r>
          </w:p>
        </w:tc>
        <w:tc>
          <w:tcPr>
            <w:tcW w:w="1589" w:type="pct"/>
          </w:tcPr>
          <w:p w14:paraId="090CB501" w14:textId="77777777" w:rsidR="00281C48" w:rsidRPr="00146BA1" w:rsidRDefault="001662C9" w:rsidP="00AD4643">
            <w:pPr>
              <w:spacing w:before="40" w:after="40"/>
              <w:rPr>
                <w:rFonts w:eastAsia="SimSun"/>
              </w:rPr>
            </w:pPr>
            <w:r w:rsidRPr="00146BA1">
              <w:rPr>
                <w:rFonts w:eastAsia="SimSun"/>
              </w:rPr>
              <w:t>Agree. The separation of mentoring (which relates to R.39 and R.40) might also make more effective use of AusAID resources beyond the Health unit.</w:t>
            </w:r>
          </w:p>
        </w:tc>
        <w:tc>
          <w:tcPr>
            <w:tcW w:w="1696" w:type="pct"/>
          </w:tcPr>
          <w:p w14:paraId="090CB502" w14:textId="77777777" w:rsidR="00281C48" w:rsidRDefault="002807AF" w:rsidP="00AD4643">
            <w:pPr>
              <w:spacing w:before="40" w:after="40"/>
              <w:rPr>
                <w:rFonts w:eastAsia="SimSun"/>
              </w:rPr>
            </w:pPr>
            <w:r>
              <w:rPr>
                <w:rFonts w:eastAsia="SimSun"/>
              </w:rPr>
              <w:t>See R.39</w:t>
            </w:r>
          </w:p>
        </w:tc>
        <w:tc>
          <w:tcPr>
            <w:tcW w:w="494" w:type="pct"/>
          </w:tcPr>
          <w:p w14:paraId="090CB503" w14:textId="77777777" w:rsidR="0052194C" w:rsidRDefault="0052194C" w:rsidP="00AD4643">
            <w:pPr>
              <w:spacing w:before="40" w:after="40"/>
              <w:jc w:val="center"/>
              <w:rPr>
                <w:rFonts w:eastAsia="SimSun"/>
              </w:rPr>
            </w:pPr>
            <w:r w:rsidRPr="007220FB">
              <w:rPr>
                <w:rFonts w:cs="Arial"/>
                <w:szCs w:val="20"/>
              </w:rPr>
              <w:t>AusAID</w:t>
            </w:r>
          </w:p>
        </w:tc>
      </w:tr>
      <w:tr w:rsidR="0052194C" w:rsidRPr="00901F91" w14:paraId="090CB50A" w14:textId="77777777" w:rsidTr="0009067D">
        <w:tc>
          <w:tcPr>
            <w:tcW w:w="266" w:type="pct"/>
          </w:tcPr>
          <w:p w14:paraId="090CB505" w14:textId="77777777" w:rsidR="0052194C" w:rsidRPr="00A004B2" w:rsidDel="00064966" w:rsidRDefault="0052194C" w:rsidP="00AD4643">
            <w:pPr>
              <w:spacing w:before="40" w:after="40"/>
              <w:rPr>
                <w:rFonts w:eastAsia="SimSun"/>
              </w:rPr>
            </w:pPr>
            <w:r>
              <w:rPr>
                <w:rFonts w:eastAsia="SimSun"/>
                <w:szCs w:val="22"/>
              </w:rPr>
              <w:t>42</w:t>
            </w:r>
          </w:p>
        </w:tc>
        <w:tc>
          <w:tcPr>
            <w:tcW w:w="955" w:type="pct"/>
          </w:tcPr>
          <w:p w14:paraId="090CB506" w14:textId="77777777" w:rsidR="0052194C" w:rsidRPr="00A004B2" w:rsidRDefault="0052194C" w:rsidP="00AD4643">
            <w:pPr>
              <w:spacing w:before="40" w:after="40"/>
              <w:rPr>
                <w:rFonts w:eastAsia="SimSun" w:cs="Arial"/>
              </w:rPr>
            </w:pPr>
            <w:r w:rsidRPr="009B0F75">
              <w:rPr>
                <w:rFonts w:cs="Arial"/>
              </w:rPr>
              <w:t>Recognise that operational experience gained from managing AIP-EID is essential to DAFF being able to manage ODA directly in future.</w:t>
            </w:r>
          </w:p>
        </w:tc>
        <w:tc>
          <w:tcPr>
            <w:tcW w:w="1589" w:type="pct"/>
          </w:tcPr>
          <w:p w14:paraId="090CB507" w14:textId="77777777" w:rsidR="00281C48" w:rsidRPr="00146BA1" w:rsidRDefault="007514BA" w:rsidP="00AD4643">
            <w:pPr>
              <w:spacing w:before="40" w:after="40"/>
              <w:rPr>
                <w:rFonts w:eastAsia="SimSun"/>
              </w:rPr>
            </w:pPr>
            <w:r w:rsidRPr="00146BA1">
              <w:rPr>
                <w:rFonts w:eastAsia="SimSun"/>
              </w:rPr>
              <w:t>Agree.</w:t>
            </w:r>
          </w:p>
        </w:tc>
        <w:tc>
          <w:tcPr>
            <w:tcW w:w="1696" w:type="pct"/>
          </w:tcPr>
          <w:p w14:paraId="090CB508" w14:textId="77777777" w:rsidR="00281C48" w:rsidRDefault="002807AF" w:rsidP="00AD4643">
            <w:pPr>
              <w:spacing w:before="40" w:after="40"/>
              <w:rPr>
                <w:rFonts w:eastAsia="SimSun"/>
              </w:rPr>
            </w:pPr>
            <w:r>
              <w:rPr>
                <w:rFonts w:eastAsia="SimSun"/>
              </w:rPr>
              <w:t>See R.39</w:t>
            </w:r>
          </w:p>
        </w:tc>
        <w:tc>
          <w:tcPr>
            <w:tcW w:w="494" w:type="pct"/>
          </w:tcPr>
          <w:p w14:paraId="090CB509" w14:textId="77777777" w:rsidR="0052194C" w:rsidRDefault="0052194C" w:rsidP="00AD4643">
            <w:pPr>
              <w:spacing w:before="40" w:after="40"/>
              <w:jc w:val="center"/>
              <w:rPr>
                <w:rFonts w:eastAsia="SimSun"/>
              </w:rPr>
            </w:pPr>
            <w:r w:rsidRPr="007220FB">
              <w:rPr>
                <w:rFonts w:cs="Arial"/>
                <w:szCs w:val="20"/>
              </w:rPr>
              <w:t>DAFF/ AusAID</w:t>
            </w:r>
          </w:p>
        </w:tc>
      </w:tr>
      <w:tr w:rsidR="0052194C" w:rsidRPr="00901F91" w14:paraId="090CB511" w14:textId="77777777" w:rsidTr="00AD4643">
        <w:trPr>
          <w:trHeight w:val="4426"/>
        </w:trPr>
        <w:tc>
          <w:tcPr>
            <w:tcW w:w="266" w:type="pct"/>
          </w:tcPr>
          <w:p w14:paraId="090CB50B" w14:textId="77777777" w:rsidR="0052194C" w:rsidRPr="00A004B2" w:rsidDel="00064966" w:rsidRDefault="0052194C" w:rsidP="00AD4643">
            <w:pPr>
              <w:spacing w:before="40" w:after="40"/>
              <w:rPr>
                <w:rFonts w:eastAsia="SimSun"/>
              </w:rPr>
            </w:pPr>
            <w:r>
              <w:rPr>
                <w:rFonts w:eastAsia="SimSun"/>
                <w:szCs w:val="22"/>
              </w:rPr>
              <w:t>43</w:t>
            </w:r>
          </w:p>
        </w:tc>
        <w:tc>
          <w:tcPr>
            <w:tcW w:w="955" w:type="pct"/>
          </w:tcPr>
          <w:p w14:paraId="090CB50C" w14:textId="77777777" w:rsidR="0052194C" w:rsidRPr="00A004B2" w:rsidRDefault="0052194C" w:rsidP="00AD4643">
            <w:pPr>
              <w:spacing w:before="40" w:after="40"/>
              <w:rPr>
                <w:rFonts w:eastAsia="SimSun" w:cs="Arial"/>
              </w:rPr>
            </w:pPr>
            <w:r w:rsidRPr="009B0F75">
              <w:rPr>
                <w:rFonts w:cs="Arial"/>
              </w:rPr>
              <w:t>In future ODA program management</w:t>
            </w:r>
            <w:r>
              <w:rPr>
                <w:rFonts w:cs="Arial"/>
              </w:rPr>
              <w:t xml:space="preserve"> beyond the current AIP-EID</w:t>
            </w:r>
            <w:r w:rsidRPr="009B0F75">
              <w:rPr>
                <w:rFonts w:cs="Arial"/>
              </w:rPr>
              <w:t>, DAFF to consider outsourcing operational management to an external service provider. The skills gained in managing the current program are essential to having the capacity to performance manage a service provider.</w:t>
            </w:r>
          </w:p>
        </w:tc>
        <w:tc>
          <w:tcPr>
            <w:tcW w:w="1589" w:type="pct"/>
          </w:tcPr>
          <w:p w14:paraId="090CB50D" w14:textId="77777777" w:rsidR="00281C48" w:rsidRPr="00146BA1" w:rsidRDefault="007514BA" w:rsidP="00AD4643">
            <w:pPr>
              <w:spacing w:before="40" w:after="40"/>
              <w:rPr>
                <w:rFonts w:eastAsia="SimSun" w:cs="Arial"/>
                <w:b/>
                <w:iCs/>
                <w:sz w:val="24"/>
                <w:szCs w:val="22"/>
              </w:rPr>
            </w:pPr>
            <w:r w:rsidRPr="00146BA1">
              <w:rPr>
                <w:rFonts w:eastAsia="SimSun"/>
              </w:rPr>
              <w:t>Agree.</w:t>
            </w:r>
          </w:p>
        </w:tc>
        <w:tc>
          <w:tcPr>
            <w:tcW w:w="1696" w:type="pct"/>
          </w:tcPr>
          <w:p w14:paraId="090CB50E" w14:textId="77777777" w:rsidR="00281C48" w:rsidRDefault="007514BA" w:rsidP="00AD4643">
            <w:pPr>
              <w:spacing w:before="40" w:after="40"/>
              <w:rPr>
                <w:rFonts w:eastAsia="SimSun" w:cs="Arial"/>
                <w:b/>
                <w:iCs/>
                <w:sz w:val="24"/>
                <w:szCs w:val="22"/>
              </w:rPr>
            </w:pPr>
            <w:r>
              <w:rPr>
                <w:rFonts w:eastAsia="SimSun"/>
              </w:rPr>
              <w:t xml:space="preserve">No specific actions required now; however, this recommendation relates to the longer term and strategic issues involving DAFF, AusAID and other Australian Government agencies. </w:t>
            </w:r>
          </w:p>
          <w:p w14:paraId="090CB50F" w14:textId="77777777" w:rsidR="00281C48" w:rsidRDefault="007514BA" w:rsidP="00AD4643">
            <w:pPr>
              <w:spacing w:before="40" w:after="40"/>
              <w:rPr>
                <w:rFonts w:eastAsia="SimSun" w:cs="Arial"/>
                <w:b/>
                <w:iCs/>
                <w:sz w:val="24"/>
                <w:szCs w:val="22"/>
              </w:rPr>
            </w:pPr>
            <w:r>
              <w:rPr>
                <w:rFonts w:eastAsia="SimSun"/>
              </w:rPr>
              <w:t>Addressing recommendations R.39–R.42 would strengthen DAFF’s ability to address this recommendation in the medium-term.</w:t>
            </w:r>
          </w:p>
        </w:tc>
        <w:tc>
          <w:tcPr>
            <w:tcW w:w="494" w:type="pct"/>
          </w:tcPr>
          <w:p w14:paraId="090CB510" w14:textId="77777777" w:rsidR="0052194C" w:rsidRDefault="0052194C" w:rsidP="00AD4643">
            <w:pPr>
              <w:spacing w:before="40" w:after="40"/>
              <w:jc w:val="center"/>
              <w:rPr>
                <w:rFonts w:eastAsia="SimSun"/>
              </w:rPr>
            </w:pPr>
            <w:r w:rsidRPr="007220FB">
              <w:rPr>
                <w:rFonts w:cs="Arial"/>
                <w:szCs w:val="20"/>
              </w:rPr>
              <w:t>DAFF</w:t>
            </w:r>
          </w:p>
        </w:tc>
      </w:tr>
    </w:tbl>
    <w:p w14:paraId="090CB512" w14:textId="77777777" w:rsidR="00913F5E" w:rsidRPr="00913F5E" w:rsidRDefault="00913F5E" w:rsidP="005D5440">
      <w:pPr>
        <w:pStyle w:val="Heading2"/>
      </w:pPr>
    </w:p>
    <w:sectPr w:rsidR="00913F5E" w:rsidRPr="00913F5E" w:rsidSect="0005470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CB515" w14:textId="77777777" w:rsidR="00672985" w:rsidRDefault="00672985">
      <w:pPr>
        <w:pStyle w:val="Table-list-number"/>
      </w:pPr>
      <w:r>
        <w:separator/>
      </w:r>
    </w:p>
  </w:endnote>
  <w:endnote w:type="continuationSeparator" w:id="0">
    <w:p w14:paraId="090CB516" w14:textId="77777777" w:rsidR="00672985" w:rsidRDefault="00672985">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6A20C" w14:textId="77777777" w:rsidR="00733B2F" w:rsidRDefault="00733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CB518" w14:textId="77777777" w:rsidR="00672985" w:rsidRPr="00AE52D5" w:rsidRDefault="00672985"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733B2F">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733B2F">
      <w:rPr>
        <w:rStyle w:val="PageNumber"/>
        <w:noProof/>
      </w:rPr>
      <w:t>13</w:t>
    </w:r>
    <w:r w:rsidRPr="00AE52D5">
      <w:rPr>
        <w:rStyle w:val="PageNumber"/>
      </w:rPr>
      <w:fldChar w:fldCharType="end"/>
    </w:r>
  </w:p>
  <w:p w14:paraId="090CB519" w14:textId="77777777" w:rsidR="00672985" w:rsidRPr="00AE52D5" w:rsidRDefault="00672985"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090CB51A" w14:textId="77777777" w:rsidR="00672985" w:rsidRPr="000815FC" w:rsidRDefault="00672985" w:rsidP="00887304">
    <w:pPr>
      <w:pStyle w:val="Footer"/>
      <w:pBdr>
        <w:top w:val="single" w:sz="4" w:space="8" w:color="999999"/>
      </w:pBdr>
      <w:tabs>
        <w:tab w:val="clear" w:pos="4153"/>
        <w:tab w:val="clear" w:pos="8306"/>
        <w:tab w:val="right" w:pos="9639"/>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EBB9A" w14:textId="77777777" w:rsidR="00733B2F" w:rsidRDefault="00733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CB513" w14:textId="77777777" w:rsidR="00672985" w:rsidRDefault="00672985">
      <w:pPr>
        <w:pStyle w:val="Table-list-number"/>
      </w:pPr>
      <w:r>
        <w:separator/>
      </w:r>
    </w:p>
  </w:footnote>
  <w:footnote w:type="continuationSeparator" w:id="0">
    <w:p w14:paraId="090CB514" w14:textId="77777777" w:rsidR="00672985" w:rsidRDefault="00672985">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94A39" w14:textId="77777777" w:rsidR="00733B2F" w:rsidRDefault="00733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CB517" w14:textId="77777777" w:rsidR="00672985" w:rsidRPr="00077243" w:rsidRDefault="00672985" w:rsidP="00077243">
    <w:pPr>
      <w:pStyle w:val="Header"/>
      <w:jc w:val="center"/>
      <w:rPr>
        <w:caps/>
      </w:rPr>
    </w:pPr>
    <w:r w:rsidRPr="00077243">
      <w:rPr>
        <w:caps/>
      </w:rPr>
      <w:t>Unclassified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E3481" w14:textId="77777777" w:rsidR="00733B2F" w:rsidRDefault="00733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C69"/>
    <w:multiLevelType w:val="hybridMultilevel"/>
    <w:tmpl w:val="96966050"/>
    <w:lvl w:ilvl="0" w:tplc="0C090003">
      <w:start w:val="1"/>
      <w:numFmt w:val="bullet"/>
      <w:lvlText w:val="o"/>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17C651C"/>
    <w:multiLevelType w:val="hybridMultilevel"/>
    <w:tmpl w:val="71D451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E4364C"/>
    <w:multiLevelType w:val="hybridMultilevel"/>
    <w:tmpl w:val="D1509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2C3AC4"/>
    <w:multiLevelType w:val="hybridMultilevel"/>
    <w:tmpl w:val="65DE4B4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1">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7">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0">
    <w:nsid w:val="34F84755"/>
    <w:multiLevelType w:val="multilevel"/>
    <w:tmpl w:val="066839FE"/>
    <w:lvl w:ilvl="0">
      <w:start w:val="1"/>
      <w:numFmt w:val="decimal"/>
      <w:pStyle w:val="HRFHeading1Numbered"/>
      <w:lvlText w:val="%1."/>
      <w:lvlJc w:val="left"/>
      <w:pPr>
        <w:tabs>
          <w:tab w:val="num" w:pos="360"/>
        </w:tabs>
        <w:ind w:left="360" w:hanging="360"/>
      </w:pPr>
      <w:rPr>
        <w:rFonts w:cs="Times New Roman" w:hint="default"/>
      </w:rPr>
    </w:lvl>
    <w:lvl w:ilvl="1">
      <w:start w:val="1"/>
      <w:numFmt w:val="decimal"/>
      <w:pStyle w:val="HRFHeading2Numbered"/>
      <w:lvlText w:val="%1.%2."/>
      <w:lvlJc w:val="left"/>
      <w:pPr>
        <w:tabs>
          <w:tab w:val="num" w:pos="792"/>
        </w:tabs>
        <w:ind w:left="792" w:hanging="432"/>
      </w:pPr>
      <w:rPr>
        <w:rFonts w:cs="Times New Roman" w:hint="default"/>
      </w:rPr>
    </w:lvl>
    <w:lvl w:ilvl="2">
      <w:start w:val="1"/>
      <w:numFmt w:val="decimal"/>
      <w:pStyle w:val="HRFHeading3Numbered"/>
      <w:lvlText w:val="%1.%2.%3."/>
      <w:lvlJc w:val="left"/>
      <w:pPr>
        <w:tabs>
          <w:tab w:val="num" w:pos="862"/>
        </w:tabs>
        <w:ind w:left="646" w:hanging="504"/>
      </w:pPr>
      <w:rPr>
        <w:rFonts w:cs="Times New Roman" w:hint="default"/>
        <w:b/>
        <w:bCs/>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35E714D7"/>
    <w:multiLevelType w:val="hybridMultilevel"/>
    <w:tmpl w:val="592C7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4">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1B3406"/>
    <w:multiLevelType w:val="hybridMultilevel"/>
    <w:tmpl w:val="973A389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4BC4DA3"/>
    <w:multiLevelType w:val="hybridMultilevel"/>
    <w:tmpl w:val="C1F8CB7C"/>
    <w:lvl w:ilvl="0" w:tplc="0C09000F">
      <w:start w:val="1"/>
      <w:numFmt w:val="decimal"/>
      <w:lvlText w:val="%1."/>
      <w:lvlJc w:val="left"/>
      <w:pPr>
        <w:ind w:left="720" w:hanging="360"/>
      </w:pPr>
      <w:rPr>
        <w:rFonts w:cs="Times New Roman"/>
        <w:i w:val="0"/>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33">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6">
    <w:nsid w:val="74604A17"/>
    <w:multiLevelType w:val="hybridMultilevel"/>
    <w:tmpl w:val="918041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13"/>
  </w:num>
  <w:num w:numId="3">
    <w:abstractNumId w:val="23"/>
  </w:num>
  <w:num w:numId="4">
    <w:abstractNumId w:val="17"/>
  </w:num>
  <w:num w:numId="5">
    <w:abstractNumId w:val="35"/>
  </w:num>
  <w:num w:numId="6">
    <w:abstractNumId w:val="37"/>
  </w:num>
  <w:num w:numId="7">
    <w:abstractNumId w:val="2"/>
  </w:num>
  <w:num w:numId="8">
    <w:abstractNumId w:val="30"/>
  </w:num>
  <w:num w:numId="9">
    <w:abstractNumId w:val="5"/>
  </w:num>
  <w:num w:numId="10">
    <w:abstractNumId w:val="35"/>
  </w:num>
  <w:num w:numId="11">
    <w:abstractNumId w:val="35"/>
  </w:num>
  <w:num w:numId="12">
    <w:abstractNumId w:val="13"/>
  </w:num>
  <w:num w:numId="13">
    <w:abstractNumId w:val="23"/>
  </w:num>
  <w:num w:numId="14">
    <w:abstractNumId w:val="17"/>
  </w:num>
  <w:num w:numId="15">
    <w:abstractNumId w:val="17"/>
  </w:num>
  <w:num w:numId="16">
    <w:abstractNumId w:val="35"/>
  </w:num>
  <w:num w:numId="17">
    <w:abstractNumId w:val="37"/>
  </w:num>
  <w:num w:numId="18">
    <w:abstractNumId w:val="2"/>
  </w:num>
  <w:num w:numId="19">
    <w:abstractNumId w:val="3"/>
  </w:num>
  <w:num w:numId="20">
    <w:abstractNumId w:val="18"/>
  </w:num>
  <w:num w:numId="21">
    <w:abstractNumId w:val="34"/>
  </w:num>
  <w:num w:numId="22">
    <w:abstractNumId w:val="14"/>
  </w:num>
  <w:num w:numId="23">
    <w:abstractNumId w:val="1"/>
  </w:num>
  <w:num w:numId="24">
    <w:abstractNumId w:val="12"/>
  </w:num>
  <w:num w:numId="25">
    <w:abstractNumId w:val="28"/>
  </w:num>
  <w:num w:numId="26">
    <w:abstractNumId w:val="22"/>
  </w:num>
  <w:num w:numId="27">
    <w:abstractNumId w:val="15"/>
  </w:num>
  <w:num w:numId="28">
    <w:abstractNumId w:val="27"/>
  </w:num>
  <w:num w:numId="29">
    <w:abstractNumId w:val="25"/>
  </w:num>
  <w:num w:numId="30">
    <w:abstractNumId w:val="33"/>
  </w:num>
  <w:num w:numId="31">
    <w:abstractNumId w:val="29"/>
  </w:num>
  <w:num w:numId="32">
    <w:abstractNumId w:val="16"/>
  </w:num>
  <w:num w:numId="33">
    <w:abstractNumId w:val="26"/>
  </w:num>
  <w:num w:numId="34">
    <w:abstractNumId w:val="24"/>
  </w:num>
  <w:num w:numId="35">
    <w:abstractNumId w:val="19"/>
  </w:num>
  <w:num w:numId="36">
    <w:abstractNumId w:val="7"/>
  </w:num>
  <w:num w:numId="37">
    <w:abstractNumId w:val="39"/>
  </w:num>
  <w:num w:numId="38">
    <w:abstractNumId w:val="31"/>
  </w:num>
  <w:num w:numId="39">
    <w:abstractNumId w:val="9"/>
  </w:num>
  <w:num w:numId="40">
    <w:abstractNumId w:val="10"/>
  </w:num>
  <w:num w:numId="41">
    <w:abstractNumId w:val="11"/>
  </w:num>
  <w:num w:numId="42">
    <w:abstractNumId w:val="4"/>
  </w:num>
  <w:num w:numId="43">
    <w:abstractNumId w:val="0"/>
  </w:num>
  <w:num w:numId="44">
    <w:abstractNumId w:val="8"/>
  </w:num>
  <w:num w:numId="45">
    <w:abstractNumId w:val="6"/>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36"/>
  </w:num>
  <w:num w:numId="4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57"/>
  <w:drawingGridVerticalSpacing w:val="181"/>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272E0"/>
    <w:rsid w:val="00031779"/>
    <w:rsid w:val="000412DD"/>
    <w:rsid w:val="00052316"/>
    <w:rsid w:val="00054700"/>
    <w:rsid w:val="00067C95"/>
    <w:rsid w:val="000706E6"/>
    <w:rsid w:val="00070CD3"/>
    <w:rsid w:val="0007162A"/>
    <w:rsid w:val="00071CEC"/>
    <w:rsid w:val="000728D3"/>
    <w:rsid w:val="000733A7"/>
    <w:rsid w:val="000765F5"/>
    <w:rsid w:val="00077243"/>
    <w:rsid w:val="00080B33"/>
    <w:rsid w:val="000815FC"/>
    <w:rsid w:val="000869CE"/>
    <w:rsid w:val="0009067D"/>
    <w:rsid w:val="00092C1C"/>
    <w:rsid w:val="00094CE2"/>
    <w:rsid w:val="000A00F2"/>
    <w:rsid w:val="000A4D33"/>
    <w:rsid w:val="000A77DB"/>
    <w:rsid w:val="000B023E"/>
    <w:rsid w:val="000B06E9"/>
    <w:rsid w:val="000B2C9C"/>
    <w:rsid w:val="000B520A"/>
    <w:rsid w:val="000B7AFD"/>
    <w:rsid w:val="000C4574"/>
    <w:rsid w:val="000D316D"/>
    <w:rsid w:val="000D38AE"/>
    <w:rsid w:val="000D736D"/>
    <w:rsid w:val="000E1475"/>
    <w:rsid w:val="000E1958"/>
    <w:rsid w:val="000F51D5"/>
    <w:rsid w:val="000F5BE2"/>
    <w:rsid w:val="000F5FF5"/>
    <w:rsid w:val="0010006D"/>
    <w:rsid w:val="00102362"/>
    <w:rsid w:val="00104963"/>
    <w:rsid w:val="001077BF"/>
    <w:rsid w:val="00113C84"/>
    <w:rsid w:val="00116D39"/>
    <w:rsid w:val="00121F43"/>
    <w:rsid w:val="001236CF"/>
    <w:rsid w:val="00123C3E"/>
    <w:rsid w:val="0012582F"/>
    <w:rsid w:val="001269D4"/>
    <w:rsid w:val="00130F87"/>
    <w:rsid w:val="001347C5"/>
    <w:rsid w:val="00134B6C"/>
    <w:rsid w:val="001378B7"/>
    <w:rsid w:val="00140289"/>
    <w:rsid w:val="00144AF1"/>
    <w:rsid w:val="001461C8"/>
    <w:rsid w:val="001467C6"/>
    <w:rsid w:val="00146BA1"/>
    <w:rsid w:val="00151891"/>
    <w:rsid w:val="0015356D"/>
    <w:rsid w:val="001536A0"/>
    <w:rsid w:val="00153F2A"/>
    <w:rsid w:val="00157191"/>
    <w:rsid w:val="001614B0"/>
    <w:rsid w:val="0016457C"/>
    <w:rsid w:val="001662C9"/>
    <w:rsid w:val="00173632"/>
    <w:rsid w:val="00175FFC"/>
    <w:rsid w:val="00177AC0"/>
    <w:rsid w:val="00184728"/>
    <w:rsid w:val="001874BC"/>
    <w:rsid w:val="001917F6"/>
    <w:rsid w:val="001A225A"/>
    <w:rsid w:val="001A38FB"/>
    <w:rsid w:val="001A5CCC"/>
    <w:rsid w:val="001A7CC6"/>
    <w:rsid w:val="001B1EE4"/>
    <w:rsid w:val="001B5DEE"/>
    <w:rsid w:val="001B7094"/>
    <w:rsid w:val="001D2B68"/>
    <w:rsid w:val="001D6CAE"/>
    <w:rsid w:val="001D7353"/>
    <w:rsid w:val="001E3D24"/>
    <w:rsid w:val="001E4372"/>
    <w:rsid w:val="001E4FCC"/>
    <w:rsid w:val="001F3A57"/>
    <w:rsid w:val="001F548E"/>
    <w:rsid w:val="001F55E3"/>
    <w:rsid w:val="00201759"/>
    <w:rsid w:val="00206132"/>
    <w:rsid w:val="00211FDF"/>
    <w:rsid w:val="00214F7F"/>
    <w:rsid w:val="00221D53"/>
    <w:rsid w:val="00223581"/>
    <w:rsid w:val="00225693"/>
    <w:rsid w:val="00232239"/>
    <w:rsid w:val="00233CC8"/>
    <w:rsid w:val="002419D5"/>
    <w:rsid w:val="002425E0"/>
    <w:rsid w:val="00245265"/>
    <w:rsid w:val="00250414"/>
    <w:rsid w:val="00250CB9"/>
    <w:rsid w:val="002524DA"/>
    <w:rsid w:val="002546B7"/>
    <w:rsid w:val="00255DF0"/>
    <w:rsid w:val="0025731A"/>
    <w:rsid w:val="00257572"/>
    <w:rsid w:val="00264366"/>
    <w:rsid w:val="00275419"/>
    <w:rsid w:val="00276E25"/>
    <w:rsid w:val="00276F45"/>
    <w:rsid w:val="002807AF"/>
    <w:rsid w:val="00281C48"/>
    <w:rsid w:val="002824B7"/>
    <w:rsid w:val="002839B9"/>
    <w:rsid w:val="00294085"/>
    <w:rsid w:val="0029717D"/>
    <w:rsid w:val="002A29FF"/>
    <w:rsid w:val="002B2279"/>
    <w:rsid w:val="002B2BA6"/>
    <w:rsid w:val="002B5216"/>
    <w:rsid w:val="002C7626"/>
    <w:rsid w:val="002D1173"/>
    <w:rsid w:val="002D4C96"/>
    <w:rsid w:val="002E0EA2"/>
    <w:rsid w:val="002E7065"/>
    <w:rsid w:val="002E7A09"/>
    <w:rsid w:val="002F001E"/>
    <w:rsid w:val="002F13CD"/>
    <w:rsid w:val="002F3803"/>
    <w:rsid w:val="00300F4A"/>
    <w:rsid w:val="0030264B"/>
    <w:rsid w:val="00310523"/>
    <w:rsid w:val="00310FA6"/>
    <w:rsid w:val="00317B4A"/>
    <w:rsid w:val="00326D2A"/>
    <w:rsid w:val="00334E51"/>
    <w:rsid w:val="00335F8E"/>
    <w:rsid w:val="00342870"/>
    <w:rsid w:val="00345171"/>
    <w:rsid w:val="00345F77"/>
    <w:rsid w:val="00350917"/>
    <w:rsid w:val="0035724B"/>
    <w:rsid w:val="00367DA3"/>
    <w:rsid w:val="003703E9"/>
    <w:rsid w:val="003719DB"/>
    <w:rsid w:val="00371B8D"/>
    <w:rsid w:val="00373EB2"/>
    <w:rsid w:val="0037535E"/>
    <w:rsid w:val="0038194B"/>
    <w:rsid w:val="0039002F"/>
    <w:rsid w:val="003901DA"/>
    <w:rsid w:val="00390A59"/>
    <w:rsid w:val="00391E0C"/>
    <w:rsid w:val="00394C72"/>
    <w:rsid w:val="00397F85"/>
    <w:rsid w:val="003A09AD"/>
    <w:rsid w:val="003A273C"/>
    <w:rsid w:val="003A36D5"/>
    <w:rsid w:val="003A3C7E"/>
    <w:rsid w:val="003A4D26"/>
    <w:rsid w:val="003B518A"/>
    <w:rsid w:val="003C0A67"/>
    <w:rsid w:val="003C24EC"/>
    <w:rsid w:val="003C25ED"/>
    <w:rsid w:val="003D0C24"/>
    <w:rsid w:val="003D1A10"/>
    <w:rsid w:val="003D236A"/>
    <w:rsid w:val="003D4CAC"/>
    <w:rsid w:val="003D548A"/>
    <w:rsid w:val="003D5CFC"/>
    <w:rsid w:val="003D6E0A"/>
    <w:rsid w:val="003D7317"/>
    <w:rsid w:val="003E0DFE"/>
    <w:rsid w:val="003E24F1"/>
    <w:rsid w:val="003E2603"/>
    <w:rsid w:val="003E3E3E"/>
    <w:rsid w:val="003E6561"/>
    <w:rsid w:val="003E7BC4"/>
    <w:rsid w:val="003F0F7E"/>
    <w:rsid w:val="003F2997"/>
    <w:rsid w:val="003F43CF"/>
    <w:rsid w:val="003F43F9"/>
    <w:rsid w:val="003F7C64"/>
    <w:rsid w:val="004032D0"/>
    <w:rsid w:val="00406563"/>
    <w:rsid w:val="00406867"/>
    <w:rsid w:val="00406CD2"/>
    <w:rsid w:val="00411862"/>
    <w:rsid w:val="00416565"/>
    <w:rsid w:val="004221A5"/>
    <w:rsid w:val="00434134"/>
    <w:rsid w:val="00444D45"/>
    <w:rsid w:val="00451B65"/>
    <w:rsid w:val="00454766"/>
    <w:rsid w:val="00455276"/>
    <w:rsid w:val="004555E2"/>
    <w:rsid w:val="00455F94"/>
    <w:rsid w:val="00456E9B"/>
    <w:rsid w:val="00460A96"/>
    <w:rsid w:val="00461D80"/>
    <w:rsid w:val="00466CDA"/>
    <w:rsid w:val="004707CB"/>
    <w:rsid w:val="00473AA7"/>
    <w:rsid w:val="00474F9E"/>
    <w:rsid w:val="00476FDC"/>
    <w:rsid w:val="0047719C"/>
    <w:rsid w:val="00477C85"/>
    <w:rsid w:val="004939D2"/>
    <w:rsid w:val="00493B35"/>
    <w:rsid w:val="00496DB3"/>
    <w:rsid w:val="004A100E"/>
    <w:rsid w:val="004A56A0"/>
    <w:rsid w:val="004A7986"/>
    <w:rsid w:val="004B4D30"/>
    <w:rsid w:val="004C00C0"/>
    <w:rsid w:val="004C429D"/>
    <w:rsid w:val="004C675F"/>
    <w:rsid w:val="004D16DA"/>
    <w:rsid w:val="004D25EA"/>
    <w:rsid w:val="004D3454"/>
    <w:rsid w:val="004E0A16"/>
    <w:rsid w:val="004E150A"/>
    <w:rsid w:val="004E37BD"/>
    <w:rsid w:val="004F1EF1"/>
    <w:rsid w:val="004F5F17"/>
    <w:rsid w:val="00504689"/>
    <w:rsid w:val="00506690"/>
    <w:rsid w:val="00506C00"/>
    <w:rsid w:val="00506FF4"/>
    <w:rsid w:val="005077AB"/>
    <w:rsid w:val="0050796B"/>
    <w:rsid w:val="005149FE"/>
    <w:rsid w:val="005154F9"/>
    <w:rsid w:val="0052010E"/>
    <w:rsid w:val="0052194C"/>
    <w:rsid w:val="00522766"/>
    <w:rsid w:val="00523BBF"/>
    <w:rsid w:val="00524893"/>
    <w:rsid w:val="005260EC"/>
    <w:rsid w:val="00530283"/>
    <w:rsid w:val="005477B9"/>
    <w:rsid w:val="00550A04"/>
    <w:rsid w:val="00550E26"/>
    <w:rsid w:val="005607A4"/>
    <w:rsid w:val="005672CB"/>
    <w:rsid w:val="00572A8E"/>
    <w:rsid w:val="00576EED"/>
    <w:rsid w:val="005829CA"/>
    <w:rsid w:val="00586B72"/>
    <w:rsid w:val="0059065C"/>
    <w:rsid w:val="005928E6"/>
    <w:rsid w:val="00593DB7"/>
    <w:rsid w:val="0059519C"/>
    <w:rsid w:val="00596949"/>
    <w:rsid w:val="005A1697"/>
    <w:rsid w:val="005A4455"/>
    <w:rsid w:val="005A47C3"/>
    <w:rsid w:val="005A6B4A"/>
    <w:rsid w:val="005A7156"/>
    <w:rsid w:val="005A7776"/>
    <w:rsid w:val="005B4CAB"/>
    <w:rsid w:val="005C34B7"/>
    <w:rsid w:val="005C7F27"/>
    <w:rsid w:val="005D008B"/>
    <w:rsid w:val="005D3F4B"/>
    <w:rsid w:val="005D5440"/>
    <w:rsid w:val="005E0F91"/>
    <w:rsid w:val="005E165C"/>
    <w:rsid w:val="005E3939"/>
    <w:rsid w:val="005E550B"/>
    <w:rsid w:val="00611E1D"/>
    <w:rsid w:val="0061231E"/>
    <w:rsid w:val="00613E0A"/>
    <w:rsid w:val="00614E79"/>
    <w:rsid w:val="00614EC8"/>
    <w:rsid w:val="006153BC"/>
    <w:rsid w:val="0062048C"/>
    <w:rsid w:val="00630522"/>
    <w:rsid w:val="006321A1"/>
    <w:rsid w:val="00632714"/>
    <w:rsid w:val="0063565A"/>
    <w:rsid w:val="00636F15"/>
    <w:rsid w:val="00642F53"/>
    <w:rsid w:val="006448D3"/>
    <w:rsid w:val="006453B2"/>
    <w:rsid w:val="00654BC0"/>
    <w:rsid w:val="00656E2F"/>
    <w:rsid w:val="00670C9E"/>
    <w:rsid w:val="00670D9D"/>
    <w:rsid w:val="00672985"/>
    <w:rsid w:val="00677BF8"/>
    <w:rsid w:val="00681953"/>
    <w:rsid w:val="00681FC6"/>
    <w:rsid w:val="00683EB4"/>
    <w:rsid w:val="00691182"/>
    <w:rsid w:val="00696A03"/>
    <w:rsid w:val="006A069A"/>
    <w:rsid w:val="006A33F8"/>
    <w:rsid w:val="006A6864"/>
    <w:rsid w:val="006B0754"/>
    <w:rsid w:val="006B0F3C"/>
    <w:rsid w:val="006B204D"/>
    <w:rsid w:val="006B4A7A"/>
    <w:rsid w:val="006B5E30"/>
    <w:rsid w:val="006B7BFE"/>
    <w:rsid w:val="006C18B0"/>
    <w:rsid w:val="006C2142"/>
    <w:rsid w:val="006D31BA"/>
    <w:rsid w:val="006D7297"/>
    <w:rsid w:val="006D75E4"/>
    <w:rsid w:val="006E0843"/>
    <w:rsid w:val="006E08F6"/>
    <w:rsid w:val="006F2119"/>
    <w:rsid w:val="006F2C9F"/>
    <w:rsid w:val="00707D6D"/>
    <w:rsid w:val="007104C5"/>
    <w:rsid w:val="0072064D"/>
    <w:rsid w:val="007336DD"/>
    <w:rsid w:val="00733B2F"/>
    <w:rsid w:val="00743FDA"/>
    <w:rsid w:val="00744139"/>
    <w:rsid w:val="007478C2"/>
    <w:rsid w:val="00747B90"/>
    <w:rsid w:val="00747E4F"/>
    <w:rsid w:val="00747FC1"/>
    <w:rsid w:val="007514BA"/>
    <w:rsid w:val="007552F3"/>
    <w:rsid w:val="00755ECE"/>
    <w:rsid w:val="007617BD"/>
    <w:rsid w:val="00762F7B"/>
    <w:rsid w:val="00763ECB"/>
    <w:rsid w:val="00767EB4"/>
    <w:rsid w:val="007717B2"/>
    <w:rsid w:val="0077265D"/>
    <w:rsid w:val="0077790F"/>
    <w:rsid w:val="007820D0"/>
    <w:rsid w:val="00783EFE"/>
    <w:rsid w:val="00783F58"/>
    <w:rsid w:val="007B042E"/>
    <w:rsid w:val="007B04EF"/>
    <w:rsid w:val="007C0E48"/>
    <w:rsid w:val="007C5FAB"/>
    <w:rsid w:val="007D0BD6"/>
    <w:rsid w:val="007D2631"/>
    <w:rsid w:val="007E1092"/>
    <w:rsid w:val="007E37A6"/>
    <w:rsid w:val="007E4E22"/>
    <w:rsid w:val="007E4FE8"/>
    <w:rsid w:val="007E60A1"/>
    <w:rsid w:val="007E694D"/>
    <w:rsid w:val="007F10BC"/>
    <w:rsid w:val="007F3EE5"/>
    <w:rsid w:val="007F6519"/>
    <w:rsid w:val="00800650"/>
    <w:rsid w:val="00802A54"/>
    <w:rsid w:val="00804AEF"/>
    <w:rsid w:val="00804D49"/>
    <w:rsid w:val="00806888"/>
    <w:rsid w:val="00814D47"/>
    <w:rsid w:val="00815C86"/>
    <w:rsid w:val="0081654C"/>
    <w:rsid w:val="00816584"/>
    <w:rsid w:val="00817570"/>
    <w:rsid w:val="00831FE2"/>
    <w:rsid w:val="00837243"/>
    <w:rsid w:val="00837B25"/>
    <w:rsid w:val="00843412"/>
    <w:rsid w:val="00843D42"/>
    <w:rsid w:val="00845B17"/>
    <w:rsid w:val="00847FA2"/>
    <w:rsid w:val="008637ED"/>
    <w:rsid w:val="00864A76"/>
    <w:rsid w:val="0087604D"/>
    <w:rsid w:val="00886689"/>
    <w:rsid w:val="00887304"/>
    <w:rsid w:val="00894472"/>
    <w:rsid w:val="008B3156"/>
    <w:rsid w:val="008B7666"/>
    <w:rsid w:val="008D105C"/>
    <w:rsid w:val="008D6B75"/>
    <w:rsid w:val="008D716B"/>
    <w:rsid w:val="008D7666"/>
    <w:rsid w:val="008E0C4C"/>
    <w:rsid w:val="008E1D06"/>
    <w:rsid w:val="008E2025"/>
    <w:rsid w:val="008E2143"/>
    <w:rsid w:val="008E2ADF"/>
    <w:rsid w:val="008E2B06"/>
    <w:rsid w:val="008F36C7"/>
    <w:rsid w:val="008F38F5"/>
    <w:rsid w:val="00900CFF"/>
    <w:rsid w:val="00907536"/>
    <w:rsid w:val="0091135C"/>
    <w:rsid w:val="009115F5"/>
    <w:rsid w:val="00913F5E"/>
    <w:rsid w:val="009155E6"/>
    <w:rsid w:val="00921CBF"/>
    <w:rsid w:val="00923B0C"/>
    <w:rsid w:val="009247FD"/>
    <w:rsid w:val="00933765"/>
    <w:rsid w:val="00936948"/>
    <w:rsid w:val="00944BC2"/>
    <w:rsid w:val="009515FE"/>
    <w:rsid w:val="009526A3"/>
    <w:rsid w:val="00953FAD"/>
    <w:rsid w:val="0095688C"/>
    <w:rsid w:val="00956B01"/>
    <w:rsid w:val="00957A84"/>
    <w:rsid w:val="00963C76"/>
    <w:rsid w:val="00963FE5"/>
    <w:rsid w:val="00975EFF"/>
    <w:rsid w:val="00982318"/>
    <w:rsid w:val="00983442"/>
    <w:rsid w:val="00990E6C"/>
    <w:rsid w:val="00993D41"/>
    <w:rsid w:val="00994DCF"/>
    <w:rsid w:val="009A4B0D"/>
    <w:rsid w:val="009B1EDE"/>
    <w:rsid w:val="009B4B2D"/>
    <w:rsid w:val="009B6244"/>
    <w:rsid w:val="009B6A20"/>
    <w:rsid w:val="009C0798"/>
    <w:rsid w:val="009C235A"/>
    <w:rsid w:val="009C34DA"/>
    <w:rsid w:val="009C73C2"/>
    <w:rsid w:val="009C7BC6"/>
    <w:rsid w:val="009D07FA"/>
    <w:rsid w:val="009D62FF"/>
    <w:rsid w:val="009D6DE1"/>
    <w:rsid w:val="009D7187"/>
    <w:rsid w:val="009E74C0"/>
    <w:rsid w:val="00A004B1"/>
    <w:rsid w:val="00A02130"/>
    <w:rsid w:val="00A04888"/>
    <w:rsid w:val="00A236A7"/>
    <w:rsid w:val="00A2540E"/>
    <w:rsid w:val="00A268C7"/>
    <w:rsid w:val="00A32596"/>
    <w:rsid w:val="00A33696"/>
    <w:rsid w:val="00A36EBD"/>
    <w:rsid w:val="00A435F6"/>
    <w:rsid w:val="00A44E49"/>
    <w:rsid w:val="00A45E9E"/>
    <w:rsid w:val="00A5059C"/>
    <w:rsid w:val="00A519CC"/>
    <w:rsid w:val="00A52737"/>
    <w:rsid w:val="00A5273A"/>
    <w:rsid w:val="00A53647"/>
    <w:rsid w:val="00A558C5"/>
    <w:rsid w:val="00A55C90"/>
    <w:rsid w:val="00A71362"/>
    <w:rsid w:val="00A72EDA"/>
    <w:rsid w:val="00A75B48"/>
    <w:rsid w:val="00A85757"/>
    <w:rsid w:val="00A91D3A"/>
    <w:rsid w:val="00A94B71"/>
    <w:rsid w:val="00AA4991"/>
    <w:rsid w:val="00AB6960"/>
    <w:rsid w:val="00AB7E91"/>
    <w:rsid w:val="00AC3332"/>
    <w:rsid w:val="00AC79AE"/>
    <w:rsid w:val="00AD19A7"/>
    <w:rsid w:val="00AD1B8A"/>
    <w:rsid w:val="00AD4643"/>
    <w:rsid w:val="00AE250D"/>
    <w:rsid w:val="00AE52D5"/>
    <w:rsid w:val="00AE5F85"/>
    <w:rsid w:val="00AE7561"/>
    <w:rsid w:val="00AF1433"/>
    <w:rsid w:val="00AF367C"/>
    <w:rsid w:val="00AF4FCA"/>
    <w:rsid w:val="00AF64AA"/>
    <w:rsid w:val="00B008B4"/>
    <w:rsid w:val="00B04101"/>
    <w:rsid w:val="00B045C1"/>
    <w:rsid w:val="00B06A1E"/>
    <w:rsid w:val="00B07AD5"/>
    <w:rsid w:val="00B11A4D"/>
    <w:rsid w:val="00B205A4"/>
    <w:rsid w:val="00B2593F"/>
    <w:rsid w:val="00B35F23"/>
    <w:rsid w:val="00B362C7"/>
    <w:rsid w:val="00B369D1"/>
    <w:rsid w:val="00B41A17"/>
    <w:rsid w:val="00B432DE"/>
    <w:rsid w:val="00B4437C"/>
    <w:rsid w:val="00B567E0"/>
    <w:rsid w:val="00B613A2"/>
    <w:rsid w:val="00B61EDB"/>
    <w:rsid w:val="00B67F3E"/>
    <w:rsid w:val="00B75863"/>
    <w:rsid w:val="00B766F4"/>
    <w:rsid w:val="00B8200C"/>
    <w:rsid w:val="00B84249"/>
    <w:rsid w:val="00B86E2F"/>
    <w:rsid w:val="00B91940"/>
    <w:rsid w:val="00B93E67"/>
    <w:rsid w:val="00B9551F"/>
    <w:rsid w:val="00BA1AA0"/>
    <w:rsid w:val="00BA3B5E"/>
    <w:rsid w:val="00BA3C47"/>
    <w:rsid w:val="00BA7A8E"/>
    <w:rsid w:val="00BA7D87"/>
    <w:rsid w:val="00BB53D4"/>
    <w:rsid w:val="00BB74C4"/>
    <w:rsid w:val="00BC2C84"/>
    <w:rsid w:val="00BC5D5C"/>
    <w:rsid w:val="00BE4E79"/>
    <w:rsid w:val="00BE545F"/>
    <w:rsid w:val="00BF10DB"/>
    <w:rsid w:val="00BF1A4E"/>
    <w:rsid w:val="00BF3562"/>
    <w:rsid w:val="00BF3735"/>
    <w:rsid w:val="00BF5638"/>
    <w:rsid w:val="00C00100"/>
    <w:rsid w:val="00C01019"/>
    <w:rsid w:val="00C0509D"/>
    <w:rsid w:val="00C0520A"/>
    <w:rsid w:val="00C056E5"/>
    <w:rsid w:val="00C13229"/>
    <w:rsid w:val="00C16B9D"/>
    <w:rsid w:val="00C20446"/>
    <w:rsid w:val="00C263B2"/>
    <w:rsid w:val="00C346A2"/>
    <w:rsid w:val="00C42279"/>
    <w:rsid w:val="00C437BA"/>
    <w:rsid w:val="00C441FE"/>
    <w:rsid w:val="00C449E1"/>
    <w:rsid w:val="00C4776D"/>
    <w:rsid w:val="00C51434"/>
    <w:rsid w:val="00C53398"/>
    <w:rsid w:val="00C6299D"/>
    <w:rsid w:val="00C64683"/>
    <w:rsid w:val="00C64B11"/>
    <w:rsid w:val="00C65145"/>
    <w:rsid w:val="00C657FB"/>
    <w:rsid w:val="00C65A25"/>
    <w:rsid w:val="00C65DDC"/>
    <w:rsid w:val="00C66DAE"/>
    <w:rsid w:val="00C679C9"/>
    <w:rsid w:val="00C700FD"/>
    <w:rsid w:val="00C77C7A"/>
    <w:rsid w:val="00C8100B"/>
    <w:rsid w:val="00C85E85"/>
    <w:rsid w:val="00C8709B"/>
    <w:rsid w:val="00CA2397"/>
    <w:rsid w:val="00CA5F98"/>
    <w:rsid w:val="00CB0D9F"/>
    <w:rsid w:val="00CB13C6"/>
    <w:rsid w:val="00CB24A3"/>
    <w:rsid w:val="00CC0B11"/>
    <w:rsid w:val="00CC30D7"/>
    <w:rsid w:val="00CC5199"/>
    <w:rsid w:val="00CC7AE9"/>
    <w:rsid w:val="00CD0227"/>
    <w:rsid w:val="00CE0C47"/>
    <w:rsid w:val="00CF08F0"/>
    <w:rsid w:val="00D01325"/>
    <w:rsid w:val="00D02F70"/>
    <w:rsid w:val="00D140B9"/>
    <w:rsid w:val="00D17961"/>
    <w:rsid w:val="00D273CD"/>
    <w:rsid w:val="00D34B08"/>
    <w:rsid w:val="00D35C20"/>
    <w:rsid w:val="00D40A04"/>
    <w:rsid w:val="00D4711F"/>
    <w:rsid w:val="00D66ACD"/>
    <w:rsid w:val="00D66C85"/>
    <w:rsid w:val="00D709F8"/>
    <w:rsid w:val="00D721A2"/>
    <w:rsid w:val="00D72611"/>
    <w:rsid w:val="00D8120A"/>
    <w:rsid w:val="00D8146C"/>
    <w:rsid w:val="00D81AE0"/>
    <w:rsid w:val="00D82FCE"/>
    <w:rsid w:val="00D91610"/>
    <w:rsid w:val="00D9527A"/>
    <w:rsid w:val="00D95EB1"/>
    <w:rsid w:val="00D97C41"/>
    <w:rsid w:val="00DB1297"/>
    <w:rsid w:val="00DB20B2"/>
    <w:rsid w:val="00DC06C0"/>
    <w:rsid w:val="00DC4205"/>
    <w:rsid w:val="00DC5878"/>
    <w:rsid w:val="00DC73A5"/>
    <w:rsid w:val="00DC7D35"/>
    <w:rsid w:val="00DD2A98"/>
    <w:rsid w:val="00DD6C7B"/>
    <w:rsid w:val="00DE11AB"/>
    <w:rsid w:val="00DE2470"/>
    <w:rsid w:val="00DF6238"/>
    <w:rsid w:val="00DF62D0"/>
    <w:rsid w:val="00E01FF4"/>
    <w:rsid w:val="00E022EA"/>
    <w:rsid w:val="00E10870"/>
    <w:rsid w:val="00E12A1C"/>
    <w:rsid w:val="00E12F7B"/>
    <w:rsid w:val="00E20030"/>
    <w:rsid w:val="00E245E4"/>
    <w:rsid w:val="00E27F4A"/>
    <w:rsid w:val="00E30F79"/>
    <w:rsid w:val="00E33E4E"/>
    <w:rsid w:val="00E36400"/>
    <w:rsid w:val="00E42968"/>
    <w:rsid w:val="00E44075"/>
    <w:rsid w:val="00E50AA1"/>
    <w:rsid w:val="00E5268B"/>
    <w:rsid w:val="00E57B1B"/>
    <w:rsid w:val="00E605EE"/>
    <w:rsid w:val="00E6298A"/>
    <w:rsid w:val="00E67963"/>
    <w:rsid w:val="00E77EAF"/>
    <w:rsid w:val="00E854B4"/>
    <w:rsid w:val="00E86F3D"/>
    <w:rsid w:val="00E879FB"/>
    <w:rsid w:val="00E9095B"/>
    <w:rsid w:val="00E9260F"/>
    <w:rsid w:val="00E9448D"/>
    <w:rsid w:val="00EA1AA0"/>
    <w:rsid w:val="00EA4135"/>
    <w:rsid w:val="00EA5124"/>
    <w:rsid w:val="00EA6987"/>
    <w:rsid w:val="00EA6FCD"/>
    <w:rsid w:val="00EB3E0E"/>
    <w:rsid w:val="00EB3F2D"/>
    <w:rsid w:val="00EB74F2"/>
    <w:rsid w:val="00EB798B"/>
    <w:rsid w:val="00EC262F"/>
    <w:rsid w:val="00EC3183"/>
    <w:rsid w:val="00EC54C2"/>
    <w:rsid w:val="00EC5B6B"/>
    <w:rsid w:val="00EC6A26"/>
    <w:rsid w:val="00EE4C80"/>
    <w:rsid w:val="00EE5720"/>
    <w:rsid w:val="00EE6865"/>
    <w:rsid w:val="00EF02B3"/>
    <w:rsid w:val="00EF116F"/>
    <w:rsid w:val="00EF48D8"/>
    <w:rsid w:val="00EF51DB"/>
    <w:rsid w:val="00F00F21"/>
    <w:rsid w:val="00F01177"/>
    <w:rsid w:val="00F0610B"/>
    <w:rsid w:val="00F0701F"/>
    <w:rsid w:val="00F13AF9"/>
    <w:rsid w:val="00F22FFA"/>
    <w:rsid w:val="00F24FBD"/>
    <w:rsid w:val="00F30F04"/>
    <w:rsid w:val="00F31F3B"/>
    <w:rsid w:val="00F32138"/>
    <w:rsid w:val="00F36188"/>
    <w:rsid w:val="00F3700D"/>
    <w:rsid w:val="00F37B61"/>
    <w:rsid w:val="00F37DD4"/>
    <w:rsid w:val="00F4327F"/>
    <w:rsid w:val="00F4512D"/>
    <w:rsid w:val="00F52AAB"/>
    <w:rsid w:val="00F52EA1"/>
    <w:rsid w:val="00F570DB"/>
    <w:rsid w:val="00F63B43"/>
    <w:rsid w:val="00F67830"/>
    <w:rsid w:val="00F72420"/>
    <w:rsid w:val="00F931EC"/>
    <w:rsid w:val="00F9462E"/>
    <w:rsid w:val="00F965CC"/>
    <w:rsid w:val="00FA2BD3"/>
    <w:rsid w:val="00FA4183"/>
    <w:rsid w:val="00FA5AC3"/>
    <w:rsid w:val="00FB4715"/>
    <w:rsid w:val="00FC2E73"/>
    <w:rsid w:val="00FC32FD"/>
    <w:rsid w:val="00FC4259"/>
    <w:rsid w:val="00FC4F95"/>
    <w:rsid w:val="00FE16B3"/>
    <w:rsid w:val="00FE5571"/>
    <w:rsid w:val="00FE697F"/>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90CB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99"/>
    <w:qFormat/>
    <w:rsid w:val="00A52737"/>
    <w:pPr>
      <w:ind w:left="720"/>
      <w:contextualSpacing/>
    </w:pPr>
  </w:style>
  <w:style w:type="paragraph" w:styleId="FootnoteText">
    <w:name w:val="footnote text"/>
    <w:basedOn w:val="Normal"/>
    <w:link w:val="FootnoteTextChar"/>
    <w:uiPriority w:val="99"/>
    <w:rsid w:val="00070CD3"/>
    <w:pPr>
      <w:spacing w:before="0" w:after="40"/>
    </w:pPr>
    <w:rPr>
      <w:rFonts w:cs="Mangal"/>
      <w:szCs w:val="20"/>
      <w:lang w:eastAsia="en-GB" w:bidi="hi-IN"/>
    </w:rPr>
  </w:style>
  <w:style w:type="character" w:customStyle="1" w:styleId="FootnoteTextChar">
    <w:name w:val="Footnote Text Char"/>
    <w:basedOn w:val="DefaultParagraphFont"/>
    <w:link w:val="FootnoteText"/>
    <w:uiPriority w:val="99"/>
    <w:rsid w:val="00070CD3"/>
    <w:rPr>
      <w:rFonts w:ascii="Arial" w:hAnsi="Arial" w:cs="Mangal"/>
      <w:lang w:eastAsia="en-GB" w:bidi="hi-IN"/>
    </w:rPr>
  </w:style>
  <w:style w:type="character" w:styleId="FootnoteReference">
    <w:name w:val="footnote reference"/>
    <w:basedOn w:val="DefaultParagraphFont"/>
    <w:uiPriority w:val="99"/>
    <w:rsid w:val="00070CD3"/>
    <w:rPr>
      <w:rFonts w:cs="Times New Roman"/>
      <w:vertAlign w:val="superscript"/>
    </w:rPr>
  </w:style>
  <w:style w:type="paragraph" w:customStyle="1" w:styleId="HRFHeading1Numbered">
    <w:name w:val="HRF Heading 1 Numbered"/>
    <w:basedOn w:val="Heading1"/>
    <w:uiPriority w:val="99"/>
    <w:rsid w:val="005B4CAB"/>
    <w:pPr>
      <w:numPr>
        <w:numId w:val="47"/>
      </w:numPr>
      <w:tabs>
        <w:tab w:val="clear" w:pos="360"/>
        <w:tab w:val="left" w:pos="737"/>
      </w:tabs>
      <w:spacing w:after="240"/>
      <w:ind w:left="737" w:hanging="737"/>
      <w:jc w:val="both"/>
    </w:pPr>
    <w:rPr>
      <w:rFonts w:cs="Mangal"/>
      <w:bCs/>
      <w:color w:val="1B3A59"/>
      <w:kern w:val="32"/>
      <w:sz w:val="32"/>
      <w:lang w:eastAsia="en-GB" w:bidi="hi-IN"/>
    </w:rPr>
  </w:style>
  <w:style w:type="paragraph" w:customStyle="1" w:styleId="HRFHeading2Numbered">
    <w:name w:val="HRF Heading 2 Numbered"/>
    <w:basedOn w:val="Heading1"/>
    <w:autoRedefine/>
    <w:uiPriority w:val="99"/>
    <w:rsid w:val="005B4CAB"/>
    <w:pPr>
      <w:numPr>
        <w:ilvl w:val="1"/>
        <w:numId w:val="47"/>
      </w:numPr>
      <w:tabs>
        <w:tab w:val="clear" w:pos="792"/>
        <w:tab w:val="left" w:pos="737"/>
      </w:tabs>
      <w:spacing w:after="240"/>
      <w:ind w:left="737" w:hanging="737"/>
      <w:jc w:val="both"/>
    </w:pPr>
    <w:rPr>
      <w:rFonts w:cs="Mangal"/>
      <w:bCs/>
      <w:iCs/>
      <w:color w:val="1B3A59"/>
      <w:kern w:val="32"/>
      <w:lang w:eastAsia="en-GB" w:bidi="hi-IN"/>
    </w:rPr>
  </w:style>
  <w:style w:type="paragraph" w:customStyle="1" w:styleId="HRFHeading3Numbered">
    <w:name w:val="HRF Heading 3 Numbered"/>
    <w:basedOn w:val="HRFHeading2Numbered"/>
    <w:autoRedefine/>
    <w:uiPriority w:val="99"/>
    <w:rsid w:val="005B4CAB"/>
    <w:pPr>
      <w:numPr>
        <w:ilvl w:val="2"/>
      </w:numPr>
      <w:spacing w:after="120"/>
      <w:jc w:val="left"/>
    </w:pPr>
    <w:rPr>
      <w:sz w:val="24"/>
    </w:rPr>
  </w:style>
  <w:style w:type="paragraph" w:styleId="Revision">
    <w:name w:val="Revision"/>
    <w:hidden/>
    <w:uiPriority w:val="99"/>
    <w:semiHidden/>
    <w:rsid w:val="007552F3"/>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99"/>
    <w:qFormat/>
    <w:rsid w:val="00A52737"/>
    <w:pPr>
      <w:ind w:left="720"/>
      <w:contextualSpacing/>
    </w:pPr>
  </w:style>
  <w:style w:type="paragraph" w:styleId="FootnoteText">
    <w:name w:val="footnote text"/>
    <w:basedOn w:val="Normal"/>
    <w:link w:val="FootnoteTextChar"/>
    <w:uiPriority w:val="99"/>
    <w:rsid w:val="00070CD3"/>
    <w:pPr>
      <w:spacing w:before="0" w:after="40"/>
    </w:pPr>
    <w:rPr>
      <w:rFonts w:cs="Mangal"/>
      <w:szCs w:val="20"/>
      <w:lang w:eastAsia="en-GB" w:bidi="hi-IN"/>
    </w:rPr>
  </w:style>
  <w:style w:type="character" w:customStyle="1" w:styleId="FootnoteTextChar">
    <w:name w:val="Footnote Text Char"/>
    <w:basedOn w:val="DefaultParagraphFont"/>
    <w:link w:val="FootnoteText"/>
    <w:uiPriority w:val="99"/>
    <w:rsid w:val="00070CD3"/>
    <w:rPr>
      <w:rFonts w:ascii="Arial" w:hAnsi="Arial" w:cs="Mangal"/>
      <w:lang w:eastAsia="en-GB" w:bidi="hi-IN"/>
    </w:rPr>
  </w:style>
  <w:style w:type="character" w:styleId="FootnoteReference">
    <w:name w:val="footnote reference"/>
    <w:basedOn w:val="DefaultParagraphFont"/>
    <w:uiPriority w:val="99"/>
    <w:rsid w:val="00070CD3"/>
    <w:rPr>
      <w:rFonts w:cs="Times New Roman"/>
      <w:vertAlign w:val="superscript"/>
    </w:rPr>
  </w:style>
  <w:style w:type="paragraph" w:customStyle="1" w:styleId="HRFHeading1Numbered">
    <w:name w:val="HRF Heading 1 Numbered"/>
    <w:basedOn w:val="Heading1"/>
    <w:uiPriority w:val="99"/>
    <w:rsid w:val="005B4CAB"/>
    <w:pPr>
      <w:numPr>
        <w:numId w:val="47"/>
      </w:numPr>
      <w:tabs>
        <w:tab w:val="clear" w:pos="360"/>
        <w:tab w:val="left" w:pos="737"/>
      </w:tabs>
      <w:spacing w:after="240"/>
      <w:ind w:left="737" w:hanging="737"/>
      <w:jc w:val="both"/>
    </w:pPr>
    <w:rPr>
      <w:rFonts w:cs="Mangal"/>
      <w:bCs/>
      <w:color w:val="1B3A59"/>
      <w:kern w:val="32"/>
      <w:sz w:val="32"/>
      <w:lang w:eastAsia="en-GB" w:bidi="hi-IN"/>
    </w:rPr>
  </w:style>
  <w:style w:type="paragraph" w:customStyle="1" w:styleId="HRFHeading2Numbered">
    <w:name w:val="HRF Heading 2 Numbered"/>
    <w:basedOn w:val="Heading1"/>
    <w:autoRedefine/>
    <w:uiPriority w:val="99"/>
    <w:rsid w:val="005B4CAB"/>
    <w:pPr>
      <w:numPr>
        <w:ilvl w:val="1"/>
        <w:numId w:val="47"/>
      </w:numPr>
      <w:tabs>
        <w:tab w:val="clear" w:pos="792"/>
        <w:tab w:val="left" w:pos="737"/>
      </w:tabs>
      <w:spacing w:after="240"/>
      <w:ind w:left="737" w:hanging="737"/>
      <w:jc w:val="both"/>
    </w:pPr>
    <w:rPr>
      <w:rFonts w:cs="Mangal"/>
      <w:bCs/>
      <w:iCs/>
      <w:color w:val="1B3A59"/>
      <w:kern w:val="32"/>
      <w:lang w:eastAsia="en-GB" w:bidi="hi-IN"/>
    </w:rPr>
  </w:style>
  <w:style w:type="paragraph" w:customStyle="1" w:styleId="HRFHeading3Numbered">
    <w:name w:val="HRF Heading 3 Numbered"/>
    <w:basedOn w:val="HRFHeading2Numbered"/>
    <w:autoRedefine/>
    <w:uiPriority w:val="99"/>
    <w:rsid w:val="005B4CAB"/>
    <w:pPr>
      <w:numPr>
        <w:ilvl w:val="2"/>
      </w:numPr>
      <w:spacing w:after="120"/>
      <w:jc w:val="left"/>
    </w:pPr>
    <w:rPr>
      <w:sz w:val="24"/>
    </w:rPr>
  </w:style>
  <w:style w:type="paragraph" w:styleId="Revision">
    <w:name w:val="Revision"/>
    <w:hidden/>
    <w:uiPriority w:val="99"/>
    <w:semiHidden/>
    <w:rsid w:val="007552F3"/>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1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3A5DC-C534-4664-A572-A170C7A4F5F5}"/>
</file>

<file path=customXml/itemProps2.xml><?xml version="1.0" encoding="utf-8"?>
<ds:datastoreItem xmlns:ds="http://schemas.openxmlformats.org/officeDocument/2006/customXml" ds:itemID="{908E9BA5-210E-4282-9663-31585EDE3730}"/>
</file>

<file path=customXml/itemProps3.xml><?xml version="1.0" encoding="utf-8"?>
<ds:datastoreItem xmlns:ds="http://schemas.openxmlformats.org/officeDocument/2006/customXml" ds:itemID="{6997E0EE-D45C-45C9-9815-FEAD1F28CA55}"/>
</file>

<file path=customXml/itemProps4.xml><?xml version="1.0" encoding="utf-8"?>
<ds:datastoreItem xmlns:ds="http://schemas.openxmlformats.org/officeDocument/2006/customXml" ds:itemID="{DD6B8D70-7E58-4E80-B975-E5B97903FB3A}"/>
</file>

<file path=docProps/app.xml><?xml version="1.0" encoding="utf-8"?>
<Properties xmlns="http://schemas.openxmlformats.org/officeDocument/2006/extended-properties" xmlns:vt="http://schemas.openxmlformats.org/officeDocument/2006/docPropsVTypes">
  <Template>Normal.dotm</Template>
  <TotalTime>0</TotalTime>
  <Pages>13</Pages>
  <Words>4181</Words>
  <Characters>23671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2014-04-03T04:12:00Z</dcterms:created>
  <dcterms:modified xsi:type="dcterms:W3CDTF">2014-04-03T04:12:00Z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324500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