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1F93A" w14:textId="77777777" w:rsidR="00F04445" w:rsidRPr="007B0751" w:rsidRDefault="00474BA8" w:rsidP="00F04445">
      <w:pPr>
        <w:spacing w:before="3" w:after="720"/>
        <w:ind w:left="8784" w:right="663"/>
        <w:rPr>
          <w:rFonts w:asciiTheme="majorHAnsi" w:hAnsiTheme="majorHAnsi"/>
        </w:rPr>
      </w:pPr>
      <w:r>
        <w:rPr>
          <w:rFonts w:asciiTheme="majorHAnsi" w:hAnsiTheme="majorHAnsi"/>
          <w:noProof/>
          <w:lang w:val="en-AU" w:eastAsia="en-AU"/>
        </w:rPr>
        <mc:AlternateContent>
          <mc:Choice Requires="wps">
            <w:drawing>
              <wp:anchor distT="0" distB="0" distL="0" distR="0" simplePos="0" relativeHeight="251662336" behindDoc="0" locked="0" layoutInCell="0" allowOverlap="1" wp14:anchorId="2A5FEC77" wp14:editId="3CFF6B12">
                <wp:simplePos x="0" y="0"/>
                <wp:positionH relativeFrom="page">
                  <wp:posOffset>773430</wp:posOffset>
                </wp:positionH>
                <wp:positionV relativeFrom="page">
                  <wp:posOffset>2272030</wp:posOffset>
                </wp:positionV>
                <wp:extent cx="4602480" cy="1537970"/>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153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2C68F" w14:textId="77777777" w:rsidR="00CE424F" w:rsidRPr="00717803" w:rsidRDefault="00CE424F" w:rsidP="00F04445">
                            <w:pPr>
                              <w:rPr>
                                <w:rFonts w:asciiTheme="majorHAnsi" w:hAnsiTheme="majorHAnsi"/>
                                <w:b/>
                                <w:color w:val="003333"/>
                                <w:spacing w:val="-8"/>
                                <w:w w:val="105"/>
                                <w:sz w:val="48"/>
                                <w:szCs w:val="45"/>
                              </w:rPr>
                            </w:pPr>
                            <w:r>
                              <w:rPr>
                                <w:rFonts w:asciiTheme="majorHAnsi" w:hAnsiTheme="majorHAnsi"/>
                                <w:b/>
                                <w:color w:val="003333"/>
                                <w:spacing w:val="-8"/>
                                <w:w w:val="105"/>
                                <w:sz w:val="48"/>
                                <w:szCs w:val="45"/>
                              </w:rPr>
                              <w:t xml:space="preserve">Program </w:t>
                            </w:r>
                            <w:r w:rsidRPr="00717803">
                              <w:rPr>
                                <w:rFonts w:asciiTheme="majorHAnsi" w:hAnsiTheme="majorHAnsi"/>
                                <w:b/>
                                <w:color w:val="003333"/>
                                <w:spacing w:val="-8"/>
                                <w:w w:val="105"/>
                                <w:sz w:val="48"/>
                                <w:szCs w:val="45"/>
                              </w:rPr>
                              <w:t>Review</w:t>
                            </w:r>
                          </w:p>
                          <w:p w14:paraId="772843A6" w14:textId="77777777" w:rsidR="00CE424F" w:rsidRPr="00AF6253" w:rsidRDefault="00CE424F" w:rsidP="00F04445">
                            <w:pPr>
                              <w:rPr>
                                <w:rFonts w:asciiTheme="majorHAnsi" w:hAnsiTheme="majorHAnsi" w:cs="Arial"/>
                                <w:b/>
                                <w:color w:val="FFFFFF" w:themeColor="background1"/>
                                <w:sz w:val="48"/>
                                <w:szCs w:val="48"/>
                                <w:lang w:val="en-GB"/>
                              </w:rPr>
                            </w:pPr>
                            <w:r w:rsidRPr="00AF6253">
                              <w:rPr>
                                <w:rFonts w:asciiTheme="majorHAnsi" w:hAnsiTheme="majorHAnsi" w:cs="Arial"/>
                                <w:b/>
                                <w:color w:val="FFFFFF" w:themeColor="background1"/>
                                <w:sz w:val="48"/>
                                <w:szCs w:val="48"/>
                                <w:lang w:val="en-GB"/>
                              </w:rPr>
                              <w:t>Australia Middle-East NGO Cooperation Agreement (AMENCA)</w:t>
                            </w:r>
                            <w:r>
                              <w:rPr>
                                <w:rFonts w:asciiTheme="majorHAnsi" w:hAnsiTheme="majorHAnsi" w:cs="Arial"/>
                                <w:b/>
                                <w:color w:val="FFFFFF" w:themeColor="background1"/>
                                <w:sz w:val="48"/>
                                <w:szCs w:val="48"/>
                                <w:lang w:val="en-GB"/>
                              </w:rPr>
                              <w:t xml:space="preserve"> Phase Two (2009-15)</w:t>
                            </w:r>
                          </w:p>
                          <w:p w14:paraId="5EB82021" w14:textId="77777777" w:rsidR="00CE424F" w:rsidRDefault="00CE424F" w:rsidP="00F04445">
                            <w:pPr>
                              <w:spacing w:line="206" w:lineRule="auto"/>
                              <w:rPr>
                                <w:rFonts w:ascii="Arial" w:hAnsi="Arial"/>
                                <w:color w:val="FFFFFF"/>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0.9pt;margin-top:178.9pt;width:362.4pt;height:121.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" o:allowincell="f" stroked="f">
                <v:fill opacity="0"/>
                <v:textbox inset="0,0,0,0">
                  <w:txbxContent>
                    <w:p w14:paraId="5E22C68F" w14:textId="77777777" w:rsidR="00CE424F" w:rsidRPr="00717803" w:rsidRDefault="00CE424F" w:rsidP="00F04445">
                      <w:pPr>
                        <w:rPr>
                          <w:rFonts w:asciiTheme="majorHAnsi" w:hAnsiTheme="majorHAnsi"/>
                          <w:b/>
                          <w:color w:val="003333"/>
                          <w:spacing w:val="-8"/>
                          <w:w w:val="105"/>
                          <w:sz w:val="48"/>
                          <w:szCs w:val="45"/>
                        </w:rPr>
                      </w:pPr>
                      <w:r>
                        <w:rPr>
                          <w:rFonts w:asciiTheme="majorHAnsi" w:hAnsiTheme="majorHAnsi"/>
                          <w:b/>
                          <w:color w:val="003333"/>
                          <w:spacing w:val="-8"/>
                          <w:w w:val="105"/>
                          <w:sz w:val="48"/>
                          <w:szCs w:val="45"/>
                        </w:rPr>
                        <w:t xml:space="preserve">Program </w:t>
                      </w:r>
                      <w:r w:rsidRPr="00717803">
                        <w:rPr>
                          <w:rFonts w:asciiTheme="majorHAnsi" w:hAnsiTheme="majorHAnsi"/>
                          <w:b/>
                          <w:color w:val="003333"/>
                          <w:spacing w:val="-8"/>
                          <w:w w:val="105"/>
                          <w:sz w:val="48"/>
                          <w:szCs w:val="45"/>
                        </w:rPr>
                        <w:t>Review</w:t>
                      </w:r>
                    </w:p>
                    <w:p w14:paraId="772843A6" w14:textId="77777777" w:rsidR="00CE424F" w:rsidRPr="00AF6253" w:rsidRDefault="00CE424F" w:rsidP="00F04445">
                      <w:pPr>
                        <w:rPr>
                          <w:rFonts w:asciiTheme="majorHAnsi" w:hAnsiTheme="majorHAnsi" w:cs="Arial"/>
                          <w:b/>
                          <w:color w:val="FFFFFF" w:themeColor="background1"/>
                          <w:sz w:val="48"/>
                          <w:szCs w:val="48"/>
                          <w:lang w:val="en-GB"/>
                        </w:rPr>
                      </w:pPr>
                      <w:r w:rsidRPr="00AF6253">
                        <w:rPr>
                          <w:rFonts w:asciiTheme="majorHAnsi" w:hAnsiTheme="majorHAnsi" w:cs="Arial"/>
                          <w:b/>
                          <w:color w:val="FFFFFF" w:themeColor="background1"/>
                          <w:sz w:val="48"/>
                          <w:szCs w:val="48"/>
                          <w:lang w:val="en-GB"/>
                        </w:rPr>
                        <w:t>Australia Middle-East NGO Cooperation Agreement (AMENCA)</w:t>
                      </w:r>
                      <w:r>
                        <w:rPr>
                          <w:rFonts w:asciiTheme="majorHAnsi" w:hAnsiTheme="majorHAnsi" w:cs="Arial"/>
                          <w:b/>
                          <w:color w:val="FFFFFF" w:themeColor="background1"/>
                          <w:sz w:val="48"/>
                          <w:szCs w:val="48"/>
                          <w:lang w:val="en-GB"/>
                        </w:rPr>
                        <w:t xml:space="preserve"> Phase Two (2009-15)</w:t>
                      </w:r>
                    </w:p>
                    <w:p w14:paraId="5EB82021" w14:textId="77777777" w:rsidR="00CE424F" w:rsidRDefault="00CE424F" w:rsidP="00F04445">
                      <w:pPr>
                        <w:spacing w:line="206" w:lineRule="auto"/>
                        <w:rPr>
                          <w:rFonts w:ascii="Arial" w:hAnsi="Arial"/>
                          <w:color w:val="FFFFFF"/>
                          <w:sz w:val="56"/>
                          <w:szCs w:val="56"/>
                        </w:rPr>
                      </w:pPr>
                    </w:p>
                  </w:txbxContent>
                </v:textbox>
                <w10:wrap type="square" anchorx="page" anchory="page"/>
              </v:shape>
            </w:pict>
          </mc:Fallback>
        </mc:AlternateContent>
      </w:r>
      <w:r>
        <w:rPr>
          <w:rFonts w:asciiTheme="majorHAnsi" w:hAnsiTheme="majorHAnsi"/>
          <w:noProof/>
          <w:lang w:val="en-AU" w:eastAsia="en-AU"/>
        </w:rPr>
        <mc:AlternateContent>
          <mc:Choice Requires="wps">
            <w:drawing>
              <wp:anchor distT="0" distB="0" distL="114300" distR="114300" simplePos="0" relativeHeight="251659264" behindDoc="1" locked="0" layoutInCell="0" allowOverlap="1" wp14:anchorId="2DBB6336" wp14:editId="08D9E803">
                <wp:simplePos x="0" y="0"/>
                <wp:positionH relativeFrom="page">
                  <wp:posOffset>0</wp:posOffset>
                </wp:positionH>
                <wp:positionV relativeFrom="page">
                  <wp:posOffset>0</wp:posOffset>
                </wp:positionV>
                <wp:extent cx="7567930" cy="1070229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10702290"/>
                        </a:xfrm>
                        <a:prstGeom prst="rect">
                          <a:avLst/>
                        </a:prstGeom>
                        <a:solidFill>
                          <a:srgbClr val="23828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2EDEE" w14:textId="77777777" w:rsidR="00CE424F" w:rsidRDefault="00CE424F" w:rsidP="00F04445">
                            <w:pPr>
                              <w:autoSpaceDE w:val="0"/>
                              <w:autoSpaceDN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0;width:595.9pt;height:84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" o:allowincell="f" fillcolor="#238282" stroked="f">
                <v:fill opacity="32896f"/>
                <v:textbox>
                  <w:txbxContent>
                    <w:p w14:paraId="43A2EDEE" w14:textId="77777777" w:rsidR="00CE424F" w:rsidRDefault="00CE424F" w:rsidP="00F04445">
                      <w:pPr>
                        <w:autoSpaceDE w:val="0"/>
                        <w:autoSpaceDN w:val="0"/>
                        <w:rPr>
                          <w:sz w:val="20"/>
                          <w:szCs w:val="20"/>
                        </w:rPr>
                      </w:pPr>
                    </w:p>
                  </w:txbxContent>
                </v:textbox>
                <w10:wrap anchorx="page" anchory="page"/>
              </v:shape>
            </w:pict>
          </mc:Fallback>
        </mc:AlternateContent>
      </w:r>
      <w:r w:rsidR="00F04445" w:rsidRPr="007B0751">
        <w:rPr>
          <w:rFonts w:asciiTheme="majorHAnsi" w:hAnsiTheme="majorHAnsi"/>
          <w:noProof/>
          <w:lang w:val="en-AU" w:eastAsia="en-AU"/>
        </w:rPr>
        <w:drawing>
          <wp:inline distT="0" distB="0" distL="0" distR="0" wp14:anchorId="2AA662F4" wp14:editId="4C2EF665">
            <wp:extent cx="1544320" cy="1056640"/>
            <wp:effectExtent l="0" t="0" r="508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20" cy="1056640"/>
                    </a:xfrm>
                    <a:prstGeom prst="rect">
                      <a:avLst/>
                    </a:prstGeom>
                    <a:noFill/>
                    <a:ln>
                      <a:noFill/>
                    </a:ln>
                  </pic:spPr>
                </pic:pic>
              </a:graphicData>
            </a:graphic>
          </wp:inline>
        </w:drawing>
      </w:r>
    </w:p>
    <w:p w14:paraId="0362D2CE" w14:textId="77777777" w:rsidR="00F04445" w:rsidRPr="007B0751" w:rsidRDefault="00474BA8" w:rsidP="00F04445">
      <w:pPr>
        <w:tabs>
          <w:tab w:val="left" w:pos="8520"/>
        </w:tabs>
        <w:ind w:left="1152"/>
        <w:rPr>
          <w:rFonts w:asciiTheme="majorHAnsi" w:hAnsiTheme="majorHAnsi"/>
          <w:b/>
          <w:color w:val="004C4C"/>
          <w:sz w:val="23"/>
          <w:szCs w:val="23"/>
        </w:rPr>
      </w:pPr>
      <w:r>
        <w:rPr>
          <w:rFonts w:asciiTheme="majorHAnsi" w:hAnsiTheme="majorHAnsi"/>
          <w:noProof/>
          <w:lang w:val="en-AU" w:eastAsia="en-AU"/>
        </w:rPr>
        <mc:AlternateContent>
          <mc:Choice Requires="wps">
            <w:drawing>
              <wp:anchor distT="0" distB="0" distL="0" distR="0" simplePos="0" relativeHeight="251663360" behindDoc="0" locked="0" layoutInCell="0" allowOverlap="1" wp14:anchorId="40AF4CAB" wp14:editId="201D1D01">
                <wp:simplePos x="0" y="0"/>
                <wp:positionH relativeFrom="page">
                  <wp:posOffset>764540</wp:posOffset>
                </wp:positionH>
                <wp:positionV relativeFrom="page">
                  <wp:posOffset>7960360</wp:posOffset>
                </wp:positionV>
                <wp:extent cx="3587750" cy="622935"/>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4C2E8" w14:textId="77777777" w:rsidR="00CE424F" w:rsidRPr="004A0D3C" w:rsidRDefault="00CE424F" w:rsidP="00F04445">
                            <w:pPr>
                              <w:rPr>
                                <w:rFonts w:ascii="Arial" w:hAnsi="Arial"/>
                                <w:color w:val="003333"/>
                                <w:spacing w:val="-8"/>
                                <w:w w:val="105"/>
                                <w:sz w:val="45"/>
                                <w:szCs w:val="45"/>
                              </w:rPr>
                            </w:pPr>
                            <w:r>
                              <w:rPr>
                                <w:rFonts w:ascii="Arial" w:hAnsi="Arial"/>
                                <w:color w:val="003333"/>
                                <w:spacing w:val="-8"/>
                                <w:w w:val="105"/>
                                <w:sz w:val="45"/>
                                <w:szCs w:val="45"/>
                              </w:rPr>
                              <w:t>Consultant Evaluator</w:t>
                            </w:r>
                            <w:r>
                              <w:rPr>
                                <w:rFonts w:ascii="Arial" w:hAnsi="Arial"/>
                                <w:color w:val="003333"/>
                                <w:spacing w:val="-8"/>
                                <w:w w:val="105"/>
                                <w:sz w:val="45"/>
                                <w:szCs w:val="45"/>
                              </w:rPr>
                              <w:tab/>
                            </w:r>
                          </w:p>
                          <w:p w14:paraId="5D061CEA" w14:textId="77777777" w:rsidR="00CE424F" w:rsidRPr="004A0D3C" w:rsidRDefault="00CE424F" w:rsidP="00F04445">
                            <w:pPr>
                              <w:rPr>
                                <w:rFonts w:ascii="Arial" w:hAnsi="Arial"/>
                                <w:color w:val="FFFFFF"/>
                                <w:spacing w:val="-8"/>
                                <w:w w:val="105"/>
                                <w:sz w:val="45"/>
                                <w:szCs w:val="45"/>
                              </w:rPr>
                            </w:pPr>
                            <w:r>
                              <w:rPr>
                                <w:rFonts w:ascii="Arial" w:hAnsi="Arial"/>
                                <w:color w:val="FFFFFF"/>
                                <w:spacing w:val="-8"/>
                                <w:w w:val="105"/>
                                <w:sz w:val="45"/>
                                <w:szCs w:val="45"/>
                              </w:rPr>
                              <w:t>Scott Rankin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0.2pt;margin-top:626.8pt;width:282.5pt;height:4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" o:allowincell="f" stroked="f">
                <v:fill opacity="0"/>
                <v:textbox inset="0,0,0,0">
                  <w:txbxContent>
                    <w:p w14:paraId="6394C2E8" w14:textId="77777777" w:rsidR="00CE424F" w:rsidRPr="004A0D3C" w:rsidRDefault="00CE424F" w:rsidP="00F04445">
                      <w:pPr>
                        <w:rPr>
                          <w:rFonts w:ascii="Arial" w:hAnsi="Arial"/>
                          <w:color w:val="003333"/>
                          <w:spacing w:val="-8"/>
                          <w:w w:val="105"/>
                          <w:sz w:val="45"/>
                          <w:szCs w:val="45"/>
                        </w:rPr>
                      </w:pPr>
                      <w:r>
                        <w:rPr>
                          <w:rFonts w:ascii="Arial" w:hAnsi="Arial"/>
                          <w:color w:val="003333"/>
                          <w:spacing w:val="-8"/>
                          <w:w w:val="105"/>
                          <w:sz w:val="45"/>
                          <w:szCs w:val="45"/>
                        </w:rPr>
                        <w:t>Consultant Evaluator</w:t>
                      </w:r>
                      <w:r>
                        <w:rPr>
                          <w:rFonts w:ascii="Arial" w:hAnsi="Arial"/>
                          <w:color w:val="003333"/>
                          <w:spacing w:val="-8"/>
                          <w:w w:val="105"/>
                          <w:sz w:val="45"/>
                          <w:szCs w:val="45"/>
                        </w:rPr>
                        <w:tab/>
                      </w:r>
                    </w:p>
                    <w:p w14:paraId="5D061CEA" w14:textId="77777777" w:rsidR="00CE424F" w:rsidRPr="004A0D3C" w:rsidRDefault="00CE424F" w:rsidP="00F04445">
                      <w:pPr>
                        <w:rPr>
                          <w:rFonts w:ascii="Arial" w:hAnsi="Arial"/>
                          <w:color w:val="FFFFFF"/>
                          <w:spacing w:val="-8"/>
                          <w:w w:val="105"/>
                          <w:sz w:val="45"/>
                          <w:szCs w:val="45"/>
                        </w:rPr>
                      </w:pPr>
                      <w:r>
                        <w:rPr>
                          <w:rFonts w:ascii="Arial" w:hAnsi="Arial"/>
                          <w:color w:val="FFFFFF"/>
                          <w:spacing w:val="-8"/>
                          <w:w w:val="105"/>
                          <w:sz w:val="45"/>
                          <w:szCs w:val="45"/>
                        </w:rPr>
                        <w:t>Scott Rankin</w:t>
                      </w:r>
                    </w:p>
                  </w:txbxContent>
                </v:textbox>
                <w10:wrap type="square" anchorx="page" anchory="page"/>
              </v:shape>
            </w:pict>
          </mc:Fallback>
        </mc:AlternateContent>
      </w:r>
      <w:r>
        <w:rPr>
          <w:rFonts w:asciiTheme="majorHAnsi" w:hAnsiTheme="majorHAnsi"/>
          <w:noProof/>
          <w:lang w:val="en-AU" w:eastAsia="en-AU"/>
        </w:rPr>
        <mc:AlternateContent>
          <mc:Choice Requires="wps">
            <w:drawing>
              <wp:anchor distT="0" distB="0" distL="0" distR="0" simplePos="0" relativeHeight="251660288" behindDoc="1" locked="0" layoutInCell="0" allowOverlap="1" wp14:anchorId="17EE83E3" wp14:editId="34464ABF">
                <wp:simplePos x="0" y="0"/>
                <wp:positionH relativeFrom="page">
                  <wp:posOffset>2540</wp:posOffset>
                </wp:positionH>
                <wp:positionV relativeFrom="page">
                  <wp:posOffset>1948815</wp:posOffset>
                </wp:positionV>
                <wp:extent cx="7562215" cy="7036435"/>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703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7D938" w14:textId="77777777" w:rsidR="00CE424F" w:rsidRDefault="00CE424F" w:rsidP="00F044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pt;margin-top:153.45pt;width:595.45pt;height:554.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" o:allowincell="f" stroked="f">
                <v:fill opacity="0"/>
                <v:textbox inset="0,0,0,0">
                  <w:txbxContent>
                    <w:p w14:paraId="0B27D938" w14:textId="77777777" w:rsidR="00CE424F" w:rsidRDefault="00CE424F" w:rsidP="00F04445"/>
                  </w:txbxContent>
                </v:textbox>
                <w10:wrap type="square" anchorx="page" anchory="page"/>
              </v:shape>
            </w:pict>
          </mc:Fallback>
        </mc:AlternateContent>
      </w:r>
      <w:r>
        <w:rPr>
          <w:rFonts w:asciiTheme="majorHAnsi" w:hAnsiTheme="majorHAnsi"/>
          <w:noProof/>
          <w:lang w:val="en-AU" w:eastAsia="en-AU"/>
        </w:rPr>
        <mc:AlternateContent>
          <mc:Choice Requires="wps">
            <w:drawing>
              <wp:anchor distT="0" distB="0" distL="0" distR="0" simplePos="0" relativeHeight="251661312" behindDoc="0" locked="0" layoutInCell="0" allowOverlap="1" wp14:anchorId="07AE4C78" wp14:editId="44B84B38">
                <wp:simplePos x="0" y="0"/>
                <wp:positionH relativeFrom="page">
                  <wp:posOffset>2540</wp:posOffset>
                </wp:positionH>
                <wp:positionV relativeFrom="page">
                  <wp:posOffset>1948815</wp:posOffset>
                </wp:positionV>
                <wp:extent cx="7562215" cy="6793865"/>
                <wp:effectExtent l="0" t="0"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6793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50A0" w14:textId="77777777" w:rsidR="00CE424F" w:rsidRDefault="00CE424F" w:rsidP="00F04445">
                            <w:pPr>
                              <w:jc w:val="center"/>
                            </w:pPr>
                            <w:r>
                              <w:rPr>
                                <w:noProof/>
                                <w:lang w:val="en-AU" w:eastAsia="en-AU"/>
                              </w:rPr>
                              <w:drawing>
                                <wp:inline distT="0" distB="0" distL="0" distR="0" wp14:anchorId="274CF407" wp14:editId="4E3A8AFB">
                                  <wp:extent cx="7569200" cy="678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9200" cy="67868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pt;margin-top:153.45pt;width:595.45pt;height:534.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k1jwIAACQ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" o:allowincell="f" stroked="f">
                <v:fill opacity="0"/>
                <v:textbox inset="0,0,0,0">
                  <w:txbxContent>
                    <w:p w14:paraId="299850A0" w14:textId="77777777" w:rsidR="00CE424F" w:rsidRDefault="00CE424F" w:rsidP="00F04445">
                      <w:pPr>
                        <w:jc w:val="center"/>
                      </w:pPr>
                      <w:r>
                        <w:rPr>
                          <w:noProof/>
                          <w:lang w:val="en-AU" w:eastAsia="en-AU"/>
                        </w:rPr>
                        <w:drawing>
                          <wp:inline distT="0" distB="0" distL="0" distR="0" wp14:anchorId="274CF407" wp14:editId="4E3A8AFB">
                            <wp:extent cx="7569200" cy="678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0" cy="6786880"/>
                                    </a:xfrm>
                                    <a:prstGeom prst="rect">
                                      <a:avLst/>
                                    </a:prstGeom>
                                    <a:noFill/>
                                    <a:ln>
                                      <a:noFill/>
                                    </a:ln>
                                  </pic:spPr>
                                </pic:pic>
                              </a:graphicData>
                            </a:graphic>
                          </wp:inline>
                        </w:drawing>
                      </w:r>
                    </w:p>
                  </w:txbxContent>
                </v:textbox>
                <w10:wrap type="square" anchorx="page" anchory="page"/>
              </v:shape>
            </w:pict>
          </mc:Fallback>
        </mc:AlternateContent>
      </w:r>
      <w:r w:rsidR="00F04445" w:rsidRPr="007B0751">
        <w:rPr>
          <w:rFonts w:asciiTheme="majorHAnsi" w:hAnsiTheme="majorHAnsi"/>
          <w:b/>
          <w:color w:val="004C4C"/>
          <w:sz w:val="23"/>
          <w:szCs w:val="23"/>
          <w:lang w:val="en-GB"/>
        </w:rPr>
        <w:t>Research Communications Group</w:t>
      </w:r>
    </w:p>
    <w:p w14:paraId="013DED2D" w14:textId="77777777" w:rsidR="00F04445" w:rsidRPr="007B0751" w:rsidRDefault="00F04445" w:rsidP="00F04445">
      <w:pPr>
        <w:tabs>
          <w:tab w:val="left" w:pos="8520"/>
        </w:tabs>
        <w:spacing w:line="273" w:lineRule="auto"/>
        <w:ind w:left="1152" w:right="7992"/>
        <w:rPr>
          <w:rFonts w:asciiTheme="majorHAnsi" w:hAnsiTheme="majorHAnsi"/>
          <w:color w:val="FFFFFF"/>
          <w:spacing w:val="1"/>
          <w:szCs w:val="22"/>
        </w:rPr>
      </w:pPr>
      <w:r w:rsidRPr="007B0751">
        <w:rPr>
          <w:rFonts w:asciiTheme="majorHAnsi" w:hAnsiTheme="majorHAnsi"/>
          <w:color w:val="004C4C"/>
          <w:spacing w:val="1"/>
          <w:w w:val="105"/>
          <w:szCs w:val="22"/>
        </w:rPr>
        <w:t>Telephone</w:t>
      </w:r>
      <w:r w:rsidRPr="007B0751">
        <w:rPr>
          <w:rFonts w:asciiTheme="majorHAnsi" w:hAnsiTheme="majorHAnsi"/>
          <w:color w:val="FFFFFF"/>
          <w:spacing w:val="1"/>
          <w:szCs w:val="22"/>
        </w:rPr>
        <w:t xml:space="preserve"> +64 4889 3733</w:t>
      </w:r>
    </w:p>
    <w:p w14:paraId="3FC07DA3" w14:textId="77777777" w:rsidR="00F04445" w:rsidRPr="007B0751" w:rsidRDefault="00F04445" w:rsidP="00F04445">
      <w:pPr>
        <w:tabs>
          <w:tab w:val="left" w:pos="8520"/>
        </w:tabs>
        <w:spacing w:line="273" w:lineRule="auto"/>
        <w:ind w:left="1152" w:right="7594"/>
        <w:rPr>
          <w:rFonts w:asciiTheme="majorHAnsi" w:hAnsiTheme="majorHAnsi"/>
          <w:color w:val="0000FF"/>
          <w:szCs w:val="22"/>
          <w:u w:val="single"/>
        </w:rPr>
      </w:pPr>
      <w:r w:rsidRPr="007B0751">
        <w:rPr>
          <w:rFonts w:asciiTheme="majorHAnsi" w:hAnsiTheme="majorHAnsi"/>
          <w:color w:val="004C4C"/>
          <w:w w:val="105"/>
          <w:szCs w:val="22"/>
        </w:rPr>
        <w:t>Email</w:t>
      </w:r>
      <w:hyperlink r:id="rId12" w:history="1">
        <w:r w:rsidRPr="007B0751">
          <w:rPr>
            <w:rStyle w:val="Hyperlink"/>
            <w:rFonts w:asciiTheme="majorHAnsi" w:hAnsiTheme="majorHAnsi"/>
            <w:szCs w:val="22"/>
          </w:rPr>
          <w:t>info@rcgglobal.net</w:t>
        </w:r>
      </w:hyperlink>
    </w:p>
    <w:p w14:paraId="56A0A916" w14:textId="77777777" w:rsidR="00F04445" w:rsidRPr="007B0751" w:rsidRDefault="00971F7C" w:rsidP="00F04445">
      <w:pPr>
        <w:tabs>
          <w:tab w:val="left" w:pos="8520"/>
        </w:tabs>
        <w:spacing w:line="273" w:lineRule="auto"/>
        <w:ind w:left="1152" w:right="7992"/>
        <w:rPr>
          <w:rFonts w:asciiTheme="majorHAnsi" w:hAnsiTheme="majorHAnsi"/>
          <w:color w:val="0000FF"/>
          <w:spacing w:val="6"/>
          <w:szCs w:val="22"/>
          <w:u w:val="single"/>
        </w:rPr>
        <w:sectPr w:rsidR="00F04445" w:rsidRPr="007B0751" w:rsidSect="00F04445">
          <w:headerReference w:type="even" r:id="rId13"/>
          <w:headerReference w:type="default" r:id="rId14"/>
          <w:footerReference w:type="even" r:id="rId15"/>
          <w:footerReference w:type="default" r:id="rId16"/>
          <w:type w:val="continuous"/>
          <w:pgSz w:w="11918" w:h="16854"/>
          <w:pgMar w:top="656" w:right="0" w:bottom="1165" w:left="4" w:header="0" w:footer="0" w:gutter="0"/>
          <w:cols w:space="720"/>
          <w:noEndnote/>
        </w:sectPr>
      </w:pPr>
      <w:hyperlink r:id="rId17" w:history="1">
        <w:r w:rsidR="00F04445" w:rsidRPr="007B0751">
          <w:rPr>
            <w:rFonts w:asciiTheme="majorHAnsi" w:hAnsiTheme="majorHAnsi"/>
            <w:color w:val="0000FF"/>
            <w:spacing w:val="6"/>
            <w:szCs w:val="22"/>
            <w:u w:val="single"/>
          </w:rPr>
          <w:t>www.rcgglobal.net</w:t>
        </w:r>
      </w:hyperlink>
    </w:p>
    <w:p w14:paraId="28D31155" w14:textId="77777777" w:rsidR="001C5710" w:rsidRDefault="001C5710" w:rsidP="001C5710">
      <w:pPr>
        <w:rPr>
          <w:rFonts w:asciiTheme="majorHAnsi" w:eastAsia="Times New Roman" w:hAnsiTheme="majorHAnsi" w:cs="Arial"/>
          <w:b/>
          <w:color w:val="1F497D" w:themeColor="text2"/>
          <w:sz w:val="28"/>
          <w:szCs w:val="28"/>
          <w:lang w:val="en-GB"/>
        </w:rPr>
      </w:pPr>
      <w:r>
        <w:rPr>
          <w:rFonts w:asciiTheme="majorHAnsi" w:eastAsia="Times New Roman" w:hAnsiTheme="majorHAnsi" w:cs="Arial"/>
          <w:b/>
          <w:color w:val="1F497D" w:themeColor="text2"/>
          <w:sz w:val="28"/>
          <w:szCs w:val="28"/>
          <w:lang w:val="en-GB"/>
        </w:rPr>
        <w:lastRenderedPageBreak/>
        <w:t>Contents</w:t>
      </w:r>
    </w:p>
    <w:p w14:paraId="444CAA9E" w14:textId="77777777" w:rsidR="001C5710" w:rsidRDefault="001C5710" w:rsidP="001C5710">
      <w:pPr>
        <w:rPr>
          <w:rFonts w:asciiTheme="majorHAnsi" w:eastAsia="Times New Roman" w:hAnsiTheme="majorHAnsi" w:cs="Arial"/>
          <w:b/>
          <w:color w:val="1F497D" w:themeColor="text2"/>
          <w:sz w:val="28"/>
          <w:szCs w:val="28"/>
          <w:lang w:val="en-GB"/>
        </w:rPr>
      </w:pPr>
    </w:p>
    <w:p w14:paraId="4C3A46D7" w14:textId="77777777" w:rsidR="001C5710" w:rsidRPr="00501AEF" w:rsidRDefault="001C5710" w:rsidP="001C5710">
      <w:pPr>
        <w:rPr>
          <w:rFonts w:asciiTheme="majorHAnsi" w:eastAsia="Times New Roman" w:hAnsiTheme="majorHAnsi" w:cs="Arial"/>
          <w:sz w:val="24"/>
          <w:lang w:val="en-GB"/>
        </w:rPr>
      </w:pPr>
      <w:r w:rsidRPr="00501AEF">
        <w:rPr>
          <w:rFonts w:asciiTheme="majorHAnsi" w:eastAsia="Times New Roman" w:hAnsiTheme="majorHAnsi" w:cs="Arial"/>
          <w:sz w:val="24"/>
          <w:lang w:val="en-GB"/>
        </w:rPr>
        <w:t>Abbreviations</w:t>
      </w:r>
    </w:p>
    <w:p w14:paraId="72BC7EF8" w14:textId="77777777" w:rsidR="001C5710" w:rsidRPr="00501AEF" w:rsidRDefault="001C5710" w:rsidP="001C5710">
      <w:pPr>
        <w:rPr>
          <w:rFonts w:asciiTheme="majorHAnsi" w:eastAsia="Times New Roman" w:hAnsiTheme="majorHAnsi" w:cs="Arial"/>
          <w:sz w:val="24"/>
          <w:lang w:val="en-GB"/>
        </w:rPr>
      </w:pPr>
    </w:p>
    <w:p w14:paraId="445FDA44" w14:textId="77777777" w:rsidR="001C5710" w:rsidRPr="00501AEF" w:rsidRDefault="001C5710" w:rsidP="001C5710">
      <w:pPr>
        <w:rPr>
          <w:rFonts w:asciiTheme="majorHAnsi" w:eastAsia="Times New Roman" w:hAnsiTheme="majorHAnsi" w:cs="Arial"/>
          <w:sz w:val="24"/>
          <w:lang w:val="en-GB"/>
        </w:rPr>
      </w:pPr>
      <w:r w:rsidRPr="00501AEF">
        <w:rPr>
          <w:rFonts w:asciiTheme="majorHAnsi" w:eastAsia="Times New Roman" w:hAnsiTheme="majorHAnsi" w:cs="Arial"/>
          <w:sz w:val="24"/>
          <w:lang w:val="en-GB"/>
        </w:rPr>
        <w:t>Project Summary</w:t>
      </w:r>
    </w:p>
    <w:p w14:paraId="2C454B61" w14:textId="77777777" w:rsidR="001C5710" w:rsidRPr="00501AEF" w:rsidRDefault="001C5710" w:rsidP="001C5710">
      <w:pPr>
        <w:rPr>
          <w:rFonts w:asciiTheme="majorHAnsi" w:eastAsia="Times New Roman" w:hAnsiTheme="majorHAnsi" w:cs="Arial"/>
          <w:sz w:val="24"/>
          <w:lang w:val="en-GB"/>
        </w:rPr>
      </w:pPr>
    </w:p>
    <w:p w14:paraId="7969988F" w14:textId="77777777" w:rsidR="001C5710" w:rsidRPr="00501AEF" w:rsidRDefault="001C5710" w:rsidP="001C5710">
      <w:pPr>
        <w:rPr>
          <w:rFonts w:asciiTheme="majorHAnsi" w:eastAsia="Times New Roman" w:hAnsiTheme="majorHAnsi" w:cs="Arial"/>
          <w:sz w:val="24"/>
          <w:lang w:val="en-GB"/>
        </w:rPr>
      </w:pPr>
      <w:r w:rsidRPr="00501AEF">
        <w:rPr>
          <w:rFonts w:asciiTheme="majorHAnsi" w:eastAsia="Times New Roman" w:hAnsiTheme="majorHAnsi" w:cs="Arial"/>
          <w:sz w:val="24"/>
          <w:lang w:val="en-GB"/>
        </w:rPr>
        <w:t>Executive Summary</w:t>
      </w:r>
    </w:p>
    <w:p w14:paraId="630E9B5C" w14:textId="77777777" w:rsidR="001C5710" w:rsidRPr="00501AEF" w:rsidRDefault="001C5710" w:rsidP="001C5710">
      <w:pPr>
        <w:rPr>
          <w:rFonts w:asciiTheme="majorHAnsi" w:eastAsia="Times New Roman" w:hAnsiTheme="majorHAnsi" w:cs="Arial"/>
          <w:sz w:val="24"/>
          <w:lang w:val="en-GB"/>
        </w:rPr>
      </w:pPr>
    </w:p>
    <w:p w14:paraId="426B0A8A" w14:textId="77777777" w:rsidR="001C5710" w:rsidRPr="00501AEF" w:rsidRDefault="001C5710" w:rsidP="001C5710">
      <w:pPr>
        <w:rPr>
          <w:rFonts w:asciiTheme="majorHAnsi" w:eastAsia="Times New Roman" w:hAnsiTheme="majorHAnsi" w:cs="Arial"/>
          <w:sz w:val="24"/>
          <w:lang w:val="en-GB"/>
        </w:rPr>
      </w:pPr>
    </w:p>
    <w:p w14:paraId="1F801C1D" w14:textId="5AA185B0" w:rsidR="001C5710" w:rsidRPr="00501AEF" w:rsidRDefault="001C5710" w:rsidP="001C5710">
      <w:pPr>
        <w:rPr>
          <w:rFonts w:asciiTheme="majorHAnsi" w:eastAsia="Times New Roman" w:hAnsiTheme="majorHAnsi" w:cs="Arial"/>
          <w:sz w:val="24"/>
          <w:lang w:val="en-GB"/>
        </w:rPr>
      </w:pPr>
      <w:r w:rsidRPr="00501AEF">
        <w:rPr>
          <w:rFonts w:asciiTheme="majorHAnsi" w:eastAsia="Times New Roman" w:hAnsiTheme="majorHAnsi" w:cs="Arial"/>
          <w:sz w:val="24"/>
          <w:lang w:val="en-GB"/>
        </w:rPr>
        <w:t>1.</w:t>
      </w:r>
      <w:r w:rsidRPr="00501AEF">
        <w:rPr>
          <w:rFonts w:asciiTheme="majorHAnsi" w:eastAsia="Times New Roman" w:hAnsiTheme="majorHAnsi" w:cs="Arial"/>
          <w:sz w:val="24"/>
          <w:lang w:val="en-GB"/>
        </w:rPr>
        <w:tab/>
        <w:t>Introduction</w:t>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r>
      <w:r w:rsidRPr="00501AEF">
        <w:rPr>
          <w:rFonts w:asciiTheme="majorHAnsi" w:eastAsia="Times New Roman" w:hAnsiTheme="majorHAnsi" w:cs="Arial"/>
          <w:sz w:val="24"/>
          <w:lang w:val="en-GB"/>
        </w:rPr>
        <w:tab/>
        <w:t xml:space="preserve"> </w:t>
      </w:r>
      <w:r>
        <w:rPr>
          <w:rFonts w:asciiTheme="majorHAnsi" w:eastAsia="Times New Roman" w:hAnsiTheme="majorHAnsi" w:cs="Arial"/>
          <w:sz w:val="24"/>
          <w:lang w:val="en-GB"/>
        </w:rPr>
        <w:t xml:space="preserve"> </w:t>
      </w:r>
      <w:r w:rsidRPr="00501AEF">
        <w:rPr>
          <w:rFonts w:asciiTheme="majorHAnsi" w:eastAsia="Times New Roman" w:hAnsiTheme="majorHAnsi" w:cs="Arial"/>
          <w:sz w:val="24"/>
          <w:lang w:val="en-GB"/>
        </w:rPr>
        <w:t>1</w:t>
      </w:r>
    </w:p>
    <w:p w14:paraId="10C33F0F" w14:textId="77777777" w:rsidR="001C5710" w:rsidRPr="00501AEF" w:rsidRDefault="001C5710" w:rsidP="001C5710">
      <w:pPr>
        <w:rPr>
          <w:rFonts w:asciiTheme="majorHAnsi" w:hAnsiTheme="majorHAnsi"/>
          <w:sz w:val="24"/>
        </w:rPr>
      </w:pPr>
    </w:p>
    <w:p w14:paraId="2D56D09B" w14:textId="01928BFB" w:rsidR="001C5710" w:rsidRPr="00501AEF" w:rsidRDefault="001C5710" w:rsidP="001C5710">
      <w:pPr>
        <w:rPr>
          <w:rFonts w:asciiTheme="majorHAnsi" w:hAnsiTheme="majorHAnsi"/>
          <w:sz w:val="24"/>
        </w:rPr>
      </w:pPr>
      <w:r w:rsidRPr="00501AEF">
        <w:rPr>
          <w:rFonts w:asciiTheme="majorHAnsi" w:hAnsiTheme="majorHAnsi"/>
          <w:sz w:val="24"/>
        </w:rPr>
        <w:t>2.</w:t>
      </w:r>
      <w:r w:rsidRPr="00501AEF">
        <w:rPr>
          <w:rFonts w:asciiTheme="majorHAnsi" w:hAnsiTheme="majorHAnsi"/>
          <w:sz w:val="24"/>
        </w:rPr>
        <w:tab/>
        <w:t>Program Operating Context</w:t>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t xml:space="preserve"> </w:t>
      </w:r>
      <w:r>
        <w:rPr>
          <w:rFonts w:asciiTheme="majorHAnsi" w:hAnsiTheme="majorHAnsi"/>
          <w:sz w:val="24"/>
        </w:rPr>
        <w:t xml:space="preserve"> </w:t>
      </w:r>
      <w:r w:rsidRPr="00501AEF">
        <w:rPr>
          <w:rFonts w:asciiTheme="majorHAnsi" w:hAnsiTheme="majorHAnsi"/>
          <w:sz w:val="24"/>
        </w:rPr>
        <w:t>1</w:t>
      </w:r>
    </w:p>
    <w:p w14:paraId="768D9FF3" w14:textId="77777777" w:rsidR="001C5710" w:rsidRPr="00501AEF" w:rsidRDefault="001C5710" w:rsidP="001C5710">
      <w:pPr>
        <w:rPr>
          <w:rFonts w:asciiTheme="majorHAnsi" w:hAnsiTheme="majorHAnsi"/>
          <w:sz w:val="24"/>
        </w:rPr>
      </w:pPr>
    </w:p>
    <w:p w14:paraId="323E1EB8" w14:textId="6E10C3E5" w:rsidR="001C5710" w:rsidRPr="00501AEF" w:rsidRDefault="001C5710" w:rsidP="001C5710">
      <w:pPr>
        <w:rPr>
          <w:rFonts w:asciiTheme="majorHAnsi" w:hAnsiTheme="majorHAnsi"/>
          <w:sz w:val="24"/>
        </w:rPr>
      </w:pPr>
      <w:r w:rsidRPr="00501AEF">
        <w:rPr>
          <w:rFonts w:asciiTheme="majorHAnsi" w:hAnsiTheme="majorHAnsi"/>
          <w:sz w:val="24"/>
        </w:rPr>
        <w:t>3.</w:t>
      </w:r>
      <w:r w:rsidRPr="00501AEF">
        <w:rPr>
          <w:rFonts w:asciiTheme="majorHAnsi" w:hAnsiTheme="majorHAnsi"/>
          <w:sz w:val="24"/>
        </w:rPr>
        <w:tab/>
        <w:t>Constraints</w:t>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t xml:space="preserve"> </w:t>
      </w:r>
      <w:r>
        <w:rPr>
          <w:rFonts w:asciiTheme="majorHAnsi" w:hAnsiTheme="majorHAnsi"/>
          <w:sz w:val="24"/>
        </w:rPr>
        <w:t xml:space="preserve"> </w:t>
      </w:r>
      <w:r w:rsidRPr="00501AEF">
        <w:rPr>
          <w:rFonts w:asciiTheme="majorHAnsi" w:hAnsiTheme="majorHAnsi"/>
          <w:sz w:val="24"/>
        </w:rPr>
        <w:t>4</w:t>
      </w:r>
    </w:p>
    <w:p w14:paraId="142D52FC" w14:textId="77777777" w:rsidR="001C5710" w:rsidRPr="00501AEF" w:rsidRDefault="001C5710" w:rsidP="001C5710">
      <w:pPr>
        <w:rPr>
          <w:rFonts w:asciiTheme="majorHAnsi" w:hAnsiTheme="majorHAnsi"/>
          <w:sz w:val="24"/>
        </w:rPr>
      </w:pPr>
    </w:p>
    <w:p w14:paraId="29D554BB" w14:textId="14380C60" w:rsidR="001C5710" w:rsidRPr="00501AEF" w:rsidRDefault="001C5710" w:rsidP="001C5710">
      <w:pPr>
        <w:rPr>
          <w:rFonts w:asciiTheme="majorHAnsi" w:hAnsiTheme="majorHAnsi"/>
          <w:sz w:val="24"/>
        </w:rPr>
      </w:pPr>
      <w:r>
        <w:rPr>
          <w:rFonts w:asciiTheme="majorHAnsi" w:hAnsiTheme="majorHAnsi"/>
          <w:sz w:val="24"/>
        </w:rPr>
        <w:t>4.</w:t>
      </w:r>
      <w:r>
        <w:rPr>
          <w:rFonts w:asciiTheme="majorHAnsi" w:hAnsiTheme="majorHAnsi"/>
          <w:sz w:val="24"/>
        </w:rPr>
        <w:tab/>
        <w:t>Methodology</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 xml:space="preserve">  4</w:t>
      </w:r>
    </w:p>
    <w:p w14:paraId="782052D6" w14:textId="77777777" w:rsidR="001C5710" w:rsidRPr="00501AEF" w:rsidRDefault="001C5710" w:rsidP="001C5710">
      <w:pPr>
        <w:rPr>
          <w:rFonts w:asciiTheme="majorHAnsi" w:hAnsiTheme="majorHAnsi"/>
          <w:sz w:val="24"/>
        </w:rPr>
      </w:pPr>
    </w:p>
    <w:p w14:paraId="0B16D1D5" w14:textId="453F7858" w:rsidR="001C5710" w:rsidRPr="00501AEF" w:rsidRDefault="001C5710" w:rsidP="001C5710">
      <w:pPr>
        <w:rPr>
          <w:rFonts w:asciiTheme="majorHAnsi" w:hAnsiTheme="majorHAnsi"/>
          <w:sz w:val="24"/>
        </w:rPr>
      </w:pPr>
      <w:r w:rsidRPr="00501AEF">
        <w:rPr>
          <w:rFonts w:asciiTheme="majorHAnsi" w:hAnsiTheme="majorHAnsi"/>
          <w:sz w:val="24"/>
        </w:rPr>
        <w:t>5.</w:t>
      </w:r>
      <w:r w:rsidRPr="00501AEF">
        <w:rPr>
          <w:rFonts w:asciiTheme="majorHAnsi" w:hAnsiTheme="majorHAnsi"/>
          <w:sz w:val="24"/>
        </w:rPr>
        <w:tab/>
        <w:t>Assessment of Program Performance</w:t>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t xml:space="preserve"> </w:t>
      </w:r>
      <w:r>
        <w:rPr>
          <w:rFonts w:asciiTheme="majorHAnsi" w:hAnsiTheme="majorHAnsi"/>
          <w:sz w:val="24"/>
        </w:rPr>
        <w:t xml:space="preserve"> </w:t>
      </w:r>
      <w:r w:rsidRPr="00501AEF">
        <w:rPr>
          <w:rFonts w:asciiTheme="majorHAnsi" w:hAnsiTheme="majorHAnsi"/>
          <w:sz w:val="24"/>
        </w:rPr>
        <w:t>5</w:t>
      </w:r>
    </w:p>
    <w:p w14:paraId="057C960C" w14:textId="2EF8AE06"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i/>
          <w:sz w:val="24"/>
        </w:rPr>
        <w:t>5.1</w:t>
      </w:r>
      <w:r w:rsidRPr="00501AEF">
        <w:rPr>
          <w:rFonts w:asciiTheme="majorHAnsi" w:hAnsiTheme="majorHAnsi"/>
          <w:i/>
          <w:sz w:val="24"/>
        </w:rPr>
        <w:tab/>
        <w:t>Introduction</w:t>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t xml:space="preserve"> </w:t>
      </w:r>
      <w:r>
        <w:rPr>
          <w:rFonts w:asciiTheme="majorHAnsi" w:hAnsiTheme="majorHAnsi"/>
          <w:i/>
          <w:sz w:val="24"/>
        </w:rPr>
        <w:t xml:space="preserve"> </w:t>
      </w:r>
      <w:r w:rsidRPr="00501AEF">
        <w:rPr>
          <w:rFonts w:asciiTheme="majorHAnsi" w:hAnsiTheme="majorHAnsi"/>
          <w:sz w:val="24"/>
        </w:rPr>
        <w:t>5</w:t>
      </w:r>
    </w:p>
    <w:p w14:paraId="179510A5" w14:textId="77777777" w:rsidR="001C5710" w:rsidRPr="00501AEF" w:rsidRDefault="001C5710" w:rsidP="001C5710">
      <w:pPr>
        <w:rPr>
          <w:rFonts w:asciiTheme="majorHAnsi" w:hAnsiTheme="majorHAnsi"/>
          <w:sz w:val="24"/>
        </w:rPr>
      </w:pPr>
      <w:r w:rsidRPr="00501AEF">
        <w:rPr>
          <w:rFonts w:asciiTheme="majorHAnsi" w:hAnsiTheme="majorHAnsi"/>
          <w:sz w:val="24"/>
        </w:rPr>
        <w:tab/>
      </w:r>
    </w:p>
    <w:p w14:paraId="4CAC4BF4" w14:textId="1538DECB" w:rsidR="001C5710" w:rsidRPr="00501AEF" w:rsidRDefault="001C5710" w:rsidP="001C5710">
      <w:pPr>
        <w:ind w:firstLine="720"/>
        <w:rPr>
          <w:rFonts w:asciiTheme="majorHAnsi" w:hAnsiTheme="majorHAnsi"/>
          <w:sz w:val="24"/>
        </w:rPr>
      </w:pPr>
      <w:r w:rsidRPr="00501AEF">
        <w:rPr>
          <w:rFonts w:asciiTheme="majorHAnsi" w:hAnsiTheme="majorHAnsi"/>
          <w:i/>
          <w:sz w:val="24"/>
        </w:rPr>
        <w:t>5.2</w:t>
      </w:r>
      <w:r w:rsidRPr="00501AEF">
        <w:rPr>
          <w:rFonts w:asciiTheme="majorHAnsi" w:hAnsiTheme="majorHAnsi"/>
          <w:i/>
          <w:sz w:val="24"/>
        </w:rPr>
        <w:tab/>
        <w:t>Program Level Performance</w:t>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r>
      <w:r w:rsidRPr="00501AEF">
        <w:rPr>
          <w:rFonts w:asciiTheme="majorHAnsi" w:hAnsiTheme="majorHAnsi"/>
          <w:i/>
          <w:sz w:val="24"/>
        </w:rPr>
        <w:tab/>
        <w:t xml:space="preserve"> </w:t>
      </w:r>
      <w:r>
        <w:rPr>
          <w:rFonts w:asciiTheme="majorHAnsi" w:hAnsiTheme="majorHAnsi"/>
          <w:i/>
          <w:sz w:val="24"/>
        </w:rPr>
        <w:t xml:space="preserve"> </w:t>
      </w:r>
      <w:r>
        <w:rPr>
          <w:rFonts w:asciiTheme="majorHAnsi" w:hAnsiTheme="majorHAnsi"/>
          <w:sz w:val="24"/>
        </w:rPr>
        <w:t>5</w:t>
      </w:r>
    </w:p>
    <w:p w14:paraId="08EAAA75" w14:textId="41C7D794"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sz w:val="24"/>
        </w:rPr>
        <w:tab/>
        <w:t>5.2.1</w:t>
      </w:r>
      <w:r w:rsidRPr="00501AEF">
        <w:rPr>
          <w:rFonts w:asciiTheme="majorHAnsi" w:hAnsiTheme="majorHAnsi"/>
          <w:sz w:val="24"/>
        </w:rPr>
        <w:tab/>
        <w:t>Program Relevance</w:t>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t xml:space="preserve"> </w:t>
      </w:r>
      <w:r>
        <w:rPr>
          <w:rFonts w:asciiTheme="majorHAnsi" w:hAnsiTheme="majorHAnsi"/>
          <w:sz w:val="24"/>
        </w:rPr>
        <w:t xml:space="preserve"> </w:t>
      </w:r>
      <w:r w:rsidRPr="00501AEF">
        <w:rPr>
          <w:rFonts w:asciiTheme="majorHAnsi" w:hAnsiTheme="majorHAnsi"/>
          <w:sz w:val="24"/>
        </w:rPr>
        <w:t>6</w:t>
      </w:r>
    </w:p>
    <w:p w14:paraId="2D9A03AD" w14:textId="2AA62DB2"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sz w:val="24"/>
        </w:rPr>
        <w:tab/>
        <w:t>5</w:t>
      </w:r>
      <w:r>
        <w:rPr>
          <w:rFonts w:asciiTheme="majorHAnsi" w:hAnsiTheme="majorHAnsi"/>
          <w:sz w:val="24"/>
        </w:rPr>
        <w:t>.2.2</w:t>
      </w:r>
      <w:r>
        <w:rPr>
          <w:rFonts w:asciiTheme="majorHAnsi" w:hAnsiTheme="majorHAnsi"/>
          <w:sz w:val="24"/>
        </w:rPr>
        <w:tab/>
        <w:t>Program Effectiveness</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 xml:space="preserve">  9</w:t>
      </w:r>
    </w:p>
    <w:p w14:paraId="088BCE08" w14:textId="77777777" w:rsidR="001C5710" w:rsidRPr="00501AEF" w:rsidRDefault="001C5710" w:rsidP="001C5710">
      <w:pPr>
        <w:rPr>
          <w:rFonts w:asciiTheme="majorHAnsi" w:hAnsiTheme="majorHAnsi"/>
          <w:sz w:val="24"/>
        </w:rPr>
      </w:pPr>
      <w:r w:rsidRPr="00501AEF">
        <w:rPr>
          <w:rFonts w:asciiTheme="majorHAnsi" w:hAnsiTheme="majorHAnsi"/>
          <w:sz w:val="24"/>
        </w:rPr>
        <w:tab/>
      </w:r>
      <w:r>
        <w:rPr>
          <w:rFonts w:asciiTheme="majorHAnsi" w:hAnsiTheme="majorHAnsi"/>
          <w:sz w:val="24"/>
        </w:rPr>
        <w:tab/>
        <w:t>5.2.3</w:t>
      </w:r>
      <w:r>
        <w:rPr>
          <w:rFonts w:asciiTheme="majorHAnsi" w:hAnsiTheme="majorHAnsi"/>
          <w:sz w:val="24"/>
        </w:rPr>
        <w:tab/>
        <w:t>Program Efficiency</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13</w:t>
      </w:r>
    </w:p>
    <w:p w14:paraId="766BB5A3" w14:textId="77777777"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sz w:val="24"/>
        </w:rPr>
        <w:tab/>
        <w:t>5.</w:t>
      </w:r>
      <w:r>
        <w:rPr>
          <w:rFonts w:asciiTheme="majorHAnsi" w:hAnsiTheme="majorHAnsi"/>
          <w:sz w:val="24"/>
        </w:rPr>
        <w:t>2.4</w:t>
      </w:r>
      <w:r>
        <w:rPr>
          <w:rFonts w:asciiTheme="majorHAnsi" w:hAnsiTheme="majorHAnsi"/>
          <w:sz w:val="24"/>
        </w:rPr>
        <w:tab/>
        <w:t>Program Sustainability</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16</w:t>
      </w:r>
    </w:p>
    <w:p w14:paraId="1D2418EA" w14:textId="77777777"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sz w:val="24"/>
        </w:rPr>
        <w:tab/>
        <w:t>5.2.5</w:t>
      </w:r>
      <w:r>
        <w:rPr>
          <w:rFonts w:asciiTheme="majorHAnsi" w:hAnsiTheme="majorHAnsi"/>
          <w:sz w:val="24"/>
        </w:rPr>
        <w:tab/>
        <w:t>Program Gender Performance</w:t>
      </w:r>
      <w:r>
        <w:rPr>
          <w:rFonts w:asciiTheme="majorHAnsi" w:hAnsiTheme="majorHAnsi"/>
          <w:sz w:val="24"/>
        </w:rPr>
        <w:tab/>
      </w:r>
      <w:r>
        <w:rPr>
          <w:rFonts w:asciiTheme="majorHAnsi" w:hAnsiTheme="majorHAnsi"/>
          <w:sz w:val="24"/>
        </w:rPr>
        <w:tab/>
      </w:r>
      <w:r>
        <w:rPr>
          <w:rFonts w:asciiTheme="majorHAnsi" w:hAnsiTheme="majorHAnsi"/>
          <w:sz w:val="24"/>
        </w:rPr>
        <w:tab/>
        <w:t>18</w:t>
      </w:r>
    </w:p>
    <w:p w14:paraId="0CDC95AA" w14:textId="77777777" w:rsidR="001C5710" w:rsidRPr="00501AEF" w:rsidRDefault="001C5710" w:rsidP="001C5710">
      <w:pPr>
        <w:rPr>
          <w:rFonts w:asciiTheme="majorHAnsi" w:hAnsiTheme="majorHAnsi"/>
          <w:sz w:val="24"/>
        </w:rPr>
      </w:pPr>
      <w:r w:rsidRPr="00501AEF">
        <w:rPr>
          <w:rFonts w:asciiTheme="majorHAnsi" w:hAnsiTheme="majorHAnsi"/>
          <w:sz w:val="24"/>
        </w:rPr>
        <w:tab/>
      </w:r>
      <w:r w:rsidRPr="00501AEF">
        <w:rPr>
          <w:rFonts w:asciiTheme="majorHAnsi" w:hAnsiTheme="majorHAnsi"/>
          <w:sz w:val="24"/>
        </w:rPr>
        <w:tab/>
        <w:t>5.2.6</w:t>
      </w:r>
      <w:r w:rsidRPr="00501AEF">
        <w:rPr>
          <w:rFonts w:asciiTheme="majorHAnsi" w:hAnsiTheme="majorHAnsi"/>
          <w:sz w:val="24"/>
        </w:rPr>
        <w:tab/>
        <w:t>Pro</w:t>
      </w:r>
      <w:r>
        <w:rPr>
          <w:rFonts w:asciiTheme="majorHAnsi" w:hAnsiTheme="majorHAnsi"/>
          <w:sz w:val="24"/>
        </w:rPr>
        <w:t>gram Disability Performance</w:t>
      </w:r>
      <w:r>
        <w:rPr>
          <w:rFonts w:asciiTheme="majorHAnsi" w:hAnsiTheme="majorHAnsi"/>
          <w:sz w:val="24"/>
        </w:rPr>
        <w:tab/>
      </w:r>
      <w:r>
        <w:rPr>
          <w:rFonts w:asciiTheme="majorHAnsi" w:hAnsiTheme="majorHAnsi"/>
          <w:sz w:val="24"/>
        </w:rPr>
        <w:tab/>
      </w:r>
      <w:r>
        <w:rPr>
          <w:rFonts w:asciiTheme="majorHAnsi" w:hAnsiTheme="majorHAnsi"/>
          <w:sz w:val="24"/>
        </w:rPr>
        <w:tab/>
        <w:t>18</w:t>
      </w:r>
    </w:p>
    <w:p w14:paraId="05664745" w14:textId="77777777" w:rsidR="001C5710" w:rsidRPr="00501AEF" w:rsidRDefault="001C5710" w:rsidP="001C5710">
      <w:pPr>
        <w:rPr>
          <w:rFonts w:asciiTheme="majorHAnsi" w:hAnsiTheme="majorHAnsi"/>
          <w:sz w:val="24"/>
        </w:rPr>
      </w:pPr>
    </w:p>
    <w:p w14:paraId="3FC8D17F" w14:textId="77777777" w:rsidR="001C5710" w:rsidRPr="00501AEF" w:rsidRDefault="001C5710" w:rsidP="001C5710">
      <w:pPr>
        <w:rPr>
          <w:rFonts w:asciiTheme="majorHAnsi" w:hAnsiTheme="majorHAnsi"/>
          <w:sz w:val="24"/>
        </w:rPr>
      </w:pPr>
      <w:r w:rsidRPr="00501AEF">
        <w:rPr>
          <w:rFonts w:asciiTheme="majorHAnsi" w:hAnsiTheme="majorHAnsi"/>
          <w:sz w:val="24"/>
        </w:rPr>
        <w:t>6.</w:t>
      </w:r>
      <w:r w:rsidRPr="00501AEF">
        <w:rPr>
          <w:rFonts w:asciiTheme="majorHAnsi" w:hAnsiTheme="majorHAnsi"/>
          <w:sz w:val="24"/>
        </w:rPr>
        <w:tab/>
        <w:t>Future Options</w:t>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r>
      <w:r w:rsidRPr="00501AEF">
        <w:rPr>
          <w:rFonts w:asciiTheme="majorHAnsi" w:hAnsiTheme="majorHAnsi"/>
          <w:sz w:val="24"/>
        </w:rPr>
        <w:tab/>
        <w:t>19</w:t>
      </w:r>
    </w:p>
    <w:p w14:paraId="1619CE28" w14:textId="77777777" w:rsidR="001C5710" w:rsidRPr="00501AEF" w:rsidRDefault="001C5710" w:rsidP="001C5710">
      <w:pPr>
        <w:rPr>
          <w:rFonts w:asciiTheme="majorHAnsi" w:hAnsiTheme="majorHAnsi"/>
          <w:sz w:val="24"/>
        </w:rPr>
      </w:pPr>
    </w:p>
    <w:p w14:paraId="77067FE9" w14:textId="77777777" w:rsidR="001C5710" w:rsidRPr="00501AEF" w:rsidRDefault="001C5710" w:rsidP="001C5710">
      <w:pPr>
        <w:rPr>
          <w:rFonts w:asciiTheme="majorHAnsi" w:hAnsiTheme="majorHAnsi"/>
          <w:sz w:val="24"/>
        </w:rPr>
      </w:pPr>
    </w:p>
    <w:p w14:paraId="4F66145D" w14:textId="77777777" w:rsidR="001C5710" w:rsidRPr="00501AEF" w:rsidRDefault="001C5710" w:rsidP="001C5710">
      <w:pPr>
        <w:rPr>
          <w:rFonts w:asciiTheme="majorHAnsi" w:hAnsiTheme="majorHAnsi"/>
          <w:b/>
          <w:sz w:val="24"/>
        </w:rPr>
      </w:pPr>
      <w:r w:rsidRPr="00501AEF">
        <w:rPr>
          <w:rFonts w:asciiTheme="majorHAnsi" w:hAnsiTheme="majorHAnsi"/>
          <w:b/>
          <w:sz w:val="24"/>
        </w:rPr>
        <w:t>ANNEXES</w:t>
      </w:r>
    </w:p>
    <w:p w14:paraId="1A282468" w14:textId="77777777" w:rsidR="001C5710" w:rsidRPr="00501AEF" w:rsidRDefault="001C5710" w:rsidP="001C5710">
      <w:pPr>
        <w:pStyle w:val="ListParagraph"/>
        <w:numPr>
          <w:ilvl w:val="0"/>
          <w:numId w:val="29"/>
        </w:numPr>
        <w:ind w:left="1080" w:hanging="720"/>
        <w:rPr>
          <w:rFonts w:asciiTheme="majorHAnsi" w:hAnsiTheme="majorHAnsi"/>
          <w:sz w:val="24"/>
        </w:rPr>
      </w:pPr>
      <w:r w:rsidRPr="00501AEF">
        <w:rPr>
          <w:rFonts w:asciiTheme="majorHAnsi" w:hAnsiTheme="majorHAnsi"/>
          <w:sz w:val="24"/>
        </w:rPr>
        <w:t>AMENCA2 Review Terms of Reference</w:t>
      </w:r>
    </w:p>
    <w:p w14:paraId="11095D7C" w14:textId="77777777" w:rsidR="001C5710" w:rsidRPr="00501AEF" w:rsidRDefault="001C5710" w:rsidP="001C5710">
      <w:pPr>
        <w:pStyle w:val="ListParagraph"/>
        <w:numPr>
          <w:ilvl w:val="0"/>
          <w:numId w:val="29"/>
        </w:numPr>
        <w:ind w:left="1080" w:hanging="720"/>
        <w:rPr>
          <w:rFonts w:asciiTheme="majorHAnsi" w:hAnsiTheme="majorHAnsi"/>
          <w:sz w:val="24"/>
        </w:rPr>
      </w:pPr>
      <w:r w:rsidRPr="00501AEF">
        <w:rPr>
          <w:rFonts w:asciiTheme="majorHAnsi" w:hAnsiTheme="majorHAnsi"/>
          <w:sz w:val="24"/>
        </w:rPr>
        <w:t>AMENCA2 Evaluation Plan</w:t>
      </w:r>
    </w:p>
    <w:p w14:paraId="2F541E43" w14:textId="77777777" w:rsidR="001C5710" w:rsidRPr="00501AEF" w:rsidRDefault="001C5710" w:rsidP="001C5710">
      <w:pPr>
        <w:pStyle w:val="ListParagraph"/>
        <w:numPr>
          <w:ilvl w:val="0"/>
          <w:numId w:val="29"/>
        </w:numPr>
        <w:ind w:left="1080" w:hanging="720"/>
        <w:rPr>
          <w:rFonts w:asciiTheme="majorHAnsi" w:hAnsiTheme="majorHAnsi"/>
          <w:sz w:val="24"/>
        </w:rPr>
      </w:pPr>
      <w:r w:rsidRPr="00501AEF">
        <w:rPr>
          <w:rFonts w:asciiTheme="majorHAnsi" w:hAnsiTheme="majorHAnsi"/>
          <w:sz w:val="24"/>
        </w:rPr>
        <w:t>Map of AMENCA2 Project sites</w:t>
      </w:r>
    </w:p>
    <w:p w14:paraId="4919BD5E" w14:textId="77777777" w:rsidR="001C5710" w:rsidRPr="00501AEF" w:rsidRDefault="001C5710" w:rsidP="001C5710">
      <w:pPr>
        <w:pStyle w:val="ListParagraph"/>
        <w:numPr>
          <w:ilvl w:val="0"/>
          <w:numId w:val="29"/>
        </w:numPr>
        <w:ind w:left="1080" w:hanging="720"/>
        <w:rPr>
          <w:rFonts w:asciiTheme="majorHAnsi" w:hAnsiTheme="majorHAnsi"/>
          <w:sz w:val="24"/>
        </w:rPr>
      </w:pPr>
      <w:r w:rsidRPr="00501AEF">
        <w:rPr>
          <w:rFonts w:asciiTheme="majorHAnsi" w:hAnsiTheme="majorHAnsi"/>
          <w:sz w:val="24"/>
        </w:rPr>
        <w:t>List of Outcome Themes</w:t>
      </w:r>
    </w:p>
    <w:p w14:paraId="7B828E7F" w14:textId="77777777" w:rsidR="001C5710" w:rsidRPr="00501AEF" w:rsidRDefault="001C5710" w:rsidP="001C5710">
      <w:pPr>
        <w:pStyle w:val="ListParagraph"/>
        <w:numPr>
          <w:ilvl w:val="0"/>
          <w:numId w:val="29"/>
        </w:numPr>
        <w:ind w:left="1080" w:hanging="720"/>
        <w:rPr>
          <w:rFonts w:asciiTheme="majorHAnsi" w:hAnsiTheme="majorHAnsi"/>
          <w:sz w:val="24"/>
        </w:rPr>
      </w:pPr>
      <w:r w:rsidRPr="00501AEF">
        <w:rPr>
          <w:rFonts w:asciiTheme="majorHAnsi" w:hAnsiTheme="majorHAnsi"/>
          <w:sz w:val="24"/>
        </w:rPr>
        <w:t xml:space="preserve">AMENCA2 Review Schedule </w:t>
      </w:r>
    </w:p>
    <w:p w14:paraId="53CB0C23" w14:textId="77777777" w:rsidR="00D568A9" w:rsidRDefault="00D568A9">
      <w:pPr>
        <w:rPr>
          <w:rFonts w:asciiTheme="majorHAnsi" w:eastAsia="Times New Roman" w:hAnsiTheme="majorHAnsi" w:cs="Arial"/>
          <w:b/>
          <w:color w:val="1F497D" w:themeColor="text2"/>
          <w:sz w:val="28"/>
          <w:szCs w:val="28"/>
          <w:lang w:val="en-GB"/>
        </w:rPr>
      </w:pPr>
      <w:r>
        <w:rPr>
          <w:rFonts w:asciiTheme="majorHAnsi" w:eastAsia="Times New Roman" w:hAnsiTheme="majorHAnsi" w:cs="Arial"/>
          <w:b/>
          <w:color w:val="1F497D" w:themeColor="text2"/>
          <w:sz w:val="28"/>
          <w:szCs w:val="28"/>
          <w:lang w:val="en-GB"/>
        </w:rPr>
        <w:br w:type="page"/>
      </w:r>
    </w:p>
    <w:p w14:paraId="2F9D77C7" w14:textId="77777777" w:rsidR="003A0F41" w:rsidRPr="007B0751" w:rsidRDefault="003A0F41" w:rsidP="003A0F41">
      <w:pPr>
        <w:rPr>
          <w:rFonts w:asciiTheme="majorHAnsi" w:eastAsia="Times New Roman" w:hAnsiTheme="majorHAnsi" w:cs="Arial"/>
          <w:b/>
          <w:color w:val="1F497D" w:themeColor="text2"/>
          <w:sz w:val="28"/>
          <w:szCs w:val="28"/>
          <w:lang w:val="en-GB"/>
        </w:rPr>
      </w:pPr>
      <w:r w:rsidRPr="007B0751">
        <w:rPr>
          <w:rFonts w:asciiTheme="majorHAnsi" w:eastAsia="Times New Roman" w:hAnsiTheme="majorHAnsi" w:cs="Arial"/>
          <w:b/>
          <w:color w:val="1F497D" w:themeColor="text2"/>
          <w:sz w:val="28"/>
          <w:szCs w:val="28"/>
          <w:lang w:val="en-GB"/>
        </w:rPr>
        <w:t>Abbreviations</w:t>
      </w:r>
    </w:p>
    <w:p w14:paraId="4708D7B2" w14:textId="77777777" w:rsidR="008F68D0" w:rsidRPr="007B0751" w:rsidRDefault="008F68D0" w:rsidP="008F68D0">
      <w:pPr>
        <w:rPr>
          <w:rFonts w:asciiTheme="majorHAnsi" w:eastAsia="Times New Roman" w:hAnsiTheme="majorHAnsi" w:cs="Arial"/>
          <w:b/>
          <w:color w:val="1F497D" w:themeColor="text2"/>
          <w:sz w:val="28"/>
          <w:szCs w:val="28"/>
          <w:lang w:val="en-GB"/>
        </w:rPr>
      </w:pPr>
    </w:p>
    <w:p w14:paraId="3947AFAA"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AMENCA</w:t>
      </w:r>
      <w:r>
        <w:rPr>
          <w:rFonts w:asciiTheme="majorHAnsi" w:eastAsia="Times New Roman" w:hAnsiTheme="majorHAnsi" w:cs="Arial"/>
          <w:b/>
          <w:sz w:val="24"/>
          <w:lang w:val="en-GB"/>
        </w:rPr>
        <w:t>2</w:t>
      </w:r>
      <w:r w:rsidRPr="00C57BAE">
        <w:rPr>
          <w:rFonts w:asciiTheme="majorHAnsi" w:eastAsia="Times New Roman" w:hAnsiTheme="majorHAnsi" w:cs="Arial"/>
          <w:b/>
          <w:sz w:val="24"/>
          <w:lang w:val="en-GB"/>
        </w:rPr>
        <w:tab/>
      </w:r>
      <w:r w:rsidRPr="00C57BAE">
        <w:rPr>
          <w:rFonts w:ascii="Calibri" w:hAnsi="Calibri" w:cs="Arial"/>
          <w:sz w:val="24"/>
          <w:lang w:val="en-GB"/>
        </w:rPr>
        <w:t>Australia Middle-East N</w:t>
      </w:r>
      <w:r>
        <w:rPr>
          <w:rFonts w:ascii="Calibri" w:hAnsi="Calibri" w:cs="Arial"/>
          <w:sz w:val="24"/>
          <w:lang w:val="en-GB"/>
        </w:rPr>
        <w:t>GO Cooperation Agreement (Phase 2)</w:t>
      </w:r>
    </w:p>
    <w:p w14:paraId="0E2AEB19" w14:textId="77777777" w:rsidR="00D568A9" w:rsidRPr="00C57BAE" w:rsidRDefault="00D568A9" w:rsidP="00D568A9">
      <w:pPr>
        <w:rPr>
          <w:rFonts w:asciiTheme="majorHAnsi" w:eastAsia="Times New Roman" w:hAnsiTheme="majorHAnsi" w:cs="Arial"/>
          <w:sz w:val="24"/>
          <w:lang w:val="en-GB"/>
        </w:rPr>
      </w:pPr>
      <w:r w:rsidRPr="00C57BAE">
        <w:rPr>
          <w:rFonts w:asciiTheme="majorHAnsi" w:eastAsia="Times New Roman" w:hAnsiTheme="majorHAnsi" w:cs="Arial"/>
          <w:b/>
          <w:sz w:val="24"/>
          <w:lang w:val="en-GB"/>
        </w:rPr>
        <w:t>APHEDA</w:t>
      </w:r>
      <w:r w:rsidRPr="00C57BAE">
        <w:rPr>
          <w:rFonts w:asciiTheme="majorHAnsi" w:eastAsia="Times New Roman" w:hAnsiTheme="majorHAnsi" w:cs="Arial"/>
          <w:b/>
          <w:sz w:val="24"/>
          <w:lang w:val="en-GB"/>
        </w:rPr>
        <w:tab/>
      </w:r>
      <w:r>
        <w:rPr>
          <w:rFonts w:asciiTheme="majorHAnsi" w:eastAsia="Times New Roman" w:hAnsiTheme="majorHAnsi" w:cs="Arial"/>
          <w:sz w:val="24"/>
          <w:lang w:val="en-GB"/>
        </w:rPr>
        <w:t>Australian People for Health, Education and Development Abroad</w:t>
      </w:r>
    </w:p>
    <w:p w14:paraId="1F89C57F"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ARIJ</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Calibri" w:hAnsi="Calibri"/>
          <w:sz w:val="24"/>
        </w:rPr>
        <w:t>Applied Research Institute – Jerusalem</w:t>
      </w:r>
    </w:p>
    <w:p w14:paraId="036A6172" w14:textId="77777777" w:rsidR="00D568A9" w:rsidRPr="00B70C96" w:rsidRDefault="00D568A9" w:rsidP="00D568A9">
      <w:pPr>
        <w:rPr>
          <w:rFonts w:asciiTheme="majorHAnsi" w:eastAsia="Times New Roman" w:hAnsiTheme="majorHAnsi" w:cs="Arial"/>
          <w:sz w:val="24"/>
          <w:lang w:val="en-GB"/>
        </w:rPr>
      </w:pPr>
      <w:r>
        <w:rPr>
          <w:rFonts w:asciiTheme="majorHAnsi" w:eastAsia="Times New Roman" w:hAnsiTheme="majorHAnsi" w:cs="Arial"/>
          <w:b/>
          <w:sz w:val="24"/>
          <w:lang w:val="en-GB"/>
        </w:rPr>
        <w:t>CBO</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Pr>
          <w:rFonts w:asciiTheme="majorHAnsi" w:eastAsia="Times New Roman" w:hAnsiTheme="majorHAnsi" w:cs="Arial"/>
          <w:sz w:val="24"/>
          <w:lang w:val="en-GB"/>
        </w:rPr>
        <w:t>Community Based Organisation</w:t>
      </w:r>
    </w:p>
    <w:p w14:paraId="232910C2" w14:textId="77777777" w:rsidR="00D568A9" w:rsidRDefault="00D568A9" w:rsidP="00D568A9">
      <w:pPr>
        <w:rPr>
          <w:rFonts w:asciiTheme="majorHAnsi" w:eastAsia="Times New Roman" w:hAnsiTheme="majorHAnsi" w:cs="Arial"/>
          <w:b/>
          <w:sz w:val="24"/>
          <w:lang w:val="en-GB"/>
        </w:rPr>
      </w:pPr>
      <w:r>
        <w:rPr>
          <w:rFonts w:asciiTheme="majorHAnsi" w:eastAsia="Times New Roman" w:hAnsiTheme="majorHAnsi" w:cs="Arial"/>
          <w:b/>
          <w:sz w:val="24"/>
          <w:lang w:val="en-GB"/>
        </w:rPr>
        <w:t>CFS</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sidRPr="00A212A9">
        <w:rPr>
          <w:rFonts w:asciiTheme="majorHAnsi" w:hAnsiTheme="majorHAnsi"/>
          <w:sz w:val="24"/>
        </w:rPr>
        <w:t>Child Friendly Spaces</w:t>
      </w:r>
    </w:p>
    <w:p w14:paraId="79749ABF" w14:textId="77777777" w:rsidR="00D568A9" w:rsidRDefault="00D568A9" w:rsidP="00D568A9">
      <w:pPr>
        <w:rPr>
          <w:rFonts w:asciiTheme="majorHAnsi" w:eastAsia="Times New Roman" w:hAnsiTheme="majorHAnsi" w:cs="Arial"/>
          <w:b/>
          <w:sz w:val="24"/>
          <w:lang w:val="en-GB"/>
        </w:rPr>
      </w:pPr>
      <w:r>
        <w:rPr>
          <w:rFonts w:asciiTheme="majorHAnsi" w:eastAsia="Times New Roman" w:hAnsiTheme="majorHAnsi" w:cs="Arial"/>
          <w:b/>
          <w:sz w:val="24"/>
          <w:lang w:val="en-GB"/>
        </w:rPr>
        <w:t>DFAT</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sidRPr="00DD1730">
        <w:rPr>
          <w:rFonts w:asciiTheme="majorHAnsi" w:eastAsia="Times New Roman" w:hAnsiTheme="majorHAnsi" w:cs="Arial"/>
          <w:sz w:val="24"/>
          <w:lang w:val="en-GB"/>
        </w:rPr>
        <w:t>(Australian) Department of Foreign Affairs and Trade</w:t>
      </w:r>
    </w:p>
    <w:p w14:paraId="09617B0A"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ESDC</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Calibri" w:hAnsi="Calibri"/>
          <w:sz w:val="24"/>
        </w:rPr>
        <w:t>Economic and Social Development Centre of Palestine</w:t>
      </w:r>
    </w:p>
    <w:p w14:paraId="7BB9E69A" w14:textId="77777777" w:rsidR="00D568A9" w:rsidRDefault="00D568A9" w:rsidP="00D568A9">
      <w:pPr>
        <w:rPr>
          <w:rFonts w:asciiTheme="majorHAnsi" w:eastAsia="Times New Roman" w:hAnsiTheme="majorHAnsi" w:cs="Arial"/>
          <w:b/>
          <w:sz w:val="24"/>
          <w:lang w:val="en-GB"/>
        </w:rPr>
      </w:pPr>
      <w:r>
        <w:rPr>
          <w:rFonts w:asciiTheme="majorHAnsi" w:eastAsia="Times New Roman" w:hAnsiTheme="majorHAnsi" w:cs="Arial"/>
          <w:b/>
          <w:sz w:val="24"/>
          <w:lang w:val="en-GB"/>
        </w:rPr>
        <w:t>GNI</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sidRPr="00245423">
        <w:rPr>
          <w:rFonts w:asciiTheme="majorHAnsi" w:hAnsiTheme="majorHAnsi"/>
          <w:sz w:val="24"/>
        </w:rPr>
        <w:t>Gross National Income</w:t>
      </w:r>
    </w:p>
    <w:p w14:paraId="25D09616"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ICP</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Calibri" w:hAnsi="Calibri"/>
          <w:sz w:val="24"/>
        </w:rPr>
        <w:t>Institute for Community Partnership</w:t>
      </w:r>
    </w:p>
    <w:p w14:paraId="4E1A9273" w14:textId="77777777" w:rsidR="00D568A9" w:rsidRPr="00C820D8" w:rsidRDefault="00D568A9" w:rsidP="00D568A9">
      <w:pPr>
        <w:rPr>
          <w:rFonts w:asciiTheme="majorHAnsi" w:eastAsia="Times New Roman" w:hAnsiTheme="majorHAnsi" w:cs="Arial"/>
          <w:sz w:val="24"/>
          <w:lang w:val="en-GB"/>
        </w:rPr>
      </w:pPr>
      <w:r w:rsidRPr="00C57BAE">
        <w:rPr>
          <w:rFonts w:asciiTheme="majorHAnsi" w:eastAsia="Times New Roman" w:hAnsiTheme="majorHAnsi" w:cs="Arial"/>
          <w:b/>
          <w:sz w:val="24"/>
          <w:lang w:val="en-GB"/>
        </w:rPr>
        <w:t>LGU</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Theme="majorHAnsi" w:eastAsia="Times New Roman" w:hAnsiTheme="majorHAnsi" w:cs="Arial"/>
          <w:sz w:val="24"/>
          <w:lang w:val="en-GB"/>
        </w:rPr>
        <w:t xml:space="preserve">Local </w:t>
      </w:r>
      <w:r w:rsidRPr="00C820D8">
        <w:rPr>
          <w:rFonts w:asciiTheme="majorHAnsi" w:eastAsia="Times New Roman" w:hAnsiTheme="majorHAnsi" w:cs="Arial"/>
          <w:sz w:val="24"/>
          <w:lang w:val="en-GB"/>
        </w:rPr>
        <w:t>Government Unit</w:t>
      </w:r>
    </w:p>
    <w:p w14:paraId="6C71120D" w14:textId="77777777" w:rsidR="00D568A9" w:rsidRPr="00C820D8" w:rsidRDefault="00D568A9" w:rsidP="00D568A9">
      <w:pPr>
        <w:rPr>
          <w:rFonts w:asciiTheme="majorHAnsi" w:eastAsia="Times New Roman" w:hAnsiTheme="majorHAnsi" w:cs="Arial"/>
          <w:sz w:val="24"/>
          <w:lang w:val="en-GB"/>
        </w:rPr>
      </w:pPr>
      <w:r w:rsidRPr="00C820D8">
        <w:rPr>
          <w:rFonts w:asciiTheme="majorHAnsi" w:eastAsia="Times New Roman" w:hAnsiTheme="majorHAnsi" w:cs="Arial"/>
          <w:b/>
          <w:sz w:val="24"/>
          <w:lang w:val="en-GB"/>
        </w:rPr>
        <w:t>MHPSS</w:t>
      </w:r>
      <w:r w:rsidRPr="00C820D8">
        <w:rPr>
          <w:rFonts w:asciiTheme="majorHAnsi" w:eastAsia="Times New Roman" w:hAnsiTheme="majorHAnsi" w:cs="Arial"/>
          <w:b/>
          <w:sz w:val="24"/>
          <w:lang w:val="en-GB"/>
        </w:rPr>
        <w:tab/>
      </w:r>
      <w:r w:rsidRPr="00C820D8">
        <w:rPr>
          <w:rFonts w:asciiTheme="majorHAnsi" w:eastAsia="Times New Roman" w:hAnsiTheme="majorHAnsi" w:cs="Arial"/>
          <w:b/>
          <w:sz w:val="24"/>
          <w:lang w:val="en-GB"/>
        </w:rPr>
        <w:tab/>
      </w:r>
      <w:r w:rsidRPr="00C820D8">
        <w:rPr>
          <w:rFonts w:ascii="Calibri" w:hAnsi="Calibri"/>
          <w:sz w:val="24"/>
        </w:rPr>
        <w:t>Mental Health and Psychosocial Support</w:t>
      </w:r>
    </w:p>
    <w:p w14:paraId="48CE797A" w14:textId="77777777" w:rsidR="00D568A9" w:rsidRPr="00C57BAE" w:rsidRDefault="00D568A9" w:rsidP="00D568A9">
      <w:pPr>
        <w:rPr>
          <w:rFonts w:asciiTheme="majorHAnsi" w:eastAsia="Times New Roman" w:hAnsiTheme="majorHAnsi" w:cs="Arial"/>
          <w:sz w:val="24"/>
          <w:lang w:val="en-GB"/>
        </w:rPr>
      </w:pPr>
      <w:r w:rsidRPr="00C820D8">
        <w:rPr>
          <w:rFonts w:asciiTheme="majorHAnsi" w:eastAsia="Times New Roman" w:hAnsiTheme="majorHAnsi" w:cs="Arial"/>
          <w:b/>
          <w:sz w:val="24"/>
          <w:lang w:val="en-GB"/>
        </w:rPr>
        <w:t>NDP</w:t>
      </w:r>
      <w:r w:rsidRPr="00C820D8">
        <w:rPr>
          <w:rFonts w:asciiTheme="majorHAnsi" w:eastAsia="Times New Roman" w:hAnsiTheme="majorHAnsi" w:cs="Arial"/>
          <w:sz w:val="24"/>
          <w:lang w:val="en-GB"/>
        </w:rPr>
        <w:tab/>
      </w:r>
      <w:r w:rsidRPr="00C820D8">
        <w:rPr>
          <w:rFonts w:asciiTheme="majorHAnsi" w:eastAsia="Times New Roman" w:hAnsiTheme="majorHAnsi" w:cs="Arial"/>
          <w:sz w:val="24"/>
          <w:lang w:val="en-GB"/>
        </w:rPr>
        <w:tab/>
        <w:t>(Palestinian</w:t>
      </w:r>
      <w:r w:rsidRPr="00C57BAE">
        <w:rPr>
          <w:rFonts w:asciiTheme="majorHAnsi" w:eastAsia="Times New Roman" w:hAnsiTheme="majorHAnsi" w:cs="Arial"/>
          <w:sz w:val="24"/>
          <w:lang w:val="en-GB"/>
        </w:rPr>
        <w:t>) National Development Plan 2014-16</w:t>
      </w:r>
    </w:p>
    <w:p w14:paraId="341727CB"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NFC</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Calibri" w:hAnsi="Calibri"/>
          <w:sz w:val="24"/>
        </w:rPr>
        <w:t>New Farm Company</w:t>
      </w:r>
    </w:p>
    <w:p w14:paraId="775E74DA" w14:textId="77777777" w:rsidR="00D568A9" w:rsidRPr="00C820D8" w:rsidRDefault="00D568A9" w:rsidP="00D568A9">
      <w:pPr>
        <w:rPr>
          <w:rFonts w:asciiTheme="majorHAnsi" w:eastAsia="Times New Roman" w:hAnsiTheme="majorHAnsi" w:cs="Arial"/>
          <w:sz w:val="24"/>
          <w:lang w:val="en-GB"/>
        </w:rPr>
      </w:pPr>
      <w:r>
        <w:rPr>
          <w:rFonts w:asciiTheme="majorHAnsi" w:eastAsia="Times New Roman" w:hAnsiTheme="majorHAnsi" w:cs="Arial"/>
          <w:b/>
          <w:sz w:val="24"/>
          <w:lang w:val="en-GB"/>
        </w:rPr>
        <w:t>NRM</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Pr>
          <w:rFonts w:asciiTheme="majorHAnsi" w:eastAsia="Times New Roman" w:hAnsiTheme="majorHAnsi" w:cs="Arial"/>
          <w:sz w:val="24"/>
          <w:lang w:val="en-GB"/>
        </w:rPr>
        <w:t>Natural Resource Management</w:t>
      </w:r>
    </w:p>
    <w:p w14:paraId="7DB5D4CA" w14:textId="77777777" w:rsidR="00D568A9" w:rsidRPr="00C57BAE" w:rsidRDefault="00D568A9" w:rsidP="00D568A9">
      <w:pPr>
        <w:rPr>
          <w:rFonts w:asciiTheme="majorHAnsi" w:eastAsia="Times New Roman" w:hAnsiTheme="majorHAnsi" w:cs="Arial"/>
          <w:sz w:val="24"/>
          <w:lang w:val="en-GB"/>
        </w:rPr>
      </w:pPr>
      <w:r>
        <w:rPr>
          <w:rFonts w:asciiTheme="majorHAnsi" w:eastAsia="Times New Roman" w:hAnsiTheme="majorHAnsi" w:cs="Arial"/>
          <w:b/>
          <w:sz w:val="24"/>
          <w:lang w:val="en-GB"/>
        </w:rPr>
        <w:t>PA</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Pr>
          <w:rFonts w:asciiTheme="majorHAnsi" w:eastAsia="Times New Roman" w:hAnsiTheme="majorHAnsi" w:cs="Arial"/>
          <w:sz w:val="24"/>
          <w:lang w:val="en-GB"/>
        </w:rPr>
        <w:t>Palestinian Authority</w:t>
      </w:r>
      <w:r>
        <w:rPr>
          <w:rFonts w:asciiTheme="majorHAnsi" w:eastAsia="Times New Roman" w:hAnsiTheme="majorHAnsi" w:cs="Arial"/>
          <w:b/>
          <w:sz w:val="24"/>
          <w:lang w:val="en-GB"/>
        </w:rPr>
        <w:br/>
      </w:r>
      <w:r w:rsidRPr="00C57BAE">
        <w:rPr>
          <w:rFonts w:asciiTheme="majorHAnsi" w:eastAsia="Times New Roman" w:hAnsiTheme="majorHAnsi" w:cs="Arial"/>
          <w:b/>
          <w:sz w:val="24"/>
          <w:lang w:val="en-GB"/>
        </w:rPr>
        <w:t>PFA</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Theme="majorHAnsi" w:eastAsia="Times New Roman" w:hAnsiTheme="majorHAnsi" w:cs="Arial"/>
          <w:sz w:val="24"/>
          <w:lang w:val="en-GB"/>
        </w:rPr>
        <w:t>Psychological First Aid</w:t>
      </w:r>
    </w:p>
    <w:p w14:paraId="43B1447D"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PNGO</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sidRPr="00C57BAE">
        <w:rPr>
          <w:rFonts w:asciiTheme="majorHAnsi" w:eastAsia="Times New Roman" w:hAnsiTheme="majorHAnsi" w:cs="Arial"/>
          <w:sz w:val="24"/>
          <w:lang w:val="en-GB"/>
        </w:rPr>
        <w:t>Palestinian Network of Non-Government Organisations</w:t>
      </w:r>
    </w:p>
    <w:p w14:paraId="029D5A0A" w14:textId="77777777" w:rsidR="00D568A9" w:rsidRDefault="00D568A9" w:rsidP="00D568A9">
      <w:pPr>
        <w:rPr>
          <w:rFonts w:asciiTheme="majorHAnsi" w:eastAsia="Times New Roman" w:hAnsiTheme="majorHAnsi" w:cs="Arial"/>
          <w:b/>
          <w:sz w:val="24"/>
          <w:lang w:val="en-GB"/>
        </w:rPr>
      </w:pPr>
      <w:r>
        <w:rPr>
          <w:rFonts w:asciiTheme="majorHAnsi" w:eastAsia="Times New Roman" w:hAnsiTheme="majorHAnsi" w:cs="Arial"/>
          <w:b/>
          <w:sz w:val="24"/>
          <w:lang w:val="en-GB"/>
        </w:rPr>
        <w:t>PT</w:t>
      </w:r>
      <w:r>
        <w:rPr>
          <w:rFonts w:asciiTheme="majorHAnsi" w:eastAsia="Times New Roman" w:hAnsiTheme="majorHAnsi" w:cs="Arial"/>
          <w:b/>
          <w:sz w:val="24"/>
          <w:lang w:val="en-GB"/>
        </w:rPr>
        <w:tab/>
      </w:r>
      <w:r>
        <w:rPr>
          <w:rFonts w:asciiTheme="majorHAnsi" w:eastAsia="Times New Roman" w:hAnsiTheme="majorHAnsi" w:cs="Arial"/>
          <w:b/>
          <w:sz w:val="24"/>
          <w:lang w:val="en-GB"/>
        </w:rPr>
        <w:tab/>
      </w:r>
      <w:r w:rsidRPr="00DD1730">
        <w:rPr>
          <w:rFonts w:asciiTheme="majorHAnsi" w:eastAsia="Times New Roman" w:hAnsiTheme="majorHAnsi" w:cs="Arial"/>
          <w:sz w:val="24"/>
          <w:lang w:val="en-GB"/>
        </w:rPr>
        <w:t>Palestinian Territories</w:t>
      </w:r>
    </w:p>
    <w:p w14:paraId="6993D0F3" w14:textId="77777777" w:rsidR="00D568A9" w:rsidRPr="00C57BAE" w:rsidRDefault="00D568A9" w:rsidP="00D568A9">
      <w:pPr>
        <w:rPr>
          <w:rFonts w:asciiTheme="majorHAnsi" w:eastAsia="Times New Roman" w:hAnsiTheme="majorHAnsi" w:cs="Arial"/>
          <w:b/>
          <w:sz w:val="24"/>
          <w:lang w:val="en-GB"/>
        </w:rPr>
      </w:pPr>
      <w:r w:rsidRPr="00C57BAE">
        <w:rPr>
          <w:rFonts w:asciiTheme="majorHAnsi" w:eastAsia="Times New Roman" w:hAnsiTheme="majorHAnsi" w:cs="Arial"/>
          <w:b/>
          <w:sz w:val="24"/>
          <w:lang w:val="en-GB"/>
        </w:rPr>
        <w:t>UAWC</w:t>
      </w:r>
      <w:r w:rsidRPr="00C57BAE">
        <w:rPr>
          <w:rFonts w:asciiTheme="majorHAnsi" w:eastAsia="Times New Roman" w:hAnsiTheme="majorHAnsi" w:cs="Arial"/>
          <w:b/>
          <w:sz w:val="24"/>
          <w:lang w:val="en-GB"/>
        </w:rPr>
        <w:tab/>
      </w:r>
      <w:r w:rsidRPr="00C57BAE">
        <w:rPr>
          <w:rFonts w:asciiTheme="majorHAnsi" w:eastAsia="Times New Roman" w:hAnsiTheme="majorHAnsi" w:cs="Arial"/>
          <w:b/>
          <w:sz w:val="24"/>
          <w:lang w:val="en-GB"/>
        </w:rPr>
        <w:tab/>
      </w:r>
      <w:r w:rsidRPr="00C57BAE">
        <w:rPr>
          <w:rFonts w:ascii="Calibri" w:hAnsi="Calibri"/>
          <w:sz w:val="24"/>
        </w:rPr>
        <w:t>Union of Agricultural Work Committees</w:t>
      </w:r>
    </w:p>
    <w:p w14:paraId="66C3F7A2" w14:textId="77777777" w:rsidR="00D568A9" w:rsidRDefault="00D568A9" w:rsidP="00D568A9">
      <w:pPr>
        <w:rPr>
          <w:rFonts w:asciiTheme="majorHAnsi" w:eastAsia="Times New Roman" w:hAnsiTheme="majorHAnsi" w:cs="Arial"/>
          <w:b/>
          <w:sz w:val="24"/>
          <w:lang w:val="en-GB"/>
        </w:rPr>
      </w:pPr>
      <w:r>
        <w:rPr>
          <w:rFonts w:asciiTheme="majorHAnsi" w:eastAsia="Times New Roman" w:hAnsiTheme="majorHAnsi" w:cs="Arial"/>
          <w:b/>
          <w:sz w:val="24"/>
          <w:lang w:val="en-GB"/>
        </w:rPr>
        <w:t>UNICEF</w:t>
      </w:r>
      <w:r>
        <w:rPr>
          <w:rFonts w:asciiTheme="majorHAnsi" w:eastAsia="Times New Roman" w:hAnsiTheme="majorHAnsi" w:cs="Arial"/>
          <w:b/>
          <w:sz w:val="24"/>
          <w:lang w:val="en-GB"/>
        </w:rPr>
        <w:tab/>
      </w:r>
      <w:r w:rsidRPr="00483076">
        <w:rPr>
          <w:rFonts w:asciiTheme="majorHAnsi" w:eastAsia="Times New Roman" w:hAnsiTheme="majorHAnsi" w:cs="Arial"/>
          <w:sz w:val="24"/>
          <w:lang w:val="en-GB"/>
        </w:rPr>
        <w:t>United Nations Children’s Fund</w:t>
      </w:r>
    </w:p>
    <w:p w14:paraId="06FFEE47" w14:textId="77777777" w:rsidR="00D568A9" w:rsidRPr="00C57BAE" w:rsidRDefault="00D568A9" w:rsidP="00D568A9">
      <w:pPr>
        <w:rPr>
          <w:rFonts w:asciiTheme="majorHAnsi" w:eastAsia="Times New Roman" w:hAnsiTheme="majorHAnsi" w:cs="Arial"/>
          <w:sz w:val="24"/>
          <w:lang w:val="en-GB"/>
        </w:rPr>
      </w:pPr>
      <w:r w:rsidRPr="00C57BAE">
        <w:rPr>
          <w:rFonts w:asciiTheme="majorHAnsi" w:eastAsia="Times New Roman" w:hAnsiTheme="majorHAnsi" w:cs="Arial"/>
          <w:b/>
          <w:sz w:val="24"/>
          <w:lang w:val="en-GB"/>
        </w:rPr>
        <w:t>WV</w:t>
      </w:r>
      <w:r w:rsidRPr="00C57BAE">
        <w:rPr>
          <w:rFonts w:asciiTheme="majorHAnsi" w:eastAsia="Times New Roman" w:hAnsiTheme="majorHAnsi" w:cs="Arial"/>
          <w:sz w:val="24"/>
          <w:lang w:val="en-GB"/>
        </w:rPr>
        <w:tab/>
      </w:r>
      <w:r w:rsidRPr="00C57BAE">
        <w:rPr>
          <w:rFonts w:asciiTheme="majorHAnsi" w:eastAsia="Times New Roman" w:hAnsiTheme="majorHAnsi" w:cs="Arial"/>
          <w:sz w:val="24"/>
          <w:lang w:val="en-GB"/>
        </w:rPr>
        <w:tab/>
        <w:t>World Vision</w:t>
      </w:r>
    </w:p>
    <w:p w14:paraId="2364C6E7" w14:textId="77777777" w:rsidR="008F68D0" w:rsidRPr="007B0751" w:rsidRDefault="008F68D0" w:rsidP="008F68D0">
      <w:pPr>
        <w:rPr>
          <w:rFonts w:asciiTheme="majorHAnsi" w:hAnsiTheme="majorHAnsi"/>
          <w:b/>
          <w:sz w:val="28"/>
        </w:rPr>
      </w:pPr>
    </w:p>
    <w:p w14:paraId="6C2F4CBB" w14:textId="77777777" w:rsidR="00740640" w:rsidRPr="007B0751" w:rsidRDefault="00740640">
      <w:pPr>
        <w:rPr>
          <w:rFonts w:asciiTheme="majorHAnsi" w:hAnsiTheme="majorHAnsi"/>
          <w:b/>
        </w:rPr>
      </w:pPr>
      <w:r w:rsidRPr="007B0751">
        <w:rPr>
          <w:rFonts w:asciiTheme="majorHAnsi" w:hAnsiTheme="majorHAnsi"/>
          <w:b/>
        </w:rPr>
        <w:br w:type="page"/>
      </w:r>
    </w:p>
    <w:p w14:paraId="6D9F8057" w14:textId="77777777" w:rsidR="003A0F41" w:rsidRPr="007B0751" w:rsidRDefault="003A0F41" w:rsidP="003A0F41">
      <w:pPr>
        <w:rPr>
          <w:rFonts w:asciiTheme="majorHAnsi" w:hAnsiTheme="majorHAnsi"/>
          <w:b/>
          <w:color w:val="F79646" w:themeColor="accent6"/>
          <w:sz w:val="28"/>
          <w:szCs w:val="28"/>
        </w:rPr>
      </w:pPr>
      <w:r w:rsidRPr="007B0751">
        <w:rPr>
          <w:rFonts w:asciiTheme="majorHAnsi" w:eastAsia="Times New Roman" w:hAnsiTheme="majorHAnsi" w:cs="Arial"/>
          <w:b/>
          <w:color w:val="1F497D" w:themeColor="text2"/>
          <w:sz w:val="28"/>
          <w:szCs w:val="28"/>
          <w:lang w:val="en-GB"/>
        </w:rPr>
        <w:t>Project Summary</w:t>
      </w:r>
    </w:p>
    <w:p w14:paraId="1B0B84B7" w14:textId="77777777" w:rsidR="003A0F41" w:rsidRPr="007B0751" w:rsidRDefault="003A0F41" w:rsidP="003A0F41">
      <w:pPr>
        <w:rPr>
          <w:rFonts w:asciiTheme="majorHAnsi" w:hAnsiTheme="majorHAnsi"/>
          <w:sz w:val="24"/>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7796"/>
      </w:tblGrid>
      <w:tr w:rsidR="003A0F41" w:rsidRPr="007B0751" w14:paraId="232534CF" w14:textId="77777777">
        <w:tc>
          <w:tcPr>
            <w:tcW w:w="1844" w:type="dxa"/>
          </w:tcPr>
          <w:p w14:paraId="23EF24BE" w14:textId="77777777" w:rsidR="003A0F41" w:rsidRPr="007B0751" w:rsidRDefault="003A0F41" w:rsidP="00751C6C">
            <w:pPr>
              <w:rPr>
                <w:rFonts w:asciiTheme="majorHAnsi" w:hAnsiTheme="majorHAnsi"/>
                <w:szCs w:val="22"/>
              </w:rPr>
            </w:pPr>
            <w:r w:rsidRPr="007B0751">
              <w:rPr>
                <w:rFonts w:asciiTheme="majorHAnsi" w:hAnsiTheme="majorHAnsi"/>
                <w:b/>
                <w:color w:val="000000"/>
                <w:szCs w:val="22"/>
                <w:lang w:val="en-GB"/>
              </w:rPr>
              <w:t>Pro</w:t>
            </w:r>
            <w:r w:rsidR="00751C6C" w:rsidRPr="007B0751">
              <w:rPr>
                <w:rFonts w:asciiTheme="majorHAnsi" w:hAnsiTheme="majorHAnsi"/>
                <w:b/>
                <w:color w:val="000000"/>
                <w:szCs w:val="22"/>
                <w:lang w:val="en-GB"/>
              </w:rPr>
              <w:t>gram</w:t>
            </w:r>
            <w:r w:rsidRPr="007B0751">
              <w:rPr>
                <w:rFonts w:asciiTheme="majorHAnsi" w:hAnsiTheme="majorHAnsi"/>
                <w:b/>
                <w:color w:val="000000"/>
                <w:szCs w:val="22"/>
                <w:lang w:val="en-GB"/>
              </w:rPr>
              <w:t xml:space="preserve"> Name</w:t>
            </w:r>
          </w:p>
        </w:tc>
        <w:tc>
          <w:tcPr>
            <w:tcW w:w="7796" w:type="dxa"/>
          </w:tcPr>
          <w:p w14:paraId="286152B5" w14:textId="73378AF1" w:rsidR="003A0F41" w:rsidRPr="007B0751" w:rsidRDefault="00751C6C" w:rsidP="00751C6C">
            <w:pPr>
              <w:rPr>
                <w:rFonts w:asciiTheme="majorHAnsi" w:hAnsiTheme="majorHAnsi"/>
                <w:szCs w:val="22"/>
              </w:rPr>
            </w:pPr>
            <w:r w:rsidRPr="007B0751">
              <w:rPr>
                <w:rFonts w:asciiTheme="majorHAnsi" w:hAnsiTheme="majorHAnsi"/>
                <w:szCs w:val="22"/>
              </w:rPr>
              <w:t>Australian Middle East NGO Cooperation Agreement</w:t>
            </w:r>
            <w:r w:rsidR="008129C2">
              <w:rPr>
                <w:rFonts w:asciiTheme="majorHAnsi" w:hAnsiTheme="majorHAnsi"/>
                <w:szCs w:val="22"/>
              </w:rPr>
              <w:t xml:space="preserve"> </w:t>
            </w:r>
            <w:r w:rsidR="00935947">
              <w:rPr>
                <w:rFonts w:asciiTheme="majorHAnsi" w:hAnsiTheme="majorHAnsi"/>
                <w:szCs w:val="22"/>
              </w:rPr>
              <w:t xml:space="preserve">Phase Two </w:t>
            </w:r>
            <w:r w:rsidR="008129C2">
              <w:rPr>
                <w:rFonts w:asciiTheme="majorHAnsi" w:hAnsiTheme="majorHAnsi"/>
                <w:szCs w:val="22"/>
              </w:rPr>
              <w:t>(AMENCA</w:t>
            </w:r>
            <w:r w:rsidR="00935947">
              <w:rPr>
                <w:rFonts w:asciiTheme="majorHAnsi" w:hAnsiTheme="majorHAnsi"/>
                <w:szCs w:val="22"/>
              </w:rPr>
              <w:t>2)</w:t>
            </w:r>
          </w:p>
          <w:p w14:paraId="38AEC0BF" w14:textId="77777777" w:rsidR="003A0F41" w:rsidRPr="007B0751" w:rsidRDefault="003A0F41" w:rsidP="00751C6C">
            <w:pPr>
              <w:rPr>
                <w:rFonts w:asciiTheme="majorHAnsi" w:hAnsiTheme="majorHAnsi"/>
                <w:szCs w:val="22"/>
              </w:rPr>
            </w:pPr>
          </w:p>
        </w:tc>
      </w:tr>
      <w:tr w:rsidR="003A0F41" w:rsidRPr="007B0751" w14:paraId="78ECBA47" w14:textId="77777777">
        <w:tc>
          <w:tcPr>
            <w:tcW w:w="1844" w:type="dxa"/>
          </w:tcPr>
          <w:p w14:paraId="65679F5F" w14:textId="77777777" w:rsidR="003A0F41" w:rsidRPr="007B0751" w:rsidRDefault="00AB1659" w:rsidP="00751C6C">
            <w:pPr>
              <w:rPr>
                <w:rFonts w:asciiTheme="majorHAnsi" w:hAnsiTheme="majorHAnsi"/>
                <w:b/>
                <w:szCs w:val="22"/>
              </w:rPr>
            </w:pPr>
            <w:r w:rsidRPr="007B0751">
              <w:rPr>
                <w:rFonts w:asciiTheme="majorHAnsi" w:hAnsiTheme="majorHAnsi"/>
                <w:b/>
                <w:szCs w:val="22"/>
              </w:rPr>
              <w:t>Program</w:t>
            </w:r>
            <w:r w:rsidR="003A0F41" w:rsidRPr="007B0751">
              <w:rPr>
                <w:rFonts w:asciiTheme="majorHAnsi" w:hAnsiTheme="majorHAnsi"/>
                <w:b/>
                <w:szCs w:val="22"/>
              </w:rPr>
              <w:t xml:space="preserve"> Duration</w:t>
            </w:r>
          </w:p>
        </w:tc>
        <w:tc>
          <w:tcPr>
            <w:tcW w:w="7796" w:type="dxa"/>
          </w:tcPr>
          <w:p w14:paraId="5359E5DD" w14:textId="77777777" w:rsidR="003A0F41" w:rsidRPr="007B0751" w:rsidRDefault="003A0F41" w:rsidP="00751C6C">
            <w:pPr>
              <w:rPr>
                <w:rFonts w:asciiTheme="majorHAnsi" w:hAnsiTheme="majorHAnsi"/>
                <w:szCs w:val="22"/>
              </w:rPr>
            </w:pPr>
            <w:r w:rsidRPr="007B0751">
              <w:rPr>
                <w:rFonts w:asciiTheme="majorHAnsi" w:hAnsiTheme="majorHAnsi"/>
                <w:szCs w:val="22"/>
              </w:rPr>
              <w:t>October 20</w:t>
            </w:r>
            <w:r w:rsidR="00751C6C" w:rsidRPr="007B0751">
              <w:rPr>
                <w:rFonts w:asciiTheme="majorHAnsi" w:hAnsiTheme="majorHAnsi"/>
                <w:szCs w:val="22"/>
              </w:rPr>
              <w:t xml:space="preserve">09 </w:t>
            </w:r>
            <w:r w:rsidRPr="007B0751">
              <w:rPr>
                <w:rFonts w:asciiTheme="majorHAnsi" w:hAnsiTheme="majorHAnsi"/>
                <w:szCs w:val="22"/>
              </w:rPr>
              <w:t xml:space="preserve">to </w:t>
            </w:r>
            <w:r w:rsidR="00751C6C" w:rsidRPr="007B0751">
              <w:rPr>
                <w:rFonts w:asciiTheme="majorHAnsi" w:hAnsiTheme="majorHAnsi"/>
                <w:szCs w:val="22"/>
              </w:rPr>
              <w:t>April 2015</w:t>
            </w:r>
          </w:p>
          <w:p w14:paraId="3AD42DC5" w14:textId="77777777" w:rsidR="003A0F41" w:rsidRPr="007B0751" w:rsidRDefault="003A0F41" w:rsidP="00751C6C">
            <w:pPr>
              <w:rPr>
                <w:rFonts w:asciiTheme="majorHAnsi" w:hAnsiTheme="majorHAnsi"/>
                <w:szCs w:val="22"/>
              </w:rPr>
            </w:pPr>
          </w:p>
        </w:tc>
      </w:tr>
      <w:tr w:rsidR="003A0F41" w:rsidRPr="007B0751" w14:paraId="530CCA92" w14:textId="77777777">
        <w:tc>
          <w:tcPr>
            <w:tcW w:w="1844" w:type="dxa"/>
          </w:tcPr>
          <w:p w14:paraId="2CB31C39" w14:textId="77777777" w:rsidR="003A0F41" w:rsidRPr="007B0751" w:rsidRDefault="00AB1659" w:rsidP="00751C6C">
            <w:pPr>
              <w:rPr>
                <w:rFonts w:asciiTheme="majorHAnsi" w:hAnsiTheme="majorHAnsi"/>
                <w:b/>
                <w:szCs w:val="22"/>
              </w:rPr>
            </w:pPr>
            <w:r w:rsidRPr="007B0751">
              <w:rPr>
                <w:rFonts w:asciiTheme="majorHAnsi" w:hAnsiTheme="majorHAnsi"/>
                <w:b/>
                <w:szCs w:val="22"/>
              </w:rPr>
              <w:t>Program</w:t>
            </w:r>
            <w:r w:rsidR="003A0F41" w:rsidRPr="007B0751">
              <w:rPr>
                <w:rFonts w:asciiTheme="majorHAnsi" w:hAnsiTheme="majorHAnsi"/>
                <w:b/>
                <w:szCs w:val="22"/>
              </w:rPr>
              <w:t xml:space="preserve"> Location</w:t>
            </w:r>
          </w:p>
        </w:tc>
        <w:tc>
          <w:tcPr>
            <w:tcW w:w="7796" w:type="dxa"/>
          </w:tcPr>
          <w:p w14:paraId="6E4E75DE" w14:textId="77777777" w:rsidR="003A0F41" w:rsidRPr="007B0751" w:rsidRDefault="00AB1659" w:rsidP="00751C6C">
            <w:pPr>
              <w:rPr>
                <w:rFonts w:asciiTheme="majorHAnsi" w:hAnsiTheme="majorHAnsi"/>
                <w:szCs w:val="22"/>
              </w:rPr>
            </w:pPr>
            <w:r w:rsidRPr="007B0751">
              <w:rPr>
                <w:rFonts w:asciiTheme="majorHAnsi" w:hAnsiTheme="majorHAnsi"/>
                <w:szCs w:val="22"/>
              </w:rPr>
              <w:t>West Bank and Gaza Strip, Palestinian Territories</w:t>
            </w:r>
          </w:p>
        </w:tc>
      </w:tr>
      <w:tr w:rsidR="003A0F41" w:rsidRPr="007B0751" w14:paraId="51CA2C67" w14:textId="77777777">
        <w:tc>
          <w:tcPr>
            <w:tcW w:w="1844" w:type="dxa"/>
          </w:tcPr>
          <w:p w14:paraId="2CC425DF" w14:textId="77777777" w:rsidR="003A0F41" w:rsidRPr="007B0751" w:rsidRDefault="00C65156" w:rsidP="00AB1659">
            <w:pPr>
              <w:rPr>
                <w:rFonts w:asciiTheme="majorHAnsi" w:hAnsiTheme="majorHAnsi"/>
                <w:b/>
                <w:szCs w:val="22"/>
              </w:rPr>
            </w:pPr>
            <w:r w:rsidRPr="007B0751">
              <w:rPr>
                <w:rFonts w:asciiTheme="majorHAnsi" w:hAnsiTheme="majorHAnsi"/>
                <w:b/>
                <w:szCs w:val="22"/>
              </w:rPr>
              <w:t xml:space="preserve">Total </w:t>
            </w:r>
            <w:r w:rsidR="003A0F41" w:rsidRPr="007B0751">
              <w:rPr>
                <w:rFonts w:asciiTheme="majorHAnsi" w:hAnsiTheme="majorHAnsi"/>
                <w:b/>
                <w:szCs w:val="22"/>
              </w:rPr>
              <w:t>Pro</w:t>
            </w:r>
            <w:r w:rsidR="00AB1659" w:rsidRPr="007B0751">
              <w:rPr>
                <w:rFonts w:asciiTheme="majorHAnsi" w:hAnsiTheme="majorHAnsi"/>
                <w:b/>
                <w:szCs w:val="22"/>
              </w:rPr>
              <w:t>gram</w:t>
            </w:r>
            <w:r w:rsidR="003A0F41" w:rsidRPr="007B0751">
              <w:rPr>
                <w:rFonts w:asciiTheme="majorHAnsi" w:hAnsiTheme="majorHAnsi"/>
                <w:b/>
                <w:szCs w:val="22"/>
              </w:rPr>
              <w:t xml:space="preserve"> Budget</w:t>
            </w:r>
          </w:p>
        </w:tc>
        <w:tc>
          <w:tcPr>
            <w:tcW w:w="7796" w:type="dxa"/>
          </w:tcPr>
          <w:p w14:paraId="7BEDA5E3" w14:textId="77777777" w:rsidR="003A0F41" w:rsidRPr="007B0751" w:rsidRDefault="003A0F41" w:rsidP="00751C6C">
            <w:pPr>
              <w:rPr>
                <w:rFonts w:asciiTheme="majorHAnsi" w:hAnsiTheme="majorHAnsi"/>
                <w:szCs w:val="22"/>
              </w:rPr>
            </w:pPr>
          </w:p>
          <w:p w14:paraId="6701F969" w14:textId="77777777" w:rsidR="003A0F41" w:rsidRPr="007B0751" w:rsidRDefault="00F30493" w:rsidP="00AB1659">
            <w:pPr>
              <w:rPr>
                <w:rFonts w:asciiTheme="majorHAnsi" w:hAnsiTheme="majorHAnsi"/>
                <w:szCs w:val="22"/>
              </w:rPr>
            </w:pPr>
            <w:r>
              <w:rPr>
                <w:rFonts w:asciiTheme="majorHAnsi" w:hAnsiTheme="majorHAnsi"/>
                <w:szCs w:val="22"/>
              </w:rPr>
              <w:t>$35,460,225</w:t>
            </w:r>
          </w:p>
        </w:tc>
      </w:tr>
      <w:tr w:rsidR="003A0F41" w:rsidRPr="007B0751" w14:paraId="211A7387" w14:textId="77777777">
        <w:tc>
          <w:tcPr>
            <w:tcW w:w="1844" w:type="dxa"/>
          </w:tcPr>
          <w:p w14:paraId="54163D8A" w14:textId="77777777" w:rsidR="003A0F41" w:rsidRPr="007B0751" w:rsidRDefault="003A0F41" w:rsidP="00966743">
            <w:pPr>
              <w:rPr>
                <w:rFonts w:asciiTheme="majorHAnsi" w:hAnsiTheme="majorHAnsi"/>
                <w:b/>
                <w:szCs w:val="22"/>
              </w:rPr>
            </w:pPr>
            <w:r w:rsidRPr="007B0751">
              <w:rPr>
                <w:rFonts w:asciiTheme="majorHAnsi" w:hAnsiTheme="majorHAnsi"/>
                <w:b/>
                <w:szCs w:val="22"/>
              </w:rPr>
              <w:t>Implementing</w:t>
            </w:r>
            <w:r w:rsidR="00966743" w:rsidRPr="007B0751">
              <w:rPr>
                <w:rFonts w:asciiTheme="majorHAnsi" w:hAnsiTheme="majorHAnsi"/>
                <w:b/>
                <w:szCs w:val="22"/>
              </w:rPr>
              <w:t xml:space="preserve"> Agencies and Lead</w:t>
            </w:r>
            <w:r w:rsidRPr="007B0751">
              <w:rPr>
                <w:rFonts w:asciiTheme="majorHAnsi" w:hAnsiTheme="majorHAnsi"/>
                <w:b/>
                <w:szCs w:val="22"/>
              </w:rPr>
              <w:t xml:space="preserve"> Partners</w:t>
            </w:r>
          </w:p>
        </w:tc>
        <w:tc>
          <w:tcPr>
            <w:tcW w:w="7796" w:type="dxa"/>
          </w:tcPr>
          <w:p w14:paraId="7443B3F7" w14:textId="77777777" w:rsidR="00770FCC" w:rsidRPr="007B0751" w:rsidRDefault="00770FCC" w:rsidP="00770FCC">
            <w:pPr>
              <w:pStyle w:val="ListParagraph"/>
              <w:numPr>
                <w:ilvl w:val="0"/>
                <w:numId w:val="30"/>
              </w:numPr>
              <w:rPr>
                <w:rFonts w:asciiTheme="majorHAnsi" w:hAnsiTheme="majorHAnsi"/>
              </w:rPr>
            </w:pPr>
            <w:proofErr w:type="spellStart"/>
            <w:r w:rsidRPr="007B0751">
              <w:rPr>
                <w:rFonts w:asciiTheme="majorHAnsi" w:hAnsiTheme="majorHAnsi"/>
              </w:rPr>
              <w:t>ActionAid</w:t>
            </w:r>
            <w:proofErr w:type="spellEnd"/>
            <w:r w:rsidRPr="007B0751">
              <w:rPr>
                <w:rFonts w:asciiTheme="majorHAnsi" w:hAnsiTheme="majorHAnsi"/>
              </w:rPr>
              <w:t xml:space="preserve"> Australia, in partnership with </w:t>
            </w:r>
            <w:proofErr w:type="spellStart"/>
            <w:r w:rsidRPr="007B0751">
              <w:rPr>
                <w:rFonts w:asciiTheme="majorHAnsi" w:hAnsiTheme="majorHAnsi"/>
                <w:i/>
              </w:rPr>
              <w:t>Asala</w:t>
            </w:r>
            <w:proofErr w:type="spellEnd"/>
            <w:r w:rsidRPr="007B0751">
              <w:rPr>
                <w:rFonts w:asciiTheme="majorHAnsi" w:hAnsiTheme="majorHAnsi"/>
              </w:rPr>
              <w:t xml:space="preserve"> (Palestinian </w:t>
            </w:r>
            <w:r w:rsidR="00AB1659" w:rsidRPr="007B0751">
              <w:rPr>
                <w:rFonts w:asciiTheme="majorHAnsi" w:hAnsiTheme="majorHAnsi"/>
              </w:rPr>
              <w:t>Businessw</w:t>
            </w:r>
            <w:r w:rsidRPr="007B0751">
              <w:rPr>
                <w:rFonts w:asciiTheme="majorHAnsi" w:hAnsiTheme="majorHAnsi"/>
              </w:rPr>
              <w:t xml:space="preserve">omen’s Association) and Institute for Community Partnership </w:t>
            </w:r>
            <w:r w:rsidR="00AB1659" w:rsidRPr="007B0751">
              <w:rPr>
                <w:rFonts w:asciiTheme="majorHAnsi" w:hAnsiTheme="majorHAnsi"/>
              </w:rPr>
              <w:t>(ICP)</w:t>
            </w:r>
          </w:p>
          <w:p w14:paraId="645C0CF4" w14:textId="77777777" w:rsidR="00770FCC" w:rsidRPr="007B0751" w:rsidRDefault="00770FCC" w:rsidP="00770FCC">
            <w:pPr>
              <w:pStyle w:val="ListParagraph"/>
              <w:numPr>
                <w:ilvl w:val="0"/>
                <w:numId w:val="30"/>
              </w:numPr>
              <w:rPr>
                <w:rFonts w:asciiTheme="majorHAnsi" w:hAnsiTheme="majorHAnsi"/>
              </w:rPr>
            </w:pPr>
            <w:r w:rsidRPr="007B0751">
              <w:rPr>
                <w:rFonts w:asciiTheme="majorHAnsi" w:hAnsiTheme="majorHAnsi"/>
              </w:rPr>
              <w:t xml:space="preserve">APHEDA/Union Aid Abroad, in partnership with </w:t>
            </w:r>
            <w:proofErr w:type="spellStart"/>
            <w:r w:rsidRPr="007B0751">
              <w:rPr>
                <w:rFonts w:asciiTheme="majorHAnsi" w:hAnsiTheme="majorHAnsi"/>
              </w:rPr>
              <w:t>Ma’an</w:t>
            </w:r>
            <w:proofErr w:type="spellEnd"/>
            <w:r w:rsidRPr="007B0751">
              <w:rPr>
                <w:rFonts w:asciiTheme="majorHAnsi" w:hAnsiTheme="majorHAnsi"/>
              </w:rPr>
              <w:t xml:space="preserve"> Development Centre</w:t>
            </w:r>
          </w:p>
          <w:p w14:paraId="3A69E128" w14:textId="77777777" w:rsidR="00AB1659" w:rsidRPr="007B0751" w:rsidRDefault="00770FCC" w:rsidP="00770FCC">
            <w:pPr>
              <w:pStyle w:val="ListParagraph"/>
              <w:numPr>
                <w:ilvl w:val="0"/>
                <w:numId w:val="30"/>
              </w:numPr>
              <w:rPr>
                <w:rFonts w:asciiTheme="majorHAnsi" w:hAnsiTheme="majorHAnsi"/>
              </w:rPr>
            </w:pPr>
            <w:r w:rsidRPr="007B0751">
              <w:rPr>
                <w:rFonts w:asciiTheme="majorHAnsi" w:hAnsiTheme="majorHAnsi"/>
              </w:rPr>
              <w:t xml:space="preserve">CARE, in partnership with </w:t>
            </w:r>
            <w:r w:rsidR="00AB1659" w:rsidRPr="007B0751">
              <w:rPr>
                <w:rFonts w:asciiTheme="majorHAnsi" w:hAnsiTheme="majorHAnsi"/>
              </w:rPr>
              <w:t>the Applied Research Institute – Jerusalem (</w:t>
            </w:r>
            <w:r w:rsidRPr="007B0751">
              <w:rPr>
                <w:rFonts w:asciiTheme="majorHAnsi" w:hAnsiTheme="majorHAnsi"/>
              </w:rPr>
              <w:t>ARIJ</w:t>
            </w:r>
            <w:r w:rsidR="00AB1659" w:rsidRPr="007B0751">
              <w:rPr>
                <w:rFonts w:asciiTheme="majorHAnsi" w:hAnsiTheme="majorHAnsi"/>
              </w:rPr>
              <w:t>)</w:t>
            </w:r>
            <w:r w:rsidRPr="007B0751">
              <w:rPr>
                <w:rFonts w:asciiTheme="majorHAnsi" w:hAnsiTheme="majorHAnsi"/>
              </w:rPr>
              <w:t>, E</w:t>
            </w:r>
            <w:r w:rsidR="00AB1659" w:rsidRPr="007B0751">
              <w:rPr>
                <w:rFonts w:asciiTheme="majorHAnsi" w:hAnsiTheme="majorHAnsi"/>
              </w:rPr>
              <w:t>conomic and Social Development Centre of Palestine (ESDC), and New Farm Company (</w:t>
            </w:r>
            <w:r w:rsidRPr="007B0751">
              <w:rPr>
                <w:rFonts w:asciiTheme="majorHAnsi" w:hAnsiTheme="majorHAnsi"/>
              </w:rPr>
              <w:t>NFC</w:t>
            </w:r>
            <w:r w:rsidR="00AB1659" w:rsidRPr="007B0751">
              <w:rPr>
                <w:rFonts w:asciiTheme="majorHAnsi" w:hAnsiTheme="majorHAnsi"/>
              </w:rPr>
              <w:t>)</w:t>
            </w:r>
          </w:p>
          <w:p w14:paraId="0AEF8052" w14:textId="77777777" w:rsidR="003A0F41" w:rsidRPr="007B0751" w:rsidRDefault="00770FCC" w:rsidP="00751C6C">
            <w:pPr>
              <w:pStyle w:val="ListParagraph"/>
              <w:numPr>
                <w:ilvl w:val="0"/>
                <w:numId w:val="30"/>
              </w:numPr>
              <w:rPr>
                <w:rFonts w:asciiTheme="majorHAnsi" w:hAnsiTheme="majorHAnsi"/>
              </w:rPr>
            </w:pPr>
            <w:r w:rsidRPr="007B0751">
              <w:rPr>
                <w:rFonts w:asciiTheme="majorHAnsi" w:hAnsiTheme="majorHAnsi"/>
              </w:rPr>
              <w:t>World Vision</w:t>
            </w:r>
            <w:r w:rsidR="00AB1659" w:rsidRPr="007B0751">
              <w:rPr>
                <w:rFonts w:asciiTheme="majorHAnsi" w:hAnsiTheme="majorHAnsi"/>
              </w:rPr>
              <w:t>,</w:t>
            </w:r>
            <w:r w:rsidRPr="007B0751">
              <w:rPr>
                <w:rFonts w:asciiTheme="majorHAnsi" w:hAnsiTheme="majorHAnsi"/>
              </w:rPr>
              <w:t xml:space="preserve"> in partnership with </w:t>
            </w:r>
            <w:r w:rsidR="00AB1659" w:rsidRPr="007B0751">
              <w:rPr>
                <w:rFonts w:asciiTheme="majorHAnsi" w:hAnsiTheme="majorHAnsi"/>
              </w:rPr>
              <w:t xml:space="preserve">the </w:t>
            </w:r>
            <w:r w:rsidRPr="007B0751">
              <w:rPr>
                <w:rFonts w:asciiTheme="majorHAnsi" w:hAnsiTheme="majorHAnsi"/>
              </w:rPr>
              <w:t>U</w:t>
            </w:r>
            <w:r w:rsidR="00AB1659" w:rsidRPr="007B0751">
              <w:rPr>
                <w:rFonts w:asciiTheme="majorHAnsi" w:hAnsiTheme="majorHAnsi"/>
              </w:rPr>
              <w:t xml:space="preserve">nion of </w:t>
            </w:r>
            <w:r w:rsidRPr="007B0751">
              <w:rPr>
                <w:rFonts w:asciiTheme="majorHAnsi" w:hAnsiTheme="majorHAnsi"/>
              </w:rPr>
              <w:t>A</w:t>
            </w:r>
            <w:r w:rsidR="00AB1659" w:rsidRPr="007B0751">
              <w:rPr>
                <w:rFonts w:asciiTheme="majorHAnsi" w:hAnsiTheme="majorHAnsi"/>
              </w:rPr>
              <w:t>gricultural Work Committees (UAWC)</w:t>
            </w:r>
          </w:p>
        </w:tc>
      </w:tr>
      <w:tr w:rsidR="003A0F41" w:rsidRPr="007B0751" w14:paraId="3B23A6AD" w14:textId="77777777">
        <w:tc>
          <w:tcPr>
            <w:tcW w:w="1844" w:type="dxa"/>
          </w:tcPr>
          <w:p w14:paraId="0ECEBC31" w14:textId="77777777" w:rsidR="003A0F41" w:rsidRPr="007B0751" w:rsidRDefault="00770FCC" w:rsidP="00751C6C">
            <w:pPr>
              <w:rPr>
                <w:rFonts w:asciiTheme="majorHAnsi" w:hAnsiTheme="majorHAnsi"/>
                <w:b/>
                <w:szCs w:val="22"/>
              </w:rPr>
            </w:pPr>
            <w:r w:rsidRPr="007B0751">
              <w:rPr>
                <w:rFonts w:asciiTheme="majorHAnsi" w:hAnsiTheme="majorHAnsi"/>
                <w:b/>
                <w:szCs w:val="22"/>
              </w:rPr>
              <w:t>Program Structure</w:t>
            </w:r>
          </w:p>
        </w:tc>
        <w:tc>
          <w:tcPr>
            <w:tcW w:w="7796" w:type="dxa"/>
          </w:tcPr>
          <w:p w14:paraId="2C16557B" w14:textId="77777777" w:rsidR="003A0F41" w:rsidRPr="007B0751" w:rsidRDefault="00770FCC" w:rsidP="00751C6C">
            <w:pPr>
              <w:pStyle w:val="ListParagraph"/>
              <w:ind w:left="0"/>
              <w:jc w:val="lowKashida"/>
              <w:rPr>
                <w:rFonts w:asciiTheme="majorHAnsi" w:hAnsiTheme="majorHAnsi"/>
                <w:b/>
                <w:szCs w:val="22"/>
                <w:u w:val="single"/>
              </w:rPr>
            </w:pPr>
            <w:bookmarkStart w:id="0" w:name="_Toc271046862"/>
            <w:bookmarkStart w:id="1" w:name="_Toc271046913"/>
            <w:r w:rsidRPr="007B0751">
              <w:rPr>
                <w:rFonts w:asciiTheme="majorHAnsi" w:hAnsiTheme="majorHAnsi"/>
                <w:b/>
                <w:szCs w:val="22"/>
                <w:u w:val="single"/>
              </w:rPr>
              <w:t>Program</w:t>
            </w:r>
            <w:r w:rsidR="003A0F41" w:rsidRPr="007B0751">
              <w:rPr>
                <w:rFonts w:asciiTheme="majorHAnsi" w:hAnsiTheme="majorHAnsi"/>
                <w:b/>
                <w:szCs w:val="22"/>
                <w:u w:val="single"/>
              </w:rPr>
              <w:t xml:space="preserve"> Goal</w:t>
            </w:r>
          </w:p>
          <w:bookmarkEnd w:id="0"/>
          <w:bookmarkEnd w:id="1"/>
          <w:p w14:paraId="6FDA1391" w14:textId="77777777" w:rsidR="003A0F41" w:rsidRPr="007B0751" w:rsidRDefault="00AB1659" w:rsidP="00751C6C">
            <w:pPr>
              <w:pStyle w:val="ListParagraph"/>
              <w:ind w:left="0"/>
              <w:jc w:val="lowKashida"/>
              <w:rPr>
                <w:rFonts w:asciiTheme="majorHAnsi" w:hAnsiTheme="majorHAnsi"/>
                <w:b/>
                <w:szCs w:val="22"/>
              </w:rPr>
            </w:pPr>
            <w:r w:rsidRPr="007B0751">
              <w:rPr>
                <w:rFonts w:asciiTheme="majorHAnsi" w:eastAsia="Times New Roman" w:hAnsiTheme="majorHAnsi" w:cs="Times New Roman"/>
                <w:szCs w:val="22"/>
              </w:rPr>
              <w:t>T</w:t>
            </w:r>
            <w:r w:rsidR="00770FCC" w:rsidRPr="007B0751">
              <w:rPr>
                <w:rFonts w:asciiTheme="majorHAnsi" w:eastAsia="Times New Roman" w:hAnsiTheme="majorHAnsi" w:cs="Times New Roman"/>
                <w:szCs w:val="22"/>
              </w:rPr>
              <w:t>o</w:t>
            </w:r>
            <w:r w:rsidR="00770FCC" w:rsidRPr="007B0751">
              <w:rPr>
                <w:rFonts w:asciiTheme="majorHAnsi" w:eastAsia="Times New Roman" w:hAnsiTheme="majorHAnsi" w:cs="Times New Roman"/>
                <w:bCs/>
                <w:szCs w:val="22"/>
              </w:rPr>
              <w:t xml:space="preserve"> improve livelihoods to reduce the socio-economic vulnerability of the Palestinian people</w:t>
            </w:r>
            <w:r w:rsidR="000B4CCE">
              <w:rPr>
                <w:rFonts w:asciiTheme="majorHAnsi" w:eastAsia="Times New Roman" w:hAnsiTheme="majorHAnsi" w:cs="Times New Roman"/>
                <w:bCs/>
                <w:szCs w:val="22"/>
              </w:rPr>
              <w:t xml:space="preserve"> </w:t>
            </w:r>
            <w:r w:rsidR="00770FCC" w:rsidRPr="007B0751">
              <w:rPr>
                <w:rFonts w:asciiTheme="majorHAnsi" w:eastAsia="Times New Roman" w:hAnsiTheme="majorHAnsi" w:cs="Times New Roman"/>
                <w:szCs w:val="22"/>
              </w:rPr>
              <w:t>with priority focus on women, youth and farmers</w:t>
            </w:r>
          </w:p>
          <w:p w14:paraId="1C2D913F" w14:textId="77777777" w:rsidR="003A0F41" w:rsidRPr="007B0751" w:rsidRDefault="003A0F41" w:rsidP="00751C6C">
            <w:pPr>
              <w:pStyle w:val="ListParagraph"/>
              <w:ind w:left="0"/>
              <w:jc w:val="lowKashida"/>
              <w:rPr>
                <w:rFonts w:asciiTheme="majorHAnsi" w:hAnsiTheme="majorHAnsi"/>
                <w:b/>
                <w:szCs w:val="22"/>
                <w:u w:val="single"/>
              </w:rPr>
            </w:pPr>
          </w:p>
          <w:p w14:paraId="1B29E333" w14:textId="77777777" w:rsidR="00770FCC" w:rsidRPr="007B0751" w:rsidRDefault="00770FCC" w:rsidP="00770FCC">
            <w:pPr>
              <w:spacing w:before="60" w:after="60"/>
              <w:rPr>
                <w:rFonts w:asciiTheme="majorHAnsi" w:eastAsia="Times New Roman" w:hAnsiTheme="majorHAnsi" w:cs="Times New Roman"/>
                <w:szCs w:val="22"/>
              </w:rPr>
            </w:pPr>
            <w:r w:rsidRPr="007B0751">
              <w:rPr>
                <w:rFonts w:asciiTheme="majorHAnsi" w:eastAsia="Times New Roman" w:hAnsiTheme="majorHAnsi" w:cs="Times New Roman"/>
                <w:b/>
                <w:bCs/>
                <w:szCs w:val="22"/>
              </w:rPr>
              <w:t>Component 1: Reducing Vulnerability</w:t>
            </w:r>
            <w:r w:rsidRPr="007B0751">
              <w:rPr>
                <w:rFonts w:asciiTheme="majorHAnsi" w:eastAsia="Times New Roman" w:hAnsiTheme="majorHAnsi" w:cs="Times New Roman"/>
                <w:szCs w:val="22"/>
              </w:rPr>
              <w:br/>
              <w:t>Objective: To improve livelihoods and/or access to basic services</w:t>
            </w:r>
          </w:p>
          <w:p w14:paraId="30FDCFAE" w14:textId="77777777" w:rsidR="00770FCC" w:rsidRPr="007B0751" w:rsidRDefault="00770FCC" w:rsidP="00770FCC">
            <w:pPr>
              <w:spacing w:before="60" w:after="60"/>
              <w:rPr>
                <w:rFonts w:asciiTheme="majorHAnsi" w:eastAsia="Times New Roman" w:hAnsiTheme="majorHAnsi" w:cs="Times New Roman"/>
                <w:szCs w:val="22"/>
              </w:rPr>
            </w:pPr>
            <w:r w:rsidRPr="007B0751">
              <w:rPr>
                <w:rFonts w:asciiTheme="majorHAnsi" w:eastAsia="Times New Roman" w:hAnsiTheme="majorHAnsi" w:cs="Times New Roman"/>
                <w:b/>
                <w:bCs/>
                <w:szCs w:val="22"/>
              </w:rPr>
              <w:t>Component 2: Capacity Building</w:t>
            </w:r>
            <w:r w:rsidRPr="007B0751">
              <w:rPr>
                <w:rFonts w:asciiTheme="majorHAnsi" w:eastAsia="Times New Roman" w:hAnsiTheme="majorHAnsi" w:cs="Times New Roman"/>
                <w:szCs w:val="22"/>
              </w:rPr>
              <w:br/>
              <w:t>Objective: To build the capacity of local Palestinian NGOs</w:t>
            </w:r>
          </w:p>
          <w:p w14:paraId="141509E0" w14:textId="77777777" w:rsidR="00770FCC" w:rsidRPr="007B0751" w:rsidRDefault="00770FCC" w:rsidP="00770FCC">
            <w:pPr>
              <w:spacing w:before="60" w:after="60"/>
              <w:rPr>
                <w:rFonts w:asciiTheme="majorHAnsi" w:eastAsia="Times New Roman" w:hAnsiTheme="majorHAnsi" w:cs="Times New Roman"/>
                <w:szCs w:val="22"/>
              </w:rPr>
            </w:pPr>
            <w:r w:rsidRPr="007B0751">
              <w:rPr>
                <w:rFonts w:asciiTheme="majorHAnsi" w:eastAsia="Times New Roman" w:hAnsiTheme="majorHAnsi" w:cs="Times New Roman"/>
                <w:b/>
                <w:bCs/>
                <w:szCs w:val="22"/>
              </w:rPr>
              <w:t>Component 3: Program Capacity Development</w:t>
            </w:r>
            <w:r w:rsidRPr="007B0751">
              <w:rPr>
                <w:rFonts w:asciiTheme="majorHAnsi" w:eastAsia="Times New Roman" w:hAnsiTheme="majorHAnsi" w:cs="Times New Roman"/>
                <w:szCs w:val="22"/>
              </w:rPr>
              <w:br/>
              <w:t>Objective: To build and promote Program capacity</w:t>
            </w:r>
          </w:p>
          <w:p w14:paraId="06288AAE" w14:textId="77777777" w:rsidR="00770FCC" w:rsidRPr="007B0751" w:rsidRDefault="00770FCC" w:rsidP="00770FCC">
            <w:pPr>
              <w:spacing w:before="60" w:after="60"/>
              <w:rPr>
                <w:rFonts w:asciiTheme="majorHAnsi" w:eastAsia="Times New Roman" w:hAnsiTheme="majorHAnsi" w:cs="Times New Roman"/>
                <w:szCs w:val="22"/>
              </w:rPr>
            </w:pPr>
            <w:r w:rsidRPr="007B0751">
              <w:rPr>
                <w:rFonts w:asciiTheme="majorHAnsi" w:eastAsia="Times New Roman" w:hAnsiTheme="majorHAnsi" w:cs="Times New Roman"/>
                <w:b/>
                <w:bCs/>
                <w:szCs w:val="22"/>
              </w:rPr>
              <w:t>Component 4: Program Management</w:t>
            </w:r>
            <w:r w:rsidRPr="007B0751">
              <w:rPr>
                <w:rFonts w:asciiTheme="majorHAnsi" w:eastAsia="Times New Roman" w:hAnsiTheme="majorHAnsi" w:cs="Times New Roman"/>
                <w:szCs w:val="22"/>
              </w:rPr>
              <w:br/>
              <w:t>Objective: To support Palestinian civil society partners to manage their programs effectively.</w:t>
            </w:r>
          </w:p>
          <w:p w14:paraId="5C5CE071" w14:textId="77777777" w:rsidR="003A0F41" w:rsidRPr="007B0751" w:rsidRDefault="003A0F41" w:rsidP="00751C6C">
            <w:pPr>
              <w:rPr>
                <w:rFonts w:asciiTheme="majorHAnsi" w:hAnsiTheme="majorHAnsi"/>
                <w:b/>
                <w:szCs w:val="22"/>
              </w:rPr>
            </w:pPr>
          </w:p>
          <w:p w14:paraId="721B47D5" w14:textId="77777777" w:rsidR="00AB1659" w:rsidRPr="007B0751" w:rsidRDefault="00AB1659" w:rsidP="00751C6C">
            <w:pPr>
              <w:rPr>
                <w:rFonts w:asciiTheme="majorHAnsi" w:hAnsiTheme="majorHAnsi"/>
                <w:b/>
                <w:szCs w:val="22"/>
              </w:rPr>
            </w:pPr>
            <w:r w:rsidRPr="007B0751">
              <w:rPr>
                <w:rFonts w:asciiTheme="majorHAnsi" w:hAnsiTheme="majorHAnsi"/>
                <w:b/>
                <w:szCs w:val="22"/>
              </w:rPr>
              <w:t xml:space="preserve">At a 2012 AMENCA Partners Workshop, the </w:t>
            </w:r>
            <w:r w:rsidR="00740640" w:rsidRPr="007B0751">
              <w:rPr>
                <w:rFonts w:asciiTheme="majorHAnsi" w:hAnsiTheme="majorHAnsi"/>
                <w:b/>
                <w:szCs w:val="22"/>
              </w:rPr>
              <w:t>monitoring and evaluation framework for the Program was reviewed</w:t>
            </w:r>
            <w:r w:rsidR="00007589" w:rsidRPr="007B0751">
              <w:rPr>
                <w:rFonts w:asciiTheme="majorHAnsi" w:hAnsiTheme="majorHAnsi"/>
                <w:b/>
                <w:szCs w:val="22"/>
              </w:rPr>
              <w:t xml:space="preserve"> with a view to streamlining reporting. T</w:t>
            </w:r>
            <w:r w:rsidR="00740640" w:rsidRPr="007B0751">
              <w:rPr>
                <w:rFonts w:asciiTheme="majorHAnsi" w:hAnsiTheme="majorHAnsi"/>
                <w:b/>
                <w:szCs w:val="22"/>
              </w:rPr>
              <w:t xml:space="preserve">wo more tailored and relevant Outcome Statements were agreed on by all Partners: </w:t>
            </w:r>
          </w:p>
          <w:p w14:paraId="1B9FAF17" w14:textId="77777777" w:rsidR="00740640" w:rsidRPr="007B0751" w:rsidRDefault="00740640" w:rsidP="00740640">
            <w:pPr>
              <w:rPr>
                <w:rFonts w:asciiTheme="majorHAnsi" w:eastAsia="Times New Roman" w:hAnsiTheme="majorHAnsi" w:cs="Times New Roman"/>
                <w:b/>
                <w:szCs w:val="22"/>
              </w:rPr>
            </w:pPr>
            <w:r w:rsidRPr="007B0751">
              <w:rPr>
                <w:rFonts w:asciiTheme="majorHAnsi" w:eastAsia="Times New Roman" w:hAnsiTheme="majorHAnsi" w:cs="Times New Roman"/>
                <w:b/>
                <w:szCs w:val="22"/>
              </w:rPr>
              <w:t>Component 1 – Reducing Vulnerability</w:t>
            </w:r>
          </w:p>
          <w:p w14:paraId="580CD0CF" w14:textId="77777777" w:rsidR="00740640" w:rsidRPr="007B0751" w:rsidRDefault="00740640" w:rsidP="00740640">
            <w:pPr>
              <w:rPr>
                <w:rFonts w:asciiTheme="majorHAnsi" w:eastAsia="Times New Roman" w:hAnsiTheme="majorHAnsi" w:cs="Times New Roman"/>
                <w:szCs w:val="22"/>
              </w:rPr>
            </w:pPr>
            <w:r w:rsidRPr="007B0751">
              <w:rPr>
                <w:rFonts w:asciiTheme="majorHAnsi" w:eastAsia="Times New Roman" w:hAnsiTheme="majorHAnsi" w:cs="Times New Roman"/>
                <w:szCs w:val="22"/>
              </w:rPr>
              <w:t xml:space="preserve">Increased resilience and well-being through improved livelihoods and empowered households. </w:t>
            </w:r>
          </w:p>
          <w:p w14:paraId="7EB36BAA" w14:textId="77777777" w:rsidR="00740640" w:rsidRPr="007B0751" w:rsidRDefault="00740640" w:rsidP="00740640">
            <w:pPr>
              <w:rPr>
                <w:rFonts w:asciiTheme="majorHAnsi" w:eastAsia="Times New Roman" w:hAnsiTheme="majorHAnsi" w:cs="Times New Roman"/>
                <w:b/>
                <w:szCs w:val="22"/>
              </w:rPr>
            </w:pPr>
            <w:r w:rsidRPr="007B0751">
              <w:rPr>
                <w:rFonts w:asciiTheme="majorHAnsi" w:eastAsia="Times New Roman" w:hAnsiTheme="majorHAnsi" w:cs="Times New Roman"/>
                <w:b/>
                <w:szCs w:val="22"/>
              </w:rPr>
              <w:t>Component 2 – Capacity Building</w:t>
            </w:r>
          </w:p>
          <w:p w14:paraId="44364A20" w14:textId="77777777" w:rsidR="00740640" w:rsidRPr="007B0751" w:rsidRDefault="00740640" w:rsidP="00740640">
            <w:pPr>
              <w:rPr>
                <w:rFonts w:asciiTheme="majorHAnsi" w:eastAsia="Times New Roman" w:hAnsiTheme="majorHAnsi" w:cs="Times New Roman"/>
                <w:szCs w:val="22"/>
              </w:rPr>
            </w:pPr>
            <w:r w:rsidRPr="007B0751">
              <w:rPr>
                <w:rFonts w:asciiTheme="majorHAnsi" w:eastAsia="Times New Roman" w:hAnsiTheme="majorHAnsi" w:cs="Times New Roman"/>
                <w:szCs w:val="22"/>
              </w:rPr>
              <w:t>Strengthened CBOs and NGOs to serve their communities to improve self- reliance and resilience; drive social and economic change (through a rights based approach)</w:t>
            </w:r>
          </w:p>
          <w:p w14:paraId="71C680B8" w14:textId="77777777" w:rsidR="00740640" w:rsidRPr="007B0751" w:rsidRDefault="00740640" w:rsidP="00740640">
            <w:pPr>
              <w:rPr>
                <w:rFonts w:asciiTheme="majorHAnsi" w:eastAsia="Times New Roman" w:hAnsiTheme="majorHAnsi" w:cs="Times New Roman"/>
                <w:szCs w:val="22"/>
              </w:rPr>
            </w:pPr>
          </w:p>
          <w:p w14:paraId="6744FD8A" w14:textId="77777777" w:rsidR="00740640" w:rsidRPr="007B0751" w:rsidRDefault="00740640" w:rsidP="00740640">
            <w:pPr>
              <w:rPr>
                <w:rFonts w:asciiTheme="majorHAnsi" w:eastAsia="Times New Roman" w:hAnsiTheme="majorHAnsi" w:cs="Times New Roman"/>
                <w:szCs w:val="22"/>
              </w:rPr>
            </w:pPr>
            <w:r w:rsidRPr="007B0751">
              <w:rPr>
                <w:rFonts w:asciiTheme="majorHAnsi" w:eastAsia="Times New Roman" w:hAnsiTheme="majorHAnsi" w:cs="Times New Roman"/>
                <w:szCs w:val="22"/>
              </w:rPr>
              <w:t>Program partners also report annually against ten Outcome Themes and Program wide key performance indicators, grouped under the three components of Reducing Vulnerability; Capacity Building; and Program Capacity Development. A Table outlining this structure is included at Annex Four.</w:t>
            </w:r>
          </w:p>
          <w:p w14:paraId="5CBF8A25" w14:textId="77777777" w:rsidR="003A0F41" w:rsidRPr="007B0751" w:rsidRDefault="003A0F41" w:rsidP="00740640">
            <w:pPr>
              <w:pStyle w:val="ListParagraph"/>
              <w:rPr>
                <w:rFonts w:asciiTheme="majorHAnsi" w:hAnsiTheme="majorHAnsi"/>
                <w:szCs w:val="22"/>
              </w:rPr>
            </w:pPr>
          </w:p>
        </w:tc>
      </w:tr>
    </w:tbl>
    <w:p w14:paraId="61BE10A4" w14:textId="77777777" w:rsidR="003A0F41" w:rsidRPr="007B0751" w:rsidRDefault="003A0F41" w:rsidP="003A0F41">
      <w:pPr>
        <w:rPr>
          <w:rFonts w:asciiTheme="majorHAnsi" w:hAnsiTheme="majorHAnsi"/>
          <w:sz w:val="24"/>
        </w:rPr>
      </w:pPr>
    </w:p>
    <w:p w14:paraId="53913C98" w14:textId="77777777" w:rsidR="00AC3B00" w:rsidRPr="007B0751" w:rsidRDefault="00AC3B00" w:rsidP="007514E6">
      <w:pPr>
        <w:rPr>
          <w:rFonts w:asciiTheme="majorHAnsi" w:hAnsiTheme="majorHAnsi"/>
          <w:b/>
          <w:sz w:val="28"/>
        </w:rPr>
      </w:pPr>
    </w:p>
    <w:p w14:paraId="05CE64F8" w14:textId="77777777" w:rsidR="00F04445" w:rsidRPr="007B0751" w:rsidRDefault="00F04445">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br w:type="page"/>
      </w:r>
    </w:p>
    <w:p w14:paraId="5A043816" w14:textId="77777777" w:rsidR="00AE492F" w:rsidRDefault="00F04445" w:rsidP="00AE492F">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t>Executive Summary</w:t>
      </w:r>
    </w:p>
    <w:p w14:paraId="6EE89475" w14:textId="77777777" w:rsidR="006C7A2E" w:rsidRPr="006C7A2E" w:rsidRDefault="006C7A2E" w:rsidP="00AE492F">
      <w:pPr>
        <w:rPr>
          <w:rFonts w:asciiTheme="majorHAnsi" w:hAnsiTheme="majorHAnsi" w:cs="Arial"/>
          <w:b/>
          <w:color w:val="1F497D"/>
          <w:sz w:val="28"/>
          <w:szCs w:val="28"/>
          <w:lang w:val="en-GB"/>
        </w:rPr>
      </w:pPr>
    </w:p>
    <w:p w14:paraId="07A87A19" w14:textId="0BEEFCBE" w:rsidR="000B082A" w:rsidRPr="00247B65" w:rsidRDefault="00AE492F" w:rsidP="000B082A">
      <w:pPr>
        <w:rPr>
          <w:rFonts w:asciiTheme="majorHAnsi" w:hAnsiTheme="majorHAnsi" w:cs="Arial"/>
          <w:i/>
          <w:szCs w:val="28"/>
          <w:lang w:val="en-GB"/>
        </w:rPr>
      </w:pPr>
      <w:r w:rsidRPr="00247B65">
        <w:rPr>
          <w:rFonts w:asciiTheme="majorHAnsi" w:hAnsiTheme="majorHAnsi"/>
          <w:i/>
        </w:rPr>
        <w:t>AMENCA2 has and continues to maintain an acute relevance to the development needs of the Palestinian territories, based on its ability to provide effective community and household level solutions to complex and critical higher level issues</w:t>
      </w:r>
      <w:r w:rsidR="001624E5">
        <w:rPr>
          <w:rFonts w:asciiTheme="majorHAnsi" w:hAnsiTheme="majorHAnsi"/>
          <w:i/>
        </w:rPr>
        <w:t xml:space="preserve">, and its </w:t>
      </w:r>
      <w:r w:rsidR="001624E5" w:rsidRPr="00247B65">
        <w:rPr>
          <w:rFonts w:asciiTheme="majorHAnsi" w:hAnsiTheme="majorHAnsi"/>
          <w:i/>
        </w:rPr>
        <w:t>alignment with community and national priorities</w:t>
      </w:r>
      <w:r w:rsidR="00C318AD">
        <w:rPr>
          <w:rFonts w:asciiTheme="majorHAnsi" w:hAnsiTheme="majorHAnsi"/>
          <w:i/>
        </w:rPr>
        <w:t xml:space="preserve"> </w:t>
      </w:r>
      <w:r w:rsidR="001624E5">
        <w:rPr>
          <w:rFonts w:asciiTheme="majorHAnsi" w:hAnsiTheme="majorHAnsi"/>
          <w:i/>
        </w:rPr>
        <w:t>(past and present)</w:t>
      </w:r>
      <w:r w:rsidRPr="00247B65">
        <w:rPr>
          <w:rFonts w:asciiTheme="majorHAnsi" w:hAnsiTheme="majorHAnsi"/>
          <w:i/>
        </w:rPr>
        <w:t xml:space="preserve">. </w:t>
      </w:r>
      <w:r w:rsidR="001E7509">
        <w:rPr>
          <w:rFonts w:asciiTheme="majorHAnsi" w:hAnsiTheme="majorHAnsi"/>
          <w:i/>
        </w:rPr>
        <w:t xml:space="preserve">The Program is active across seven Governorates </w:t>
      </w:r>
      <w:r w:rsidR="00FD1373">
        <w:rPr>
          <w:rFonts w:asciiTheme="majorHAnsi" w:hAnsiTheme="majorHAnsi"/>
          <w:i/>
        </w:rPr>
        <w:t>of the PTS – four in</w:t>
      </w:r>
      <w:r w:rsidR="001E7509">
        <w:rPr>
          <w:rFonts w:asciiTheme="majorHAnsi" w:hAnsiTheme="majorHAnsi"/>
          <w:i/>
        </w:rPr>
        <w:t xml:space="preserve"> the West Bank and</w:t>
      </w:r>
      <w:r w:rsidR="00FD1373">
        <w:rPr>
          <w:rFonts w:asciiTheme="majorHAnsi" w:hAnsiTheme="majorHAnsi"/>
          <w:i/>
        </w:rPr>
        <w:t xml:space="preserve"> three in</w:t>
      </w:r>
      <w:r w:rsidR="001E7509">
        <w:rPr>
          <w:rFonts w:asciiTheme="majorHAnsi" w:hAnsiTheme="majorHAnsi"/>
          <w:i/>
        </w:rPr>
        <w:t xml:space="preserve"> Gaza</w:t>
      </w:r>
      <w:r w:rsidR="00FD1373">
        <w:rPr>
          <w:rFonts w:asciiTheme="majorHAnsi" w:hAnsiTheme="majorHAnsi"/>
          <w:i/>
        </w:rPr>
        <w:t>. This</w:t>
      </w:r>
      <w:r w:rsidR="001E7509">
        <w:rPr>
          <w:rFonts w:asciiTheme="majorHAnsi" w:hAnsiTheme="majorHAnsi"/>
          <w:i/>
        </w:rPr>
        <w:t xml:space="preserve"> facilitat</w:t>
      </w:r>
      <w:r w:rsidR="00FD1373">
        <w:rPr>
          <w:rFonts w:asciiTheme="majorHAnsi" w:hAnsiTheme="majorHAnsi"/>
          <w:i/>
        </w:rPr>
        <w:t>es</w:t>
      </w:r>
      <w:r w:rsidR="001E7509">
        <w:rPr>
          <w:rFonts w:asciiTheme="majorHAnsi" w:hAnsiTheme="majorHAnsi"/>
          <w:i/>
        </w:rPr>
        <w:t xml:space="preserve"> widespread exposure of the Program’s innovative practi</w:t>
      </w:r>
      <w:r w:rsidR="005C7190">
        <w:rPr>
          <w:rFonts w:asciiTheme="majorHAnsi" w:hAnsiTheme="majorHAnsi"/>
          <w:i/>
        </w:rPr>
        <w:t>c</w:t>
      </w:r>
      <w:r w:rsidR="00FD1373">
        <w:rPr>
          <w:rFonts w:asciiTheme="majorHAnsi" w:hAnsiTheme="majorHAnsi"/>
          <w:i/>
        </w:rPr>
        <w:t>es, and allows</w:t>
      </w:r>
      <w:r w:rsidR="001E7509">
        <w:rPr>
          <w:rFonts w:asciiTheme="majorHAnsi" w:hAnsiTheme="majorHAnsi"/>
          <w:i/>
        </w:rPr>
        <w:t xml:space="preserve"> lessons learned to be easily extended. </w:t>
      </w:r>
      <w:r w:rsidR="000B082A">
        <w:rPr>
          <w:rFonts w:asciiTheme="majorHAnsi" w:hAnsiTheme="majorHAnsi"/>
          <w:i/>
        </w:rPr>
        <w:t>Significantly, t</w:t>
      </w:r>
      <w:r w:rsidR="000B082A" w:rsidRPr="00247B65">
        <w:rPr>
          <w:rFonts w:asciiTheme="majorHAnsi" w:hAnsiTheme="majorHAnsi" w:cs="Arial"/>
          <w:i/>
          <w:szCs w:val="28"/>
          <w:lang w:val="en-GB"/>
        </w:rPr>
        <w:t>h</w:t>
      </w:r>
      <w:r w:rsidR="000B082A">
        <w:rPr>
          <w:rFonts w:asciiTheme="majorHAnsi" w:hAnsiTheme="majorHAnsi" w:cs="Arial"/>
          <w:i/>
          <w:szCs w:val="28"/>
          <w:lang w:val="en-GB"/>
        </w:rPr>
        <w:t>e ‘AMENCA brand’ is</w:t>
      </w:r>
      <w:r w:rsidR="000B082A" w:rsidRPr="00247B65">
        <w:rPr>
          <w:rFonts w:asciiTheme="majorHAnsi" w:hAnsiTheme="majorHAnsi" w:cs="Arial"/>
          <w:i/>
          <w:szCs w:val="28"/>
          <w:lang w:val="en-GB"/>
        </w:rPr>
        <w:t xml:space="preserve"> </w:t>
      </w:r>
      <w:r w:rsidR="000B082A">
        <w:rPr>
          <w:rFonts w:asciiTheme="majorHAnsi" w:hAnsiTheme="majorHAnsi" w:cs="Arial"/>
          <w:i/>
          <w:szCs w:val="28"/>
          <w:lang w:val="en-GB"/>
        </w:rPr>
        <w:t xml:space="preserve">now </w:t>
      </w:r>
      <w:r w:rsidR="00FD1373">
        <w:rPr>
          <w:rFonts w:asciiTheme="majorHAnsi" w:hAnsiTheme="majorHAnsi" w:cs="Arial"/>
          <w:i/>
          <w:szCs w:val="28"/>
          <w:lang w:val="en-GB"/>
        </w:rPr>
        <w:t xml:space="preserve">well known and </w:t>
      </w:r>
      <w:r w:rsidR="000B082A" w:rsidRPr="00247B65">
        <w:rPr>
          <w:rFonts w:asciiTheme="majorHAnsi" w:hAnsiTheme="majorHAnsi" w:cs="Arial"/>
          <w:i/>
          <w:szCs w:val="28"/>
          <w:lang w:val="en-GB"/>
        </w:rPr>
        <w:t xml:space="preserve">highly respected in the PTs, in large part because </w:t>
      </w:r>
      <w:r w:rsidR="000B082A">
        <w:rPr>
          <w:rFonts w:asciiTheme="majorHAnsi" w:hAnsiTheme="majorHAnsi" w:cs="Arial"/>
          <w:i/>
          <w:szCs w:val="28"/>
          <w:lang w:val="en-GB"/>
        </w:rPr>
        <w:t xml:space="preserve">it is seen as having very high credibility due to activities </w:t>
      </w:r>
      <w:r w:rsidR="000B082A" w:rsidRPr="00247B65">
        <w:rPr>
          <w:rFonts w:asciiTheme="majorHAnsi" w:hAnsiTheme="majorHAnsi" w:cs="Arial"/>
          <w:i/>
          <w:szCs w:val="28"/>
          <w:lang w:val="en-GB"/>
        </w:rPr>
        <w:t>hav</w:t>
      </w:r>
      <w:r w:rsidR="000B082A">
        <w:rPr>
          <w:rFonts w:asciiTheme="majorHAnsi" w:hAnsiTheme="majorHAnsi" w:cs="Arial"/>
          <w:i/>
          <w:szCs w:val="28"/>
          <w:lang w:val="en-GB"/>
        </w:rPr>
        <w:t>ing</w:t>
      </w:r>
      <w:r w:rsidR="000B082A" w:rsidRPr="00247B65">
        <w:rPr>
          <w:rFonts w:asciiTheme="majorHAnsi" w:hAnsiTheme="majorHAnsi" w:cs="Arial"/>
          <w:i/>
          <w:szCs w:val="28"/>
          <w:lang w:val="en-GB"/>
        </w:rPr>
        <w:t xml:space="preserve"> been extensively trialled and allowed time to mature due to AMENCA being a longer term Program in an environment where short term, emergency programming is the norm.</w:t>
      </w:r>
    </w:p>
    <w:p w14:paraId="021B8368" w14:textId="2DBB5B40" w:rsidR="001E7509" w:rsidRDefault="001E7509" w:rsidP="00AE492F">
      <w:pPr>
        <w:rPr>
          <w:rFonts w:asciiTheme="majorHAnsi" w:hAnsiTheme="majorHAnsi"/>
          <w:i/>
        </w:rPr>
      </w:pPr>
    </w:p>
    <w:p w14:paraId="2ED9E7E4" w14:textId="6610D1E8" w:rsidR="002B2AA6" w:rsidRPr="002A5C0E" w:rsidRDefault="00AE492F" w:rsidP="00AE492F">
      <w:pPr>
        <w:rPr>
          <w:rFonts w:asciiTheme="majorHAnsi" w:hAnsiTheme="majorHAnsi"/>
          <w:i/>
        </w:rPr>
      </w:pPr>
      <w:r w:rsidRPr="00247B65">
        <w:rPr>
          <w:rFonts w:asciiTheme="majorHAnsi" w:hAnsiTheme="majorHAnsi"/>
          <w:i/>
        </w:rPr>
        <w:t xml:space="preserve">AMENCA partners have succeeded in building resilience at both household and community levels by enhancing food security </w:t>
      </w:r>
      <w:r w:rsidR="00FD1373">
        <w:rPr>
          <w:rFonts w:asciiTheme="majorHAnsi" w:hAnsiTheme="majorHAnsi"/>
          <w:i/>
        </w:rPr>
        <w:t xml:space="preserve">and </w:t>
      </w:r>
      <w:r w:rsidR="00D52AB9">
        <w:rPr>
          <w:rFonts w:asciiTheme="majorHAnsi" w:hAnsiTheme="majorHAnsi"/>
          <w:i/>
        </w:rPr>
        <w:t xml:space="preserve">by promoting production that supports availability of food and access to food. </w:t>
      </w:r>
      <w:r w:rsidR="00AC7669">
        <w:rPr>
          <w:rFonts w:asciiTheme="majorHAnsi" w:hAnsiTheme="majorHAnsi" w:cs="Arial"/>
          <w:i/>
          <w:szCs w:val="28"/>
          <w:lang w:val="en-GB"/>
        </w:rPr>
        <w:t>This is facilitated by</w:t>
      </w:r>
      <w:r w:rsidR="002B2AA6" w:rsidRPr="00247B65">
        <w:rPr>
          <w:rFonts w:asciiTheme="majorHAnsi" w:hAnsiTheme="majorHAnsi" w:cs="Arial"/>
          <w:i/>
          <w:szCs w:val="28"/>
          <w:lang w:val="en-GB"/>
        </w:rPr>
        <w:t xml:space="preserve"> AMENCA’s two pronged approach to ag</w:t>
      </w:r>
      <w:r w:rsidR="00AC7669">
        <w:rPr>
          <w:rFonts w:asciiTheme="majorHAnsi" w:hAnsiTheme="majorHAnsi" w:cs="Arial"/>
          <w:i/>
          <w:szCs w:val="28"/>
          <w:lang w:val="en-GB"/>
        </w:rPr>
        <w:t xml:space="preserve">ricultural development which simultaneously </w:t>
      </w:r>
      <w:r w:rsidR="002B2AA6" w:rsidRPr="00247B65">
        <w:rPr>
          <w:rFonts w:asciiTheme="majorHAnsi" w:hAnsiTheme="majorHAnsi" w:cs="Arial"/>
          <w:i/>
          <w:szCs w:val="28"/>
          <w:lang w:val="en-GB"/>
        </w:rPr>
        <w:t xml:space="preserve">targets poor households with the aim of directly supporting them in achieving </w:t>
      </w:r>
      <w:r w:rsidR="00AC7669">
        <w:rPr>
          <w:rFonts w:asciiTheme="majorHAnsi" w:hAnsiTheme="majorHAnsi" w:cs="Arial"/>
          <w:i/>
          <w:szCs w:val="28"/>
          <w:lang w:val="en-GB"/>
        </w:rPr>
        <w:t xml:space="preserve">food security and </w:t>
      </w:r>
      <w:r w:rsidR="002B2AA6" w:rsidRPr="00247B65">
        <w:rPr>
          <w:rFonts w:asciiTheme="majorHAnsi" w:hAnsiTheme="majorHAnsi" w:cs="Arial"/>
          <w:i/>
          <w:szCs w:val="28"/>
          <w:lang w:val="en-GB"/>
        </w:rPr>
        <w:t>increased</w:t>
      </w:r>
      <w:r w:rsidR="00AC7669">
        <w:rPr>
          <w:rFonts w:asciiTheme="majorHAnsi" w:hAnsiTheme="majorHAnsi" w:cs="Arial"/>
          <w:i/>
          <w:szCs w:val="28"/>
          <w:lang w:val="en-GB"/>
        </w:rPr>
        <w:t>, sustainable</w:t>
      </w:r>
      <w:r w:rsidR="002B2AA6" w:rsidRPr="00247B65">
        <w:rPr>
          <w:rFonts w:asciiTheme="majorHAnsi" w:hAnsiTheme="majorHAnsi" w:cs="Arial"/>
          <w:i/>
          <w:szCs w:val="28"/>
          <w:lang w:val="en-GB"/>
        </w:rPr>
        <w:t xml:space="preserve"> income, while also targeting existing farmers to </w:t>
      </w:r>
      <w:r w:rsidR="00AC7669">
        <w:rPr>
          <w:rFonts w:asciiTheme="majorHAnsi" w:hAnsiTheme="majorHAnsi" w:cs="Arial"/>
          <w:i/>
          <w:szCs w:val="28"/>
          <w:lang w:val="en-GB"/>
        </w:rPr>
        <w:t xml:space="preserve">improve production in terms of both </w:t>
      </w:r>
      <w:r w:rsidR="002B2AA6" w:rsidRPr="00247B65">
        <w:rPr>
          <w:rFonts w:asciiTheme="majorHAnsi" w:hAnsiTheme="majorHAnsi" w:cs="Arial"/>
          <w:i/>
          <w:szCs w:val="28"/>
          <w:lang w:val="en-GB"/>
        </w:rPr>
        <w:t xml:space="preserve">quality and quantity, to help build household incomes, </w:t>
      </w:r>
      <w:r w:rsidR="00AC7669">
        <w:rPr>
          <w:rFonts w:asciiTheme="majorHAnsi" w:hAnsiTheme="majorHAnsi" w:cs="Arial"/>
          <w:i/>
          <w:szCs w:val="28"/>
          <w:lang w:val="en-GB"/>
        </w:rPr>
        <w:t>and</w:t>
      </w:r>
      <w:r w:rsidR="002B2AA6" w:rsidRPr="00247B65">
        <w:rPr>
          <w:rFonts w:asciiTheme="majorHAnsi" w:hAnsiTheme="majorHAnsi" w:cs="Arial"/>
          <w:i/>
          <w:szCs w:val="28"/>
          <w:lang w:val="en-GB"/>
        </w:rPr>
        <w:t xml:space="preserve"> ensure food supply and affordability at market</w:t>
      </w:r>
      <w:r w:rsidR="00AC7669">
        <w:rPr>
          <w:rFonts w:asciiTheme="majorHAnsi" w:hAnsiTheme="majorHAnsi" w:cs="Arial"/>
          <w:i/>
          <w:szCs w:val="28"/>
          <w:lang w:val="en-GB"/>
        </w:rPr>
        <w:t>. This approach is symbiotic, and has proven an effective response to complex food security challenges that exist across the</w:t>
      </w:r>
      <w:r w:rsidR="00C318AD">
        <w:rPr>
          <w:rFonts w:asciiTheme="majorHAnsi" w:hAnsiTheme="majorHAnsi" w:cs="Arial"/>
          <w:i/>
          <w:szCs w:val="28"/>
          <w:lang w:val="en-GB"/>
        </w:rPr>
        <w:t xml:space="preserve"> </w:t>
      </w:r>
      <w:proofErr w:type="spellStart"/>
      <w:r w:rsidR="00C318AD">
        <w:rPr>
          <w:rFonts w:asciiTheme="majorHAnsi" w:hAnsiTheme="majorHAnsi" w:cs="Arial"/>
          <w:i/>
          <w:szCs w:val="28"/>
          <w:lang w:val="en-GB"/>
        </w:rPr>
        <w:t>PTs.</w:t>
      </w:r>
      <w:proofErr w:type="spellEnd"/>
    </w:p>
    <w:p w14:paraId="05AC0B23" w14:textId="77777777" w:rsidR="00AC7669" w:rsidRPr="00247B65" w:rsidRDefault="00AC7669" w:rsidP="00AE492F">
      <w:pPr>
        <w:rPr>
          <w:rFonts w:asciiTheme="majorHAnsi" w:hAnsiTheme="majorHAnsi"/>
          <w:i/>
        </w:rPr>
      </w:pPr>
    </w:p>
    <w:p w14:paraId="1E5ED0C2" w14:textId="0B419CB8" w:rsidR="000B082A" w:rsidRPr="00247B65" w:rsidRDefault="00AC7669" w:rsidP="00AE492F">
      <w:pPr>
        <w:rPr>
          <w:rFonts w:asciiTheme="majorHAnsi" w:hAnsiTheme="majorHAnsi"/>
          <w:i/>
        </w:rPr>
      </w:pPr>
      <w:r>
        <w:rPr>
          <w:rFonts w:asciiTheme="majorHAnsi" w:hAnsiTheme="majorHAnsi"/>
          <w:i/>
        </w:rPr>
        <w:t>The Program approach</w:t>
      </w:r>
      <w:r w:rsidRPr="00247B65">
        <w:rPr>
          <w:rFonts w:asciiTheme="majorHAnsi" w:hAnsiTheme="majorHAnsi"/>
          <w:i/>
        </w:rPr>
        <w:t xml:space="preserve"> facilitat</w:t>
      </w:r>
      <w:r>
        <w:rPr>
          <w:rFonts w:asciiTheme="majorHAnsi" w:hAnsiTheme="majorHAnsi"/>
          <w:i/>
        </w:rPr>
        <w:t>e</w:t>
      </w:r>
      <w:r w:rsidR="00FD1373">
        <w:rPr>
          <w:rFonts w:asciiTheme="majorHAnsi" w:hAnsiTheme="majorHAnsi"/>
          <w:i/>
        </w:rPr>
        <w:t>s</w:t>
      </w:r>
      <w:r w:rsidR="000B082A">
        <w:rPr>
          <w:rFonts w:asciiTheme="majorHAnsi" w:hAnsiTheme="majorHAnsi"/>
          <w:i/>
        </w:rPr>
        <w:t xml:space="preserve"> </w:t>
      </w:r>
      <w:r w:rsidRPr="00247B65">
        <w:rPr>
          <w:rFonts w:asciiTheme="majorHAnsi" w:hAnsiTheme="majorHAnsi"/>
          <w:i/>
        </w:rPr>
        <w:t>social and economic empowerment of women and youth t</w:t>
      </w:r>
      <w:r w:rsidR="000B082A">
        <w:rPr>
          <w:rFonts w:asciiTheme="majorHAnsi" w:hAnsiTheme="majorHAnsi"/>
          <w:i/>
        </w:rPr>
        <w:t xml:space="preserve">hrough activities that promote their capacity and the benefits of their inclusion in development planning and implementation. A critical success of the Program has been demonstration that when approached strategically, even conservative communities will support and accept the more active participation of women in community affairs. </w:t>
      </w:r>
    </w:p>
    <w:p w14:paraId="37B25506" w14:textId="77777777" w:rsidR="00FD1373" w:rsidRDefault="00FD1373" w:rsidP="00AE492F">
      <w:pPr>
        <w:rPr>
          <w:rFonts w:asciiTheme="majorHAnsi" w:hAnsiTheme="majorHAnsi"/>
          <w:i/>
        </w:rPr>
      </w:pPr>
    </w:p>
    <w:p w14:paraId="399BB612" w14:textId="0B6C7DC1" w:rsidR="00AE492F" w:rsidRPr="00247B65" w:rsidRDefault="00AE492F" w:rsidP="00AE492F">
      <w:pPr>
        <w:rPr>
          <w:rFonts w:asciiTheme="majorHAnsi" w:hAnsiTheme="majorHAnsi"/>
          <w:i/>
        </w:rPr>
      </w:pPr>
      <w:r w:rsidRPr="00247B65">
        <w:rPr>
          <w:rFonts w:asciiTheme="majorHAnsi" w:hAnsiTheme="majorHAnsi"/>
          <w:i/>
        </w:rPr>
        <w:t xml:space="preserve">These achievements are even more impressive </w:t>
      </w:r>
      <w:r w:rsidR="00491FF3">
        <w:rPr>
          <w:rFonts w:asciiTheme="majorHAnsi" w:hAnsiTheme="majorHAnsi"/>
          <w:i/>
        </w:rPr>
        <w:t>given</w:t>
      </w:r>
      <w:r w:rsidRPr="00247B65">
        <w:rPr>
          <w:rFonts w:asciiTheme="majorHAnsi" w:hAnsiTheme="majorHAnsi"/>
          <w:i/>
        </w:rPr>
        <w:t xml:space="preserve"> that the Program operates with</w:t>
      </w:r>
      <w:r w:rsidR="00491FF3">
        <w:rPr>
          <w:rFonts w:asciiTheme="majorHAnsi" w:hAnsiTheme="majorHAnsi"/>
          <w:i/>
        </w:rPr>
        <w:t>in</w:t>
      </w:r>
      <w:r w:rsidRPr="00247B65">
        <w:rPr>
          <w:rFonts w:asciiTheme="majorHAnsi" w:hAnsiTheme="majorHAnsi"/>
          <w:i/>
        </w:rPr>
        <w:t xml:space="preserve"> a context of ongoing political uncertainty, </w:t>
      </w:r>
      <w:r w:rsidR="00491FF3">
        <w:rPr>
          <w:rFonts w:asciiTheme="majorHAnsi" w:hAnsiTheme="majorHAnsi"/>
          <w:i/>
        </w:rPr>
        <w:t xml:space="preserve">persistent </w:t>
      </w:r>
      <w:r w:rsidRPr="00247B65">
        <w:rPr>
          <w:rFonts w:asciiTheme="majorHAnsi" w:hAnsiTheme="majorHAnsi"/>
          <w:i/>
        </w:rPr>
        <w:t xml:space="preserve">conflict, a </w:t>
      </w:r>
      <w:r w:rsidR="00491FF3">
        <w:rPr>
          <w:rFonts w:asciiTheme="majorHAnsi" w:hAnsiTheme="majorHAnsi"/>
          <w:i/>
        </w:rPr>
        <w:t>sustained</w:t>
      </w:r>
      <w:r w:rsidRPr="00247B65">
        <w:rPr>
          <w:rFonts w:asciiTheme="majorHAnsi" w:hAnsiTheme="majorHAnsi"/>
          <w:i/>
        </w:rPr>
        <w:t xml:space="preserve"> </w:t>
      </w:r>
      <w:proofErr w:type="spellStart"/>
      <w:r w:rsidRPr="00247B65">
        <w:rPr>
          <w:rFonts w:asciiTheme="majorHAnsi" w:hAnsiTheme="majorHAnsi"/>
          <w:i/>
        </w:rPr>
        <w:t>slow down</w:t>
      </w:r>
      <w:proofErr w:type="spellEnd"/>
      <w:r w:rsidRPr="00247B65">
        <w:rPr>
          <w:rFonts w:asciiTheme="majorHAnsi" w:hAnsiTheme="majorHAnsi"/>
          <w:i/>
        </w:rPr>
        <w:t xml:space="preserve"> in economic growth, limited and reducing access to water, and complex and ever-changing restrictions on the movement of people, </w:t>
      </w:r>
      <w:proofErr w:type="spellStart"/>
      <w:r w:rsidRPr="00247B65">
        <w:rPr>
          <w:rFonts w:asciiTheme="majorHAnsi" w:hAnsiTheme="majorHAnsi"/>
          <w:i/>
        </w:rPr>
        <w:t>labour</w:t>
      </w:r>
      <w:proofErr w:type="spellEnd"/>
      <w:r w:rsidRPr="00247B65">
        <w:rPr>
          <w:rFonts w:asciiTheme="majorHAnsi" w:hAnsiTheme="majorHAnsi"/>
          <w:i/>
        </w:rPr>
        <w:t xml:space="preserve"> and produce.</w:t>
      </w:r>
      <w:r w:rsidR="00FD1373">
        <w:rPr>
          <w:rFonts w:asciiTheme="majorHAnsi" w:hAnsiTheme="majorHAnsi"/>
          <w:i/>
        </w:rPr>
        <w:t xml:space="preserve"> While a tragedy on multiple levels, the recent war in Gaza demonstrated the </w:t>
      </w:r>
      <w:r w:rsidR="00F22745">
        <w:rPr>
          <w:rFonts w:asciiTheme="majorHAnsi" w:hAnsiTheme="majorHAnsi"/>
          <w:i/>
        </w:rPr>
        <w:t xml:space="preserve">resilience developed within AMENCA supported communities, evidenced by their ability to support each other, and take immediate actions to rebuild from the </w:t>
      </w:r>
      <w:r w:rsidR="00C318AD">
        <w:rPr>
          <w:rFonts w:asciiTheme="majorHAnsi" w:hAnsiTheme="majorHAnsi"/>
          <w:i/>
        </w:rPr>
        <w:t>devastation</w:t>
      </w:r>
      <w:r w:rsidR="00F22745">
        <w:rPr>
          <w:rFonts w:asciiTheme="majorHAnsi" w:hAnsiTheme="majorHAnsi"/>
          <w:i/>
        </w:rPr>
        <w:t xml:space="preserve">. </w:t>
      </w:r>
    </w:p>
    <w:p w14:paraId="25A4ADE7" w14:textId="77777777" w:rsidR="00AE492F" w:rsidRPr="00247B65" w:rsidRDefault="00AE492F" w:rsidP="00AE492F">
      <w:pPr>
        <w:rPr>
          <w:rFonts w:asciiTheme="majorHAnsi" w:hAnsiTheme="majorHAnsi"/>
          <w:i/>
        </w:rPr>
      </w:pPr>
    </w:p>
    <w:p w14:paraId="39B036D5" w14:textId="3D0883AC" w:rsidR="00AE492F" w:rsidRPr="00247B65" w:rsidRDefault="00AE492F" w:rsidP="00AE492F">
      <w:pPr>
        <w:rPr>
          <w:rFonts w:asciiTheme="majorHAnsi" w:hAnsiTheme="majorHAnsi"/>
          <w:i/>
        </w:rPr>
      </w:pPr>
      <w:r w:rsidRPr="00247B65">
        <w:rPr>
          <w:rFonts w:asciiTheme="majorHAnsi" w:hAnsiTheme="majorHAnsi"/>
          <w:i/>
        </w:rPr>
        <w:t xml:space="preserve">While intrinsically different in their development approaches and philosophies, each of the four Australian lead agencies </w:t>
      </w:r>
      <w:proofErr w:type="gramStart"/>
      <w:r w:rsidRPr="00247B65">
        <w:rPr>
          <w:rFonts w:asciiTheme="majorHAnsi" w:hAnsiTheme="majorHAnsi"/>
          <w:i/>
        </w:rPr>
        <w:t>have</w:t>
      </w:r>
      <w:proofErr w:type="gramEnd"/>
      <w:r w:rsidRPr="00247B65">
        <w:rPr>
          <w:rFonts w:asciiTheme="majorHAnsi" w:hAnsiTheme="majorHAnsi"/>
          <w:i/>
        </w:rPr>
        <w:t xml:space="preserve"> facilitated consortia that have worked tirelessly in a highly complex operating environment.</w:t>
      </w:r>
      <w:r w:rsidR="005E3A3C">
        <w:rPr>
          <w:rFonts w:asciiTheme="majorHAnsi" w:hAnsiTheme="majorHAnsi"/>
          <w:i/>
        </w:rPr>
        <w:t xml:space="preserve"> Each </w:t>
      </w:r>
      <w:proofErr w:type="gramStart"/>
      <w:r w:rsidR="005E3A3C">
        <w:rPr>
          <w:rFonts w:asciiTheme="majorHAnsi" w:hAnsiTheme="majorHAnsi"/>
          <w:i/>
        </w:rPr>
        <w:t>consortia</w:t>
      </w:r>
      <w:proofErr w:type="gramEnd"/>
      <w:r w:rsidR="005E3A3C">
        <w:rPr>
          <w:rFonts w:asciiTheme="majorHAnsi" w:hAnsiTheme="majorHAnsi"/>
          <w:i/>
        </w:rPr>
        <w:t xml:space="preserve"> facilitates the knowledge and involvement of </w:t>
      </w:r>
      <w:proofErr w:type="spellStart"/>
      <w:r w:rsidR="005E3A3C">
        <w:rPr>
          <w:rFonts w:asciiTheme="majorHAnsi" w:hAnsiTheme="majorHAnsi"/>
          <w:i/>
        </w:rPr>
        <w:t>well established</w:t>
      </w:r>
      <w:proofErr w:type="spellEnd"/>
      <w:r w:rsidR="005E3A3C">
        <w:rPr>
          <w:rFonts w:asciiTheme="majorHAnsi" w:hAnsiTheme="majorHAnsi"/>
          <w:i/>
        </w:rPr>
        <w:t xml:space="preserve"> and highly competent Palestinian NGO partners, while also promoting the role and enhancing the capacity of CBOs</w:t>
      </w:r>
      <w:r w:rsidRPr="00247B65">
        <w:rPr>
          <w:rFonts w:asciiTheme="majorHAnsi" w:hAnsiTheme="majorHAnsi"/>
          <w:i/>
        </w:rPr>
        <w:t xml:space="preserve"> </w:t>
      </w:r>
      <w:r w:rsidR="005E3A3C">
        <w:rPr>
          <w:rFonts w:asciiTheme="majorHAnsi" w:hAnsiTheme="majorHAnsi"/>
          <w:i/>
        </w:rPr>
        <w:t xml:space="preserve">as gender inclusive local development actors. </w:t>
      </w:r>
      <w:r w:rsidRPr="00247B65">
        <w:rPr>
          <w:rFonts w:asciiTheme="majorHAnsi" w:hAnsiTheme="majorHAnsi"/>
          <w:i/>
        </w:rPr>
        <w:t>Each consortia has achieved outcomes and learning through their activities that have been profound in their contribution to building resilience amongst the Program’s target group of vulnerable Palestinians</w:t>
      </w:r>
      <w:r w:rsidR="005C7190">
        <w:rPr>
          <w:rFonts w:asciiTheme="majorHAnsi" w:hAnsiTheme="majorHAnsi"/>
          <w:i/>
        </w:rPr>
        <w:t>, while also extending learning, innovation and improved practice throughout the Palestinian development community</w:t>
      </w:r>
      <w:r w:rsidRPr="00247B65">
        <w:rPr>
          <w:rFonts w:asciiTheme="majorHAnsi" w:hAnsiTheme="majorHAnsi"/>
          <w:i/>
        </w:rPr>
        <w:t xml:space="preserve">. </w:t>
      </w:r>
    </w:p>
    <w:p w14:paraId="383460E5" w14:textId="77777777" w:rsidR="00AE492F" w:rsidRPr="00247B65" w:rsidRDefault="00AE492F" w:rsidP="00AE492F">
      <w:pPr>
        <w:rPr>
          <w:rFonts w:asciiTheme="majorHAnsi" w:hAnsiTheme="majorHAnsi"/>
          <w:i/>
        </w:rPr>
      </w:pPr>
    </w:p>
    <w:p w14:paraId="4C761106" w14:textId="6F25F7B6" w:rsidR="00AE492F" w:rsidRPr="00247B65" w:rsidRDefault="00AE492F" w:rsidP="00AE492F">
      <w:pPr>
        <w:rPr>
          <w:rFonts w:asciiTheme="majorHAnsi" w:hAnsiTheme="majorHAnsi"/>
          <w:i/>
        </w:rPr>
      </w:pPr>
      <w:r w:rsidRPr="00247B65">
        <w:rPr>
          <w:rFonts w:asciiTheme="majorHAnsi" w:hAnsiTheme="majorHAnsi"/>
          <w:i/>
        </w:rPr>
        <w:t xml:space="preserve">The </w:t>
      </w:r>
      <w:proofErr w:type="spellStart"/>
      <w:r w:rsidRPr="00247B65">
        <w:rPr>
          <w:rFonts w:asciiTheme="majorHAnsi" w:hAnsiTheme="majorHAnsi"/>
          <w:i/>
        </w:rPr>
        <w:t>ActionAid</w:t>
      </w:r>
      <w:proofErr w:type="spellEnd"/>
      <w:r w:rsidRPr="00247B65">
        <w:rPr>
          <w:rFonts w:asciiTheme="majorHAnsi" w:hAnsiTheme="majorHAnsi"/>
          <w:i/>
        </w:rPr>
        <w:t xml:space="preserve"> consortia has worked in a deliberate and sustained manner to open opportunities for women and youth to more actively participate in resolving community issues, resulting in an enhanced capacity for women and youth to assert their rights to improved livelihoods. This included the </w:t>
      </w:r>
      <w:r w:rsidR="00F22745">
        <w:rPr>
          <w:rFonts w:asciiTheme="majorHAnsi" w:hAnsiTheme="majorHAnsi"/>
          <w:i/>
        </w:rPr>
        <w:t>important</w:t>
      </w:r>
      <w:r w:rsidR="00F22745" w:rsidRPr="00247B65">
        <w:rPr>
          <w:rFonts w:asciiTheme="majorHAnsi" w:hAnsiTheme="majorHAnsi"/>
          <w:i/>
        </w:rPr>
        <w:t xml:space="preserve"> </w:t>
      </w:r>
      <w:r w:rsidRPr="00247B65">
        <w:rPr>
          <w:rFonts w:asciiTheme="majorHAnsi" w:hAnsiTheme="majorHAnsi"/>
          <w:i/>
        </w:rPr>
        <w:t>achievement of successfully campaigning to assert women’s inheritance rights in conservative Hebron, led by the Palestinian Businesswomen’s Association</w:t>
      </w:r>
      <w:r w:rsidR="00FC0803">
        <w:rPr>
          <w:rFonts w:asciiTheme="majorHAnsi" w:hAnsiTheme="majorHAnsi"/>
          <w:i/>
        </w:rPr>
        <w:t xml:space="preserve"> </w:t>
      </w:r>
      <w:proofErr w:type="spellStart"/>
      <w:r w:rsidRPr="00F30493">
        <w:rPr>
          <w:rFonts w:asciiTheme="majorHAnsi" w:hAnsiTheme="majorHAnsi"/>
        </w:rPr>
        <w:t>Asala</w:t>
      </w:r>
      <w:proofErr w:type="spellEnd"/>
      <w:r w:rsidRPr="00247B65">
        <w:rPr>
          <w:rFonts w:asciiTheme="majorHAnsi" w:hAnsiTheme="majorHAnsi"/>
          <w:i/>
        </w:rPr>
        <w:t>.</w:t>
      </w:r>
    </w:p>
    <w:p w14:paraId="6877F93B" w14:textId="77777777" w:rsidR="00AE492F" w:rsidRPr="00247B65" w:rsidRDefault="00AE492F" w:rsidP="00AE492F">
      <w:pPr>
        <w:rPr>
          <w:rFonts w:asciiTheme="majorHAnsi" w:hAnsiTheme="majorHAnsi"/>
          <w:i/>
        </w:rPr>
      </w:pPr>
    </w:p>
    <w:p w14:paraId="5DA13568" w14:textId="431C0C1D" w:rsidR="00AE492F" w:rsidRPr="00247B65" w:rsidRDefault="00AE492F" w:rsidP="00AE492F">
      <w:pPr>
        <w:rPr>
          <w:rFonts w:asciiTheme="majorHAnsi" w:hAnsiTheme="majorHAnsi"/>
          <w:i/>
        </w:rPr>
      </w:pPr>
      <w:r w:rsidRPr="00247B65">
        <w:rPr>
          <w:rFonts w:asciiTheme="majorHAnsi" w:hAnsiTheme="majorHAnsi"/>
          <w:i/>
        </w:rPr>
        <w:t>APHEDA</w:t>
      </w:r>
      <w:r w:rsidR="005C7190">
        <w:rPr>
          <w:rFonts w:asciiTheme="majorHAnsi" w:hAnsiTheme="majorHAnsi"/>
          <w:i/>
        </w:rPr>
        <w:t>,</w:t>
      </w:r>
      <w:r w:rsidRPr="00247B65">
        <w:rPr>
          <w:rFonts w:asciiTheme="majorHAnsi" w:hAnsiTheme="majorHAnsi"/>
          <w:i/>
        </w:rPr>
        <w:t xml:space="preserve"> </w:t>
      </w:r>
      <w:r w:rsidR="005E3A3C">
        <w:rPr>
          <w:rFonts w:asciiTheme="majorHAnsi" w:hAnsiTheme="majorHAnsi"/>
          <w:i/>
        </w:rPr>
        <w:t>work</w:t>
      </w:r>
      <w:r w:rsidR="005C7190">
        <w:rPr>
          <w:rFonts w:asciiTheme="majorHAnsi" w:hAnsiTheme="majorHAnsi"/>
          <w:i/>
        </w:rPr>
        <w:t>ing</w:t>
      </w:r>
      <w:r w:rsidR="005E3A3C">
        <w:rPr>
          <w:rFonts w:asciiTheme="majorHAnsi" w:hAnsiTheme="majorHAnsi"/>
          <w:i/>
        </w:rPr>
        <w:t xml:space="preserve"> hand in glove </w:t>
      </w:r>
      <w:r w:rsidR="005C7190">
        <w:rPr>
          <w:rFonts w:asciiTheme="majorHAnsi" w:hAnsiTheme="majorHAnsi"/>
          <w:i/>
        </w:rPr>
        <w:t xml:space="preserve">with the </w:t>
      </w:r>
      <w:proofErr w:type="spellStart"/>
      <w:r w:rsidR="005C7190">
        <w:rPr>
          <w:rFonts w:asciiTheme="majorHAnsi" w:hAnsiTheme="majorHAnsi"/>
          <w:i/>
        </w:rPr>
        <w:t>Ma’an</w:t>
      </w:r>
      <w:proofErr w:type="spellEnd"/>
      <w:r w:rsidR="005C7190">
        <w:rPr>
          <w:rFonts w:asciiTheme="majorHAnsi" w:hAnsiTheme="majorHAnsi"/>
          <w:i/>
        </w:rPr>
        <w:t xml:space="preserve"> Development Centre,</w:t>
      </w:r>
      <w:r w:rsidRPr="00247B65">
        <w:rPr>
          <w:rFonts w:asciiTheme="majorHAnsi" w:hAnsiTheme="majorHAnsi"/>
          <w:i/>
        </w:rPr>
        <w:t xml:space="preserve"> is highly respected for its sophisticated </w:t>
      </w:r>
      <w:r w:rsidR="00F22745">
        <w:rPr>
          <w:rFonts w:asciiTheme="majorHAnsi" w:hAnsiTheme="majorHAnsi"/>
          <w:i/>
        </w:rPr>
        <w:t xml:space="preserve">ecological farming practices </w:t>
      </w:r>
      <w:r w:rsidRPr="00247B65">
        <w:rPr>
          <w:rFonts w:asciiTheme="majorHAnsi" w:hAnsiTheme="majorHAnsi"/>
          <w:i/>
        </w:rPr>
        <w:t>and highly nuanced agriculture program, which has both been a driver of agricultural innovation</w:t>
      </w:r>
      <w:r w:rsidR="00F22745">
        <w:rPr>
          <w:rFonts w:asciiTheme="majorHAnsi" w:hAnsiTheme="majorHAnsi"/>
          <w:i/>
        </w:rPr>
        <w:t xml:space="preserve"> </w:t>
      </w:r>
      <w:r w:rsidRPr="00247B65">
        <w:rPr>
          <w:rFonts w:asciiTheme="majorHAnsi" w:hAnsiTheme="majorHAnsi"/>
          <w:i/>
        </w:rPr>
        <w:t xml:space="preserve">as well as successful in achieving very strong productivity gains for smallholder farms. Their approach is </w:t>
      </w:r>
      <w:r w:rsidR="005C7190">
        <w:rPr>
          <w:rFonts w:asciiTheme="majorHAnsi" w:hAnsiTheme="majorHAnsi"/>
          <w:i/>
        </w:rPr>
        <w:t xml:space="preserve">heavily </w:t>
      </w:r>
      <w:r w:rsidRPr="00247B65">
        <w:rPr>
          <w:rFonts w:asciiTheme="majorHAnsi" w:hAnsiTheme="majorHAnsi"/>
          <w:i/>
        </w:rPr>
        <w:t xml:space="preserve">evidence based, </w:t>
      </w:r>
      <w:r w:rsidR="005C7190">
        <w:rPr>
          <w:rFonts w:asciiTheme="majorHAnsi" w:hAnsiTheme="majorHAnsi"/>
          <w:i/>
        </w:rPr>
        <w:t>ensuring</w:t>
      </w:r>
      <w:r w:rsidRPr="00247B65">
        <w:rPr>
          <w:rFonts w:asciiTheme="majorHAnsi" w:hAnsiTheme="majorHAnsi"/>
          <w:i/>
        </w:rPr>
        <w:t xml:space="preserve"> highly strategic investments that overcome restricted access to water, land and markets, and therefore have </w:t>
      </w:r>
      <w:r w:rsidR="005C7190">
        <w:rPr>
          <w:rFonts w:asciiTheme="majorHAnsi" w:hAnsiTheme="majorHAnsi"/>
          <w:i/>
        </w:rPr>
        <w:t>enjoyed high rates</w:t>
      </w:r>
      <w:r w:rsidRPr="00247B65">
        <w:rPr>
          <w:rFonts w:asciiTheme="majorHAnsi" w:hAnsiTheme="majorHAnsi"/>
          <w:i/>
        </w:rPr>
        <w:t xml:space="preserve"> of success.</w:t>
      </w:r>
    </w:p>
    <w:p w14:paraId="0C8AC2FB" w14:textId="77777777" w:rsidR="00AE492F" w:rsidRPr="00247B65" w:rsidRDefault="00AE492F" w:rsidP="00AE492F">
      <w:pPr>
        <w:rPr>
          <w:rFonts w:asciiTheme="majorHAnsi" w:hAnsiTheme="majorHAnsi"/>
          <w:i/>
        </w:rPr>
      </w:pPr>
    </w:p>
    <w:p w14:paraId="4266D5C0" w14:textId="77777777" w:rsidR="00AE492F" w:rsidRPr="00247B65" w:rsidRDefault="00AE492F" w:rsidP="00AE492F">
      <w:pPr>
        <w:rPr>
          <w:rFonts w:asciiTheme="majorHAnsi" w:hAnsiTheme="majorHAnsi"/>
          <w:i/>
        </w:rPr>
      </w:pPr>
      <w:r w:rsidRPr="00247B65">
        <w:rPr>
          <w:rFonts w:asciiTheme="majorHAnsi" w:hAnsiTheme="majorHAnsi"/>
          <w:i/>
        </w:rPr>
        <w:t xml:space="preserve">The CARE </w:t>
      </w:r>
      <w:proofErr w:type="gramStart"/>
      <w:r w:rsidRPr="00247B65">
        <w:rPr>
          <w:rFonts w:asciiTheme="majorHAnsi" w:hAnsiTheme="majorHAnsi"/>
          <w:i/>
        </w:rPr>
        <w:t>consortia has</w:t>
      </w:r>
      <w:proofErr w:type="gramEnd"/>
      <w:r w:rsidRPr="00247B65">
        <w:rPr>
          <w:rFonts w:asciiTheme="majorHAnsi" w:hAnsiTheme="majorHAnsi"/>
          <w:i/>
        </w:rPr>
        <w:t xml:space="preserve"> demonstrated the potential of larger, private sector focused interventions to support increased productivity of farming reliant households. Large scale seed banks and nurseries operating on a light industrial scale have helped farmers bypass several blockade related constraints to their trade, such as shortages and poor quality seed and the issue of seedlings dying as farmers wait to pass checkpoints</w:t>
      </w:r>
      <w:r w:rsidR="00886471">
        <w:rPr>
          <w:rFonts w:asciiTheme="majorHAnsi" w:hAnsiTheme="majorHAnsi"/>
          <w:i/>
        </w:rPr>
        <w:t>, while a relationship with New Farm helps connect small farmers to markets.</w:t>
      </w:r>
    </w:p>
    <w:p w14:paraId="7E22F3EC" w14:textId="77777777" w:rsidR="00AE492F" w:rsidRPr="00247B65" w:rsidRDefault="00AE492F" w:rsidP="00AE492F">
      <w:pPr>
        <w:rPr>
          <w:rFonts w:asciiTheme="majorHAnsi" w:hAnsiTheme="majorHAnsi"/>
          <w:i/>
        </w:rPr>
      </w:pPr>
    </w:p>
    <w:p w14:paraId="1DF4A863" w14:textId="2E125882" w:rsidR="00AE492F" w:rsidRPr="00247B65" w:rsidRDefault="00AE492F" w:rsidP="00AE492F">
      <w:pPr>
        <w:rPr>
          <w:rFonts w:asciiTheme="majorHAnsi" w:hAnsiTheme="majorHAnsi"/>
          <w:i/>
        </w:rPr>
      </w:pPr>
      <w:r w:rsidRPr="00247B65">
        <w:rPr>
          <w:rFonts w:asciiTheme="majorHAnsi" w:hAnsiTheme="majorHAnsi"/>
          <w:i/>
        </w:rPr>
        <w:t>World Vision is the only partner to</w:t>
      </w:r>
      <w:r w:rsidR="00491FF3">
        <w:rPr>
          <w:rFonts w:asciiTheme="majorHAnsi" w:hAnsiTheme="majorHAnsi"/>
          <w:i/>
        </w:rPr>
        <w:t xml:space="preserve"> only operate in Gaza where it</w:t>
      </w:r>
      <w:r w:rsidRPr="00247B65">
        <w:rPr>
          <w:rFonts w:asciiTheme="majorHAnsi" w:hAnsiTheme="majorHAnsi"/>
          <w:i/>
        </w:rPr>
        <w:t xml:space="preserve"> implement</w:t>
      </w:r>
      <w:r>
        <w:rPr>
          <w:rFonts w:asciiTheme="majorHAnsi" w:hAnsiTheme="majorHAnsi"/>
          <w:i/>
        </w:rPr>
        <w:t>s</w:t>
      </w:r>
      <w:r w:rsidRPr="00247B65">
        <w:rPr>
          <w:rFonts w:asciiTheme="majorHAnsi" w:hAnsiTheme="majorHAnsi"/>
          <w:i/>
        </w:rPr>
        <w:t xml:space="preserve"> a ‘whole of family’ development approach</w:t>
      </w:r>
      <w:r w:rsidR="00F42CAA">
        <w:rPr>
          <w:rFonts w:asciiTheme="majorHAnsi" w:hAnsiTheme="majorHAnsi"/>
          <w:i/>
        </w:rPr>
        <w:t xml:space="preserve">. This ‘whole of family’ approach is holistic and extremely well suited to </w:t>
      </w:r>
      <w:r w:rsidRPr="00247B65">
        <w:rPr>
          <w:rFonts w:asciiTheme="majorHAnsi" w:hAnsiTheme="majorHAnsi"/>
          <w:i/>
        </w:rPr>
        <w:t xml:space="preserve">the </w:t>
      </w:r>
      <w:r w:rsidR="005E3A3C">
        <w:rPr>
          <w:rFonts w:asciiTheme="majorHAnsi" w:hAnsiTheme="majorHAnsi"/>
          <w:i/>
        </w:rPr>
        <w:t>highly complex</w:t>
      </w:r>
      <w:r w:rsidRPr="00247B65">
        <w:rPr>
          <w:rFonts w:asciiTheme="majorHAnsi" w:hAnsiTheme="majorHAnsi"/>
          <w:i/>
        </w:rPr>
        <w:t xml:space="preserve"> needs that exist within </w:t>
      </w:r>
      <w:r w:rsidR="00491FF3">
        <w:rPr>
          <w:rFonts w:asciiTheme="majorHAnsi" w:hAnsiTheme="majorHAnsi"/>
          <w:i/>
        </w:rPr>
        <w:t>a</w:t>
      </w:r>
      <w:r w:rsidRPr="00247B65">
        <w:rPr>
          <w:rFonts w:asciiTheme="majorHAnsi" w:hAnsiTheme="majorHAnsi"/>
          <w:i/>
        </w:rPr>
        <w:t xml:space="preserve">n average </w:t>
      </w:r>
      <w:r w:rsidR="00491FF3">
        <w:rPr>
          <w:rFonts w:asciiTheme="majorHAnsi" w:hAnsiTheme="majorHAnsi"/>
          <w:i/>
        </w:rPr>
        <w:t>Gaza household. Efforts are made to</w:t>
      </w:r>
      <w:r w:rsidR="005E3A3C">
        <w:rPr>
          <w:rFonts w:asciiTheme="majorHAnsi" w:hAnsiTheme="majorHAnsi"/>
          <w:i/>
        </w:rPr>
        <w:t xml:space="preserve"> carefully</w:t>
      </w:r>
      <w:r w:rsidR="00491FF3">
        <w:rPr>
          <w:rFonts w:asciiTheme="majorHAnsi" w:hAnsiTheme="majorHAnsi"/>
          <w:i/>
        </w:rPr>
        <w:t xml:space="preserve"> identify and </w:t>
      </w:r>
      <w:r w:rsidRPr="00247B65">
        <w:rPr>
          <w:rFonts w:asciiTheme="majorHAnsi" w:hAnsiTheme="majorHAnsi"/>
          <w:i/>
        </w:rPr>
        <w:t>suppor</w:t>
      </w:r>
      <w:r w:rsidR="00491FF3">
        <w:rPr>
          <w:rFonts w:asciiTheme="majorHAnsi" w:hAnsiTheme="majorHAnsi"/>
          <w:i/>
        </w:rPr>
        <w:t>t</w:t>
      </w:r>
      <w:r w:rsidRPr="00247B65">
        <w:rPr>
          <w:rFonts w:asciiTheme="majorHAnsi" w:hAnsiTheme="majorHAnsi"/>
          <w:i/>
        </w:rPr>
        <w:t xml:space="preserve"> livelihood interventions most appropriate to that househo</w:t>
      </w:r>
      <w:r w:rsidR="00491FF3">
        <w:rPr>
          <w:rFonts w:asciiTheme="majorHAnsi" w:hAnsiTheme="majorHAnsi"/>
          <w:i/>
        </w:rPr>
        <w:t xml:space="preserve">ld, while </w:t>
      </w:r>
      <w:r w:rsidR="00F42CAA">
        <w:rPr>
          <w:rFonts w:asciiTheme="majorHAnsi" w:hAnsiTheme="majorHAnsi"/>
          <w:i/>
        </w:rPr>
        <w:t>integrating within those activities development of</w:t>
      </w:r>
      <w:r w:rsidR="00491FF3">
        <w:rPr>
          <w:rFonts w:asciiTheme="majorHAnsi" w:hAnsiTheme="majorHAnsi"/>
          <w:i/>
        </w:rPr>
        <w:t xml:space="preserve"> skills for</w:t>
      </w:r>
      <w:r w:rsidRPr="00247B65">
        <w:rPr>
          <w:rFonts w:asciiTheme="majorHAnsi" w:hAnsiTheme="majorHAnsi"/>
          <w:i/>
        </w:rPr>
        <w:t xml:space="preserve"> better manage</w:t>
      </w:r>
      <w:r w:rsidR="00491FF3">
        <w:rPr>
          <w:rFonts w:asciiTheme="majorHAnsi" w:hAnsiTheme="majorHAnsi"/>
          <w:i/>
        </w:rPr>
        <w:t>ment of</w:t>
      </w:r>
      <w:r w:rsidRPr="00247B65">
        <w:rPr>
          <w:rFonts w:asciiTheme="majorHAnsi" w:hAnsiTheme="majorHAnsi"/>
          <w:i/>
        </w:rPr>
        <w:t xml:space="preserve"> stres</w:t>
      </w:r>
      <w:r w:rsidR="00491FF3">
        <w:rPr>
          <w:rFonts w:asciiTheme="majorHAnsi" w:hAnsiTheme="majorHAnsi"/>
          <w:i/>
        </w:rPr>
        <w:t>s and psychosocial health</w:t>
      </w:r>
      <w:r w:rsidRPr="00247B65">
        <w:rPr>
          <w:rFonts w:asciiTheme="majorHAnsi" w:hAnsiTheme="majorHAnsi"/>
          <w:i/>
        </w:rPr>
        <w:t xml:space="preserve">, promoting opportunities for the economic participation of women, and facilitating child friendly spaces in one of the </w:t>
      </w:r>
      <w:proofErr w:type="gramStart"/>
      <w:r w:rsidRPr="00247B65">
        <w:rPr>
          <w:rFonts w:asciiTheme="majorHAnsi" w:hAnsiTheme="majorHAnsi"/>
          <w:i/>
        </w:rPr>
        <w:t>world’s</w:t>
      </w:r>
      <w:proofErr w:type="gramEnd"/>
      <w:r w:rsidRPr="00247B65">
        <w:rPr>
          <w:rFonts w:asciiTheme="majorHAnsi" w:hAnsiTheme="majorHAnsi"/>
          <w:i/>
        </w:rPr>
        <w:t xml:space="preserve"> most crowded </w:t>
      </w:r>
      <w:r w:rsidR="00491FF3">
        <w:rPr>
          <w:rFonts w:asciiTheme="majorHAnsi" w:hAnsiTheme="majorHAnsi"/>
          <w:i/>
        </w:rPr>
        <w:t xml:space="preserve">and conflict prone </w:t>
      </w:r>
      <w:r w:rsidRPr="00247B65">
        <w:rPr>
          <w:rFonts w:asciiTheme="majorHAnsi" w:hAnsiTheme="majorHAnsi"/>
          <w:i/>
        </w:rPr>
        <w:t xml:space="preserve">environments. </w:t>
      </w:r>
      <w:r w:rsidR="00F42CAA">
        <w:rPr>
          <w:rFonts w:asciiTheme="majorHAnsi" w:hAnsiTheme="majorHAnsi"/>
          <w:i/>
        </w:rPr>
        <w:t xml:space="preserve">WV partner, the Union </w:t>
      </w:r>
      <w:proofErr w:type="gramStart"/>
      <w:r w:rsidR="00F42CAA">
        <w:rPr>
          <w:rFonts w:asciiTheme="majorHAnsi" w:hAnsiTheme="majorHAnsi"/>
          <w:i/>
        </w:rPr>
        <w:t>Of</w:t>
      </w:r>
      <w:proofErr w:type="gramEnd"/>
      <w:r w:rsidR="00F42CAA">
        <w:rPr>
          <w:rFonts w:asciiTheme="majorHAnsi" w:hAnsiTheme="majorHAnsi"/>
          <w:i/>
        </w:rPr>
        <w:t xml:space="preserve"> Agricultural Work Committees (UAWC), is highly respected across Gaza for its professionalism and the validity of its approaches to the current needs of Gaza. In 2014, UAWC was awarded the prestigious UNDP Equator Award for its efforts in relation to sustainable agricultural practices.</w:t>
      </w:r>
    </w:p>
    <w:p w14:paraId="4DEC96FC" w14:textId="77777777" w:rsidR="00AE492F" w:rsidRPr="00247B65" w:rsidRDefault="00AE492F" w:rsidP="00AE492F">
      <w:pPr>
        <w:rPr>
          <w:rFonts w:asciiTheme="majorHAnsi" w:hAnsiTheme="majorHAnsi"/>
          <w:i/>
        </w:rPr>
      </w:pPr>
    </w:p>
    <w:p w14:paraId="4D9E89D0" w14:textId="79C0C11F" w:rsidR="00AE492F" w:rsidRPr="00247B65" w:rsidRDefault="00AE492F" w:rsidP="00AE492F">
      <w:pPr>
        <w:rPr>
          <w:rFonts w:asciiTheme="majorHAnsi" w:hAnsiTheme="majorHAnsi" w:cs="Arial"/>
          <w:i/>
          <w:szCs w:val="28"/>
          <w:lang w:val="en-GB"/>
        </w:rPr>
      </w:pPr>
      <w:r w:rsidRPr="00247B65">
        <w:rPr>
          <w:rFonts w:asciiTheme="majorHAnsi" w:hAnsiTheme="majorHAnsi" w:cs="Arial"/>
          <w:i/>
          <w:szCs w:val="28"/>
          <w:lang w:val="en-GB"/>
        </w:rPr>
        <w:t xml:space="preserve">These examples represent some of the better practice facilitated by AMENCA2, and also highlight the opportunities that exist for AMENCA to act as a knowledge base </w:t>
      </w:r>
      <w:r w:rsidR="005C7190">
        <w:rPr>
          <w:rFonts w:asciiTheme="majorHAnsi" w:hAnsiTheme="majorHAnsi" w:cs="Arial"/>
          <w:i/>
          <w:szCs w:val="28"/>
          <w:lang w:val="en-GB"/>
        </w:rPr>
        <w:t xml:space="preserve">moving forward </w:t>
      </w:r>
      <w:r w:rsidRPr="00247B65">
        <w:rPr>
          <w:rFonts w:asciiTheme="majorHAnsi" w:hAnsiTheme="majorHAnsi" w:cs="Arial"/>
          <w:i/>
          <w:szCs w:val="28"/>
          <w:lang w:val="en-GB"/>
        </w:rPr>
        <w:t>through which information sharing and cross fertili</w:t>
      </w:r>
      <w:r w:rsidR="00491FF3">
        <w:rPr>
          <w:rFonts w:asciiTheme="majorHAnsi" w:hAnsiTheme="majorHAnsi" w:cs="Arial"/>
          <w:i/>
          <w:szCs w:val="28"/>
          <w:lang w:val="en-GB"/>
        </w:rPr>
        <w:t>sation of approaches can occur.</w:t>
      </w:r>
      <w:r w:rsidRPr="00247B65">
        <w:rPr>
          <w:rFonts w:asciiTheme="majorHAnsi" w:hAnsiTheme="majorHAnsi" w:cs="Arial"/>
          <w:i/>
          <w:szCs w:val="28"/>
          <w:lang w:val="en-GB"/>
        </w:rPr>
        <w:t xml:space="preserve"> AMENCA supported activities collectively form a vitally important knowledge bank of experience in relation to building resilience in vulnerable Palestinian households. Th</w:t>
      </w:r>
      <w:r>
        <w:rPr>
          <w:rFonts w:asciiTheme="majorHAnsi" w:hAnsiTheme="majorHAnsi" w:cs="Arial"/>
          <w:i/>
          <w:szCs w:val="28"/>
          <w:lang w:val="en-GB"/>
        </w:rPr>
        <w:t>e ‘AMENCA brand’ is</w:t>
      </w:r>
      <w:r w:rsidRPr="00247B65">
        <w:rPr>
          <w:rFonts w:asciiTheme="majorHAnsi" w:hAnsiTheme="majorHAnsi" w:cs="Arial"/>
          <w:i/>
          <w:szCs w:val="28"/>
          <w:lang w:val="en-GB"/>
        </w:rPr>
        <w:t xml:space="preserve"> highly respected in the PTs, in large part because </w:t>
      </w:r>
      <w:r>
        <w:rPr>
          <w:rFonts w:asciiTheme="majorHAnsi" w:hAnsiTheme="majorHAnsi" w:cs="Arial"/>
          <w:i/>
          <w:szCs w:val="28"/>
          <w:lang w:val="en-GB"/>
        </w:rPr>
        <w:t xml:space="preserve">it carries credibility given activities </w:t>
      </w:r>
      <w:r w:rsidRPr="00247B65">
        <w:rPr>
          <w:rFonts w:asciiTheme="majorHAnsi" w:hAnsiTheme="majorHAnsi" w:cs="Arial"/>
          <w:i/>
          <w:szCs w:val="28"/>
          <w:lang w:val="en-GB"/>
        </w:rPr>
        <w:t>have been extensively trialled and allowed time to mature due to AMENCA being a longer term Program in an environment where short term, eme</w:t>
      </w:r>
      <w:r w:rsidR="00C318AD">
        <w:rPr>
          <w:rFonts w:asciiTheme="majorHAnsi" w:hAnsiTheme="majorHAnsi" w:cs="Arial"/>
          <w:i/>
          <w:szCs w:val="28"/>
          <w:lang w:val="en-GB"/>
        </w:rPr>
        <w:t>rgency programming is the norm.</w:t>
      </w:r>
      <w:r w:rsidRPr="00247B65">
        <w:rPr>
          <w:rFonts w:asciiTheme="majorHAnsi" w:hAnsiTheme="majorHAnsi" w:cs="Arial"/>
          <w:i/>
          <w:szCs w:val="28"/>
          <w:lang w:val="en-GB"/>
        </w:rPr>
        <w:t xml:space="preserve">  </w:t>
      </w:r>
    </w:p>
    <w:p w14:paraId="5619C442" w14:textId="77777777" w:rsidR="00AE492F" w:rsidRPr="00247B65" w:rsidRDefault="00AE492F" w:rsidP="00AE492F">
      <w:pPr>
        <w:rPr>
          <w:rFonts w:asciiTheme="majorHAnsi" w:hAnsiTheme="majorHAnsi" w:cs="Arial"/>
          <w:i/>
          <w:szCs w:val="28"/>
          <w:lang w:val="en-GB"/>
        </w:rPr>
      </w:pPr>
    </w:p>
    <w:p w14:paraId="358AEDB2" w14:textId="77777777" w:rsidR="00AE492F" w:rsidRPr="00247B65" w:rsidRDefault="00AE492F" w:rsidP="00AE492F">
      <w:pPr>
        <w:rPr>
          <w:rFonts w:asciiTheme="majorHAnsi" w:hAnsiTheme="majorHAnsi" w:cs="Arial"/>
          <w:i/>
          <w:szCs w:val="28"/>
          <w:lang w:val="en-GB"/>
        </w:rPr>
      </w:pPr>
      <w:r w:rsidRPr="00247B65">
        <w:rPr>
          <w:rFonts w:asciiTheme="majorHAnsi" w:hAnsiTheme="majorHAnsi" w:cs="Arial"/>
          <w:i/>
          <w:szCs w:val="28"/>
          <w:lang w:val="en-GB"/>
        </w:rPr>
        <w:t>Collectively, the Program reports the following productive achievements:</w:t>
      </w:r>
    </w:p>
    <w:p w14:paraId="2DCD97B6" w14:textId="34105135" w:rsidR="00AE492F" w:rsidRPr="00247B65" w:rsidRDefault="00AE492F" w:rsidP="00AE492F">
      <w:pPr>
        <w:pStyle w:val="ListParagraph"/>
        <w:numPr>
          <w:ilvl w:val="0"/>
          <w:numId w:val="39"/>
        </w:numPr>
        <w:rPr>
          <w:rFonts w:asciiTheme="majorHAnsi" w:hAnsiTheme="majorHAnsi" w:cs="Arial"/>
          <w:i/>
          <w:szCs w:val="28"/>
          <w:lang w:val="en-GB"/>
        </w:rPr>
      </w:pPr>
      <w:r w:rsidRPr="00247B65">
        <w:rPr>
          <w:rFonts w:asciiTheme="majorHAnsi" w:hAnsiTheme="majorHAnsi" w:cs="Arial"/>
          <w:i/>
          <w:szCs w:val="28"/>
          <w:lang w:val="en-GB"/>
        </w:rPr>
        <w:t>8</w:t>
      </w:r>
      <w:r w:rsidR="002475C7">
        <w:rPr>
          <w:rFonts w:asciiTheme="majorHAnsi" w:hAnsiTheme="majorHAnsi" w:cs="Arial"/>
          <w:i/>
          <w:szCs w:val="28"/>
          <w:lang w:val="en-GB"/>
        </w:rPr>
        <w:t>0</w:t>
      </w:r>
      <w:r w:rsidRPr="00247B65">
        <w:rPr>
          <w:rFonts w:asciiTheme="majorHAnsi" w:hAnsiTheme="majorHAnsi" w:cs="Arial"/>
          <w:i/>
          <w:szCs w:val="28"/>
          <w:lang w:val="en-GB"/>
        </w:rPr>
        <w:t>,</w:t>
      </w:r>
      <w:r w:rsidR="002475C7">
        <w:rPr>
          <w:rFonts w:asciiTheme="majorHAnsi" w:hAnsiTheme="majorHAnsi" w:cs="Arial"/>
          <w:i/>
          <w:szCs w:val="28"/>
          <w:lang w:val="en-GB"/>
        </w:rPr>
        <w:t>702</w:t>
      </w:r>
      <w:r w:rsidRPr="00247B65">
        <w:rPr>
          <w:rFonts w:asciiTheme="majorHAnsi" w:hAnsiTheme="majorHAnsi" w:cs="Arial"/>
          <w:i/>
          <w:szCs w:val="28"/>
          <w:lang w:val="en-GB"/>
        </w:rPr>
        <w:t xml:space="preserve"> direct beneficiaries, of which </w:t>
      </w:r>
      <w:r w:rsidR="002475C7">
        <w:rPr>
          <w:rFonts w:asciiTheme="majorHAnsi" w:hAnsiTheme="majorHAnsi" w:cs="Arial"/>
          <w:i/>
          <w:szCs w:val="28"/>
          <w:lang w:val="en-GB"/>
        </w:rPr>
        <w:t>44,317</w:t>
      </w:r>
      <w:r w:rsidRPr="00247B65">
        <w:rPr>
          <w:rFonts w:asciiTheme="majorHAnsi" w:hAnsiTheme="majorHAnsi" w:cs="Arial"/>
          <w:i/>
          <w:szCs w:val="28"/>
          <w:lang w:val="en-GB"/>
        </w:rPr>
        <w:t xml:space="preserve"> are women, compared to an initial target of 50,000</w:t>
      </w:r>
    </w:p>
    <w:p w14:paraId="4341F6FC" w14:textId="41FDD298" w:rsidR="00AE492F" w:rsidRPr="00247B65" w:rsidRDefault="00AE492F" w:rsidP="00AE492F">
      <w:pPr>
        <w:pStyle w:val="ListParagraph"/>
        <w:numPr>
          <w:ilvl w:val="0"/>
          <w:numId w:val="39"/>
        </w:numPr>
        <w:rPr>
          <w:rFonts w:asciiTheme="majorHAnsi" w:hAnsiTheme="majorHAnsi" w:cs="Arial"/>
          <w:i/>
          <w:szCs w:val="28"/>
          <w:lang w:val="en-GB"/>
        </w:rPr>
      </w:pPr>
      <w:r w:rsidRPr="00247B65">
        <w:rPr>
          <w:rFonts w:asciiTheme="majorHAnsi" w:hAnsiTheme="majorHAnsi"/>
          <w:i/>
        </w:rPr>
        <w:t>an increase in income</w:t>
      </w:r>
      <w:r w:rsidR="002475C7">
        <w:rPr>
          <w:rFonts w:asciiTheme="majorHAnsi" w:hAnsiTheme="majorHAnsi"/>
          <w:i/>
        </w:rPr>
        <w:t>s</w:t>
      </w:r>
      <w:r w:rsidRPr="00247B65">
        <w:rPr>
          <w:rFonts w:asciiTheme="majorHAnsi" w:hAnsiTheme="majorHAnsi"/>
          <w:i/>
        </w:rPr>
        <w:t xml:space="preserve"> </w:t>
      </w:r>
      <w:r w:rsidR="002475C7">
        <w:rPr>
          <w:rFonts w:asciiTheme="majorHAnsi" w:hAnsiTheme="majorHAnsi"/>
          <w:i/>
        </w:rPr>
        <w:t>of nearly 11, 700 farmers and small business women by an average of</w:t>
      </w:r>
      <w:r w:rsidRPr="00247B65">
        <w:rPr>
          <w:rFonts w:asciiTheme="majorHAnsi" w:hAnsiTheme="majorHAnsi"/>
          <w:i/>
        </w:rPr>
        <w:t xml:space="preserve"> 42.5% across the life of the Program - during a period of consistent economic decline for the PTs</w:t>
      </w:r>
    </w:p>
    <w:p w14:paraId="54AD0187" w14:textId="77777777" w:rsidR="00AE492F" w:rsidRPr="00247B65" w:rsidRDefault="00AE492F" w:rsidP="00AE492F">
      <w:pPr>
        <w:pStyle w:val="ListParagraph"/>
        <w:numPr>
          <w:ilvl w:val="0"/>
          <w:numId w:val="39"/>
        </w:numPr>
        <w:rPr>
          <w:rFonts w:asciiTheme="majorHAnsi" w:hAnsiTheme="majorHAnsi"/>
          <w:i/>
        </w:rPr>
      </w:pPr>
      <w:r w:rsidRPr="00247B65">
        <w:rPr>
          <w:rFonts w:asciiTheme="majorHAnsi" w:hAnsiTheme="majorHAnsi"/>
          <w:i/>
        </w:rPr>
        <w:t>1,090 hectares of land opened to new agriculture through land rehabilitation, irrigation and/or building of access roads</w:t>
      </w:r>
    </w:p>
    <w:p w14:paraId="0C208C09" w14:textId="77777777" w:rsidR="00AE492F" w:rsidRPr="00247B65" w:rsidRDefault="00AE492F" w:rsidP="00AE492F">
      <w:pPr>
        <w:pStyle w:val="ListParagraph"/>
        <w:numPr>
          <w:ilvl w:val="0"/>
          <w:numId w:val="39"/>
        </w:numPr>
        <w:rPr>
          <w:rFonts w:asciiTheme="majorHAnsi" w:hAnsiTheme="majorHAnsi"/>
          <w:i/>
        </w:rPr>
      </w:pPr>
      <w:r w:rsidRPr="00247B65">
        <w:rPr>
          <w:rFonts w:asciiTheme="majorHAnsi" w:hAnsiTheme="majorHAnsi"/>
          <w:i/>
        </w:rPr>
        <w:t xml:space="preserve">37,100 cubic </w:t>
      </w:r>
      <w:proofErr w:type="spellStart"/>
      <w:r w:rsidRPr="00247B65">
        <w:rPr>
          <w:rFonts w:asciiTheme="majorHAnsi" w:hAnsiTheme="majorHAnsi"/>
          <w:i/>
        </w:rPr>
        <w:t>metres</w:t>
      </w:r>
      <w:proofErr w:type="spellEnd"/>
      <w:r w:rsidRPr="00247B65">
        <w:rPr>
          <w:rFonts w:asciiTheme="majorHAnsi" w:hAnsiTheme="majorHAnsi"/>
          <w:i/>
        </w:rPr>
        <w:t xml:space="preserve"> of rain water harvesting capacity installed</w:t>
      </w:r>
    </w:p>
    <w:p w14:paraId="57A8EFA3" w14:textId="54077673" w:rsidR="00AE492F" w:rsidRPr="00247B65" w:rsidRDefault="00AE492F" w:rsidP="00BC71C8">
      <w:pPr>
        <w:pStyle w:val="ListParagraph"/>
        <w:numPr>
          <w:ilvl w:val="0"/>
          <w:numId w:val="39"/>
        </w:numPr>
        <w:rPr>
          <w:rFonts w:asciiTheme="majorHAnsi" w:hAnsiTheme="majorHAnsi"/>
          <w:i/>
        </w:rPr>
      </w:pPr>
      <w:r w:rsidRPr="00247B65">
        <w:rPr>
          <w:rFonts w:asciiTheme="majorHAnsi" w:hAnsiTheme="majorHAnsi"/>
          <w:i/>
        </w:rPr>
        <w:t xml:space="preserve">More than 91,000 </w:t>
      </w:r>
      <w:proofErr w:type="spellStart"/>
      <w:r w:rsidRPr="00247B65">
        <w:rPr>
          <w:rFonts w:asciiTheme="majorHAnsi" w:hAnsiTheme="majorHAnsi"/>
          <w:i/>
        </w:rPr>
        <w:t>tonnes</w:t>
      </w:r>
      <w:proofErr w:type="spellEnd"/>
      <w:r w:rsidRPr="00247B65">
        <w:rPr>
          <w:rFonts w:asciiTheme="majorHAnsi" w:hAnsiTheme="majorHAnsi"/>
          <w:i/>
        </w:rPr>
        <w:t xml:space="preserve"> of food with a total value of </w:t>
      </w:r>
      <w:r w:rsidR="00BC71C8">
        <w:rPr>
          <w:rFonts w:asciiTheme="majorHAnsi" w:hAnsiTheme="majorHAnsi"/>
          <w:i/>
        </w:rPr>
        <w:t>over</w:t>
      </w:r>
      <w:r w:rsidR="00BC71C8" w:rsidRPr="00247B65">
        <w:rPr>
          <w:rFonts w:asciiTheme="majorHAnsi" w:hAnsiTheme="majorHAnsi"/>
          <w:i/>
        </w:rPr>
        <w:t xml:space="preserve"> </w:t>
      </w:r>
      <w:r w:rsidRPr="00247B65">
        <w:rPr>
          <w:rFonts w:asciiTheme="majorHAnsi" w:hAnsiTheme="majorHAnsi"/>
          <w:i/>
        </w:rPr>
        <w:t>A$</w:t>
      </w:r>
      <w:r w:rsidR="00BC71C8">
        <w:rPr>
          <w:rFonts w:asciiTheme="majorHAnsi" w:hAnsiTheme="majorHAnsi"/>
          <w:i/>
        </w:rPr>
        <w:t>64</w:t>
      </w:r>
      <w:r w:rsidRPr="00247B65">
        <w:rPr>
          <w:rFonts w:asciiTheme="majorHAnsi" w:hAnsiTheme="majorHAnsi"/>
          <w:i/>
        </w:rPr>
        <w:t xml:space="preserve"> million produced by program beneficiaries, at a cost to the Program of A$</w:t>
      </w:r>
      <w:r w:rsidR="00BC71C8">
        <w:rPr>
          <w:rFonts w:asciiTheme="majorHAnsi" w:hAnsiTheme="majorHAnsi"/>
          <w:i/>
        </w:rPr>
        <w:t>8</w:t>
      </w:r>
      <w:r w:rsidRPr="00247B65">
        <w:rPr>
          <w:rFonts w:asciiTheme="majorHAnsi" w:hAnsiTheme="majorHAnsi"/>
          <w:i/>
        </w:rPr>
        <w:t xml:space="preserve"> million</w:t>
      </w:r>
    </w:p>
    <w:p w14:paraId="06FE2D2A" w14:textId="77777777" w:rsidR="00AE492F" w:rsidRPr="00247B65" w:rsidRDefault="00AE492F" w:rsidP="00AE492F">
      <w:pPr>
        <w:pStyle w:val="ListParagraph"/>
        <w:rPr>
          <w:rFonts w:asciiTheme="majorHAnsi" w:hAnsiTheme="majorHAnsi" w:cs="Arial"/>
          <w:i/>
          <w:szCs w:val="28"/>
          <w:lang w:val="en-GB"/>
        </w:rPr>
      </w:pPr>
    </w:p>
    <w:p w14:paraId="60175BC7" w14:textId="41F027B1" w:rsidR="00AE492F" w:rsidRPr="00247B65" w:rsidRDefault="00AE492F" w:rsidP="00AE492F">
      <w:pPr>
        <w:pStyle w:val="Default"/>
        <w:rPr>
          <w:rFonts w:asciiTheme="majorHAnsi" w:eastAsiaTheme="minorHAnsi" w:hAnsiTheme="majorHAnsi" w:cs="Arial"/>
          <w:i/>
          <w:sz w:val="22"/>
          <w:szCs w:val="22"/>
        </w:rPr>
      </w:pPr>
      <w:r w:rsidRPr="00247B65">
        <w:rPr>
          <w:rFonts w:asciiTheme="majorHAnsi" w:eastAsiaTheme="minorHAnsi" w:hAnsiTheme="majorHAnsi" w:cs="Arial"/>
          <w:i/>
          <w:sz w:val="22"/>
          <w:szCs w:val="22"/>
        </w:rPr>
        <w:t xml:space="preserve">Equally important progress has been achieved in </w:t>
      </w:r>
      <w:r w:rsidR="00491FF3">
        <w:rPr>
          <w:rFonts w:asciiTheme="majorHAnsi" w:eastAsiaTheme="minorHAnsi" w:hAnsiTheme="majorHAnsi" w:cs="Arial"/>
          <w:i/>
          <w:sz w:val="22"/>
          <w:szCs w:val="22"/>
        </w:rPr>
        <w:t>less easily quantified</w:t>
      </w:r>
      <w:r w:rsidRPr="00247B65">
        <w:rPr>
          <w:rFonts w:asciiTheme="majorHAnsi" w:eastAsiaTheme="minorHAnsi" w:hAnsiTheme="majorHAnsi" w:cs="Arial"/>
          <w:i/>
          <w:sz w:val="22"/>
          <w:szCs w:val="22"/>
        </w:rPr>
        <w:t xml:space="preserve"> areas such as empowerment of women and youth, strengthening of community fabric and social capital, and strengthening of capacities for </w:t>
      </w:r>
      <w:r w:rsidRPr="00C318AD">
        <w:rPr>
          <w:rFonts w:asciiTheme="majorHAnsi" w:eastAsiaTheme="minorHAnsi" w:hAnsiTheme="majorHAnsi" w:cs="Arial"/>
          <w:iCs/>
          <w:sz w:val="22"/>
          <w:szCs w:val="22"/>
        </w:rPr>
        <w:t>management of psychosocial health</w:t>
      </w:r>
      <w:r w:rsidR="00491FF3" w:rsidRPr="00C318AD">
        <w:rPr>
          <w:rFonts w:asciiTheme="majorHAnsi" w:eastAsiaTheme="minorHAnsi" w:hAnsiTheme="majorHAnsi" w:cs="Arial"/>
          <w:iCs/>
          <w:sz w:val="22"/>
          <w:szCs w:val="22"/>
        </w:rPr>
        <w:t>.</w:t>
      </w:r>
      <w:r w:rsidR="00393E74" w:rsidRPr="00C318AD">
        <w:rPr>
          <w:rFonts w:asciiTheme="majorHAnsi" w:eastAsiaTheme="minorHAnsi" w:hAnsiTheme="majorHAnsi" w:cs="Arial"/>
          <w:iCs/>
          <w:sz w:val="22"/>
          <w:szCs w:val="22"/>
        </w:rPr>
        <w:t xml:space="preserve"> Many of these approaches are trail-blazing, and are being replicated by </w:t>
      </w:r>
      <w:proofErr w:type="spellStart"/>
      <w:r w:rsidR="00393E74" w:rsidRPr="00C318AD">
        <w:rPr>
          <w:rFonts w:asciiTheme="majorHAnsi" w:eastAsiaTheme="minorHAnsi" w:hAnsiTheme="majorHAnsi" w:cs="Arial"/>
          <w:iCs/>
          <w:sz w:val="22"/>
          <w:szCs w:val="22"/>
        </w:rPr>
        <w:t>organisations</w:t>
      </w:r>
      <w:proofErr w:type="spellEnd"/>
      <w:r w:rsidR="00393E74" w:rsidRPr="00C318AD">
        <w:rPr>
          <w:rFonts w:asciiTheme="majorHAnsi" w:eastAsiaTheme="minorHAnsi" w:hAnsiTheme="majorHAnsi" w:cs="Arial"/>
          <w:iCs/>
          <w:sz w:val="22"/>
          <w:szCs w:val="22"/>
        </w:rPr>
        <w:t xml:space="preserve"> across the </w:t>
      </w:r>
      <w:proofErr w:type="spellStart"/>
      <w:r w:rsidR="00393E74" w:rsidRPr="00C318AD">
        <w:rPr>
          <w:rFonts w:asciiTheme="majorHAnsi" w:eastAsiaTheme="minorHAnsi" w:hAnsiTheme="majorHAnsi" w:cs="Arial"/>
          <w:iCs/>
          <w:sz w:val="22"/>
          <w:szCs w:val="22"/>
        </w:rPr>
        <w:t>PTs.</w:t>
      </w:r>
      <w:proofErr w:type="spellEnd"/>
      <w:r w:rsidR="00393E74" w:rsidRPr="00C318AD">
        <w:rPr>
          <w:rFonts w:asciiTheme="majorHAnsi" w:eastAsiaTheme="minorHAnsi" w:hAnsiTheme="majorHAnsi" w:cs="Arial"/>
          <w:iCs/>
          <w:sz w:val="22"/>
          <w:szCs w:val="22"/>
        </w:rPr>
        <w:t xml:space="preserve"> </w:t>
      </w:r>
      <w:r w:rsidR="00DB7A23" w:rsidRPr="00C318AD">
        <w:rPr>
          <w:rFonts w:asciiTheme="majorHAnsi" w:eastAsiaTheme="minorHAnsi" w:hAnsiTheme="majorHAnsi" w:cs="Arial"/>
          <w:iCs/>
          <w:sz w:val="22"/>
          <w:szCs w:val="22"/>
        </w:rPr>
        <w:t xml:space="preserve">Importantly, key </w:t>
      </w:r>
      <w:proofErr w:type="gramStart"/>
      <w:r w:rsidR="00DB7A23" w:rsidRPr="00C318AD">
        <w:rPr>
          <w:rFonts w:asciiTheme="majorHAnsi" w:eastAsiaTheme="minorHAnsi" w:hAnsiTheme="majorHAnsi" w:cs="Arial"/>
          <w:iCs/>
          <w:sz w:val="22"/>
          <w:szCs w:val="22"/>
        </w:rPr>
        <w:t>issues,</w:t>
      </w:r>
      <w:proofErr w:type="gramEnd"/>
      <w:r w:rsidR="00DB7A23" w:rsidRPr="00C318AD">
        <w:rPr>
          <w:rFonts w:asciiTheme="majorHAnsi" w:eastAsiaTheme="minorHAnsi" w:hAnsiTheme="majorHAnsi" w:cs="Arial"/>
          <w:iCs/>
          <w:sz w:val="22"/>
          <w:szCs w:val="22"/>
        </w:rPr>
        <w:t xml:space="preserve"> challenges and better practice have been captured in case studies developed by partners aimed at information</w:t>
      </w:r>
      <w:r w:rsidR="00DB7A23">
        <w:rPr>
          <w:rFonts w:asciiTheme="majorHAnsi" w:eastAsiaTheme="minorHAnsi" w:hAnsiTheme="majorHAnsi" w:cs="Arial"/>
          <w:i/>
          <w:sz w:val="22"/>
          <w:szCs w:val="22"/>
        </w:rPr>
        <w:t xml:space="preserve"> dissemination around complex subjects.</w:t>
      </w:r>
    </w:p>
    <w:p w14:paraId="7B28D1FB" w14:textId="77777777" w:rsidR="00AE492F" w:rsidRPr="00247B65" w:rsidRDefault="00AE492F" w:rsidP="00AE492F">
      <w:pPr>
        <w:pStyle w:val="Default"/>
        <w:ind w:left="720"/>
        <w:rPr>
          <w:rFonts w:asciiTheme="majorHAnsi" w:hAnsiTheme="majorHAnsi"/>
          <w:i/>
          <w:sz w:val="22"/>
        </w:rPr>
      </w:pPr>
    </w:p>
    <w:p w14:paraId="097597EC" w14:textId="6EA6A1CF" w:rsidR="00393E74" w:rsidRPr="000F5258" w:rsidRDefault="00AE492F" w:rsidP="00AE492F">
      <w:pPr>
        <w:pStyle w:val="Default"/>
        <w:rPr>
          <w:rFonts w:asciiTheme="majorHAnsi" w:hAnsiTheme="majorHAnsi"/>
          <w:i/>
          <w:sz w:val="22"/>
          <w:szCs w:val="22"/>
        </w:rPr>
      </w:pPr>
      <w:r w:rsidRPr="00247B65">
        <w:rPr>
          <w:rFonts w:asciiTheme="majorHAnsi" w:hAnsiTheme="majorHAnsi"/>
          <w:i/>
          <w:sz w:val="22"/>
        </w:rPr>
        <w:t xml:space="preserve">While multi-layered, AMENCA’s implementation arrangements are no more complex than the environment that the Program operates within, and have resulted in impressive and cost effective </w:t>
      </w:r>
      <w:proofErr w:type="spellStart"/>
      <w:r w:rsidRPr="00247B65">
        <w:rPr>
          <w:rFonts w:asciiTheme="majorHAnsi" w:hAnsiTheme="majorHAnsi"/>
          <w:i/>
          <w:sz w:val="22"/>
        </w:rPr>
        <w:t>bottomline</w:t>
      </w:r>
      <w:proofErr w:type="spellEnd"/>
      <w:r w:rsidRPr="00247B65">
        <w:rPr>
          <w:rFonts w:asciiTheme="majorHAnsi" w:hAnsiTheme="majorHAnsi"/>
          <w:i/>
          <w:sz w:val="22"/>
        </w:rPr>
        <w:t xml:space="preserve"> results in terms of enhancing food production and incomes. </w:t>
      </w:r>
      <w:r w:rsidR="000F5258">
        <w:rPr>
          <w:rFonts w:asciiTheme="majorHAnsi" w:hAnsiTheme="majorHAnsi"/>
          <w:i/>
          <w:sz w:val="22"/>
        </w:rPr>
        <w:t xml:space="preserve">All implementation layers have </w:t>
      </w:r>
      <w:r w:rsidR="000F5258" w:rsidRPr="000F5258">
        <w:rPr>
          <w:rFonts w:asciiTheme="majorHAnsi" w:hAnsiTheme="majorHAnsi"/>
          <w:i/>
          <w:sz w:val="22"/>
        </w:rPr>
        <w:t xml:space="preserve">contributed to the overall result, yet there remains room for further refinement and greater efficiency of implementation approaches, </w:t>
      </w:r>
      <w:r w:rsidR="000F5258" w:rsidRPr="002A5C0E">
        <w:rPr>
          <w:rFonts w:asciiTheme="majorHAnsi" w:hAnsiTheme="majorHAnsi"/>
          <w:i/>
          <w:sz w:val="22"/>
          <w:szCs w:val="22"/>
        </w:rPr>
        <w:t>by ensuring that the contribution (value add) of each level is clearly justified, clearly articulated and measurable. APHEDA’s successful program</w:t>
      </w:r>
      <w:r w:rsidR="000F5258">
        <w:rPr>
          <w:rFonts w:asciiTheme="majorHAnsi" w:hAnsiTheme="majorHAnsi"/>
          <w:i/>
          <w:sz w:val="22"/>
          <w:szCs w:val="22"/>
        </w:rPr>
        <w:t xml:space="preserve">, </w:t>
      </w:r>
      <w:r w:rsidR="000F5258" w:rsidRPr="002A5C0E">
        <w:rPr>
          <w:rFonts w:asciiTheme="majorHAnsi" w:hAnsiTheme="majorHAnsi"/>
          <w:i/>
          <w:sz w:val="22"/>
          <w:szCs w:val="22"/>
        </w:rPr>
        <w:t xml:space="preserve">while having only a very light touch staffing complement is noteworthy, and suggests opportunities exist in the future for even greater levels of responsibility being assumed by </w:t>
      </w:r>
      <w:r w:rsidR="000F5258">
        <w:rPr>
          <w:rFonts w:asciiTheme="majorHAnsi" w:hAnsiTheme="majorHAnsi"/>
          <w:i/>
          <w:sz w:val="22"/>
          <w:szCs w:val="22"/>
        </w:rPr>
        <w:t xml:space="preserve">strong </w:t>
      </w:r>
      <w:r w:rsidR="000F5258" w:rsidRPr="002A5C0E">
        <w:rPr>
          <w:rFonts w:asciiTheme="majorHAnsi" w:hAnsiTheme="majorHAnsi"/>
          <w:i/>
          <w:sz w:val="22"/>
          <w:szCs w:val="22"/>
        </w:rPr>
        <w:t>PNGO partners</w:t>
      </w:r>
      <w:r w:rsidR="000F5258">
        <w:rPr>
          <w:rFonts w:asciiTheme="majorHAnsi" w:hAnsiTheme="majorHAnsi"/>
          <w:i/>
          <w:sz w:val="22"/>
          <w:szCs w:val="22"/>
        </w:rPr>
        <w:t xml:space="preserve"> such as APHEDA partner, the </w:t>
      </w:r>
      <w:proofErr w:type="spellStart"/>
      <w:r w:rsidR="000F5258">
        <w:rPr>
          <w:rFonts w:asciiTheme="majorHAnsi" w:hAnsiTheme="majorHAnsi"/>
          <w:i/>
          <w:sz w:val="22"/>
          <w:szCs w:val="22"/>
        </w:rPr>
        <w:t>Ma’an</w:t>
      </w:r>
      <w:proofErr w:type="spellEnd"/>
      <w:r w:rsidR="000F5258">
        <w:rPr>
          <w:rFonts w:asciiTheme="majorHAnsi" w:hAnsiTheme="majorHAnsi"/>
          <w:i/>
          <w:sz w:val="22"/>
          <w:szCs w:val="22"/>
        </w:rPr>
        <w:t xml:space="preserve"> Development Centre.</w:t>
      </w:r>
    </w:p>
    <w:p w14:paraId="05FC387D" w14:textId="77777777" w:rsidR="00393E74" w:rsidRDefault="00393E74" w:rsidP="00AE492F">
      <w:pPr>
        <w:pStyle w:val="Default"/>
        <w:rPr>
          <w:rFonts w:asciiTheme="majorHAnsi" w:hAnsiTheme="majorHAnsi"/>
          <w:i/>
          <w:sz w:val="22"/>
        </w:rPr>
      </w:pPr>
    </w:p>
    <w:p w14:paraId="680C9194" w14:textId="77B7DBCF" w:rsidR="00AE492F" w:rsidRPr="00247B65" w:rsidRDefault="00DB7A23" w:rsidP="00AE492F">
      <w:pPr>
        <w:pStyle w:val="Default"/>
        <w:rPr>
          <w:rFonts w:asciiTheme="majorHAnsi" w:hAnsiTheme="majorHAnsi"/>
          <w:i/>
          <w:sz w:val="22"/>
          <w:szCs w:val="22"/>
        </w:rPr>
      </w:pPr>
      <w:r>
        <w:rPr>
          <w:rFonts w:asciiTheme="majorHAnsi" w:hAnsiTheme="majorHAnsi"/>
          <w:i/>
          <w:sz w:val="22"/>
        </w:rPr>
        <w:t>During its remaining period</w:t>
      </w:r>
      <w:r w:rsidR="00AE492F" w:rsidRPr="00247B65">
        <w:rPr>
          <w:rFonts w:asciiTheme="majorHAnsi" w:hAnsiTheme="majorHAnsi"/>
          <w:i/>
          <w:sz w:val="22"/>
        </w:rPr>
        <w:t xml:space="preserve">, the Program </w:t>
      </w:r>
      <w:r>
        <w:rPr>
          <w:rFonts w:asciiTheme="majorHAnsi" w:hAnsiTheme="majorHAnsi"/>
          <w:i/>
          <w:sz w:val="22"/>
        </w:rPr>
        <w:t xml:space="preserve">(and Partners) </w:t>
      </w:r>
      <w:r w:rsidR="00AE492F" w:rsidRPr="00247B65">
        <w:rPr>
          <w:rFonts w:asciiTheme="majorHAnsi" w:hAnsiTheme="majorHAnsi"/>
          <w:i/>
          <w:sz w:val="22"/>
        </w:rPr>
        <w:t>would benefit</w:t>
      </w:r>
      <w:r w:rsidR="00491FF3">
        <w:rPr>
          <w:rFonts w:asciiTheme="majorHAnsi" w:hAnsiTheme="majorHAnsi"/>
          <w:i/>
          <w:sz w:val="22"/>
        </w:rPr>
        <w:t xml:space="preserve"> </w:t>
      </w:r>
      <w:r w:rsidR="00AE492F" w:rsidRPr="00247B65">
        <w:rPr>
          <w:rFonts w:asciiTheme="majorHAnsi" w:hAnsiTheme="majorHAnsi"/>
          <w:i/>
          <w:sz w:val="22"/>
        </w:rPr>
        <w:t>from d</w:t>
      </w:r>
      <w:r w:rsidR="00AE492F" w:rsidRPr="00247B65">
        <w:rPr>
          <w:rFonts w:asciiTheme="majorHAnsi" w:hAnsiTheme="majorHAnsi"/>
          <w:i/>
          <w:sz w:val="22"/>
          <w:szCs w:val="22"/>
        </w:rPr>
        <w:t xml:space="preserve">eeper analysis of </w:t>
      </w:r>
      <w:r w:rsidR="00491FF3">
        <w:rPr>
          <w:rFonts w:asciiTheme="majorHAnsi" w:hAnsiTheme="majorHAnsi"/>
          <w:i/>
          <w:sz w:val="22"/>
          <w:szCs w:val="22"/>
        </w:rPr>
        <w:t xml:space="preserve">the </w:t>
      </w:r>
      <w:r w:rsidR="00AE492F" w:rsidRPr="00247B65">
        <w:rPr>
          <w:rFonts w:asciiTheme="majorHAnsi" w:hAnsiTheme="majorHAnsi"/>
          <w:i/>
          <w:sz w:val="22"/>
          <w:szCs w:val="22"/>
        </w:rPr>
        <w:t>causal factors underpinning these results</w:t>
      </w:r>
      <w:r w:rsidR="00491FF3">
        <w:rPr>
          <w:rFonts w:asciiTheme="majorHAnsi" w:hAnsiTheme="majorHAnsi"/>
          <w:i/>
          <w:sz w:val="22"/>
          <w:szCs w:val="22"/>
        </w:rPr>
        <w:t xml:space="preserve"> given that most successes involve multiple inputs</w:t>
      </w:r>
      <w:r w:rsidR="00AE492F" w:rsidRPr="00247B65">
        <w:rPr>
          <w:rFonts w:asciiTheme="majorHAnsi" w:hAnsiTheme="majorHAnsi"/>
          <w:i/>
          <w:sz w:val="22"/>
          <w:szCs w:val="22"/>
        </w:rPr>
        <w:t>.</w:t>
      </w:r>
      <w:r w:rsidR="00692649">
        <w:rPr>
          <w:rFonts w:asciiTheme="majorHAnsi" w:hAnsiTheme="majorHAnsi"/>
          <w:i/>
          <w:sz w:val="22"/>
          <w:szCs w:val="22"/>
        </w:rPr>
        <w:t xml:space="preserve"> While significant data exists across the Program, it would be useful to examine specific successes, such as home gardens, agricultural investment or apiary to determine which of the various financial, technical and backstopping inputs were most effective. </w:t>
      </w:r>
      <w:r w:rsidR="00AE492F" w:rsidRPr="00247B65">
        <w:rPr>
          <w:rFonts w:asciiTheme="majorHAnsi" w:hAnsiTheme="majorHAnsi"/>
          <w:i/>
          <w:sz w:val="22"/>
          <w:szCs w:val="22"/>
        </w:rPr>
        <w:t xml:space="preserve"> This would allow greater appreciation and understanding of ‘value for money’ within the AMENCA context, and greatly inform future planning. This process has in many respects already commenced through preparation of case studies </w:t>
      </w:r>
      <w:r w:rsidR="00491FF3">
        <w:rPr>
          <w:rFonts w:asciiTheme="majorHAnsi" w:hAnsiTheme="majorHAnsi"/>
          <w:i/>
          <w:sz w:val="22"/>
          <w:szCs w:val="22"/>
        </w:rPr>
        <w:t>around key issues, but</w:t>
      </w:r>
      <w:r w:rsidR="00AE492F" w:rsidRPr="00247B65">
        <w:rPr>
          <w:rFonts w:asciiTheme="majorHAnsi" w:hAnsiTheme="majorHAnsi"/>
          <w:i/>
          <w:sz w:val="22"/>
          <w:szCs w:val="22"/>
        </w:rPr>
        <w:t xml:space="preserve"> further</w:t>
      </w:r>
      <w:r w:rsidR="00491FF3">
        <w:rPr>
          <w:rFonts w:asciiTheme="majorHAnsi" w:hAnsiTheme="majorHAnsi"/>
          <w:i/>
          <w:sz w:val="22"/>
          <w:szCs w:val="22"/>
        </w:rPr>
        <w:t xml:space="preserve"> investigation will</w:t>
      </w:r>
      <w:r w:rsidR="00AE492F" w:rsidRPr="00247B65">
        <w:rPr>
          <w:rFonts w:asciiTheme="majorHAnsi" w:hAnsiTheme="majorHAnsi"/>
          <w:i/>
          <w:sz w:val="22"/>
          <w:szCs w:val="22"/>
        </w:rPr>
        <w:t xml:space="preserve"> bring richer meaning to the vast database held by the Program.</w:t>
      </w:r>
    </w:p>
    <w:p w14:paraId="531FE0FA" w14:textId="77777777" w:rsidR="00AE492F" w:rsidRDefault="00AE492F" w:rsidP="00AE492F">
      <w:pPr>
        <w:rPr>
          <w:rFonts w:asciiTheme="majorHAnsi" w:hAnsiTheme="majorHAnsi"/>
          <w:i/>
          <w:szCs w:val="22"/>
        </w:rPr>
      </w:pPr>
    </w:p>
    <w:p w14:paraId="0906C4E5" w14:textId="77777777" w:rsidR="00AE492F" w:rsidRDefault="00AE492F" w:rsidP="00AE492F">
      <w:pPr>
        <w:rPr>
          <w:rFonts w:asciiTheme="majorHAnsi" w:hAnsiTheme="majorHAnsi"/>
          <w:i/>
          <w:szCs w:val="22"/>
        </w:rPr>
      </w:pPr>
      <w:r>
        <w:rPr>
          <w:rFonts w:asciiTheme="majorHAnsi" w:hAnsiTheme="majorHAnsi"/>
          <w:i/>
          <w:szCs w:val="22"/>
        </w:rPr>
        <w:t xml:space="preserve">Despite predating Australia’s new aid policy, </w:t>
      </w:r>
      <w:r>
        <w:rPr>
          <w:rFonts w:asciiTheme="majorHAnsi" w:hAnsiTheme="majorHAnsi"/>
          <w:b/>
          <w:i/>
          <w:szCs w:val="22"/>
        </w:rPr>
        <w:t>Making Performance Count</w:t>
      </w:r>
      <w:r>
        <w:rPr>
          <w:rFonts w:asciiTheme="majorHAnsi" w:hAnsiTheme="majorHAnsi"/>
          <w:i/>
          <w:szCs w:val="22"/>
        </w:rPr>
        <w:t xml:space="preserve">, the Program closely reflects the majority of its high level targets, notably by having: </w:t>
      </w:r>
    </w:p>
    <w:p w14:paraId="63BC3226" w14:textId="77777777" w:rsidR="00AE492F" w:rsidRDefault="00AE492F" w:rsidP="00AE492F">
      <w:pPr>
        <w:pStyle w:val="ListParagraph"/>
        <w:numPr>
          <w:ilvl w:val="0"/>
          <w:numId w:val="40"/>
        </w:numPr>
        <w:rPr>
          <w:rFonts w:asciiTheme="majorHAnsi" w:hAnsiTheme="majorHAnsi"/>
          <w:i/>
          <w:szCs w:val="22"/>
        </w:rPr>
      </w:pPr>
      <w:r w:rsidRPr="00247B65">
        <w:rPr>
          <w:rFonts w:asciiTheme="majorHAnsi" w:hAnsiTheme="majorHAnsi"/>
          <w:i/>
          <w:szCs w:val="22"/>
        </w:rPr>
        <w:t>enhanced prosperity</w:t>
      </w:r>
      <w:r>
        <w:rPr>
          <w:rFonts w:asciiTheme="majorHAnsi" w:hAnsiTheme="majorHAnsi"/>
          <w:i/>
          <w:szCs w:val="22"/>
        </w:rPr>
        <w:t xml:space="preserve"> and contributed to reduced poverty in target areas</w:t>
      </w:r>
    </w:p>
    <w:p w14:paraId="45DCB50B" w14:textId="77777777" w:rsidR="00AE492F" w:rsidRDefault="00AE492F" w:rsidP="00AE492F">
      <w:pPr>
        <w:pStyle w:val="ListParagraph"/>
        <w:numPr>
          <w:ilvl w:val="0"/>
          <w:numId w:val="40"/>
        </w:numPr>
        <w:rPr>
          <w:rFonts w:asciiTheme="majorHAnsi" w:hAnsiTheme="majorHAnsi"/>
          <w:i/>
          <w:szCs w:val="22"/>
        </w:rPr>
      </w:pPr>
      <w:r w:rsidRPr="00247B65">
        <w:rPr>
          <w:rFonts w:asciiTheme="majorHAnsi" w:hAnsiTheme="majorHAnsi"/>
          <w:i/>
          <w:szCs w:val="22"/>
        </w:rPr>
        <w:t>effectively engaged the private sector (at both micro and macro levels)</w:t>
      </w:r>
    </w:p>
    <w:p w14:paraId="3F1A4DA6" w14:textId="77777777" w:rsidR="00AE492F" w:rsidRPr="00247B65" w:rsidRDefault="00AE492F" w:rsidP="00AE492F">
      <w:pPr>
        <w:pStyle w:val="ListParagraph"/>
        <w:numPr>
          <w:ilvl w:val="0"/>
          <w:numId w:val="40"/>
        </w:numPr>
        <w:rPr>
          <w:rFonts w:asciiTheme="majorHAnsi" w:hAnsiTheme="majorHAnsi"/>
          <w:i/>
          <w:szCs w:val="22"/>
        </w:rPr>
      </w:pPr>
      <w:r>
        <w:rPr>
          <w:rFonts w:asciiTheme="majorHAnsi" w:hAnsiTheme="majorHAnsi"/>
          <w:i/>
          <w:szCs w:val="22"/>
        </w:rPr>
        <w:t xml:space="preserve">directly empowered women and girls by enabling their </w:t>
      </w:r>
      <w:r w:rsidR="00491FF3">
        <w:rPr>
          <w:rFonts w:asciiTheme="majorHAnsi" w:hAnsiTheme="majorHAnsi"/>
          <w:i/>
          <w:szCs w:val="22"/>
        </w:rPr>
        <w:t>active</w:t>
      </w:r>
      <w:r>
        <w:rPr>
          <w:rFonts w:asciiTheme="majorHAnsi" w:hAnsiTheme="majorHAnsi"/>
          <w:i/>
          <w:szCs w:val="22"/>
        </w:rPr>
        <w:t xml:space="preserve"> participation in community life and decision making</w:t>
      </w:r>
    </w:p>
    <w:p w14:paraId="6F21AD4C" w14:textId="77777777" w:rsidR="00D568A9" w:rsidRDefault="00D568A9" w:rsidP="008F68D0">
      <w:pPr>
        <w:rPr>
          <w:rFonts w:asciiTheme="majorHAnsi" w:hAnsiTheme="majorHAnsi" w:cs="Arial"/>
          <w:szCs w:val="22"/>
          <w:lang w:val="en-GB"/>
        </w:rPr>
      </w:pPr>
    </w:p>
    <w:p w14:paraId="1A9C27DB" w14:textId="63787EE5" w:rsidR="00270496" w:rsidRDefault="00DB7A23" w:rsidP="008F68D0">
      <w:pPr>
        <w:rPr>
          <w:rFonts w:asciiTheme="majorHAnsi" w:hAnsiTheme="majorHAnsi" w:cs="Arial"/>
          <w:szCs w:val="28"/>
          <w:lang w:val="en-GB"/>
        </w:rPr>
      </w:pPr>
      <w:proofErr w:type="gramStart"/>
      <w:r>
        <w:rPr>
          <w:rFonts w:asciiTheme="majorHAnsi" w:hAnsiTheme="majorHAnsi" w:cs="Arial"/>
          <w:szCs w:val="28"/>
          <w:lang w:val="en-GB"/>
        </w:rPr>
        <w:t>Given the above.</w:t>
      </w:r>
      <w:proofErr w:type="gramEnd"/>
      <w:r>
        <w:rPr>
          <w:rFonts w:asciiTheme="majorHAnsi" w:hAnsiTheme="majorHAnsi" w:cs="Arial"/>
          <w:szCs w:val="28"/>
          <w:lang w:val="en-GB"/>
        </w:rPr>
        <w:t xml:space="preserve"> </w:t>
      </w:r>
      <w:proofErr w:type="gramStart"/>
      <w:r>
        <w:rPr>
          <w:rFonts w:asciiTheme="majorHAnsi" w:hAnsiTheme="majorHAnsi" w:cs="Arial"/>
          <w:szCs w:val="28"/>
          <w:lang w:val="en-GB"/>
        </w:rPr>
        <w:t>i</w:t>
      </w:r>
      <w:r w:rsidR="00D568A9" w:rsidRPr="007B0751">
        <w:rPr>
          <w:rFonts w:asciiTheme="majorHAnsi" w:hAnsiTheme="majorHAnsi" w:cs="Arial"/>
          <w:szCs w:val="28"/>
          <w:lang w:val="en-GB"/>
        </w:rPr>
        <w:t>t</w:t>
      </w:r>
      <w:proofErr w:type="gramEnd"/>
      <w:r w:rsidR="00D568A9" w:rsidRPr="007B0751">
        <w:rPr>
          <w:rFonts w:asciiTheme="majorHAnsi" w:hAnsiTheme="majorHAnsi" w:cs="Arial"/>
          <w:szCs w:val="28"/>
          <w:lang w:val="en-GB"/>
        </w:rPr>
        <w:t xml:space="preserve"> is recommended that a new five year Program </w:t>
      </w:r>
      <w:r w:rsidR="00D568A9">
        <w:rPr>
          <w:rFonts w:asciiTheme="majorHAnsi" w:hAnsiTheme="majorHAnsi" w:cs="Arial"/>
          <w:szCs w:val="28"/>
          <w:lang w:val="en-GB"/>
        </w:rPr>
        <w:t xml:space="preserve">for the PTs </w:t>
      </w:r>
      <w:r w:rsidR="00270496">
        <w:rPr>
          <w:rFonts w:asciiTheme="majorHAnsi" w:hAnsiTheme="majorHAnsi" w:cs="Arial"/>
          <w:szCs w:val="28"/>
          <w:lang w:val="en-GB"/>
        </w:rPr>
        <w:t xml:space="preserve">(both Gaza and West Bank) </w:t>
      </w:r>
      <w:r w:rsidR="00D568A9" w:rsidRPr="007B0751">
        <w:rPr>
          <w:rFonts w:asciiTheme="majorHAnsi" w:hAnsiTheme="majorHAnsi" w:cs="Arial"/>
          <w:szCs w:val="28"/>
          <w:lang w:val="en-GB"/>
        </w:rPr>
        <w:t xml:space="preserve">be initiated by DFAT that </w:t>
      </w:r>
      <w:r w:rsidR="00D568A9">
        <w:rPr>
          <w:rFonts w:asciiTheme="majorHAnsi" w:hAnsiTheme="majorHAnsi" w:cs="Arial"/>
          <w:szCs w:val="28"/>
          <w:lang w:val="en-GB"/>
        </w:rPr>
        <w:t xml:space="preserve">builds </w:t>
      </w:r>
      <w:r w:rsidR="00D568A9" w:rsidRPr="007B0751">
        <w:rPr>
          <w:rFonts w:asciiTheme="majorHAnsi" w:hAnsiTheme="majorHAnsi" w:cs="Arial"/>
          <w:szCs w:val="28"/>
          <w:lang w:val="en-GB"/>
        </w:rPr>
        <w:t>on the best practice and lessons learned through AMENCA 2 implementation</w:t>
      </w:r>
      <w:r w:rsidR="00D568A9">
        <w:rPr>
          <w:rFonts w:asciiTheme="majorHAnsi" w:hAnsiTheme="majorHAnsi" w:cs="Arial"/>
          <w:szCs w:val="28"/>
          <w:lang w:val="en-GB"/>
        </w:rPr>
        <w:t>.</w:t>
      </w:r>
      <w:r w:rsidR="0001233D">
        <w:rPr>
          <w:rFonts w:asciiTheme="majorHAnsi" w:hAnsiTheme="majorHAnsi" w:cs="Arial"/>
          <w:szCs w:val="28"/>
          <w:lang w:val="en-GB"/>
        </w:rPr>
        <w:t xml:space="preserve"> This Program should be positioned along the resilience &lt; &gt; food security &lt; &gt; community strengthening &lt; &gt; women’s empowerment spectrum, allowing sufficient flexibility for partners to identify niche areas</w:t>
      </w:r>
      <w:r w:rsidR="00270496">
        <w:rPr>
          <w:rFonts w:asciiTheme="majorHAnsi" w:hAnsiTheme="majorHAnsi" w:cs="Arial"/>
          <w:szCs w:val="28"/>
          <w:lang w:val="en-GB"/>
        </w:rPr>
        <w:t xml:space="preserve">, and also to address the very different needs that exist in the two territories post the 2014 Gaza conflict. </w:t>
      </w:r>
    </w:p>
    <w:p w14:paraId="0586E63F" w14:textId="77777777" w:rsidR="00270496" w:rsidRDefault="00270496" w:rsidP="008F68D0">
      <w:pPr>
        <w:rPr>
          <w:rFonts w:asciiTheme="majorHAnsi" w:hAnsiTheme="majorHAnsi" w:cs="Arial"/>
          <w:szCs w:val="28"/>
          <w:lang w:val="en-GB"/>
        </w:rPr>
      </w:pPr>
    </w:p>
    <w:p w14:paraId="7A022E33" w14:textId="6B688AA0" w:rsidR="00D568A9" w:rsidRDefault="00270496" w:rsidP="008F68D0">
      <w:pPr>
        <w:rPr>
          <w:rFonts w:asciiTheme="majorHAnsi" w:hAnsiTheme="majorHAnsi" w:cs="Arial"/>
          <w:szCs w:val="28"/>
          <w:lang w:val="en-GB"/>
        </w:rPr>
      </w:pPr>
      <w:r>
        <w:rPr>
          <w:rFonts w:asciiTheme="majorHAnsi" w:hAnsiTheme="majorHAnsi" w:cs="Arial"/>
          <w:szCs w:val="28"/>
          <w:lang w:val="en-GB"/>
        </w:rPr>
        <w:t xml:space="preserve">Decision making around a future phase should be based on the strength of the proposed theory of change, and the degree to which it </w:t>
      </w:r>
      <w:r w:rsidR="00BC71C8">
        <w:rPr>
          <w:rFonts w:asciiTheme="majorHAnsi" w:hAnsiTheme="majorHAnsi" w:cs="Arial"/>
          <w:szCs w:val="28"/>
          <w:lang w:val="en-GB"/>
        </w:rPr>
        <w:t xml:space="preserve">is </w:t>
      </w:r>
      <w:r>
        <w:rPr>
          <w:rFonts w:asciiTheme="majorHAnsi" w:hAnsiTheme="majorHAnsi" w:cs="Arial"/>
          <w:szCs w:val="28"/>
          <w:lang w:val="en-GB"/>
        </w:rPr>
        <w:t xml:space="preserve">persuasive in presenting a compelling logic of relevance to the current day needs of the people of the </w:t>
      </w:r>
      <w:proofErr w:type="spellStart"/>
      <w:r>
        <w:rPr>
          <w:rFonts w:asciiTheme="majorHAnsi" w:hAnsiTheme="majorHAnsi" w:cs="Arial"/>
          <w:szCs w:val="28"/>
          <w:lang w:val="en-GB"/>
        </w:rPr>
        <w:t>PTs.</w:t>
      </w:r>
      <w:proofErr w:type="spellEnd"/>
    </w:p>
    <w:p w14:paraId="5E203310" w14:textId="77777777" w:rsidR="00270496" w:rsidRDefault="00270496" w:rsidP="008F68D0">
      <w:pPr>
        <w:rPr>
          <w:rFonts w:asciiTheme="majorHAnsi" w:hAnsiTheme="majorHAnsi" w:cs="Arial"/>
          <w:szCs w:val="28"/>
          <w:lang w:val="en-GB"/>
        </w:rPr>
      </w:pPr>
    </w:p>
    <w:p w14:paraId="719ED0CC" w14:textId="7625D8BF" w:rsidR="00270496" w:rsidRDefault="00270496" w:rsidP="008F68D0">
      <w:pPr>
        <w:rPr>
          <w:rFonts w:asciiTheme="majorHAnsi" w:hAnsiTheme="majorHAnsi" w:cs="Arial"/>
          <w:szCs w:val="28"/>
          <w:lang w:val="en-GB"/>
        </w:rPr>
      </w:pPr>
      <w:r>
        <w:rPr>
          <w:rFonts w:asciiTheme="majorHAnsi" w:hAnsiTheme="majorHAnsi" w:cs="Arial"/>
          <w:szCs w:val="28"/>
          <w:lang w:val="en-GB"/>
        </w:rPr>
        <w:t>If a new phase cannot be commenced quickly, bridge funding for existing partners should be considered in order to maintain Program momentum, and minimise close down-</w:t>
      </w:r>
      <w:proofErr w:type="spellStart"/>
      <w:r>
        <w:rPr>
          <w:rFonts w:asciiTheme="majorHAnsi" w:hAnsiTheme="majorHAnsi" w:cs="Arial"/>
          <w:szCs w:val="28"/>
          <w:lang w:val="en-GB"/>
        </w:rPr>
        <w:t>start up</w:t>
      </w:r>
      <w:proofErr w:type="spellEnd"/>
      <w:r>
        <w:rPr>
          <w:rFonts w:asciiTheme="majorHAnsi" w:hAnsiTheme="majorHAnsi" w:cs="Arial"/>
          <w:szCs w:val="28"/>
          <w:lang w:val="en-GB"/>
        </w:rPr>
        <w:t xml:space="preserve"> costs.</w:t>
      </w:r>
    </w:p>
    <w:p w14:paraId="4BD44CC3" w14:textId="77777777" w:rsidR="00F42CAA" w:rsidRDefault="00F42CAA" w:rsidP="008F68D0">
      <w:pPr>
        <w:rPr>
          <w:rFonts w:asciiTheme="majorHAnsi" w:hAnsiTheme="majorHAnsi" w:cs="Arial"/>
          <w:szCs w:val="28"/>
          <w:lang w:val="en-GB"/>
        </w:rPr>
      </w:pPr>
    </w:p>
    <w:p w14:paraId="1D232F3D" w14:textId="77777777" w:rsidR="00F42CAA" w:rsidRPr="007B0751" w:rsidRDefault="00F42CAA" w:rsidP="00F42CAA">
      <w:pPr>
        <w:rPr>
          <w:rFonts w:asciiTheme="majorHAnsi" w:hAnsiTheme="majorHAnsi"/>
        </w:rPr>
      </w:pPr>
    </w:p>
    <w:p w14:paraId="353714BC" w14:textId="77777777" w:rsidR="00F42CAA" w:rsidRDefault="00F42CAA" w:rsidP="008F68D0">
      <w:pPr>
        <w:rPr>
          <w:rFonts w:asciiTheme="majorHAnsi" w:hAnsiTheme="majorHAnsi" w:cs="Arial"/>
          <w:szCs w:val="22"/>
          <w:lang w:val="en-GB"/>
        </w:rPr>
      </w:pPr>
    </w:p>
    <w:p w14:paraId="21137F67" w14:textId="30E8914A" w:rsidR="00393E74" w:rsidRPr="00491FF3" w:rsidRDefault="00393E74" w:rsidP="00393E74">
      <w:pPr>
        <w:rPr>
          <w:rFonts w:asciiTheme="majorHAnsi" w:hAnsiTheme="majorHAnsi" w:cs="Arial"/>
          <w:szCs w:val="22"/>
          <w:lang w:val="en-GB"/>
        </w:rPr>
        <w:sectPr w:rsidR="00393E74" w:rsidRPr="00491FF3">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40" w:right="1800" w:bottom="1440" w:left="1800" w:header="708" w:footer="708" w:gutter="0"/>
          <w:cols w:space="708"/>
        </w:sectPr>
      </w:pPr>
    </w:p>
    <w:p w14:paraId="40B34274" w14:textId="77777777" w:rsidR="00F04445" w:rsidRPr="007B0751" w:rsidRDefault="00F04445" w:rsidP="00F04445">
      <w:pPr>
        <w:rPr>
          <w:rFonts w:asciiTheme="majorHAnsi" w:hAnsiTheme="majorHAnsi"/>
        </w:rPr>
      </w:pPr>
      <w:r w:rsidRPr="007B0751">
        <w:rPr>
          <w:rFonts w:asciiTheme="majorHAnsi" w:hAnsiTheme="majorHAnsi" w:cs="Arial"/>
          <w:b/>
          <w:color w:val="1F497D"/>
          <w:sz w:val="28"/>
          <w:szCs w:val="28"/>
          <w:lang w:val="en-GB"/>
        </w:rPr>
        <w:t>1.</w:t>
      </w:r>
      <w:r w:rsidRPr="007B0751">
        <w:rPr>
          <w:rFonts w:asciiTheme="majorHAnsi" w:hAnsiTheme="majorHAnsi" w:cs="Arial"/>
          <w:b/>
          <w:color w:val="1F497D"/>
          <w:sz w:val="28"/>
          <w:szCs w:val="28"/>
          <w:lang w:val="en-GB"/>
        </w:rPr>
        <w:tab/>
        <w:t>Introduction</w:t>
      </w:r>
      <w:r w:rsidRPr="007B0751">
        <w:rPr>
          <w:rFonts w:asciiTheme="majorHAnsi" w:hAnsiTheme="majorHAnsi"/>
        </w:rPr>
        <w:tab/>
      </w:r>
    </w:p>
    <w:p w14:paraId="38093395" w14:textId="415EB687" w:rsidR="00F04445" w:rsidRPr="007B0751" w:rsidRDefault="00F04445" w:rsidP="00F04445">
      <w:pPr>
        <w:rPr>
          <w:rFonts w:asciiTheme="majorHAnsi" w:hAnsiTheme="majorHAnsi" w:cs="Arial"/>
          <w:lang w:val="en-GB"/>
        </w:rPr>
      </w:pPr>
      <w:r w:rsidRPr="007B0751">
        <w:rPr>
          <w:rFonts w:asciiTheme="majorHAnsi" w:hAnsiTheme="majorHAnsi"/>
        </w:rPr>
        <w:t xml:space="preserve">This Review occurs in the sixth year of implementation of the second phase of </w:t>
      </w:r>
      <w:r w:rsidRPr="007B0751">
        <w:rPr>
          <w:rFonts w:asciiTheme="majorHAnsi" w:hAnsiTheme="majorHAnsi" w:cs="Arial"/>
          <w:lang w:val="en-GB"/>
        </w:rPr>
        <w:t>AMENCA2</w:t>
      </w:r>
      <w:r w:rsidR="00935947">
        <w:rPr>
          <w:rFonts w:asciiTheme="majorHAnsi" w:hAnsiTheme="majorHAnsi" w:cs="Arial"/>
          <w:lang w:val="en-GB"/>
        </w:rPr>
        <w:t xml:space="preserve">. </w:t>
      </w:r>
      <w:r w:rsidR="00935947" w:rsidRPr="007B0751">
        <w:rPr>
          <w:rFonts w:asciiTheme="majorHAnsi" w:hAnsiTheme="majorHAnsi" w:cs="Arial"/>
          <w:lang w:val="en-GB"/>
        </w:rPr>
        <w:t>The program is due to close end April 2015.</w:t>
      </w:r>
      <w:r w:rsidR="00935947">
        <w:rPr>
          <w:rFonts w:asciiTheme="majorHAnsi" w:hAnsiTheme="majorHAnsi" w:cs="Arial"/>
          <w:lang w:val="en-GB"/>
        </w:rPr>
        <w:t xml:space="preserve"> The Program is implemented by f</w:t>
      </w:r>
      <w:r w:rsidR="00935947" w:rsidRPr="007B0751">
        <w:rPr>
          <w:rFonts w:asciiTheme="majorHAnsi" w:hAnsiTheme="majorHAnsi" w:cs="Arial"/>
          <w:lang w:val="en-GB"/>
        </w:rPr>
        <w:t xml:space="preserve">our </w:t>
      </w:r>
      <w:r w:rsidRPr="007B0751">
        <w:rPr>
          <w:rFonts w:asciiTheme="majorHAnsi" w:hAnsiTheme="majorHAnsi" w:cs="Arial"/>
          <w:lang w:val="en-GB"/>
        </w:rPr>
        <w:t>Australian NGOs (ANGOs)</w:t>
      </w:r>
      <w:r w:rsidR="00935947">
        <w:rPr>
          <w:rFonts w:asciiTheme="majorHAnsi" w:hAnsiTheme="majorHAnsi" w:cs="Arial"/>
          <w:lang w:val="en-GB"/>
        </w:rPr>
        <w:t xml:space="preserve"> </w:t>
      </w:r>
      <w:r w:rsidRPr="007B0751">
        <w:rPr>
          <w:rFonts w:asciiTheme="majorHAnsi" w:hAnsiTheme="majorHAnsi" w:cs="Arial"/>
          <w:lang w:val="en-GB"/>
        </w:rPr>
        <w:t>work</w:t>
      </w:r>
      <w:r w:rsidR="00935947">
        <w:rPr>
          <w:rFonts w:asciiTheme="majorHAnsi" w:hAnsiTheme="majorHAnsi" w:cs="Arial"/>
          <w:lang w:val="en-GB"/>
        </w:rPr>
        <w:t>ing</w:t>
      </w:r>
      <w:r w:rsidRPr="007B0751">
        <w:rPr>
          <w:rFonts w:asciiTheme="majorHAnsi" w:hAnsiTheme="majorHAnsi" w:cs="Arial"/>
          <w:lang w:val="en-GB"/>
        </w:rPr>
        <w:t xml:space="preserve"> in close collaboration with leading Palestinian NGOs (PNGOs), the Palestinian private sector and</w:t>
      </w:r>
      <w:r w:rsidR="00935947">
        <w:rPr>
          <w:rFonts w:asciiTheme="majorHAnsi" w:hAnsiTheme="majorHAnsi" w:cs="Arial"/>
          <w:lang w:val="en-GB"/>
        </w:rPr>
        <w:t xml:space="preserve"> </w:t>
      </w:r>
      <w:r w:rsidRPr="007B0751">
        <w:rPr>
          <w:rFonts w:asciiTheme="majorHAnsi" w:hAnsiTheme="majorHAnsi" w:cs="Arial"/>
          <w:lang w:val="en-GB"/>
        </w:rPr>
        <w:t>Palestinian social enterprises</w:t>
      </w:r>
      <w:r w:rsidR="00560159" w:rsidRPr="007B0751">
        <w:rPr>
          <w:rFonts w:asciiTheme="majorHAnsi" w:hAnsiTheme="majorHAnsi" w:cs="Arial"/>
          <w:lang w:val="en-GB"/>
        </w:rPr>
        <w:t xml:space="preserve"> in the West Bank and Gaza Strip</w:t>
      </w:r>
      <w:r w:rsidRPr="007B0751">
        <w:rPr>
          <w:rFonts w:asciiTheme="majorHAnsi" w:hAnsiTheme="majorHAnsi" w:cs="Arial"/>
          <w:lang w:val="en-GB"/>
        </w:rPr>
        <w:t xml:space="preserve">. </w:t>
      </w:r>
    </w:p>
    <w:p w14:paraId="540CB3FE" w14:textId="77777777" w:rsidR="00F04445" w:rsidRPr="007B0751" w:rsidRDefault="00F04445" w:rsidP="00F04445">
      <w:pPr>
        <w:rPr>
          <w:rFonts w:asciiTheme="majorHAnsi" w:hAnsiTheme="majorHAnsi" w:cs="Arial"/>
          <w:lang w:val="en-GB"/>
        </w:rPr>
      </w:pPr>
    </w:p>
    <w:p w14:paraId="06620173" w14:textId="77777777" w:rsidR="00F04445" w:rsidRPr="007B0751" w:rsidRDefault="00F04445" w:rsidP="00C01E0B">
      <w:pPr>
        <w:outlineLvl w:val="0"/>
        <w:rPr>
          <w:rFonts w:asciiTheme="majorHAnsi" w:hAnsiTheme="majorHAnsi"/>
          <w:szCs w:val="22"/>
        </w:rPr>
      </w:pPr>
      <w:r w:rsidRPr="007B0751">
        <w:rPr>
          <w:rFonts w:asciiTheme="majorHAnsi" w:hAnsiTheme="majorHAnsi"/>
          <w:szCs w:val="22"/>
        </w:rPr>
        <w:t>The AMENCA2 program goal is to</w:t>
      </w:r>
      <w:r w:rsidRPr="007B0751">
        <w:rPr>
          <w:rFonts w:asciiTheme="majorHAnsi" w:hAnsiTheme="majorHAnsi"/>
          <w:bCs/>
          <w:szCs w:val="22"/>
        </w:rPr>
        <w:t xml:space="preserve"> improve livelihoods </w:t>
      </w:r>
      <w:r w:rsidR="007533A7" w:rsidRPr="007B0751">
        <w:rPr>
          <w:rFonts w:asciiTheme="majorHAnsi" w:hAnsiTheme="majorHAnsi"/>
          <w:bCs/>
          <w:szCs w:val="22"/>
        </w:rPr>
        <w:t xml:space="preserve">in order </w:t>
      </w:r>
      <w:r w:rsidRPr="007B0751">
        <w:rPr>
          <w:rFonts w:asciiTheme="majorHAnsi" w:hAnsiTheme="majorHAnsi"/>
          <w:bCs/>
          <w:szCs w:val="22"/>
        </w:rPr>
        <w:t>to reduce the socio-economic vulnerability of the Palestinian people</w:t>
      </w:r>
      <w:r w:rsidR="00B22F00">
        <w:rPr>
          <w:rFonts w:asciiTheme="majorHAnsi" w:hAnsiTheme="majorHAnsi"/>
          <w:bCs/>
          <w:szCs w:val="22"/>
        </w:rPr>
        <w:t xml:space="preserve"> </w:t>
      </w:r>
      <w:r w:rsidRPr="007B0751">
        <w:rPr>
          <w:rFonts w:asciiTheme="majorHAnsi" w:hAnsiTheme="majorHAnsi"/>
          <w:szCs w:val="22"/>
        </w:rPr>
        <w:t xml:space="preserve">with priority focus on women, youth and farmers. Activities focus on providing rural livelihoods and building the capacity of community based </w:t>
      </w:r>
      <w:proofErr w:type="spellStart"/>
      <w:r w:rsidRPr="007B0751">
        <w:rPr>
          <w:rFonts w:asciiTheme="majorHAnsi" w:hAnsiTheme="majorHAnsi"/>
          <w:szCs w:val="22"/>
        </w:rPr>
        <w:t>organisations</w:t>
      </w:r>
      <w:proofErr w:type="spellEnd"/>
      <w:r w:rsidR="00B22F00">
        <w:rPr>
          <w:rFonts w:asciiTheme="majorHAnsi" w:hAnsiTheme="majorHAnsi"/>
          <w:szCs w:val="22"/>
        </w:rPr>
        <w:t xml:space="preserve"> </w:t>
      </w:r>
      <w:r w:rsidR="00560159" w:rsidRPr="007B0751">
        <w:rPr>
          <w:rFonts w:asciiTheme="majorHAnsi" w:hAnsiTheme="majorHAnsi"/>
          <w:szCs w:val="22"/>
        </w:rPr>
        <w:t xml:space="preserve">(CBOs) </w:t>
      </w:r>
      <w:r w:rsidRPr="007B0751">
        <w:rPr>
          <w:rFonts w:asciiTheme="majorHAnsi" w:hAnsiTheme="majorHAnsi"/>
          <w:szCs w:val="22"/>
        </w:rPr>
        <w:t xml:space="preserve">to address development needs in their communities.  </w:t>
      </w:r>
    </w:p>
    <w:p w14:paraId="78DE5B03" w14:textId="77777777" w:rsidR="00F04445" w:rsidRPr="007B0751" w:rsidRDefault="00F04445" w:rsidP="00F04445">
      <w:pPr>
        <w:rPr>
          <w:rFonts w:asciiTheme="majorHAnsi" w:hAnsiTheme="majorHAnsi" w:cs="Arial"/>
          <w:lang w:val="en-GB"/>
        </w:rPr>
      </w:pPr>
    </w:p>
    <w:p w14:paraId="055671D0" w14:textId="77777777" w:rsidR="00F04445" w:rsidRPr="007B0751" w:rsidRDefault="00F04445" w:rsidP="00F04445">
      <w:pPr>
        <w:outlineLvl w:val="0"/>
        <w:rPr>
          <w:rFonts w:asciiTheme="majorHAnsi" w:hAnsiTheme="majorHAnsi" w:cs="Arial"/>
          <w:lang w:val="en-GB"/>
        </w:rPr>
      </w:pPr>
      <w:r w:rsidRPr="007B0751">
        <w:rPr>
          <w:rFonts w:asciiTheme="majorHAnsi" w:hAnsiTheme="majorHAnsi" w:cs="Arial"/>
          <w:lang w:val="en-GB"/>
        </w:rPr>
        <w:t>The purpose of this Review is to perform an overall quality and performance check of AMENCA2, through a process of data review and field visits aimed at validating key aspects of the progress reported through the Program’s monitoring and evaluation (M&amp;E) system. The review will also be formative in the sense that its findings will form the basis for a small number of recommendations to be made in relation to the shape and form of a possible future DFAT civil society focused program for the Palestinian Territories</w:t>
      </w:r>
      <w:r w:rsidR="00C01E0B" w:rsidRPr="007B0751">
        <w:rPr>
          <w:rFonts w:asciiTheme="majorHAnsi" w:hAnsiTheme="majorHAnsi" w:cs="Arial"/>
          <w:lang w:val="en-GB"/>
        </w:rPr>
        <w:t xml:space="preserve"> (PTs)</w:t>
      </w:r>
      <w:r w:rsidRPr="007B0751">
        <w:rPr>
          <w:rFonts w:asciiTheme="majorHAnsi" w:hAnsiTheme="majorHAnsi" w:cs="Arial"/>
          <w:lang w:val="en-GB"/>
        </w:rPr>
        <w:t>.</w:t>
      </w:r>
    </w:p>
    <w:p w14:paraId="6058E571" w14:textId="77777777" w:rsidR="00F04445" w:rsidRPr="007B0751" w:rsidRDefault="00F04445" w:rsidP="00F04445">
      <w:pPr>
        <w:rPr>
          <w:rFonts w:asciiTheme="majorHAnsi" w:hAnsiTheme="majorHAnsi"/>
        </w:rPr>
      </w:pPr>
    </w:p>
    <w:p w14:paraId="1EBF50AD" w14:textId="6A1CB7A9" w:rsidR="00BE3267" w:rsidRPr="007B0751" w:rsidRDefault="00F04445" w:rsidP="002A5C0E">
      <w:pPr>
        <w:keepNext/>
        <w:numPr>
          <w:ilvl w:val="1"/>
          <w:numId w:val="0"/>
        </w:numPr>
        <w:tabs>
          <w:tab w:val="num" w:pos="0"/>
        </w:tabs>
        <w:outlineLvl w:val="1"/>
        <w:rPr>
          <w:rFonts w:asciiTheme="majorHAnsi" w:hAnsiTheme="majorHAnsi"/>
          <w:szCs w:val="22"/>
        </w:rPr>
      </w:pPr>
      <w:r w:rsidRPr="007B0751">
        <w:rPr>
          <w:rFonts w:asciiTheme="majorHAnsi" w:hAnsiTheme="majorHAnsi"/>
          <w:szCs w:val="22"/>
        </w:rPr>
        <w:t>T</w:t>
      </w:r>
      <w:r w:rsidR="00F51246" w:rsidRPr="007B0751">
        <w:rPr>
          <w:rFonts w:asciiTheme="majorHAnsi" w:hAnsiTheme="majorHAnsi"/>
          <w:szCs w:val="22"/>
        </w:rPr>
        <w:t>he Review’s T</w:t>
      </w:r>
      <w:r w:rsidRPr="007B0751">
        <w:rPr>
          <w:rFonts w:asciiTheme="majorHAnsi" w:hAnsiTheme="majorHAnsi"/>
          <w:szCs w:val="22"/>
        </w:rPr>
        <w:t xml:space="preserve">erms of </w:t>
      </w:r>
      <w:r w:rsidR="00F51246" w:rsidRPr="007B0751">
        <w:rPr>
          <w:rFonts w:asciiTheme="majorHAnsi" w:hAnsiTheme="majorHAnsi"/>
          <w:szCs w:val="22"/>
        </w:rPr>
        <w:t>R</w:t>
      </w:r>
      <w:r w:rsidRPr="007B0751">
        <w:rPr>
          <w:rFonts w:asciiTheme="majorHAnsi" w:hAnsiTheme="majorHAnsi"/>
          <w:szCs w:val="22"/>
        </w:rPr>
        <w:t xml:space="preserve">eference </w:t>
      </w:r>
      <w:r w:rsidR="00F51246" w:rsidRPr="007B0751">
        <w:rPr>
          <w:rFonts w:asciiTheme="majorHAnsi" w:hAnsiTheme="majorHAnsi"/>
          <w:szCs w:val="22"/>
        </w:rPr>
        <w:t>(</w:t>
      </w:r>
      <w:proofErr w:type="spellStart"/>
      <w:r w:rsidR="00F51246" w:rsidRPr="007B0751">
        <w:rPr>
          <w:rFonts w:asciiTheme="majorHAnsi" w:hAnsiTheme="majorHAnsi"/>
          <w:szCs w:val="22"/>
        </w:rPr>
        <w:t>ToR</w:t>
      </w:r>
      <w:proofErr w:type="spellEnd"/>
      <w:r w:rsidR="00F51246" w:rsidRPr="007B0751">
        <w:rPr>
          <w:rFonts w:asciiTheme="majorHAnsi" w:hAnsiTheme="majorHAnsi"/>
          <w:szCs w:val="22"/>
        </w:rPr>
        <w:t xml:space="preserve">) ask </w:t>
      </w:r>
      <w:r w:rsidRPr="007B0751">
        <w:rPr>
          <w:rFonts w:asciiTheme="majorHAnsi" w:hAnsiTheme="majorHAnsi"/>
          <w:szCs w:val="22"/>
        </w:rPr>
        <w:t>for investigation of the</w:t>
      </w:r>
      <w:r w:rsidR="00C879A0">
        <w:rPr>
          <w:rFonts w:asciiTheme="majorHAnsi" w:hAnsiTheme="majorHAnsi"/>
          <w:szCs w:val="22"/>
        </w:rPr>
        <w:t xml:space="preserve"> Program’s relevance, effectiveness, efficiency and sustainability, as well as consideration of Program efforts in relation to gender and disability. An additional Review component related to risk management and financial accountability was undertaken earlier, and informs this document. The TOR </w:t>
      </w:r>
      <w:proofErr w:type="gramStart"/>
      <w:r w:rsidR="00C879A0">
        <w:rPr>
          <w:rFonts w:asciiTheme="majorHAnsi" w:hAnsiTheme="majorHAnsi"/>
          <w:szCs w:val="22"/>
        </w:rPr>
        <w:t>are</w:t>
      </w:r>
      <w:proofErr w:type="gramEnd"/>
      <w:r w:rsidR="00C879A0">
        <w:rPr>
          <w:rFonts w:asciiTheme="majorHAnsi" w:hAnsiTheme="majorHAnsi"/>
          <w:szCs w:val="22"/>
        </w:rPr>
        <w:t xml:space="preserve"> attached at Annex One.</w:t>
      </w:r>
    </w:p>
    <w:p w14:paraId="2EBBD1BB" w14:textId="77777777" w:rsidR="00F04445" w:rsidRPr="007B0751" w:rsidRDefault="00F04445" w:rsidP="00F04445">
      <w:pPr>
        <w:rPr>
          <w:rFonts w:asciiTheme="majorHAnsi" w:hAnsiTheme="majorHAnsi"/>
        </w:rPr>
      </w:pPr>
    </w:p>
    <w:p w14:paraId="7669D0AA" w14:textId="77777777" w:rsidR="00F04445" w:rsidRPr="007B0751" w:rsidRDefault="00F04445" w:rsidP="00F04445">
      <w:pPr>
        <w:rPr>
          <w:rFonts w:asciiTheme="majorHAnsi" w:hAnsiTheme="majorHAnsi"/>
        </w:rPr>
      </w:pPr>
      <w:r w:rsidRPr="00F42CAA">
        <w:rPr>
          <w:rFonts w:asciiTheme="majorHAnsi" w:hAnsiTheme="majorHAnsi"/>
        </w:rPr>
        <w:t xml:space="preserve">A primary question needing to be answered by this Review is whether or not DFAT’s approach of working through a network of Australian NGOs, local Palestinian NGOs and Community Based </w:t>
      </w:r>
      <w:proofErr w:type="spellStart"/>
      <w:r w:rsidRPr="00F42CAA">
        <w:rPr>
          <w:rFonts w:asciiTheme="majorHAnsi" w:hAnsiTheme="majorHAnsi"/>
        </w:rPr>
        <w:t>Organisations</w:t>
      </w:r>
      <w:proofErr w:type="spellEnd"/>
      <w:r w:rsidRPr="00F42CAA">
        <w:rPr>
          <w:rFonts w:asciiTheme="majorHAnsi" w:hAnsiTheme="majorHAnsi"/>
        </w:rPr>
        <w:t xml:space="preserve"> (CBOs) is appropriate to the current operating context, and effective in helping DFAT achieve its development assistance objectives in the P</w:t>
      </w:r>
      <w:r w:rsidR="00FE120A" w:rsidRPr="00393E74">
        <w:rPr>
          <w:rFonts w:asciiTheme="majorHAnsi" w:hAnsiTheme="majorHAnsi"/>
        </w:rPr>
        <w:t>T</w:t>
      </w:r>
      <w:r w:rsidRPr="00393E74">
        <w:rPr>
          <w:rFonts w:asciiTheme="majorHAnsi" w:hAnsiTheme="majorHAnsi"/>
        </w:rPr>
        <w:t>s?</w:t>
      </w:r>
    </w:p>
    <w:p w14:paraId="547712E0" w14:textId="77777777" w:rsidR="006634A1" w:rsidRPr="007B0751" w:rsidRDefault="006634A1" w:rsidP="00F04445">
      <w:pPr>
        <w:rPr>
          <w:rFonts w:asciiTheme="majorHAnsi" w:hAnsiTheme="majorHAnsi"/>
        </w:rPr>
      </w:pPr>
    </w:p>
    <w:p w14:paraId="08F0F5C2" w14:textId="77777777" w:rsidR="00F04445" w:rsidRPr="007B0751" w:rsidRDefault="00F04445" w:rsidP="00F04445">
      <w:pPr>
        <w:rPr>
          <w:rFonts w:asciiTheme="majorHAnsi" w:hAnsiTheme="majorHAnsi"/>
        </w:rPr>
      </w:pPr>
      <w:r w:rsidRPr="007B0751">
        <w:rPr>
          <w:rFonts w:asciiTheme="majorHAnsi" w:hAnsiTheme="majorHAnsi" w:cs="Arial"/>
          <w:b/>
          <w:color w:val="1F497D"/>
          <w:sz w:val="28"/>
          <w:szCs w:val="28"/>
          <w:lang w:val="en-GB"/>
        </w:rPr>
        <w:t>2.</w:t>
      </w:r>
      <w:r w:rsidRPr="007B0751">
        <w:rPr>
          <w:rFonts w:asciiTheme="majorHAnsi" w:hAnsiTheme="majorHAnsi" w:cs="Arial"/>
          <w:b/>
          <w:color w:val="1F497D"/>
          <w:sz w:val="28"/>
          <w:szCs w:val="28"/>
          <w:lang w:val="en-GB"/>
        </w:rPr>
        <w:tab/>
        <w:t>Program Operating Context</w:t>
      </w:r>
      <w:r w:rsidRPr="007B0751">
        <w:rPr>
          <w:rFonts w:asciiTheme="majorHAnsi" w:hAnsiTheme="majorHAnsi"/>
        </w:rPr>
        <w:tab/>
      </w:r>
      <w:r w:rsidRPr="007B0751">
        <w:rPr>
          <w:rFonts w:asciiTheme="majorHAnsi" w:hAnsiTheme="majorHAnsi"/>
        </w:rPr>
        <w:tab/>
      </w:r>
    </w:p>
    <w:p w14:paraId="1F10B978" w14:textId="77777777" w:rsidR="00F04445" w:rsidRDefault="00DE5698" w:rsidP="00F04445">
      <w:pPr>
        <w:rPr>
          <w:rFonts w:asciiTheme="majorHAnsi" w:hAnsiTheme="majorHAnsi"/>
        </w:rPr>
      </w:pPr>
      <w:r w:rsidRPr="007B0751">
        <w:rPr>
          <w:rFonts w:asciiTheme="majorHAnsi" w:hAnsiTheme="majorHAnsi"/>
        </w:rPr>
        <w:t xml:space="preserve">To fully appreciate AMENCA’s relevance and effectiveness, it is vital to understand the current development context of the </w:t>
      </w:r>
      <w:proofErr w:type="spellStart"/>
      <w:r w:rsidRPr="007B0751">
        <w:rPr>
          <w:rFonts w:asciiTheme="majorHAnsi" w:hAnsiTheme="majorHAnsi"/>
        </w:rPr>
        <w:t>PTs.</w:t>
      </w:r>
      <w:proofErr w:type="spellEnd"/>
      <w:r w:rsidR="00FC0803">
        <w:rPr>
          <w:rFonts w:asciiTheme="majorHAnsi" w:hAnsiTheme="majorHAnsi"/>
        </w:rPr>
        <w:t xml:space="preserve"> </w:t>
      </w:r>
      <w:r w:rsidR="00F04445" w:rsidRPr="007B0751">
        <w:rPr>
          <w:rFonts w:asciiTheme="majorHAnsi" w:hAnsiTheme="majorHAnsi"/>
        </w:rPr>
        <w:t xml:space="preserve">Ongoing political uncertainty, conflict, a blockade related </w:t>
      </w:r>
      <w:proofErr w:type="spellStart"/>
      <w:r w:rsidR="00F04445" w:rsidRPr="007B0751">
        <w:rPr>
          <w:rFonts w:asciiTheme="majorHAnsi" w:hAnsiTheme="majorHAnsi"/>
        </w:rPr>
        <w:t>slow down</w:t>
      </w:r>
      <w:proofErr w:type="spellEnd"/>
      <w:r w:rsidR="00F04445" w:rsidRPr="007B0751">
        <w:rPr>
          <w:rFonts w:asciiTheme="majorHAnsi" w:hAnsiTheme="majorHAnsi"/>
        </w:rPr>
        <w:t xml:space="preserve"> in economic growth, limited and reducing access to water, and complex and ever-changing restrictions on the movement of people, </w:t>
      </w:r>
      <w:proofErr w:type="spellStart"/>
      <w:r w:rsidR="00F04445" w:rsidRPr="007B0751">
        <w:rPr>
          <w:rFonts w:asciiTheme="majorHAnsi" w:hAnsiTheme="majorHAnsi"/>
        </w:rPr>
        <w:t>labour</w:t>
      </w:r>
      <w:proofErr w:type="spellEnd"/>
      <w:r w:rsidR="00F04445" w:rsidRPr="007B0751">
        <w:rPr>
          <w:rFonts w:asciiTheme="majorHAnsi" w:hAnsiTheme="majorHAnsi"/>
        </w:rPr>
        <w:t xml:space="preserve"> and produce make the P</w:t>
      </w:r>
      <w:r w:rsidR="00F51246" w:rsidRPr="007B0751">
        <w:rPr>
          <w:rFonts w:asciiTheme="majorHAnsi" w:hAnsiTheme="majorHAnsi"/>
        </w:rPr>
        <w:t xml:space="preserve">Ts </w:t>
      </w:r>
      <w:r w:rsidR="00F04445" w:rsidRPr="007B0751">
        <w:rPr>
          <w:rFonts w:asciiTheme="majorHAnsi" w:hAnsiTheme="majorHAnsi"/>
        </w:rPr>
        <w:t>a highly complex operating environment for development programming. Complicating matters further, the c</w:t>
      </w:r>
      <w:r w:rsidR="00C01E0B" w:rsidRPr="007B0751">
        <w:rPr>
          <w:rFonts w:asciiTheme="majorHAnsi" w:hAnsiTheme="majorHAnsi"/>
        </w:rPr>
        <w:t xml:space="preserve">haracteristics and factors </w:t>
      </w:r>
      <w:r w:rsidR="00F04445" w:rsidRPr="007B0751">
        <w:rPr>
          <w:rFonts w:asciiTheme="majorHAnsi" w:hAnsiTheme="majorHAnsi"/>
        </w:rPr>
        <w:t>affect</w:t>
      </w:r>
      <w:r w:rsidR="00C01E0B" w:rsidRPr="007B0751">
        <w:rPr>
          <w:rFonts w:asciiTheme="majorHAnsi" w:hAnsiTheme="majorHAnsi"/>
        </w:rPr>
        <w:t>ing</w:t>
      </w:r>
      <w:r w:rsidR="00F04445" w:rsidRPr="007B0751">
        <w:rPr>
          <w:rFonts w:asciiTheme="majorHAnsi" w:hAnsiTheme="majorHAnsi"/>
        </w:rPr>
        <w:t xml:space="preserve"> development </w:t>
      </w:r>
      <w:r w:rsidR="00C01E0B" w:rsidRPr="007B0751">
        <w:rPr>
          <w:rFonts w:asciiTheme="majorHAnsi" w:hAnsiTheme="majorHAnsi"/>
        </w:rPr>
        <w:t xml:space="preserve">in </w:t>
      </w:r>
      <w:r w:rsidR="00F04445" w:rsidRPr="007B0751">
        <w:rPr>
          <w:rFonts w:asciiTheme="majorHAnsi" w:hAnsiTheme="majorHAnsi"/>
        </w:rPr>
        <w:t xml:space="preserve">West Bank and Gaza Strip are relatively unique and significantly different to each other. </w:t>
      </w:r>
    </w:p>
    <w:p w14:paraId="78F2543B" w14:textId="77777777" w:rsidR="00C11244" w:rsidRDefault="00C11244" w:rsidP="00F04445">
      <w:pPr>
        <w:rPr>
          <w:rFonts w:asciiTheme="majorHAnsi" w:hAnsiTheme="majorHAnsi"/>
        </w:rPr>
      </w:pPr>
    </w:p>
    <w:p w14:paraId="03964DA1" w14:textId="3F73E74E" w:rsidR="00C11244" w:rsidRPr="007B0751" w:rsidRDefault="00C11244" w:rsidP="00F04445">
      <w:pPr>
        <w:rPr>
          <w:rFonts w:asciiTheme="majorHAnsi" w:hAnsiTheme="majorHAnsi"/>
        </w:rPr>
      </w:pPr>
      <w:r>
        <w:rPr>
          <w:rFonts w:asciiTheme="majorHAnsi" w:hAnsiTheme="majorHAnsi"/>
        </w:rPr>
        <w:t xml:space="preserve">During the course of AMENCA2 implementation, three wars have occurred in Gaza, with the most recent in July 2014 causing the loss of more than 2,200 lives, the overwhelming majority of them </w:t>
      </w:r>
      <w:proofErr w:type="spellStart"/>
      <w:r>
        <w:rPr>
          <w:rFonts w:asciiTheme="majorHAnsi" w:hAnsiTheme="majorHAnsi"/>
        </w:rPr>
        <w:t>Gazans</w:t>
      </w:r>
      <w:proofErr w:type="spellEnd"/>
      <w:r>
        <w:rPr>
          <w:rFonts w:asciiTheme="majorHAnsi" w:hAnsiTheme="majorHAnsi"/>
        </w:rPr>
        <w:t>. The estimated cost of rebuilding is thought to be in excess of $5 billion. Other legacies include the psychological impact on children having lived through three wars in six years, and household’s loss of productive assets such as greenhouses, olive groves and orchards.</w:t>
      </w:r>
    </w:p>
    <w:p w14:paraId="5FA7E797" w14:textId="77777777" w:rsidR="00F04445" w:rsidRPr="007B0751" w:rsidRDefault="00F04445" w:rsidP="00F04445">
      <w:pPr>
        <w:rPr>
          <w:rFonts w:asciiTheme="majorHAnsi" w:hAnsiTheme="majorHAnsi"/>
        </w:rPr>
      </w:pPr>
    </w:p>
    <w:p w14:paraId="476C7222" w14:textId="0CDDBF07" w:rsidR="00F04445" w:rsidRPr="007B0751" w:rsidRDefault="0099305E" w:rsidP="00F04445">
      <w:pPr>
        <w:rPr>
          <w:rFonts w:asciiTheme="majorHAnsi" w:hAnsiTheme="majorHAnsi"/>
        </w:rPr>
      </w:pPr>
      <w:r w:rsidRPr="007B0751">
        <w:rPr>
          <w:rFonts w:asciiTheme="majorHAnsi" w:hAnsiTheme="majorHAnsi"/>
        </w:rPr>
        <w:t>The 2014</w:t>
      </w:r>
      <w:r w:rsidR="00F04445" w:rsidRPr="007B0751">
        <w:rPr>
          <w:rFonts w:asciiTheme="majorHAnsi" w:hAnsiTheme="majorHAnsi"/>
        </w:rPr>
        <w:t xml:space="preserve"> UNDP Human Development Index ranks the P</w:t>
      </w:r>
      <w:r w:rsidRPr="007B0751">
        <w:rPr>
          <w:rFonts w:asciiTheme="majorHAnsi" w:hAnsiTheme="majorHAnsi"/>
        </w:rPr>
        <w:t>T</w:t>
      </w:r>
      <w:r w:rsidR="00F04445" w:rsidRPr="007B0751">
        <w:rPr>
          <w:rFonts w:asciiTheme="majorHAnsi" w:hAnsiTheme="majorHAnsi"/>
        </w:rPr>
        <w:t>s 107</w:t>
      </w:r>
      <w:r w:rsidR="00F04445" w:rsidRPr="007B0751">
        <w:rPr>
          <w:rFonts w:asciiTheme="majorHAnsi" w:hAnsiTheme="majorHAnsi"/>
          <w:vertAlign w:val="superscript"/>
        </w:rPr>
        <w:t>th</w:t>
      </w:r>
      <w:r w:rsidR="00F04445" w:rsidRPr="007B0751">
        <w:rPr>
          <w:rFonts w:asciiTheme="majorHAnsi" w:hAnsiTheme="majorHAnsi"/>
        </w:rPr>
        <w:t xml:space="preserve"> out of 187 countries. Gross National Income pe</w:t>
      </w:r>
      <w:r w:rsidRPr="007B0751">
        <w:rPr>
          <w:rFonts w:asciiTheme="majorHAnsi" w:hAnsiTheme="majorHAnsi"/>
        </w:rPr>
        <w:t>r capita is US$5,168. W</w:t>
      </w:r>
      <w:r w:rsidR="00F04445" w:rsidRPr="007B0751">
        <w:rPr>
          <w:rFonts w:asciiTheme="majorHAnsi" w:hAnsiTheme="majorHAnsi"/>
        </w:rPr>
        <w:t>hen gender disaggregated, this figure is US$1,651 for females and US$8,580 for men. Generally speaking, women are significantly under-represented at all levels of governance and workforce participation, despite enjoying similar levels of educational achievement to men. Palestinian men and women are well educated, having on average 8.9 years o</w:t>
      </w:r>
      <w:r w:rsidRPr="007B0751">
        <w:rPr>
          <w:rFonts w:asciiTheme="majorHAnsi" w:hAnsiTheme="majorHAnsi"/>
        </w:rPr>
        <w:t>f schooling (females 8.5 years/</w:t>
      </w:r>
      <w:r w:rsidR="00F04445" w:rsidRPr="007B0751">
        <w:rPr>
          <w:rFonts w:asciiTheme="majorHAnsi" w:hAnsiTheme="majorHAnsi"/>
        </w:rPr>
        <w:t xml:space="preserve">males 9.3 years), putting them well ahead of both the </w:t>
      </w:r>
      <w:r w:rsidRPr="007B0751">
        <w:rPr>
          <w:rFonts w:asciiTheme="majorHAnsi" w:hAnsiTheme="majorHAnsi"/>
        </w:rPr>
        <w:t xml:space="preserve">average for both </w:t>
      </w:r>
      <w:r w:rsidR="00F04445" w:rsidRPr="007B0751">
        <w:rPr>
          <w:rFonts w:asciiTheme="majorHAnsi" w:hAnsiTheme="majorHAnsi"/>
        </w:rPr>
        <w:t>Arab States (6.3</w:t>
      </w:r>
      <w:r w:rsidR="00C879A0">
        <w:rPr>
          <w:rFonts w:asciiTheme="majorHAnsi" w:hAnsiTheme="majorHAnsi"/>
        </w:rPr>
        <w:t xml:space="preserve"> years</w:t>
      </w:r>
      <w:r w:rsidR="00F04445" w:rsidRPr="007B0751">
        <w:rPr>
          <w:rFonts w:asciiTheme="majorHAnsi" w:hAnsiTheme="majorHAnsi"/>
        </w:rPr>
        <w:t>) and comparable middle ranking human development index countries (5.5</w:t>
      </w:r>
      <w:r w:rsidR="00C879A0">
        <w:rPr>
          <w:rFonts w:asciiTheme="majorHAnsi" w:hAnsiTheme="majorHAnsi"/>
        </w:rPr>
        <w:t xml:space="preserve"> years</w:t>
      </w:r>
      <w:r w:rsidR="00F04445" w:rsidRPr="007B0751">
        <w:rPr>
          <w:rFonts w:asciiTheme="majorHAnsi" w:hAnsiTheme="majorHAnsi"/>
        </w:rPr>
        <w:t>).</w:t>
      </w:r>
      <w:r w:rsidR="00C879A0">
        <w:rPr>
          <w:rFonts w:asciiTheme="majorHAnsi" w:hAnsiTheme="majorHAnsi"/>
        </w:rPr>
        <w:t xml:space="preserve"> </w:t>
      </w:r>
      <w:r w:rsidR="00F04445" w:rsidRPr="007B0751">
        <w:rPr>
          <w:rStyle w:val="FootnoteReference"/>
          <w:rFonts w:asciiTheme="majorHAnsi" w:hAnsiTheme="majorHAnsi"/>
        </w:rPr>
        <w:footnoteReference w:id="1"/>
      </w:r>
      <w:r w:rsidR="00C01E0B" w:rsidRPr="007B0751">
        <w:rPr>
          <w:rFonts w:asciiTheme="majorHAnsi" w:hAnsiTheme="majorHAnsi"/>
          <w:b/>
          <w:i/>
        </w:rPr>
        <w:t>AMENCA2</w:t>
      </w:r>
      <w:r w:rsidRPr="007B0751">
        <w:rPr>
          <w:rFonts w:asciiTheme="majorHAnsi" w:hAnsiTheme="majorHAnsi"/>
          <w:b/>
          <w:i/>
        </w:rPr>
        <w:t xml:space="preserve"> partners</w:t>
      </w:r>
      <w:r w:rsidR="00C01E0B" w:rsidRPr="007B0751">
        <w:rPr>
          <w:rFonts w:asciiTheme="majorHAnsi" w:hAnsiTheme="majorHAnsi"/>
          <w:b/>
          <w:i/>
        </w:rPr>
        <w:t xml:space="preserve"> have invested heavily in </w:t>
      </w:r>
      <w:r w:rsidR="00C879A0">
        <w:rPr>
          <w:rFonts w:asciiTheme="majorHAnsi" w:hAnsiTheme="majorHAnsi"/>
          <w:b/>
          <w:i/>
        </w:rPr>
        <w:t xml:space="preserve">enhancing </w:t>
      </w:r>
      <w:r w:rsidRPr="007B0751">
        <w:rPr>
          <w:rFonts w:asciiTheme="majorHAnsi" w:hAnsiTheme="majorHAnsi"/>
          <w:b/>
          <w:i/>
        </w:rPr>
        <w:t xml:space="preserve">opportunities for women’s </w:t>
      </w:r>
      <w:r w:rsidR="00C879A0">
        <w:rPr>
          <w:rFonts w:asciiTheme="majorHAnsi" w:hAnsiTheme="majorHAnsi"/>
          <w:b/>
          <w:i/>
        </w:rPr>
        <w:t xml:space="preserve">social and economic </w:t>
      </w:r>
      <w:r w:rsidR="00C879A0" w:rsidRPr="007B0751">
        <w:rPr>
          <w:rFonts w:asciiTheme="majorHAnsi" w:hAnsiTheme="majorHAnsi"/>
          <w:b/>
          <w:i/>
        </w:rPr>
        <w:t>emp</w:t>
      </w:r>
      <w:r w:rsidR="00C879A0">
        <w:rPr>
          <w:rFonts w:asciiTheme="majorHAnsi" w:hAnsiTheme="majorHAnsi"/>
          <w:b/>
          <w:i/>
        </w:rPr>
        <w:t>ower</w:t>
      </w:r>
      <w:r w:rsidR="00C879A0" w:rsidRPr="007B0751">
        <w:rPr>
          <w:rFonts w:asciiTheme="majorHAnsi" w:hAnsiTheme="majorHAnsi"/>
          <w:b/>
          <w:i/>
        </w:rPr>
        <w:t>ment</w:t>
      </w:r>
      <w:r w:rsidRPr="007B0751">
        <w:rPr>
          <w:rFonts w:asciiTheme="majorHAnsi" w:hAnsiTheme="majorHAnsi"/>
          <w:b/>
          <w:i/>
        </w:rPr>
        <w:t>, and for women to be more active in community affairs and the local economy</w:t>
      </w:r>
      <w:r w:rsidRPr="007B0751">
        <w:rPr>
          <w:rFonts w:asciiTheme="majorHAnsi" w:hAnsiTheme="majorHAnsi"/>
          <w:i/>
        </w:rPr>
        <w:t>.</w:t>
      </w:r>
    </w:p>
    <w:p w14:paraId="266359DF" w14:textId="77777777" w:rsidR="00F04445" w:rsidRPr="007B0751" w:rsidRDefault="00F04445" w:rsidP="00F04445">
      <w:pPr>
        <w:rPr>
          <w:rFonts w:asciiTheme="majorHAnsi" w:hAnsiTheme="majorHAnsi"/>
        </w:rPr>
      </w:pPr>
    </w:p>
    <w:p w14:paraId="4C7B797B" w14:textId="77777777" w:rsidR="00F04445" w:rsidRPr="007B0751" w:rsidRDefault="00F04445" w:rsidP="00F04445">
      <w:pPr>
        <w:rPr>
          <w:rFonts w:asciiTheme="majorHAnsi" w:hAnsiTheme="majorHAnsi"/>
        </w:rPr>
      </w:pPr>
      <w:r w:rsidRPr="007B0751">
        <w:rPr>
          <w:rFonts w:asciiTheme="majorHAnsi" w:hAnsiTheme="majorHAnsi"/>
        </w:rPr>
        <w:t xml:space="preserve">The Palestine economy suffers from significant fluctuations in economic growth. </w:t>
      </w:r>
      <w:r w:rsidR="0099305E" w:rsidRPr="007B0751">
        <w:rPr>
          <w:rFonts w:asciiTheme="majorHAnsi" w:hAnsiTheme="majorHAnsi"/>
        </w:rPr>
        <w:t xml:space="preserve">Economic growth of </w:t>
      </w:r>
      <w:r w:rsidRPr="007B0751">
        <w:rPr>
          <w:rFonts w:asciiTheme="majorHAnsi" w:hAnsiTheme="majorHAnsi"/>
        </w:rPr>
        <w:t xml:space="preserve">12.2% </w:t>
      </w:r>
      <w:r w:rsidR="0099305E" w:rsidRPr="007B0751">
        <w:rPr>
          <w:rFonts w:asciiTheme="majorHAnsi" w:hAnsiTheme="majorHAnsi"/>
        </w:rPr>
        <w:t>in 2010</w:t>
      </w:r>
      <w:r w:rsidR="00557A32" w:rsidRPr="007B0751">
        <w:rPr>
          <w:rFonts w:asciiTheme="majorHAnsi" w:hAnsiTheme="majorHAnsi"/>
        </w:rPr>
        <w:t xml:space="preserve"> shrunk to 5.9% in 2012</w:t>
      </w:r>
      <w:r w:rsidRPr="007B0751">
        <w:rPr>
          <w:rFonts w:asciiTheme="majorHAnsi" w:hAnsiTheme="majorHAnsi"/>
        </w:rPr>
        <w:t xml:space="preserve"> and 1.5% in 2013. Forecasts have economic growth sitting </w:t>
      </w:r>
      <w:r w:rsidR="00557A32" w:rsidRPr="007B0751">
        <w:rPr>
          <w:rFonts w:asciiTheme="majorHAnsi" w:hAnsiTheme="majorHAnsi"/>
        </w:rPr>
        <w:t>no higher than</w:t>
      </w:r>
      <w:r w:rsidRPr="007B0751">
        <w:rPr>
          <w:rFonts w:asciiTheme="majorHAnsi" w:hAnsiTheme="majorHAnsi"/>
        </w:rPr>
        <w:t xml:space="preserve"> two per cent for the forward estimates. Central to the PT’s</w:t>
      </w:r>
      <w:r w:rsidR="00D22441" w:rsidRPr="007B0751">
        <w:rPr>
          <w:rFonts w:asciiTheme="majorHAnsi" w:hAnsiTheme="majorHAnsi"/>
        </w:rPr>
        <w:t xml:space="preserve"> economic uncertainty is</w:t>
      </w:r>
      <w:r w:rsidRPr="007B0751">
        <w:rPr>
          <w:rFonts w:asciiTheme="majorHAnsi" w:hAnsiTheme="majorHAnsi"/>
        </w:rPr>
        <w:t xml:space="preserve"> heavy over reliance on external financial support to the Palestinian Authority</w:t>
      </w:r>
      <w:r w:rsidR="00557A32" w:rsidRPr="007B0751">
        <w:rPr>
          <w:rFonts w:asciiTheme="majorHAnsi" w:hAnsiTheme="majorHAnsi"/>
        </w:rPr>
        <w:t xml:space="preserve"> (PA)</w:t>
      </w:r>
      <w:r w:rsidRPr="007B0751">
        <w:rPr>
          <w:rFonts w:asciiTheme="majorHAnsi" w:hAnsiTheme="majorHAnsi"/>
        </w:rPr>
        <w:t>, and a</w:t>
      </w:r>
      <w:r w:rsidR="00557A32" w:rsidRPr="007B0751">
        <w:rPr>
          <w:rFonts w:asciiTheme="majorHAnsi" w:hAnsiTheme="majorHAnsi"/>
        </w:rPr>
        <w:t xml:space="preserve"> hesitant </w:t>
      </w:r>
      <w:r w:rsidRPr="007B0751">
        <w:rPr>
          <w:rFonts w:asciiTheme="majorHAnsi" w:hAnsiTheme="majorHAnsi"/>
        </w:rPr>
        <w:t xml:space="preserve">foreign </w:t>
      </w:r>
      <w:r w:rsidR="00D22441" w:rsidRPr="007B0751">
        <w:rPr>
          <w:rFonts w:asciiTheme="majorHAnsi" w:hAnsiTheme="majorHAnsi"/>
        </w:rPr>
        <w:t>investment climate given</w:t>
      </w:r>
      <w:r w:rsidR="00FC0803">
        <w:rPr>
          <w:rFonts w:asciiTheme="majorHAnsi" w:hAnsiTheme="majorHAnsi"/>
        </w:rPr>
        <w:t xml:space="preserve"> </w:t>
      </w:r>
      <w:r w:rsidR="00D22441" w:rsidRPr="007B0751">
        <w:rPr>
          <w:rFonts w:asciiTheme="majorHAnsi" w:hAnsiTheme="majorHAnsi"/>
        </w:rPr>
        <w:t>ongoing</w:t>
      </w:r>
      <w:r w:rsidRPr="007B0751">
        <w:rPr>
          <w:rFonts w:asciiTheme="majorHAnsi" w:hAnsiTheme="majorHAnsi"/>
        </w:rPr>
        <w:t xml:space="preserve"> uncertainty. </w:t>
      </w:r>
      <w:r w:rsidR="00E4625E" w:rsidRPr="007B0751">
        <w:rPr>
          <w:rFonts w:asciiTheme="majorHAnsi" w:hAnsiTheme="majorHAnsi"/>
          <w:b/>
          <w:i/>
        </w:rPr>
        <w:t>Sitting a</w:t>
      </w:r>
      <w:r w:rsidR="0099305E" w:rsidRPr="007B0751">
        <w:rPr>
          <w:rFonts w:asciiTheme="majorHAnsi" w:hAnsiTheme="majorHAnsi"/>
          <w:b/>
          <w:i/>
        </w:rPr>
        <w:t xml:space="preserve">t AMENCA2’s core is </w:t>
      </w:r>
      <w:r w:rsidR="00E4625E" w:rsidRPr="007B0751">
        <w:rPr>
          <w:rFonts w:asciiTheme="majorHAnsi" w:hAnsiTheme="majorHAnsi"/>
          <w:b/>
          <w:i/>
        </w:rPr>
        <w:t xml:space="preserve">a portfolio of different and often innovative strategies for increasing resilience through </w:t>
      </w:r>
      <w:r w:rsidR="0099305E" w:rsidRPr="007B0751">
        <w:rPr>
          <w:rFonts w:asciiTheme="majorHAnsi" w:hAnsiTheme="majorHAnsi"/>
          <w:b/>
          <w:i/>
        </w:rPr>
        <w:t>improv</w:t>
      </w:r>
      <w:r w:rsidR="00E4625E" w:rsidRPr="007B0751">
        <w:rPr>
          <w:rFonts w:asciiTheme="majorHAnsi" w:hAnsiTheme="majorHAnsi"/>
          <w:b/>
          <w:i/>
        </w:rPr>
        <w:t>ed</w:t>
      </w:r>
      <w:r w:rsidR="0099305E" w:rsidRPr="007B0751">
        <w:rPr>
          <w:rFonts w:asciiTheme="majorHAnsi" w:hAnsiTheme="majorHAnsi"/>
          <w:b/>
          <w:i/>
        </w:rPr>
        <w:t xml:space="preserve"> livelihoods</w:t>
      </w:r>
      <w:r w:rsidR="00E4625E" w:rsidRPr="007B0751">
        <w:rPr>
          <w:rFonts w:asciiTheme="majorHAnsi" w:hAnsiTheme="majorHAnsi"/>
          <w:b/>
          <w:i/>
        </w:rPr>
        <w:t>, including the provision of loans, grants and training to help lay the foundations for sustainable enterprises.</w:t>
      </w:r>
    </w:p>
    <w:p w14:paraId="37F049BD" w14:textId="77777777" w:rsidR="00F04445" w:rsidRPr="007B0751" w:rsidRDefault="00F04445" w:rsidP="00F04445">
      <w:pPr>
        <w:rPr>
          <w:rFonts w:asciiTheme="majorHAnsi" w:hAnsiTheme="majorHAnsi"/>
        </w:rPr>
      </w:pPr>
    </w:p>
    <w:p w14:paraId="18499A46" w14:textId="77777777" w:rsidR="00F04445" w:rsidRPr="007B0751" w:rsidRDefault="00F04445" w:rsidP="00F04445">
      <w:pPr>
        <w:rPr>
          <w:rFonts w:asciiTheme="majorHAnsi" w:hAnsiTheme="majorHAnsi"/>
        </w:rPr>
      </w:pPr>
      <w:r w:rsidRPr="007B0751">
        <w:rPr>
          <w:rFonts w:asciiTheme="majorHAnsi" w:hAnsiTheme="majorHAnsi"/>
        </w:rPr>
        <w:t>The 2014 -16 Palestinian National Development Plan</w:t>
      </w:r>
      <w:r w:rsidR="00557A32" w:rsidRPr="007B0751">
        <w:rPr>
          <w:rFonts w:asciiTheme="majorHAnsi" w:hAnsiTheme="majorHAnsi"/>
        </w:rPr>
        <w:t xml:space="preserve"> (NDP)</w:t>
      </w:r>
      <w:r w:rsidRPr="007B0751">
        <w:rPr>
          <w:rStyle w:val="FootnoteReference"/>
          <w:rFonts w:asciiTheme="majorHAnsi" w:hAnsiTheme="majorHAnsi"/>
        </w:rPr>
        <w:footnoteReference w:id="2"/>
      </w:r>
      <w:r w:rsidRPr="007B0751">
        <w:rPr>
          <w:rFonts w:asciiTheme="majorHAnsi" w:hAnsiTheme="majorHAnsi"/>
        </w:rPr>
        <w:t xml:space="preserve"> cites a poverty rate across the PTs of 25.8%, with a substantial discrepancy between the West Bank and Gaza – 17.8% and 38.8% respectively. Worsening poverty and slowing economic growth have contributed to dropping living standards, fuelled by worsening unemployment and under employment. Poverty and unemployment are inextricably linked, and in Q4 of 2013, the unemployment rate across the </w:t>
      </w:r>
      <w:proofErr w:type="spellStart"/>
      <w:r w:rsidRPr="007B0751">
        <w:rPr>
          <w:rFonts w:asciiTheme="majorHAnsi" w:hAnsiTheme="majorHAnsi"/>
        </w:rPr>
        <w:t>labour</w:t>
      </w:r>
      <w:proofErr w:type="spellEnd"/>
      <w:r w:rsidRPr="007B0751">
        <w:rPr>
          <w:rFonts w:asciiTheme="majorHAnsi" w:hAnsiTheme="majorHAnsi"/>
        </w:rPr>
        <w:t xml:space="preserve"> force was 25.2%, with the following characteristics:</w:t>
      </w:r>
    </w:p>
    <w:p w14:paraId="5AB03543" w14:textId="77777777" w:rsidR="00F04445" w:rsidRPr="007B0751" w:rsidRDefault="00F04445" w:rsidP="00F04445">
      <w:pPr>
        <w:pStyle w:val="ListParagraph"/>
        <w:numPr>
          <w:ilvl w:val="0"/>
          <w:numId w:val="28"/>
        </w:numPr>
        <w:rPr>
          <w:rFonts w:asciiTheme="majorHAnsi" w:hAnsiTheme="majorHAnsi"/>
        </w:rPr>
      </w:pPr>
      <w:r w:rsidRPr="007B0751">
        <w:rPr>
          <w:rFonts w:asciiTheme="majorHAnsi" w:hAnsiTheme="majorHAnsi"/>
        </w:rPr>
        <w:t>Geographic disparity – 38.5% in Gaza and 18.2% in West Bank are unemployed</w:t>
      </w:r>
    </w:p>
    <w:p w14:paraId="34F83045" w14:textId="77777777" w:rsidR="00F04445" w:rsidRPr="007B0751" w:rsidRDefault="00F04445" w:rsidP="00F04445">
      <w:pPr>
        <w:pStyle w:val="ListParagraph"/>
        <w:numPr>
          <w:ilvl w:val="0"/>
          <w:numId w:val="28"/>
        </w:numPr>
        <w:rPr>
          <w:rFonts w:asciiTheme="majorHAnsi" w:hAnsiTheme="majorHAnsi"/>
        </w:rPr>
      </w:pPr>
      <w:r w:rsidRPr="007B0751">
        <w:rPr>
          <w:rFonts w:asciiTheme="majorHAnsi" w:hAnsiTheme="majorHAnsi"/>
        </w:rPr>
        <w:t>Gendered impact – 23.1% of men and 33.5% of women are unemployed</w:t>
      </w:r>
    </w:p>
    <w:p w14:paraId="3060943E" w14:textId="77777777" w:rsidR="00F04445" w:rsidRPr="007B0751" w:rsidRDefault="00F04445" w:rsidP="00F04445">
      <w:pPr>
        <w:pStyle w:val="ListParagraph"/>
        <w:numPr>
          <w:ilvl w:val="0"/>
          <w:numId w:val="28"/>
        </w:numPr>
        <w:rPr>
          <w:rFonts w:asciiTheme="majorHAnsi" w:hAnsiTheme="majorHAnsi"/>
        </w:rPr>
      </w:pPr>
      <w:r w:rsidRPr="007B0751">
        <w:rPr>
          <w:rFonts w:asciiTheme="majorHAnsi" w:hAnsiTheme="majorHAnsi"/>
        </w:rPr>
        <w:t>Youth most vulnerable – 43.9% of youth aged 20-24 are unemployed (39.4% of men and 62.1% of women)</w:t>
      </w:r>
    </w:p>
    <w:p w14:paraId="0423EBD0" w14:textId="77777777" w:rsidR="00F04445" w:rsidRPr="007B0751" w:rsidRDefault="00E4625E" w:rsidP="00F04445">
      <w:pPr>
        <w:rPr>
          <w:rFonts w:asciiTheme="majorHAnsi" w:hAnsiTheme="majorHAnsi"/>
          <w:b/>
          <w:i/>
        </w:rPr>
      </w:pPr>
      <w:r w:rsidRPr="007B0751">
        <w:rPr>
          <w:rFonts w:asciiTheme="majorHAnsi" w:hAnsiTheme="majorHAnsi"/>
          <w:b/>
          <w:i/>
        </w:rPr>
        <w:t xml:space="preserve">AMENCA2 aims to facilitate employment, training and internship opportunities for women and youth, in order to facilitate an important first step towards lasting employment. </w:t>
      </w:r>
    </w:p>
    <w:p w14:paraId="711A4381" w14:textId="77777777" w:rsidR="00E4625E" w:rsidRPr="007B0751" w:rsidRDefault="00E4625E" w:rsidP="00F04445">
      <w:pPr>
        <w:rPr>
          <w:rFonts w:asciiTheme="majorHAnsi" w:hAnsiTheme="majorHAnsi"/>
          <w:b/>
          <w:i/>
        </w:rPr>
      </w:pPr>
    </w:p>
    <w:p w14:paraId="179CADDE" w14:textId="0BC643FF" w:rsidR="00F04445" w:rsidRPr="007B0751" w:rsidRDefault="00F04445" w:rsidP="00F04445">
      <w:pPr>
        <w:rPr>
          <w:rFonts w:asciiTheme="majorHAnsi" w:hAnsiTheme="majorHAnsi"/>
          <w:b/>
        </w:rPr>
      </w:pPr>
      <w:r w:rsidRPr="007B0751">
        <w:rPr>
          <w:rFonts w:asciiTheme="majorHAnsi" w:hAnsiTheme="majorHAnsi"/>
        </w:rPr>
        <w:t xml:space="preserve">Collectively, conflict, poverty, high levels of unemployment and underemployment, and stresses related to uncertainty and threats that arise from the lack of political progress have undermined the mental and psychosocial health of Palestinians. This is particularly true in Gaza where the frequency of serious conflict, including loss of life, has children and younger people </w:t>
      </w:r>
      <w:r w:rsidR="00557A32" w:rsidRPr="007B0751">
        <w:rPr>
          <w:rFonts w:asciiTheme="majorHAnsi" w:hAnsiTheme="majorHAnsi"/>
        </w:rPr>
        <w:t>having lived much of their lives</w:t>
      </w:r>
      <w:r w:rsidR="0015420F">
        <w:rPr>
          <w:rFonts w:asciiTheme="majorHAnsi" w:hAnsiTheme="majorHAnsi"/>
        </w:rPr>
        <w:t xml:space="preserve"> </w:t>
      </w:r>
      <w:r w:rsidR="00F62620" w:rsidRPr="007B0751">
        <w:rPr>
          <w:rFonts w:asciiTheme="majorHAnsi" w:hAnsiTheme="majorHAnsi"/>
        </w:rPr>
        <w:t>in a constant cycle of violence.</w:t>
      </w:r>
      <w:r w:rsidR="00FC0803">
        <w:rPr>
          <w:rFonts w:asciiTheme="majorHAnsi" w:hAnsiTheme="majorHAnsi"/>
        </w:rPr>
        <w:t xml:space="preserve"> </w:t>
      </w:r>
      <w:r w:rsidR="00E4625E" w:rsidRPr="007B0751">
        <w:rPr>
          <w:rFonts w:asciiTheme="majorHAnsi" w:hAnsiTheme="majorHAnsi"/>
          <w:b/>
          <w:i/>
        </w:rPr>
        <w:t>AMENCA2</w:t>
      </w:r>
      <w:r w:rsidR="003B3286" w:rsidRPr="007B0751">
        <w:rPr>
          <w:rFonts w:asciiTheme="majorHAnsi" w:hAnsiTheme="majorHAnsi"/>
          <w:b/>
          <w:i/>
        </w:rPr>
        <w:t xml:space="preserve"> is active in addressing mental health and psychosocial support (MHPSS) issues in Gaza, through mainstreaming awareness raising and capacity building within livelihoods activities.</w:t>
      </w:r>
    </w:p>
    <w:p w14:paraId="70C6D6D1" w14:textId="77777777" w:rsidR="00F62620" w:rsidRPr="007B0751" w:rsidRDefault="00F62620" w:rsidP="00F04445">
      <w:pPr>
        <w:rPr>
          <w:rFonts w:asciiTheme="majorHAnsi" w:hAnsiTheme="majorHAnsi"/>
        </w:rPr>
      </w:pPr>
    </w:p>
    <w:p w14:paraId="172C0079" w14:textId="309DBA8E" w:rsidR="00F04445" w:rsidRPr="007B0751" w:rsidRDefault="00F04445" w:rsidP="00F04445">
      <w:pPr>
        <w:rPr>
          <w:rFonts w:asciiTheme="majorHAnsi" w:hAnsiTheme="majorHAnsi"/>
          <w:b/>
          <w:i/>
        </w:rPr>
      </w:pPr>
      <w:r w:rsidRPr="007B0751">
        <w:rPr>
          <w:rFonts w:asciiTheme="majorHAnsi" w:hAnsiTheme="majorHAnsi"/>
        </w:rPr>
        <w:t>Within this overall context, Palestinians see significant opportunity in bringing greater focus to agriculture, which has declined from 12% of GDP in 1995 to just 4.9% in 2012.</w:t>
      </w:r>
      <w:r w:rsidRPr="007B0751">
        <w:rPr>
          <w:rStyle w:val="FootnoteReference"/>
          <w:rFonts w:asciiTheme="majorHAnsi" w:hAnsiTheme="majorHAnsi"/>
        </w:rPr>
        <w:footnoteReference w:id="3"/>
      </w:r>
      <w:r w:rsidRPr="007B0751">
        <w:rPr>
          <w:rFonts w:asciiTheme="majorHAnsi" w:hAnsiTheme="majorHAnsi"/>
        </w:rPr>
        <w:t xml:space="preserve"> This decline has contributed to a situation whereby the UN Food and Agriculture </w:t>
      </w:r>
      <w:proofErr w:type="spellStart"/>
      <w:r w:rsidRPr="007B0751">
        <w:rPr>
          <w:rFonts w:asciiTheme="majorHAnsi" w:hAnsiTheme="majorHAnsi"/>
        </w:rPr>
        <w:t>Organisation</w:t>
      </w:r>
      <w:proofErr w:type="spellEnd"/>
      <w:r w:rsidRPr="007B0751">
        <w:rPr>
          <w:rFonts w:asciiTheme="majorHAnsi" w:hAnsiTheme="majorHAnsi"/>
        </w:rPr>
        <w:t xml:space="preserve"> (FAO) reported for 2013 that 33% of Palestinian households are food insecure – with</w:t>
      </w:r>
      <w:r w:rsidR="00FC0803">
        <w:rPr>
          <w:rFonts w:asciiTheme="majorHAnsi" w:hAnsiTheme="majorHAnsi"/>
        </w:rPr>
        <w:t>, according to some measures,</w:t>
      </w:r>
      <w:r w:rsidRPr="007B0751">
        <w:rPr>
          <w:rFonts w:asciiTheme="majorHAnsi" w:hAnsiTheme="majorHAnsi"/>
        </w:rPr>
        <w:t xml:space="preserve"> 57% of all households in Gaza and 19% in the West Bank not having reliable access to ‘sufficient, safe and nutritious food’</w:t>
      </w:r>
      <w:r w:rsidRPr="007B0751">
        <w:rPr>
          <w:rStyle w:val="FootnoteReference"/>
          <w:rFonts w:asciiTheme="majorHAnsi" w:hAnsiTheme="majorHAnsi"/>
        </w:rPr>
        <w:footnoteReference w:id="4"/>
      </w:r>
      <w:r w:rsidR="00557A32" w:rsidRPr="007B0751">
        <w:rPr>
          <w:rFonts w:asciiTheme="majorHAnsi" w:hAnsiTheme="majorHAnsi"/>
        </w:rPr>
        <w:t>.</w:t>
      </w:r>
      <w:r w:rsidRPr="007B0751">
        <w:rPr>
          <w:rFonts w:asciiTheme="majorHAnsi" w:hAnsiTheme="majorHAnsi"/>
        </w:rPr>
        <w:t xml:space="preserve"> While food insecurity is significantly affected by ‘large scale shocks’ such as military operations and/or the destruction of productive infrastructure, FAO highlights that ‘low to medium scale shocks’ such as weather events, animal and plant diseases, and unreliable access to high quality inputs also have a significant impact on food security. </w:t>
      </w:r>
      <w:r w:rsidR="003B3286" w:rsidRPr="007B0751">
        <w:rPr>
          <w:rFonts w:asciiTheme="majorHAnsi" w:hAnsiTheme="majorHAnsi"/>
          <w:b/>
          <w:i/>
        </w:rPr>
        <w:t>Enhancing food production</w:t>
      </w:r>
      <w:r w:rsidR="00196F5B">
        <w:rPr>
          <w:rFonts w:asciiTheme="majorHAnsi" w:hAnsiTheme="majorHAnsi"/>
          <w:b/>
          <w:i/>
        </w:rPr>
        <w:t xml:space="preserve">, </w:t>
      </w:r>
      <w:r w:rsidR="00196F5B" w:rsidRPr="007B0751">
        <w:rPr>
          <w:rFonts w:asciiTheme="majorHAnsi" w:hAnsiTheme="majorHAnsi"/>
          <w:b/>
          <w:i/>
        </w:rPr>
        <w:t xml:space="preserve">agricultural innovation </w:t>
      </w:r>
      <w:r w:rsidR="003B3286" w:rsidRPr="007B0751">
        <w:rPr>
          <w:rFonts w:asciiTheme="majorHAnsi" w:hAnsiTheme="majorHAnsi"/>
          <w:b/>
          <w:i/>
        </w:rPr>
        <w:t>and household food security are core approaches of partners</w:t>
      </w:r>
      <w:r w:rsidR="00196F5B">
        <w:rPr>
          <w:rFonts w:asciiTheme="majorHAnsi" w:hAnsiTheme="majorHAnsi"/>
          <w:b/>
          <w:i/>
        </w:rPr>
        <w:t>.</w:t>
      </w:r>
    </w:p>
    <w:p w14:paraId="0E1ACED8" w14:textId="77777777" w:rsidR="00F04445" w:rsidRPr="007B0751" w:rsidRDefault="00F04445" w:rsidP="00F04445">
      <w:pPr>
        <w:rPr>
          <w:rFonts w:asciiTheme="majorHAnsi" w:hAnsiTheme="majorHAnsi"/>
        </w:rPr>
      </w:pPr>
    </w:p>
    <w:p w14:paraId="357DE061" w14:textId="2E0AA830" w:rsidR="00F04445" w:rsidRPr="007B0751" w:rsidRDefault="00196F5B" w:rsidP="00F04445">
      <w:pPr>
        <w:rPr>
          <w:rFonts w:asciiTheme="majorHAnsi" w:hAnsiTheme="majorHAnsi"/>
        </w:rPr>
      </w:pPr>
      <w:r>
        <w:rPr>
          <w:rFonts w:asciiTheme="majorHAnsi" w:hAnsiTheme="majorHAnsi"/>
        </w:rPr>
        <w:t>FAO reports that</w:t>
      </w:r>
      <w:r w:rsidR="00F04445" w:rsidRPr="007B0751">
        <w:rPr>
          <w:rFonts w:asciiTheme="majorHAnsi" w:hAnsiTheme="majorHAnsi"/>
        </w:rPr>
        <w:t xml:space="preserve"> ‘the vast majority of producers having witnessed a partial or total (for extreme cases) erosion of their agricultural assets”</w:t>
      </w:r>
      <w:r w:rsidR="00F04445" w:rsidRPr="007B0751">
        <w:rPr>
          <w:rStyle w:val="FootnoteReference"/>
          <w:rFonts w:asciiTheme="majorHAnsi" w:hAnsiTheme="majorHAnsi"/>
        </w:rPr>
        <w:footnoteReference w:id="5"/>
      </w:r>
      <w:r w:rsidR="00F04445" w:rsidRPr="007B0751">
        <w:rPr>
          <w:rFonts w:asciiTheme="majorHAnsi" w:hAnsiTheme="majorHAnsi"/>
        </w:rPr>
        <w:t>. Farmers have lost land, water and trees. Herders have lost grazing land, access to water and have tended to de-</w:t>
      </w:r>
      <w:proofErr w:type="spellStart"/>
      <w:r w:rsidR="00F04445" w:rsidRPr="007B0751">
        <w:rPr>
          <w:rFonts w:asciiTheme="majorHAnsi" w:hAnsiTheme="majorHAnsi"/>
        </w:rPr>
        <w:t>capitalise</w:t>
      </w:r>
      <w:proofErr w:type="spellEnd"/>
      <w:r w:rsidR="00F04445" w:rsidRPr="007B0751">
        <w:rPr>
          <w:rFonts w:asciiTheme="majorHAnsi" w:hAnsiTheme="majorHAnsi"/>
        </w:rPr>
        <w:t xml:space="preserve"> their stock in the face of various economic, environmental and political constraints (e.g. restrictions on movement</w:t>
      </w:r>
      <w:r w:rsidR="00557A32" w:rsidRPr="007B0751">
        <w:rPr>
          <w:rFonts w:asciiTheme="majorHAnsi" w:hAnsiTheme="majorHAnsi"/>
        </w:rPr>
        <w:t xml:space="preserve"> affecting grazing</w:t>
      </w:r>
      <w:r w:rsidR="00F04445" w:rsidRPr="007B0751">
        <w:rPr>
          <w:rFonts w:asciiTheme="majorHAnsi" w:hAnsiTheme="majorHAnsi"/>
        </w:rPr>
        <w:t>). And fishers have lost significant access to sea and fishing assets owing to Gaza’s fishing limit being reduced from 20 to</w:t>
      </w:r>
      <w:r w:rsidR="000C4620">
        <w:rPr>
          <w:rFonts w:asciiTheme="majorHAnsi" w:hAnsiTheme="majorHAnsi"/>
        </w:rPr>
        <w:t xml:space="preserve"> </w:t>
      </w:r>
      <w:r>
        <w:rPr>
          <w:rFonts w:asciiTheme="majorHAnsi" w:hAnsiTheme="majorHAnsi"/>
        </w:rPr>
        <w:t xml:space="preserve">just </w:t>
      </w:r>
      <w:r w:rsidR="000C4620">
        <w:rPr>
          <w:rFonts w:asciiTheme="majorHAnsi" w:hAnsiTheme="majorHAnsi"/>
        </w:rPr>
        <w:t xml:space="preserve">three </w:t>
      </w:r>
      <w:r w:rsidR="00F04445" w:rsidRPr="007B0751">
        <w:rPr>
          <w:rFonts w:asciiTheme="majorHAnsi" w:hAnsiTheme="majorHAnsi"/>
        </w:rPr>
        <w:t xml:space="preserve">nautical miles today. </w:t>
      </w:r>
      <w:r w:rsidR="000C4620" w:rsidRPr="007B0751">
        <w:rPr>
          <w:rFonts w:asciiTheme="majorHAnsi" w:hAnsiTheme="majorHAnsi"/>
        </w:rPr>
        <w:t>C</w:t>
      </w:r>
      <w:r w:rsidR="000C4620">
        <w:rPr>
          <w:rFonts w:asciiTheme="majorHAnsi" w:hAnsiTheme="majorHAnsi"/>
        </w:rPr>
        <w:t xml:space="preserve">entral </w:t>
      </w:r>
      <w:r w:rsidR="00F04445" w:rsidRPr="007B0751">
        <w:rPr>
          <w:rFonts w:asciiTheme="majorHAnsi" w:hAnsiTheme="majorHAnsi"/>
        </w:rPr>
        <w:t xml:space="preserve">to the </w:t>
      </w:r>
      <w:r w:rsidR="000C4620">
        <w:rPr>
          <w:rFonts w:asciiTheme="majorHAnsi" w:hAnsiTheme="majorHAnsi"/>
        </w:rPr>
        <w:t xml:space="preserve">overall </w:t>
      </w:r>
      <w:r w:rsidR="00F04445" w:rsidRPr="007B0751">
        <w:rPr>
          <w:rFonts w:asciiTheme="majorHAnsi" w:hAnsiTheme="majorHAnsi"/>
        </w:rPr>
        <w:t xml:space="preserve">decline in agriculture has been </w:t>
      </w:r>
      <w:r w:rsidR="002A71CE">
        <w:rPr>
          <w:rFonts w:asciiTheme="majorHAnsi" w:hAnsiTheme="majorHAnsi"/>
        </w:rPr>
        <w:t>the</w:t>
      </w:r>
      <w:r w:rsidR="00F04445" w:rsidRPr="007B0751">
        <w:rPr>
          <w:rFonts w:asciiTheme="majorHAnsi" w:hAnsiTheme="majorHAnsi"/>
        </w:rPr>
        <w:t xml:space="preserve"> lack of capacity within many households to cope with shocks, and an inability </w:t>
      </w:r>
      <w:r>
        <w:rPr>
          <w:rFonts w:asciiTheme="majorHAnsi" w:hAnsiTheme="majorHAnsi"/>
        </w:rPr>
        <w:t xml:space="preserve">to </w:t>
      </w:r>
      <w:r w:rsidR="00F04445" w:rsidRPr="007B0751">
        <w:rPr>
          <w:rFonts w:asciiTheme="majorHAnsi" w:hAnsiTheme="majorHAnsi"/>
        </w:rPr>
        <w:t>adapt accordingly</w:t>
      </w:r>
      <w:r w:rsidR="000C4620">
        <w:rPr>
          <w:rFonts w:asciiTheme="majorHAnsi" w:hAnsiTheme="majorHAnsi"/>
        </w:rPr>
        <w:t xml:space="preserve">. </w:t>
      </w:r>
      <w:r w:rsidR="002A71CE">
        <w:rPr>
          <w:rFonts w:asciiTheme="majorHAnsi" w:hAnsiTheme="majorHAnsi"/>
        </w:rPr>
        <w:t xml:space="preserve">This manifests itself in farmers choosing low risk- low yielding farming options, given risks involved with </w:t>
      </w:r>
      <w:r w:rsidR="00FC0803">
        <w:rPr>
          <w:rFonts w:asciiTheme="majorHAnsi" w:hAnsiTheme="majorHAnsi"/>
        </w:rPr>
        <w:t>invest</w:t>
      </w:r>
      <w:r w:rsidR="002A71CE">
        <w:rPr>
          <w:rFonts w:asciiTheme="majorHAnsi" w:hAnsiTheme="majorHAnsi"/>
        </w:rPr>
        <w:t>ing</w:t>
      </w:r>
      <w:r w:rsidR="00FC0803">
        <w:rPr>
          <w:rFonts w:asciiTheme="majorHAnsi" w:hAnsiTheme="majorHAnsi"/>
        </w:rPr>
        <w:t xml:space="preserve"> to </w:t>
      </w:r>
      <w:proofErr w:type="spellStart"/>
      <w:r w:rsidR="002A71CE">
        <w:rPr>
          <w:rFonts w:asciiTheme="majorHAnsi" w:hAnsiTheme="majorHAnsi"/>
        </w:rPr>
        <w:t>modernis</w:t>
      </w:r>
      <w:r w:rsidR="00FC0803">
        <w:rPr>
          <w:rFonts w:asciiTheme="majorHAnsi" w:hAnsiTheme="majorHAnsi"/>
        </w:rPr>
        <w:t>e</w:t>
      </w:r>
      <w:proofErr w:type="spellEnd"/>
      <w:r w:rsidR="00FC0803">
        <w:rPr>
          <w:rFonts w:asciiTheme="majorHAnsi" w:hAnsiTheme="majorHAnsi"/>
        </w:rPr>
        <w:t xml:space="preserve"> agricultural production</w:t>
      </w:r>
      <w:r w:rsidR="002A71CE">
        <w:rPr>
          <w:rFonts w:asciiTheme="majorHAnsi" w:hAnsiTheme="majorHAnsi"/>
        </w:rPr>
        <w:t>.</w:t>
      </w:r>
    </w:p>
    <w:p w14:paraId="3915ADA6" w14:textId="77777777" w:rsidR="00F04445" w:rsidRPr="007B0751" w:rsidRDefault="00F04445" w:rsidP="00F04445">
      <w:pPr>
        <w:rPr>
          <w:rFonts w:asciiTheme="majorHAnsi" w:hAnsiTheme="majorHAnsi"/>
        </w:rPr>
      </w:pPr>
    </w:p>
    <w:p w14:paraId="0FB38CEE" w14:textId="44C3DADB" w:rsidR="00F04445" w:rsidRPr="007B0751" w:rsidRDefault="00F04445" w:rsidP="00F04445">
      <w:pPr>
        <w:rPr>
          <w:rFonts w:asciiTheme="majorHAnsi" w:hAnsiTheme="majorHAnsi"/>
          <w:b/>
          <w:i/>
        </w:rPr>
      </w:pPr>
      <w:r w:rsidRPr="007B0751">
        <w:rPr>
          <w:rFonts w:asciiTheme="majorHAnsi" w:hAnsiTheme="majorHAnsi"/>
        </w:rPr>
        <w:t>Despite this, Palestinians have a rich history of making extremely marginal land productive. It is also the case that many of th</w:t>
      </w:r>
      <w:r w:rsidR="00557A32" w:rsidRPr="007B0751">
        <w:rPr>
          <w:rFonts w:asciiTheme="majorHAnsi" w:hAnsiTheme="majorHAnsi"/>
        </w:rPr>
        <w:t>os</w:t>
      </w:r>
      <w:r w:rsidRPr="007B0751">
        <w:rPr>
          <w:rFonts w:asciiTheme="majorHAnsi" w:hAnsiTheme="majorHAnsi"/>
        </w:rPr>
        <w:t>e</w:t>
      </w:r>
      <w:r w:rsidR="00557A32" w:rsidRPr="007B0751">
        <w:rPr>
          <w:rFonts w:asciiTheme="majorHAnsi" w:hAnsiTheme="majorHAnsi"/>
        </w:rPr>
        <w:t xml:space="preserve"> who are now</w:t>
      </w:r>
      <w:r w:rsidRPr="007B0751">
        <w:rPr>
          <w:rFonts w:asciiTheme="majorHAnsi" w:hAnsiTheme="majorHAnsi"/>
        </w:rPr>
        <w:t xml:space="preserve"> unemployed </w:t>
      </w:r>
      <w:r w:rsidR="00557A32" w:rsidRPr="007B0751">
        <w:rPr>
          <w:rFonts w:asciiTheme="majorHAnsi" w:hAnsiTheme="majorHAnsi"/>
        </w:rPr>
        <w:t xml:space="preserve">in the PTs </w:t>
      </w:r>
      <w:r w:rsidRPr="007B0751">
        <w:rPr>
          <w:rFonts w:asciiTheme="majorHAnsi" w:hAnsiTheme="majorHAnsi"/>
        </w:rPr>
        <w:t xml:space="preserve">were previously laboring on </w:t>
      </w:r>
      <w:r w:rsidR="00557A32" w:rsidRPr="007B0751">
        <w:rPr>
          <w:rFonts w:asciiTheme="majorHAnsi" w:hAnsiTheme="majorHAnsi"/>
        </w:rPr>
        <w:t>Israeli farms</w:t>
      </w:r>
      <w:r w:rsidRPr="007B0751">
        <w:rPr>
          <w:rFonts w:asciiTheme="majorHAnsi" w:hAnsiTheme="majorHAnsi"/>
        </w:rPr>
        <w:t xml:space="preserve"> where cutting edge agricultural techniques are practiced, suggesting </w:t>
      </w:r>
      <w:r w:rsidR="00557A32" w:rsidRPr="007B0751">
        <w:rPr>
          <w:rFonts w:asciiTheme="majorHAnsi" w:hAnsiTheme="majorHAnsi"/>
        </w:rPr>
        <w:t xml:space="preserve">a potential pool of skilled </w:t>
      </w:r>
      <w:proofErr w:type="spellStart"/>
      <w:r w:rsidR="00557A32" w:rsidRPr="007B0751">
        <w:rPr>
          <w:rFonts w:asciiTheme="majorHAnsi" w:hAnsiTheme="majorHAnsi"/>
        </w:rPr>
        <w:t>labour</w:t>
      </w:r>
      <w:proofErr w:type="spellEnd"/>
      <w:r w:rsidR="00557A32" w:rsidRPr="007B0751">
        <w:rPr>
          <w:rFonts w:asciiTheme="majorHAnsi" w:hAnsiTheme="majorHAnsi"/>
        </w:rPr>
        <w:t xml:space="preserve"> being available </w:t>
      </w:r>
      <w:r w:rsidRPr="007B0751">
        <w:rPr>
          <w:rFonts w:asciiTheme="majorHAnsi" w:hAnsiTheme="majorHAnsi"/>
        </w:rPr>
        <w:t>for innovation if constraints of capital and water can be addressed.</w:t>
      </w:r>
      <w:r w:rsidR="00FC0803">
        <w:rPr>
          <w:rFonts w:asciiTheme="majorHAnsi" w:hAnsiTheme="majorHAnsi"/>
        </w:rPr>
        <w:t xml:space="preserve"> </w:t>
      </w:r>
      <w:r w:rsidR="003B3286" w:rsidRPr="007B0751">
        <w:rPr>
          <w:rFonts w:asciiTheme="majorHAnsi" w:hAnsiTheme="majorHAnsi"/>
          <w:b/>
          <w:i/>
        </w:rPr>
        <w:t xml:space="preserve">AMENCA2 has invested heavily in </w:t>
      </w:r>
      <w:r w:rsidR="00E20630" w:rsidRPr="007B0751">
        <w:rPr>
          <w:rFonts w:asciiTheme="majorHAnsi" w:hAnsiTheme="majorHAnsi"/>
          <w:b/>
          <w:i/>
        </w:rPr>
        <w:t xml:space="preserve">building (and rebuilding) the necessary infrastructure for agricultural enhancement and innovation. </w:t>
      </w:r>
    </w:p>
    <w:p w14:paraId="76322ED8" w14:textId="77777777" w:rsidR="00F04445" w:rsidRPr="007B0751" w:rsidRDefault="00F04445" w:rsidP="00F04445">
      <w:pPr>
        <w:rPr>
          <w:rFonts w:asciiTheme="majorHAnsi" w:hAnsiTheme="majorHAnsi"/>
        </w:rPr>
      </w:pPr>
    </w:p>
    <w:p w14:paraId="7E3C10FF" w14:textId="521F86B9" w:rsidR="00F04445" w:rsidRPr="007B0751" w:rsidRDefault="00E2648A" w:rsidP="00F04445">
      <w:pPr>
        <w:rPr>
          <w:rFonts w:asciiTheme="majorHAnsi" w:hAnsiTheme="majorHAnsi"/>
          <w:b/>
          <w:i/>
        </w:rPr>
      </w:pPr>
      <w:r>
        <w:rPr>
          <w:rFonts w:asciiTheme="majorHAnsi" w:hAnsiTheme="majorHAnsi"/>
        </w:rPr>
        <w:t>Certain</w:t>
      </w:r>
      <w:r w:rsidR="00196F5B">
        <w:rPr>
          <w:rFonts w:asciiTheme="majorHAnsi" w:hAnsiTheme="majorHAnsi"/>
        </w:rPr>
        <w:t xml:space="preserve"> </w:t>
      </w:r>
      <w:r w:rsidR="00F04445" w:rsidRPr="007B0751">
        <w:rPr>
          <w:rFonts w:asciiTheme="majorHAnsi" w:hAnsiTheme="majorHAnsi"/>
        </w:rPr>
        <w:t>population sub groups are disproportionately impacted by shocks. Food insecurity is particularly present in ‘low resilience’ households, with almost 86% of such households reliant on ‘aid’ in 2011.</w:t>
      </w:r>
      <w:r w:rsidR="00FC0803">
        <w:rPr>
          <w:rFonts w:asciiTheme="majorHAnsi" w:hAnsiTheme="majorHAnsi"/>
        </w:rPr>
        <w:t xml:space="preserve"> </w:t>
      </w:r>
      <w:r w:rsidR="00E20630" w:rsidRPr="007B0751">
        <w:rPr>
          <w:rFonts w:asciiTheme="majorHAnsi" w:hAnsiTheme="majorHAnsi"/>
          <w:b/>
          <w:i/>
        </w:rPr>
        <w:t xml:space="preserve">Small scale integrated home gardens have been established for </w:t>
      </w:r>
      <w:r>
        <w:rPr>
          <w:rFonts w:asciiTheme="majorHAnsi" w:hAnsiTheme="majorHAnsi"/>
          <w:b/>
          <w:i/>
        </w:rPr>
        <w:t xml:space="preserve">poor </w:t>
      </w:r>
      <w:r w:rsidR="00E20630" w:rsidRPr="007B0751">
        <w:rPr>
          <w:rFonts w:asciiTheme="majorHAnsi" w:hAnsiTheme="majorHAnsi"/>
          <w:b/>
          <w:i/>
        </w:rPr>
        <w:t xml:space="preserve">women, enhancing both their productive and economic capacity. </w:t>
      </w:r>
    </w:p>
    <w:p w14:paraId="616502A4" w14:textId="77777777" w:rsidR="00F04445" w:rsidRPr="007B0751" w:rsidRDefault="00F04445" w:rsidP="00F04445">
      <w:pPr>
        <w:rPr>
          <w:rFonts w:asciiTheme="majorHAnsi" w:hAnsiTheme="majorHAnsi"/>
        </w:rPr>
      </w:pPr>
    </w:p>
    <w:p w14:paraId="7B233F17" w14:textId="0D17E385" w:rsidR="00F04445" w:rsidRPr="007B0751" w:rsidRDefault="00371710" w:rsidP="00F04445">
      <w:pPr>
        <w:rPr>
          <w:rFonts w:asciiTheme="majorHAnsi" w:hAnsiTheme="majorHAnsi"/>
          <w:b/>
          <w:i/>
        </w:rPr>
      </w:pPr>
      <w:r>
        <w:rPr>
          <w:rFonts w:asciiTheme="majorHAnsi" w:hAnsiTheme="majorHAnsi"/>
        </w:rPr>
        <w:t>A</w:t>
      </w:r>
      <w:r w:rsidR="00F04445" w:rsidRPr="007B0751">
        <w:rPr>
          <w:rFonts w:asciiTheme="majorHAnsi" w:hAnsiTheme="majorHAnsi"/>
        </w:rPr>
        <w:t xml:space="preserve">griculture has been </w:t>
      </w:r>
      <w:r w:rsidR="00E2648A">
        <w:rPr>
          <w:rFonts w:asciiTheme="majorHAnsi" w:hAnsiTheme="majorHAnsi"/>
        </w:rPr>
        <w:t>given greater</w:t>
      </w:r>
      <w:r w:rsidR="00F04445" w:rsidRPr="007B0751">
        <w:rPr>
          <w:rFonts w:asciiTheme="majorHAnsi" w:hAnsiTheme="majorHAnsi"/>
        </w:rPr>
        <w:t xml:space="preserve"> prominence in the </w:t>
      </w:r>
      <w:r>
        <w:rPr>
          <w:rFonts w:asciiTheme="majorHAnsi" w:hAnsiTheme="majorHAnsi"/>
        </w:rPr>
        <w:t>NDP</w:t>
      </w:r>
      <w:r w:rsidR="00F04445" w:rsidRPr="007B0751">
        <w:rPr>
          <w:rFonts w:asciiTheme="majorHAnsi" w:hAnsiTheme="majorHAnsi"/>
        </w:rPr>
        <w:t xml:space="preserve"> for 2014-16. That prominence is operationalized in a National Agriculture Sector Strategy for 2014-16 focused on </w:t>
      </w:r>
      <w:r w:rsidR="00E2648A">
        <w:rPr>
          <w:rFonts w:asciiTheme="majorHAnsi" w:hAnsiTheme="majorHAnsi"/>
        </w:rPr>
        <w:t>‘</w:t>
      </w:r>
      <w:r w:rsidR="00F04445" w:rsidRPr="007B0751">
        <w:rPr>
          <w:rFonts w:asciiTheme="majorHAnsi" w:hAnsiTheme="majorHAnsi"/>
        </w:rPr>
        <w:t xml:space="preserve">Resilience and Development’. Within that Strategy is an ambition to increase employment opportunities within the agricultural sector, add greater value to agricultural produce, and to support innovation in the face of a series of complex constraints. </w:t>
      </w:r>
      <w:r w:rsidR="00E20630" w:rsidRPr="007B0751">
        <w:rPr>
          <w:rFonts w:asciiTheme="majorHAnsi" w:hAnsiTheme="majorHAnsi"/>
          <w:b/>
          <w:i/>
        </w:rPr>
        <w:t>AMENCA partners work to reduce costs and add value to agricultural produce.</w:t>
      </w:r>
    </w:p>
    <w:p w14:paraId="12385CAE" w14:textId="77777777" w:rsidR="00F04445" w:rsidRPr="007B0751" w:rsidRDefault="00F04445" w:rsidP="00F04445">
      <w:pPr>
        <w:rPr>
          <w:rFonts w:asciiTheme="majorHAnsi" w:hAnsiTheme="majorHAnsi"/>
        </w:rPr>
      </w:pPr>
    </w:p>
    <w:p w14:paraId="1748347D" w14:textId="306891D9" w:rsidR="00F04445" w:rsidRPr="007B0751" w:rsidRDefault="00F04445" w:rsidP="00F04445">
      <w:pPr>
        <w:rPr>
          <w:rFonts w:asciiTheme="majorHAnsi" w:hAnsiTheme="majorHAnsi"/>
        </w:rPr>
      </w:pPr>
      <w:r w:rsidRPr="007B0751">
        <w:rPr>
          <w:rFonts w:asciiTheme="majorHAnsi" w:hAnsiTheme="majorHAnsi"/>
        </w:rPr>
        <w:t xml:space="preserve">Given current political uncertainty and lack of progress on ‘final status negotiations’, greater recognition is being placed on the efficacy of local level interventions </w:t>
      </w:r>
      <w:r w:rsidR="00E20630" w:rsidRPr="007B0751">
        <w:rPr>
          <w:rFonts w:asciiTheme="majorHAnsi" w:hAnsiTheme="majorHAnsi"/>
        </w:rPr>
        <w:t xml:space="preserve">such as AMENCA that </w:t>
      </w:r>
      <w:r w:rsidRPr="007B0751">
        <w:rPr>
          <w:rFonts w:asciiTheme="majorHAnsi" w:hAnsiTheme="majorHAnsi"/>
        </w:rPr>
        <w:t xml:space="preserve">focus on improving livelihoods and food security; capacity building; </w:t>
      </w:r>
      <w:r w:rsidR="00E20630" w:rsidRPr="007B0751">
        <w:rPr>
          <w:rFonts w:asciiTheme="majorHAnsi" w:hAnsiTheme="majorHAnsi"/>
        </w:rPr>
        <w:t xml:space="preserve">local employment; </w:t>
      </w:r>
      <w:r w:rsidRPr="007B0751">
        <w:rPr>
          <w:rFonts w:asciiTheme="majorHAnsi" w:hAnsiTheme="majorHAnsi"/>
        </w:rPr>
        <w:t xml:space="preserve">strengthening </w:t>
      </w:r>
      <w:r w:rsidR="00E20630" w:rsidRPr="007B0751">
        <w:rPr>
          <w:rFonts w:asciiTheme="majorHAnsi" w:hAnsiTheme="majorHAnsi"/>
        </w:rPr>
        <w:t xml:space="preserve">of local institutions; </w:t>
      </w:r>
      <w:r w:rsidRPr="007B0751">
        <w:rPr>
          <w:rFonts w:asciiTheme="majorHAnsi" w:hAnsiTheme="majorHAnsi"/>
        </w:rPr>
        <w:t>and supporting innovations around production</w:t>
      </w:r>
      <w:r w:rsidR="00371710">
        <w:rPr>
          <w:rFonts w:asciiTheme="majorHAnsi" w:hAnsiTheme="majorHAnsi"/>
        </w:rPr>
        <w:t>, value adding</w:t>
      </w:r>
      <w:r w:rsidRPr="007B0751">
        <w:rPr>
          <w:rFonts w:asciiTheme="majorHAnsi" w:hAnsiTheme="majorHAnsi"/>
        </w:rPr>
        <w:t xml:space="preserve"> and value </w:t>
      </w:r>
      <w:r w:rsidR="00F62620" w:rsidRPr="007B0751">
        <w:rPr>
          <w:rFonts w:asciiTheme="majorHAnsi" w:hAnsiTheme="majorHAnsi"/>
        </w:rPr>
        <w:t>chain</w:t>
      </w:r>
      <w:r w:rsidR="00E20630" w:rsidRPr="007B0751">
        <w:rPr>
          <w:rFonts w:asciiTheme="majorHAnsi" w:hAnsiTheme="majorHAnsi"/>
        </w:rPr>
        <w:t xml:space="preserve">, since these offer </w:t>
      </w:r>
      <w:r w:rsidR="00F62620" w:rsidRPr="007B0751">
        <w:rPr>
          <w:rFonts w:asciiTheme="majorHAnsi" w:hAnsiTheme="majorHAnsi"/>
        </w:rPr>
        <w:t>som</w:t>
      </w:r>
      <w:r w:rsidRPr="007B0751">
        <w:rPr>
          <w:rFonts w:asciiTheme="majorHAnsi" w:hAnsiTheme="majorHAnsi"/>
        </w:rPr>
        <w:t>e of the few opportunities for meaningful and effective ‘development’ at this point in time</w:t>
      </w:r>
      <w:r w:rsidR="00E20630" w:rsidRPr="007B0751">
        <w:rPr>
          <w:rFonts w:asciiTheme="majorHAnsi" w:hAnsiTheme="majorHAnsi"/>
        </w:rPr>
        <w:t xml:space="preserve"> given the current political impasse</w:t>
      </w:r>
      <w:r w:rsidRPr="007B0751">
        <w:rPr>
          <w:rFonts w:asciiTheme="majorHAnsi" w:hAnsiTheme="majorHAnsi"/>
        </w:rPr>
        <w:t>.</w:t>
      </w:r>
    </w:p>
    <w:p w14:paraId="48125881" w14:textId="77777777" w:rsidR="00F62620" w:rsidRPr="007B0751" w:rsidRDefault="00F62620" w:rsidP="00F04445">
      <w:pPr>
        <w:rPr>
          <w:rFonts w:asciiTheme="majorHAnsi" w:hAnsiTheme="majorHAnsi"/>
        </w:rPr>
      </w:pPr>
    </w:p>
    <w:p w14:paraId="02DA3671" w14:textId="2B38F48E" w:rsidR="00F62620" w:rsidRPr="007B0751" w:rsidRDefault="00F62620" w:rsidP="00F04445">
      <w:pPr>
        <w:rPr>
          <w:rFonts w:asciiTheme="majorHAnsi" w:hAnsiTheme="majorHAnsi"/>
          <w:b/>
          <w:i/>
        </w:rPr>
      </w:pPr>
      <w:r w:rsidRPr="007B0751">
        <w:rPr>
          <w:rFonts w:asciiTheme="majorHAnsi" w:hAnsiTheme="majorHAnsi"/>
        </w:rPr>
        <w:t>P</w:t>
      </w:r>
      <w:r w:rsidR="00EA1AD2">
        <w:rPr>
          <w:rFonts w:asciiTheme="majorHAnsi" w:hAnsiTheme="majorHAnsi"/>
        </w:rPr>
        <w:t>NGOs have long been</w:t>
      </w:r>
      <w:r w:rsidR="00E20630" w:rsidRPr="007B0751">
        <w:rPr>
          <w:rFonts w:asciiTheme="majorHAnsi" w:hAnsiTheme="majorHAnsi"/>
        </w:rPr>
        <w:t xml:space="preserve"> a uniquely </w:t>
      </w:r>
      <w:r w:rsidRPr="007B0751">
        <w:rPr>
          <w:rFonts w:asciiTheme="majorHAnsi" w:hAnsiTheme="majorHAnsi"/>
        </w:rPr>
        <w:t>import</w:t>
      </w:r>
      <w:r w:rsidR="00557A32" w:rsidRPr="007B0751">
        <w:rPr>
          <w:rFonts w:asciiTheme="majorHAnsi" w:hAnsiTheme="majorHAnsi"/>
        </w:rPr>
        <w:t xml:space="preserve">ant development partner given </w:t>
      </w:r>
      <w:r w:rsidR="00EA1AD2">
        <w:rPr>
          <w:rFonts w:asciiTheme="majorHAnsi" w:hAnsiTheme="majorHAnsi"/>
        </w:rPr>
        <w:t>their</w:t>
      </w:r>
      <w:r w:rsidRPr="007B0751">
        <w:rPr>
          <w:rFonts w:asciiTheme="majorHAnsi" w:hAnsiTheme="majorHAnsi"/>
        </w:rPr>
        <w:t xml:space="preserve"> high capacity</w:t>
      </w:r>
      <w:r w:rsidR="00EA1AD2">
        <w:rPr>
          <w:rFonts w:asciiTheme="majorHAnsi" w:hAnsiTheme="majorHAnsi"/>
        </w:rPr>
        <w:t xml:space="preserve">, and on again-off again </w:t>
      </w:r>
      <w:r w:rsidRPr="007B0751">
        <w:rPr>
          <w:rFonts w:asciiTheme="majorHAnsi" w:hAnsiTheme="majorHAnsi"/>
        </w:rPr>
        <w:t xml:space="preserve">restrictions </w:t>
      </w:r>
      <w:r w:rsidR="003D23B7" w:rsidRPr="007B0751">
        <w:rPr>
          <w:rFonts w:asciiTheme="majorHAnsi" w:hAnsiTheme="majorHAnsi"/>
        </w:rPr>
        <w:t xml:space="preserve">in </w:t>
      </w:r>
      <w:r w:rsidR="006C7809" w:rsidRPr="007B0751">
        <w:rPr>
          <w:rFonts w:asciiTheme="majorHAnsi" w:hAnsiTheme="majorHAnsi"/>
        </w:rPr>
        <w:t>relation to working with the P</w:t>
      </w:r>
      <w:r w:rsidR="00371710">
        <w:rPr>
          <w:rFonts w:asciiTheme="majorHAnsi" w:hAnsiTheme="majorHAnsi"/>
        </w:rPr>
        <w:t>A</w:t>
      </w:r>
      <w:r w:rsidR="006C7809" w:rsidRPr="007B0751">
        <w:rPr>
          <w:rFonts w:asciiTheme="majorHAnsi" w:hAnsiTheme="majorHAnsi"/>
        </w:rPr>
        <w:t xml:space="preserve">. Frequent use of Palestinian NGOs as service delivery agents has contributed to the emergence of several large, very capable and highly organized PNGOs, many of which are active in AMENCA2. </w:t>
      </w:r>
      <w:r w:rsidR="00E20630" w:rsidRPr="007B0751">
        <w:rPr>
          <w:rFonts w:asciiTheme="majorHAnsi" w:hAnsiTheme="majorHAnsi"/>
          <w:b/>
          <w:i/>
        </w:rPr>
        <w:t xml:space="preserve">AMENCA2 ensures </w:t>
      </w:r>
      <w:r w:rsidR="00EA1AD2" w:rsidRPr="007B0751">
        <w:rPr>
          <w:rFonts w:asciiTheme="majorHAnsi" w:hAnsiTheme="majorHAnsi"/>
          <w:b/>
          <w:i/>
        </w:rPr>
        <w:t xml:space="preserve">Palestinian civil society partners </w:t>
      </w:r>
      <w:r w:rsidR="00BC6806" w:rsidRPr="007B0751">
        <w:rPr>
          <w:rFonts w:asciiTheme="majorHAnsi" w:hAnsiTheme="majorHAnsi"/>
          <w:b/>
          <w:i/>
        </w:rPr>
        <w:t xml:space="preserve">access to </w:t>
      </w:r>
      <w:proofErr w:type="spellStart"/>
      <w:r w:rsidR="00BC6806" w:rsidRPr="007B0751">
        <w:rPr>
          <w:rFonts w:asciiTheme="majorHAnsi" w:hAnsiTheme="majorHAnsi"/>
          <w:b/>
          <w:i/>
        </w:rPr>
        <w:t>multi year</w:t>
      </w:r>
      <w:proofErr w:type="spellEnd"/>
      <w:r w:rsidR="00BC6806" w:rsidRPr="007B0751">
        <w:rPr>
          <w:rFonts w:asciiTheme="majorHAnsi" w:hAnsiTheme="majorHAnsi"/>
          <w:b/>
          <w:i/>
        </w:rPr>
        <w:t xml:space="preserve"> resources</w:t>
      </w:r>
      <w:r w:rsidR="00EA1AD2">
        <w:rPr>
          <w:rFonts w:asciiTheme="majorHAnsi" w:hAnsiTheme="majorHAnsi"/>
          <w:b/>
          <w:i/>
        </w:rPr>
        <w:t xml:space="preserve"> </w:t>
      </w:r>
      <w:r w:rsidR="00BC6806" w:rsidRPr="007B0751">
        <w:rPr>
          <w:rFonts w:asciiTheme="majorHAnsi" w:hAnsiTheme="majorHAnsi"/>
          <w:b/>
          <w:i/>
        </w:rPr>
        <w:t>and allows for their further strengthening through</w:t>
      </w:r>
      <w:r w:rsidR="00EA1AD2">
        <w:rPr>
          <w:rFonts w:asciiTheme="majorHAnsi" w:hAnsiTheme="majorHAnsi"/>
          <w:b/>
          <w:i/>
        </w:rPr>
        <w:t xml:space="preserve"> targeted</w:t>
      </w:r>
      <w:r w:rsidR="00BC6806" w:rsidRPr="007B0751">
        <w:rPr>
          <w:rFonts w:asciiTheme="majorHAnsi" w:hAnsiTheme="majorHAnsi"/>
          <w:b/>
          <w:i/>
        </w:rPr>
        <w:t xml:space="preserve"> capacity building</w:t>
      </w:r>
      <w:r w:rsidR="00C664D9">
        <w:rPr>
          <w:rFonts w:asciiTheme="majorHAnsi" w:hAnsiTheme="majorHAnsi"/>
          <w:b/>
          <w:i/>
        </w:rPr>
        <w:t>.</w:t>
      </w:r>
      <w:r w:rsidR="00BC6806" w:rsidRPr="007B0751">
        <w:rPr>
          <w:rFonts w:asciiTheme="majorHAnsi" w:hAnsiTheme="majorHAnsi"/>
          <w:b/>
          <w:i/>
        </w:rPr>
        <w:t xml:space="preserve"> </w:t>
      </w:r>
    </w:p>
    <w:p w14:paraId="08673DE8" w14:textId="77777777" w:rsidR="00F04445" w:rsidRPr="007B0751" w:rsidRDefault="00F04445" w:rsidP="00F04445">
      <w:pPr>
        <w:rPr>
          <w:rFonts w:asciiTheme="majorHAnsi" w:hAnsiTheme="majorHAnsi"/>
        </w:rPr>
      </w:pPr>
    </w:p>
    <w:p w14:paraId="7BBEB13D" w14:textId="77777777" w:rsidR="00F04445" w:rsidRPr="007B0751" w:rsidRDefault="00F04445" w:rsidP="00F04445">
      <w:pPr>
        <w:rPr>
          <w:rFonts w:asciiTheme="majorHAnsi" w:hAnsiTheme="majorHAnsi"/>
        </w:rPr>
      </w:pPr>
      <w:r w:rsidRPr="007B0751">
        <w:rPr>
          <w:rFonts w:asciiTheme="majorHAnsi" w:hAnsiTheme="majorHAnsi"/>
        </w:rPr>
        <w:t>Australia's aid program</w:t>
      </w:r>
      <w:r w:rsidR="00DE5698" w:rsidRPr="007B0751">
        <w:rPr>
          <w:rFonts w:asciiTheme="majorHAnsi" w:hAnsiTheme="majorHAnsi"/>
        </w:rPr>
        <w:t xml:space="preserve"> in the PTs</w:t>
      </w:r>
      <w:r w:rsidRPr="007B0751">
        <w:rPr>
          <w:rStyle w:val="FootnoteReference"/>
          <w:rFonts w:asciiTheme="majorHAnsi" w:hAnsiTheme="majorHAnsi"/>
        </w:rPr>
        <w:footnoteReference w:id="6"/>
      </w:r>
      <w:r w:rsidRPr="007B0751">
        <w:rPr>
          <w:rFonts w:asciiTheme="majorHAnsi" w:hAnsiTheme="majorHAnsi"/>
        </w:rPr>
        <w:t xml:space="preserve"> responds </w:t>
      </w:r>
      <w:proofErr w:type="gramStart"/>
      <w:r w:rsidRPr="007B0751">
        <w:rPr>
          <w:rFonts w:asciiTheme="majorHAnsi" w:hAnsiTheme="majorHAnsi"/>
        </w:rPr>
        <w:t>to</w:t>
      </w:r>
      <w:proofErr w:type="gramEnd"/>
      <w:r w:rsidR="00DE5698" w:rsidRPr="007B0751">
        <w:rPr>
          <w:rFonts w:asciiTheme="majorHAnsi" w:hAnsiTheme="majorHAnsi"/>
        </w:rPr>
        <w:t xml:space="preserve"> much of</w:t>
      </w:r>
      <w:r w:rsidRPr="007B0751">
        <w:rPr>
          <w:rFonts w:asciiTheme="majorHAnsi" w:hAnsiTheme="majorHAnsi"/>
        </w:rPr>
        <w:t xml:space="preserve"> the above by placing priority on: </w:t>
      </w:r>
    </w:p>
    <w:p w14:paraId="5DA27EB0" w14:textId="77777777" w:rsidR="00F04445" w:rsidRPr="007B0751" w:rsidRDefault="00F04445" w:rsidP="00F04445">
      <w:pPr>
        <w:pStyle w:val="NormalWeb"/>
        <w:numPr>
          <w:ilvl w:val="0"/>
          <w:numId w:val="26"/>
        </w:numPr>
        <w:spacing w:before="0" w:beforeAutospacing="0" w:after="0" w:afterAutospacing="0"/>
        <w:rPr>
          <w:rFonts w:asciiTheme="majorHAnsi" w:hAnsiTheme="majorHAnsi"/>
          <w:sz w:val="22"/>
        </w:rPr>
      </w:pPr>
      <w:r w:rsidRPr="007B0751">
        <w:rPr>
          <w:rFonts w:asciiTheme="majorHAnsi" w:hAnsiTheme="majorHAnsi"/>
          <w:sz w:val="22"/>
        </w:rPr>
        <w:t xml:space="preserve">Provision of basic services and humanitarian and emergency assistance to refugees and other vulnerable groups </w:t>
      </w:r>
    </w:p>
    <w:p w14:paraId="3DE31B80" w14:textId="77777777" w:rsidR="00F04445" w:rsidRPr="007B0751" w:rsidRDefault="00F04445" w:rsidP="00F04445">
      <w:pPr>
        <w:pStyle w:val="NormalWeb"/>
        <w:numPr>
          <w:ilvl w:val="0"/>
          <w:numId w:val="26"/>
        </w:numPr>
        <w:spacing w:before="0" w:beforeAutospacing="0" w:after="0" w:afterAutospacing="0"/>
        <w:rPr>
          <w:rFonts w:asciiTheme="majorHAnsi" w:hAnsiTheme="majorHAnsi"/>
          <w:sz w:val="22"/>
        </w:rPr>
      </w:pPr>
      <w:r w:rsidRPr="007B0751">
        <w:rPr>
          <w:rFonts w:asciiTheme="majorHAnsi" w:hAnsiTheme="majorHAnsi"/>
          <w:sz w:val="22"/>
        </w:rPr>
        <w:t xml:space="preserve">state-building and support for the peace process, with a focus on improving the governance and capacity of the Palestinian Authority </w:t>
      </w:r>
    </w:p>
    <w:p w14:paraId="4CA2D71D" w14:textId="0B39E6D5" w:rsidR="00F04445" w:rsidRPr="007B0751" w:rsidRDefault="00F04445" w:rsidP="00F04445">
      <w:pPr>
        <w:pStyle w:val="NormalWeb"/>
        <w:numPr>
          <w:ilvl w:val="0"/>
          <w:numId w:val="26"/>
        </w:numPr>
        <w:spacing w:before="0" w:beforeAutospacing="0" w:after="0" w:afterAutospacing="0"/>
        <w:rPr>
          <w:rFonts w:asciiTheme="majorHAnsi" w:hAnsiTheme="majorHAnsi"/>
          <w:sz w:val="22"/>
        </w:rPr>
      </w:pPr>
      <w:r w:rsidRPr="007B0751">
        <w:rPr>
          <w:rFonts w:asciiTheme="majorHAnsi" w:hAnsiTheme="majorHAnsi"/>
          <w:sz w:val="22"/>
        </w:rPr>
        <w:t xml:space="preserve">developing civil society, with a focus on reducing vulnerability, particularly for Palestinian women, children and youth </w:t>
      </w:r>
    </w:p>
    <w:p w14:paraId="1E2356AB" w14:textId="77777777" w:rsidR="00F04445" w:rsidRPr="007B0751" w:rsidRDefault="00F04445" w:rsidP="00F04445">
      <w:pPr>
        <w:rPr>
          <w:rFonts w:asciiTheme="majorHAnsi" w:hAnsiTheme="majorHAnsi"/>
        </w:rPr>
      </w:pPr>
    </w:p>
    <w:p w14:paraId="4CC09D83" w14:textId="77777777" w:rsidR="00F04445" w:rsidRPr="007B0751" w:rsidRDefault="00F04445" w:rsidP="00F04445">
      <w:pPr>
        <w:rPr>
          <w:rFonts w:asciiTheme="majorHAnsi" w:hAnsiTheme="majorHAnsi"/>
        </w:rPr>
      </w:pPr>
      <w:r w:rsidRPr="007B0751">
        <w:rPr>
          <w:rFonts w:asciiTheme="majorHAnsi" w:hAnsiTheme="majorHAnsi"/>
        </w:rPr>
        <w:t>These priorities are progressed through actions clustered under the related objectives of:</w:t>
      </w:r>
    </w:p>
    <w:p w14:paraId="146777B2" w14:textId="77777777" w:rsidR="00F04445" w:rsidRPr="007B0751" w:rsidRDefault="00F04445" w:rsidP="00F04445">
      <w:pPr>
        <w:pStyle w:val="ListParagraph"/>
        <w:numPr>
          <w:ilvl w:val="0"/>
          <w:numId w:val="27"/>
        </w:numPr>
        <w:rPr>
          <w:rFonts w:asciiTheme="majorHAnsi" w:eastAsia="MS Mincho" w:hAnsiTheme="majorHAnsi"/>
        </w:rPr>
      </w:pPr>
      <w:r w:rsidRPr="007B0751">
        <w:rPr>
          <w:rFonts w:asciiTheme="majorHAnsi" w:eastAsia="MS Mincho" w:hAnsiTheme="majorHAnsi"/>
        </w:rPr>
        <w:t>Supporting sustainable economic growth including helping rural communities and vulnerable groups overcome poverty</w:t>
      </w:r>
    </w:p>
    <w:p w14:paraId="6067979E" w14:textId="77777777" w:rsidR="00F04445" w:rsidRPr="007B0751" w:rsidRDefault="00F04445" w:rsidP="00F04445">
      <w:pPr>
        <w:pStyle w:val="ListParagraph"/>
        <w:numPr>
          <w:ilvl w:val="0"/>
          <w:numId w:val="27"/>
        </w:numPr>
        <w:rPr>
          <w:rFonts w:asciiTheme="majorHAnsi" w:eastAsia="MS Mincho" w:hAnsiTheme="majorHAnsi"/>
        </w:rPr>
      </w:pPr>
      <w:r w:rsidRPr="007B0751">
        <w:rPr>
          <w:rFonts w:asciiTheme="majorHAnsi" w:eastAsia="MS Mincho" w:hAnsiTheme="majorHAnsi"/>
        </w:rPr>
        <w:t>Supporting state building and the peace process</w:t>
      </w:r>
    </w:p>
    <w:p w14:paraId="01306BD5" w14:textId="77777777" w:rsidR="006634A1" w:rsidRPr="007B0751" w:rsidRDefault="006634A1" w:rsidP="00F04445">
      <w:pPr>
        <w:rPr>
          <w:rFonts w:asciiTheme="majorHAnsi" w:hAnsiTheme="majorHAnsi"/>
        </w:rPr>
      </w:pPr>
    </w:p>
    <w:p w14:paraId="39A57F47" w14:textId="77777777" w:rsidR="00F04445" w:rsidRPr="007B0751" w:rsidRDefault="00F04445" w:rsidP="00F04445">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t>3.</w:t>
      </w:r>
      <w:r w:rsidRPr="007B0751">
        <w:rPr>
          <w:rFonts w:asciiTheme="majorHAnsi" w:hAnsiTheme="majorHAnsi" w:cs="Arial"/>
          <w:b/>
          <w:color w:val="1F497D"/>
          <w:sz w:val="28"/>
          <w:szCs w:val="28"/>
          <w:lang w:val="en-GB"/>
        </w:rPr>
        <w:tab/>
        <w:t>Constraints</w:t>
      </w:r>
    </w:p>
    <w:p w14:paraId="1D10A9C7" w14:textId="50E1F2F4" w:rsidR="00F04445" w:rsidRPr="007B0751" w:rsidRDefault="00BC6806" w:rsidP="00F04445">
      <w:pPr>
        <w:rPr>
          <w:rFonts w:asciiTheme="majorHAnsi" w:hAnsiTheme="majorHAnsi"/>
        </w:rPr>
      </w:pPr>
      <w:r w:rsidRPr="007B0751">
        <w:rPr>
          <w:rFonts w:asciiTheme="majorHAnsi" w:hAnsiTheme="majorHAnsi"/>
          <w:lang w:val="en-GB"/>
        </w:rPr>
        <w:t>Various constraints affected this Review</w:t>
      </w:r>
      <w:r w:rsidR="00F04445" w:rsidRPr="007B0751">
        <w:rPr>
          <w:rFonts w:asciiTheme="majorHAnsi" w:hAnsiTheme="majorHAnsi"/>
          <w:lang w:val="en-GB"/>
        </w:rPr>
        <w:t xml:space="preserve">. </w:t>
      </w:r>
      <w:r w:rsidR="00F04445" w:rsidRPr="007B0751">
        <w:rPr>
          <w:rFonts w:asciiTheme="majorHAnsi" w:hAnsiTheme="majorHAnsi"/>
        </w:rPr>
        <w:t xml:space="preserve">AMENCA2 is a complex and diverse program </w:t>
      </w:r>
      <w:r w:rsidR="00DE5698" w:rsidRPr="007B0751">
        <w:rPr>
          <w:rFonts w:asciiTheme="majorHAnsi" w:hAnsiTheme="majorHAnsi"/>
        </w:rPr>
        <w:t xml:space="preserve">now in its sixth year of implementation, </w:t>
      </w:r>
      <w:r w:rsidR="00F04445" w:rsidRPr="007B0751">
        <w:rPr>
          <w:rFonts w:asciiTheme="majorHAnsi" w:hAnsiTheme="majorHAnsi"/>
        </w:rPr>
        <w:t>operating across the very different environment</w:t>
      </w:r>
      <w:r w:rsidR="00DE5698" w:rsidRPr="007B0751">
        <w:rPr>
          <w:rFonts w:asciiTheme="majorHAnsi" w:hAnsiTheme="majorHAnsi"/>
        </w:rPr>
        <w:t>s of West Bank and Gaza</w:t>
      </w:r>
      <w:r w:rsidR="00F04445" w:rsidRPr="007B0751">
        <w:rPr>
          <w:rFonts w:asciiTheme="majorHAnsi" w:hAnsiTheme="majorHAnsi"/>
        </w:rPr>
        <w:t xml:space="preserve">. It is implemented by four different </w:t>
      </w:r>
      <w:proofErr w:type="spellStart"/>
      <w:r w:rsidR="00F04445" w:rsidRPr="007B0751">
        <w:rPr>
          <w:rFonts w:asciiTheme="majorHAnsi" w:hAnsiTheme="majorHAnsi"/>
        </w:rPr>
        <w:t>organisations</w:t>
      </w:r>
      <w:proofErr w:type="spellEnd"/>
      <w:r w:rsidR="00F04445" w:rsidRPr="007B0751">
        <w:rPr>
          <w:rFonts w:asciiTheme="majorHAnsi" w:hAnsiTheme="majorHAnsi"/>
        </w:rPr>
        <w:t>, each with their own program logic</w:t>
      </w:r>
      <w:r w:rsidR="00DE5698" w:rsidRPr="007B0751">
        <w:rPr>
          <w:rFonts w:asciiTheme="majorHAnsi" w:hAnsiTheme="majorHAnsi"/>
        </w:rPr>
        <w:t xml:space="preserve"> and theory of change. Each of the four </w:t>
      </w:r>
      <w:proofErr w:type="gramStart"/>
      <w:r w:rsidR="00F04445" w:rsidRPr="007B0751">
        <w:rPr>
          <w:rFonts w:asciiTheme="majorHAnsi" w:hAnsiTheme="majorHAnsi"/>
        </w:rPr>
        <w:t>work</w:t>
      </w:r>
      <w:proofErr w:type="gramEnd"/>
      <w:r w:rsidR="00F04445" w:rsidRPr="007B0751">
        <w:rPr>
          <w:rFonts w:asciiTheme="majorHAnsi" w:hAnsiTheme="majorHAnsi"/>
        </w:rPr>
        <w:t xml:space="preserve"> in collaboration with </w:t>
      </w:r>
      <w:r w:rsidR="00DE5698" w:rsidRPr="007B0751">
        <w:rPr>
          <w:rFonts w:asciiTheme="majorHAnsi" w:hAnsiTheme="majorHAnsi"/>
        </w:rPr>
        <w:t xml:space="preserve">and enter into contracts with </w:t>
      </w:r>
      <w:r w:rsidR="00F04445" w:rsidRPr="007B0751">
        <w:rPr>
          <w:rFonts w:asciiTheme="majorHAnsi" w:hAnsiTheme="majorHAnsi"/>
        </w:rPr>
        <w:t xml:space="preserve">multiple partners at both PNGO and </w:t>
      </w:r>
      <w:r w:rsidR="00DE5698" w:rsidRPr="007B0751">
        <w:rPr>
          <w:rFonts w:asciiTheme="majorHAnsi" w:hAnsiTheme="majorHAnsi"/>
        </w:rPr>
        <w:t>CBO levels. Inevitably, a</w:t>
      </w:r>
      <w:r w:rsidR="00F04445" w:rsidRPr="007B0751">
        <w:rPr>
          <w:rFonts w:asciiTheme="majorHAnsi" w:hAnsiTheme="majorHAnsi"/>
        </w:rPr>
        <w:t xml:space="preserve"> program </w:t>
      </w:r>
      <w:r w:rsidR="00DE5698" w:rsidRPr="007B0751">
        <w:rPr>
          <w:rFonts w:asciiTheme="majorHAnsi" w:hAnsiTheme="majorHAnsi"/>
        </w:rPr>
        <w:t xml:space="preserve">of such scale </w:t>
      </w:r>
      <w:r w:rsidR="00F04445" w:rsidRPr="007B0751">
        <w:rPr>
          <w:rFonts w:asciiTheme="majorHAnsi" w:hAnsiTheme="majorHAnsi"/>
        </w:rPr>
        <w:t>has initiated an extraordinarily broad array of activities and approaches over its six years, including important achievements that cannot easily be quantified. Setbacks to program progress caused by conflict present another complex area of enquiry.</w:t>
      </w:r>
    </w:p>
    <w:p w14:paraId="234DF436" w14:textId="77777777" w:rsidR="00F04445" w:rsidRPr="007B0751" w:rsidRDefault="00F04445" w:rsidP="00F04445">
      <w:pPr>
        <w:rPr>
          <w:rFonts w:asciiTheme="majorHAnsi" w:hAnsiTheme="majorHAnsi"/>
        </w:rPr>
      </w:pPr>
    </w:p>
    <w:p w14:paraId="009E88F3" w14:textId="007B4186" w:rsidR="00F04445" w:rsidRPr="007B0751" w:rsidRDefault="00F04445" w:rsidP="00F04445">
      <w:pPr>
        <w:rPr>
          <w:rFonts w:asciiTheme="majorHAnsi" w:hAnsiTheme="majorHAnsi"/>
        </w:rPr>
      </w:pPr>
      <w:r w:rsidRPr="007B0751">
        <w:rPr>
          <w:rFonts w:asciiTheme="majorHAnsi" w:hAnsiTheme="majorHAnsi"/>
        </w:rPr>
        <w:t xml:space="preserve">For various reasons, the Review was significantly constrained for time with only eleven days available for in-country consultations, including meetings with Palestinian authorities and other important development actors. This presented several challenges for the </w:t>
      </w:r>
      <w:r w:rsidR="00BC6806" w:rsidRPr="007B0751">
        <w:rPr>
          <w:rFonts w:asciiTheme="majorHAnsi" w:hAnsiTheme="majorHAnsi"/>
        </w:rPr>
        <w:t xml:space="preserve">Review, </w:t>
      </w:r>
      <w:r w:rsidRPr="007B0751">
        <w:rPr>
          <w:rFonts w:asciiTheme="majorHAnsi" w:hAnsiTheme="majorHAnsi"/>
        </w:rPr>
        <w:t xml:space="preserve">given the breadth of the overall program and the sheer number of activities commenced during it. </w:t>
      </w:r>
      <w:proofErr w:type="gramStart"/>
      <w:r w:rsidR="00DE5698" w:rsidRPr="007B0751">
        <w:rPr>
          <w:rFonts w:asciiTheme="majorHAnsi" w:hAnsiTheme="majorHAnsi"/>
        </w:rPr>
        <w:t>T</w:t>
      </w:r>
      <w:r w:rsidR="00BC6806" w:rsidRPr="007B0751">
        <w:rPr>
          <w:rFonts w:asciiTheme="majorHAnsi" w:hAnsiTheme="majorHAnsi"/>
        </w:rPr>
        <w:t>ime</w:t>
      </w:r>
      <w:r w:rsidRPr="007B0751">
        <w:rPr>
          <w:rFonts w:asciiTheme="majorHAnsi" w:hAnsiTheme="majorHAnsi"/>
        </w:rPr>
        <w:t xml:space="preserve"> also severely restricted </w:t>
      </w:r>
      <w:r w:rsidR="00BC6806" w:rsidRPr="007B0751">
        <w:rPr>
          <w:rFonts w:asciiTheme="majorHAnsi" w:hAnsiTheme="majorHAnsi"/>
        </w:rPr>
        <w:t xml:space="preserve">opportunities for </w:t>
      </w:r>
      <w:r w:rsidRPr="007B0751">
        <w:rPr>
          <w:rFonts w:asciiTheme="majorHAnsi" w:hAnsiTheme="majorHAnsi"/>
        </w:rPr>
        <w:t>direct interaction with program beneficiaries, beyond the few identified by the implementing partners.</w:t>
      </w:r>
      <w:proofErr w:type="gramEnd"/>
      <w:r w:rsidRPr="007B0751">
        <w:rPr>
          <w:rFonts w:asciiTheme="majorHAnsi" w:hAnsiTheme="majorHAnsi"/>
        </w:rPr>
        <w:t xml:space="preserve"> </w:t>
      </w:r>
      <w:r w:rsidR="00B370FF" w:rsidRPr="007B0751">
        <w:rPr>
          <w:rFonts w:asciiTheme="majorHAnsi" w:hAnsiTheme="majorHAnsi"/>
          <w:lang w:val="en-GB"/>
        </w:rPr>
        <w:t xml:space="preserve">Security issues (and public holidays) were also constraints on the </w:t>
      </w:r>
      <w:r w:rsidR="00B370FF">
        <w:rPr>
          <w:rFonts w:asciiTheme="majorHAnsi" w:hAnsiTheme="majorHAnsi"/>
          <w:lang w:val="en-GB"/>
        </w:rPr>
        <w:t>R</w:t>
      </w:r>
      <w:r w:rsidR="00B370FF" w:rsidRPr="007B0751">
        <w:rPr>
          <w:rFonts w:asciiTheme="majorHAnsi" w:hAnsiTheme="majorHAnsi"/>
          <w:lang w:val="en-GB"/>
        </w:rPr>
        <w:t>eview, restricting access to Gaza based activities to just three visits of just three hours each</w:t>
      </w:r>
      <w:r w:rsidR="00B370FF">
        <w:rPr>
          <w:rFonts w:asciiTheme="majorHAnsi" w:hAnsiTheme="majorHAnsi"/>
          <w:lang w:val="en-GB"/>
        </w:rPr>
        <w:t xml:space="preserve"> (meaning that WV’s activities were observed for only six hours in total).</w:t>
      </w:r>
    </w:p>
    <w:p w14:paraId="5CF870C6" w14:textId="77777777" w:rsidR="004573D3" w:rsidRPr="007B0751" w:rsidRDefault="004573D3" w:rsidP="00F04445">
      <w:pPr>
        <w:rPr>
          <w:rFonts w:asciiTheme="majorHAnsi" w:hAnsiTheme="majorHAnsi"/>
        </w:rPr>
      </w:pPr>
    </w:p>
    <w:p w14:paraId="420B32FF" w14:textId="69516AB6" w:rsidR="004573D3" w:rsidRPr="007B0751" w:rsidRDefault="004573D3" w:rsidP="00F04445">
      <w:pPr>
        <w:rPr>
          <w:rFonts w:asciiTheme="majorHAnsi" w:hAnsiTheme="majorHAnsi"/>
        </w:rPr>
      </w:pPr>
      <w:r w:rsidRPr="007B0751">
        <w:rPr>
          <w:rFonts w:asciiTheme="majorHAnsi" w:hAnsiTheme="majorHAnsi"/>
        </w:rPr>
        <w:t xml:space="preserve">Given these constraints, this Review </w:t>
      </w:r>
      <w:r w:rsidR="00442406">
        <w:rPr>
          <w:rFonts w:asciiTheme="majorHAnsi" w:hAnsiTheme="majorHAnsi"/>
        </w:rPr>
        <w:t xml:space="preserve">is designed </w:t>
      </w:r>
      <w:r w:rsidR="003B3319">
        <w:rPr>
          <w:rFonts w:asciiTheme="majorHAnsi" w:hAnsiTheme="majorHAnsi"/>
        </w:rPr>
        <w:t xml:space="preserve">to </w:t>
      </w:r>
      <w:r w:rsidRPr="007B0751">
        <w:rPr>
          <w:rFonts w:asciiTheme="majorHAnsi" w:hAnsiTheme="majorHAnsi"/>
        </w:rPr>
        <w:t>reflect on</w:t>
      </w:r>
      <w:r w:rsidR="00BC6806" w:rsidRPr="007B0751">
        <w:rPr>
          <w:rFonts w:asciiTheme="majorHAnsi" w:hAnsiTheme="majorHAnsi"/>
        </w:rPr>
        <w:t>ly on</w:t>
      </w:r>
      <w:r w:rsidRPr="007B0751">
        <w:rPr>
          <w:rFonts w:asciiTheme="majorHAnsi" w:hAnsiTheme="majorHAnsi"/>
        </w:rPr>
        <w:t xml:space="preserve"> Program level achievements</w:t>
      </w:r>
      <w:r w:rsidR="003B3319">
        <w:rPr>
          <w:rFonts w:asciiTheme="majorHAnsi" w:hAnsiTheme="majorHAnsi"/>
        </w:rPr>
        <w:t xml:space="preserve">, and should not be read as </w:t>
      </w:r>
      <w:r w:rsidR="00BC6806" w:rsidRPr="007B0751">
        <w:rPr>
          <w:rFonts w:asciiTheme="majorHAnsi" w:hAnsiTheme="majorHAnsi"/>
        </w:rPr>
        <w:t>any form of detailed,</w:t>
      </w:r>
      <w:r w:rsidR="00442406">
        <w:rPr>
          <w:rFonts w:asciiTheme="majorHAnsi" w:hAnsiTheme="majorHAnsi"/>
        </w:rPr>
        <w:t xml:space="preserve"> </w:t>
      </w:r>
      <w:r w:rsidR="00592621" w:rsidRPr="007B0751">
        <w:rPr>
          <w:rFonts w:asciiTheme="majorHAnsi" w:hAnsiTheme="majorHAnsi"/>
        </w:rPr>
        <w:t xml:space="preserve">analysis of the </w:t>
      </w:r>
      <w:r w:rsidR="00442406">
        <w:rPr>
          <w:rFonts w:asciiTheme="majorHAnsi" w:hAnsiTheme="majorHAnsi"/>
        </w:rPr>
        <w:t>individual</w:t>
      </w:r>
      <w:r w:rsidR="00592621" w:rsidRPr="007B0751">
        <w:rPr>
          <w:rFonts w:asciiTheme="majorHAnsi" w:hAnsiTheme="majorHAnsi"/>
        </w:rPr>
        <w:t xml:space="preserve"> projects.</w:t>
      </w:r>
      <w:r w:rsidR="003B3319">
        <w:rPr>
          <w:rFonts w:asciiTheme="majorHAnsi" w:hAnsiTheme="majorHAnsi"/>
        </w:rPr>
        <w:t xml:space="preserve"> </w:t>
      </w:r>
      <w:r w:rsidR="00442406">
        <w:rPr>
          <w:rFonts w:asciiTheme="majorHAnsi" w:hAnsiTheme="majorHAnsi"/>
        </w:rPr>
        <w:t xml:space="preserve">Program resources exist for independent evaluations of each of the four projects. </w:t>
      </w:r>
    </w:p>
    <w:p w14:paraId="5DD3E237" w14:textId="77777777" w:rsidR="006634A1" w:rsidRPr="007B0751" w:rsidRDefault="006634A1" w:rsidP="00F04445">
      <w:pPr>
        <w:rPr>
          <w:rFonts w:asciiTheme="majorHAnsi" w:hAnsiTheme="majorHAnsi"/>
          <w:b/>
        </w:rPr>
      </w:pPr>
    </w:p>
    <w:p w14:paraId="249A45E7" w14:textId="77777777" w:rsidR="00F04445" w:rsidRPr="007B0751" w:rsidRDefault="00F04445" w:rsidP="00F04445">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t>4.</w:t>
      </w:r>
      <w:r w:rsidRPr="007B0751">
        <w:rPr>
          <w:rFonts w:asciiTheme="majorHAnsi" w:hAnsiTheme="majorHAnsi" w:cs="Arial"/>
          <w:b/>
          <w:color w:val="1F497D"/>
          <w:sz w:val="28"/>
          <w:szCs w:val="28"/>
          <w:lang w:val="en-GB"/>
        </w:rPr>
        <w:tab/>
        <w:t>Methodology</w:t>
      </w:r>
    </w:p>
    <w:p w14:paraId="4D78744D" w14:textId="3BBD1A13" w:rsidR="00F04445" w:rsidRPr="007B0751" w:rsidRDefault="00F04445" w:rsidP="00F04445">
      <w:pPr>
        <w:rPr>
          <w:rFonts w:asciiTheme="majorHAnsi" w:hAnsiTheme="majorHAnsi"/>
          <w:szCs w:val="22"/>
          <w:lang w:val="en-GB"/>
        </w:rPr>
      </w:pPr>
      <w:r w:rsidRPr="007B0751">
        <w:rPr>
          <w:rFonts w:asciiTheme="majorHAnsi" w:hAnsiTheme="majorHAnsi"/>
          <w:szCs w:val="22"/>
          <w:lang w:val="en-GB"/>
        </w:rPr>
        <w:t>The Review methodology was largely dictated by the constraints described above.  These demanded an overall approach a</w:t>
      </w:r>
      <w:r w:rsidR="00492416" w:rsidRPr="007B0751">
        <w:rPr>
          <w:rFonts w:asciiTheme="majorHAnsi" w:hAnsiTheme="majorHAnsi"/>
          <w:szCs w:val="22"/>
          <w:lang w:val="en-GB"/>
        </w:rPr>
        <w:t xml:space="preserve">imed </w:t>
      </w:r>
      <w:r w:rsidR="003B3319">
        <w:rPr>
          <w:rFonts w:asciiTheme="majorHAnsi" w:hAnsiTheme="majorHAnsi"/>
          <w:szCs w:val="22"/>
          <w:lang w:val="en-GB"/>
        </w:rPr>
        <w:t>at</w:t>
      </w:r>
      <w:r w:rsidR="003B3319" w:rsidRPr="007B0751">
        <w:rPr>
          <w:rFonts w:asciiTheme="majorHAnsi" w:hAnsiTheme="majorHAnsi"/>
          <w:szCs w:val="22"/>
          <w:lang w:val="en-GB"/>
        </w:rPr>
        <w:t xml:space="preserve"> achiev</w:t>
      </w:r>
      <w:r w:rsidR="003B3319">
        <w:rPr>
          <w:rFonts w:asciiTheme="majorHAnsi" w:hAnsiTheme="majorHAnsi"/>
          <w:szCs w:val="22"/>
          <w:lang w:val="en-GB"/>
        </w:rPr>
        <w:t>ing</w:t>
      </w:r>
      <w:r w:rsidR="003B3319" w:rsidRPr="007B0751">
        <w:rPr>
          <w:rFonts w:asciiTheme="majorHAnsi" w:hAnsiTheme="majorHAnsi"/>
          <w:szCs w:val="22"/>
          <w:lang w:val="en-GB"/>
        </w:rPr>
        <w:t xml:space="preserve"> </w:t>
      </w:r>
      <w:r w:rsidR="00492416" w:rsidRPr="007B0751">
        <w:rPr>
          <w:rFonts w:asciiTheme="majorHAnsi" w:hAnsiTheme="majorHAnsi"/>
          <w:szCs w:val="22"/>
          <w:lang w:val="en-GB"/>
        </w:rPr>
        <w:t xml:space="preserve">as clear as possible an overview of the </w:t>
      </w:r>
      <w:r w:rsidR="00F02094">
        <w:rPr>
          <w:rFonts w:asciiTheme="majorHAnsi" w:hAnsiTheme="majorHAnsi"/>
          <w:szCs w:val="22"/>
          <w:lang w:val="en-GB"/>
        </w:rPr>
        <w:t xml:space="preserve">contribution of partners’ approaches to the Program’s objectives, utilising the </w:t>
      </w:r>
      <w:r w:rsidRPr="007B0751">
        <w:rPr>
          <w:rFonts w:asciiTheme="majorHAnsi" w:hAnsiTheme="majorHAnsi"/>
          <w:szCs w:val="22"/>
          <w:lang w:val="en-GB"/>
        </w:rPr>
        <w:t>lens of the lead evaluation questions related to relevance, effectiveness, efficiency and sustainability.</w:t>
      </w:r>
    </w:p>
    <w:p w14:paraId="21128F75" w14:textId="77777777" w:rsidR="00F04445" w:rsidRPr="007B0751" w:rsidRDefault="00F04445" w:rsidP="00F04445">
      <w:pPr>
        <w:rPr>
          <w:rFonts w:asciiTheme="majorHAnsi" w:hAnsiTheme="majorHAnsi"/>
          <w:szCs w:val="22"/>
          <w:lang w:val="en-GB"/>
        </w:rPr>
      </w:pPr>
    </w:p>
    <w:p w14:paraId="60163B0B" w14:textId="648B887D" w:rsidR="00F04445" w:rsidRPr="007B0751" w:rsidRDefault="00F04445" w:rsidP="00F04445">
      <w:pPr>
        <w:rPr>
          <w:rFonts w:asciiTheme="majorHAnsi" w:hAnsiTheme="majorHAnsi"/>
          <w:szCs w:val="22"/>
          <w:lang w:val="en-GB"/>
        </w:rPr>
      </w:pPr>
      <w:r w:rsidRPr="007B0751">
        <w:rPr>
          <w:rFonts w:asciiTheme="majorHAnsi" w:hAnsiTheme="majorHAnsi"/>
          <w:szCs w:val="22"/>
          <w:lang w:val="en-GB"/>
        </w:rPr>
        <w:t xml:space="preserve">The Review commenced with a review of the vast database of reporting and case studies that have been generated </w:t>
      </w:r>
      <w:r w:rsidR="00492416" w:rsidRPr="007B0751">
        <w:rPr>
          <w:rFonts w:asciiTheme="majorHAnsi" w:hAnsiTheme="majorHAnsi"/>
          <w:szCs w:val="22"/>
          <w:lang w:val="en-GB"/>
        </w:rPr>
        <w:t>at project and program levels.</w:t>
      </w:r>
      <w:r w:rsidRPr="007B0751">
        <w:rPr>
          <w:rFonts w:asciiTheme="majorHAnsi" w:hAnsiTheme="majorHAnsi"/>
          <w:szCs w:val="22"/>
          <w:lang w:val="en-GB"/>
        </w:rPr>
        <w:t xml:space="preserve"> This was followed by meetings with Australian based staff of the participating NGOs </w:t>
      </w:r>
      <w:r w:rsidR="00F02094">
        <w:rPr>
          <w:rFonts w:asciiTheme="majorHAnsi" w:hAnsiTheme="majorHAnsi"/>
          <w:szCs w:val="22"/>
          <w:lang w:val="en-GB"/>
        </w:rPr>
        <w:t xml:space="preserve">to attain a </w:t>
      </w:r>
      <w:r w:rsidRPr="007B0751">
        <w:rPr>
          <w:rFonts w:asciiTheme="majorHAnsi" w:hAnsiTheme="majorHAnsi"/>
          <w:szCs w:val="22"/>
          <w:lang w:val="en-GB"/>
        </w:rPr>
        <w:t>‘head office’ perspective. In Canberra, a half day</w:t>
      </w:r>
      <w:r w:rsidR="00371D10">
        <w:rPr>
          <w:rFonts w:asciiTheme="majorHAnsi" w:hAnsiTheme="majorHAnsi"/>
          <w:szCs w:val="22"/>
          <w:lang w:val="en-GB"/>
        </w:rPr>
        <w:t xml:space="preserve"> </w:t>
      </w:r>
      <w:r w:rsidR="00DF524D" w:rsidRPr="007B0751">
        <w:rPr>
          <w:rFonts w:asciiTheme="majorHAnsi" w:hAnsiTheme="majorHAnsi"/>
          <w:szCs w:val="22"/>
          <w:lang w:val="en-GB"/>
        </w:rPr>
        <w:t xml:space="preserve">briefing was organised by </w:t>
      </w:r>
      <w:r w:rsidRPr="007B0751">
        <w:rPr>
          <w:rFonts w:asciiTheme="majorHAnsi" w:hAnsiTheme="majorHAnsi"/>
          <w:szCs w:val="22"/>
          <w:lang w:val="en-GB"/>
        </w:rPr>
        <w:t>DFAT</w:t>
      </w:r>
      <w:r w:rsidR="00DF524D" w:rsidRPr="007B0751">
        <w:rPr>
          <w:rFonts w:asciiTheme="majorHAnsi" w:hAnsiTheme="majorHAnsi"/>
          <w:szCs w:val="22"/>
          <w:lang w:val="en-GB"/>
        </w:rPr>
        <w:t>’s</w:t>
      </w:r>
      <w:r w:rsidRPr="007B0751">
        <w:rPr>
          <w:rFonts w:asciiTheme="majorHAnsi" w:hAnsiTheme="majorHAnsi"/>
          <w:szCs w:val="22"/>
          <w:lang w:val="en-GB"/>
        </w:rPr>
        <w:t xml:space="preserve"> Middle East and North Africa Programs team, </w:t>
      </w:r>
      <w:r w:rsidR="00DE5698" w:rsidRPr="007B0751">
        <w:rPr>
          <w:rFonts w:asciiTheme="majorHAnsi" w:hAnsiTheme="majorHAnsi"/>
          <w:szCs w:val="22"/>
          <w:lang w:val="en-GB"/>
        </w:rPr>
        <w:t>includ</w:t>
      </w:r>
      <w:r w:rsidR="00F02094">
        <w:rPr>
          <w:rFonts w:asciiTheme="majorHAnsi" w:hAnsiTheme="majorHAnsi"/>
          <w:szCs w:val="22"/>
          <w:lang w:val="en-GB"/>
        </w:rPr>
        <w:t>ing</w:t>
      </w:r>
      <w:r w:rsidR="00DE5698" w:rsidRPr="007B0751">
        <w:rPr>
          <w:rFonts w:asciiTheme="majorHAnsi" w:hAnsiTheme="majorHAnsi"/>
          <w:szCs w:val="22"/>
          <w:lang w:val="en-GB"/>
        </w:rPr>
        <w:t xml:space="preserve"> meetings </w:t>
      </w:r>
      <w:r w:rsidR="00DF524D" w:rsidRPr="007B0751">
        <w:rPr>
          <w:rFonts w:asciiTheme="majorHAnsi" w:hAnsiTheme="majorHAnsi"/>
          <w:szCs w:val="22"/>
          <w:lang w:val="en-GB"/>
        </w:rPr>
        <w:t xml:space="preserve">with </w:t>
      </w:r>
      <w:r w:rsidR="00492416" w:rsidRPr="007B0751">
        <w:rPr>
          <w:rFonts w:asciiTheme="majorHAnsi" w:hAnsiTheme="majorHAnsi"/>
          <w:szCs w:val="22"/>
          <w:lang w:val="en-GB"/>
        </w:rPr>
        <w:t xml:space="preserve">other </w:t>
      </w:r>
      <w:r w:rsidRPr="007B0751">
        <w:rPr>
          <w:rFonts w:asciiTheme="majorHAnsi" w:hAnsiTheme="majorHAnsi"/>
          <w:szCs w:val="22"/>
          <w:lang w:val="en-GB"/>
        </w:rPr>
        <w:t>DFAT staff</w:t>
      </w:r>
      <w:r w:rsidR="00492416" w:rsidRPr="007B0751">
        <w:rPr>
          <w:rFonts w:asciiTheme="majorHAnsi" w:hAnsiTheme="majorHAnsi"/>
          <w:szCs w:val="22"/>
          <w:lang w:val="en-GB"/>
        </w:rPr>
        <w:t xml:space="preserve"> interest</w:t>
      </w:r>
      <w:r w:rsidR="00F02094">
        <w:rPr>
          <w:rFonts w:asciiTheme="majorHAnsi" w:hAnsiTheme="majorHAnsi"/>
          <w:szCs w:val="22"/>
          <w:lang w:val="en-GB"/>
        </w:rPr>
        <w:t>ed</w:t>
      </w:r>
      <w:r w:rsidR="00492416" w:rsidRPr="007B0751">
        <w:rPr>
          <w:rFonts w:asciiTheme="majorHAnsi" w:hAnsiTheme="majorHAnsi"/>
          <w:szCs w:val="22"/>
          <w:lang w:val="en-GB"/>
        </w:rPr>
        <w:t xml:space="preserve"> in AMENCA2</w:t>
      </w:r>
      <w:r w:rsidRPr="007B0751">
        <w:rPr>
          <w:rFonts w:asciiTheme="majorHAnsi" w:hAnsiTheme="majorHAnsi"/>
          <w:szCs w:val="22"/>
          <w:lang w:val="en-GB"/>
        </w:rPr>
        <w:t xml:space="preserve">. </w:t>
      </w:r>
    </w:p>
    <w:p w14:paraId="4FE3F009" w14:textId="77777777" w:rsidR="00F04445" w:rsidRPr="007B0751" w:rsidRDefault="00F04445" w:rsidP="00F04445">
      <w:pPr>
        <w:rPr>
          <w:rFonts w:asciiTheme="majorHAnsi" w:hAnsiTheme="majorHAnsi"/>
          <w:szCs w:val="22"/>
          <w:lang w:val="en-GB"/>
        </w:rPr>
      </w:pPr>
    </w:p>
    <w:p w14:paraId="767C5758" w14:textId="793F29AE" w:rsidR="00F04445" w:rsidRPr="007B0751" w:rsidRDefault="00F02094" w:rsidP="00F04445">
      <w:pPr>
        <w:rPr>
          <w:rFonts w:asciiTheme="majorHAnsi" w:hAnsiTheme="majorHAnsi"/>
          <w:szCs w:val="22"/>
          <w:lang w:val="en-GB"/>
        </w:rPr>
      </w:pPr>
      <w:r>
        <w:rPr>
          <w:rFonts w:asciiTheme="majorHAnsi" w:hAnsiTheme="majorHAnsi"/>
          <w:szCs w:val="22"/>
          <w:lang w:val="en-GB"/>
        </w:rPr>
        <w:t>In</w:t>
      </w:r>
      <w:r w:rsidR="00F04445" w:rsidRPr="007B0751">
        <w:rPr>
          <w:rFonts w:asciiTheme="majorHAnsi" w:hAnsiTheme="majorHAnsi"/>
          <w:szCs w:val="22"/>
          <w:lang w:val="en-GB"/>
        </w:rPr>
        <w:t xml:space="preserve"> Ramallah, initial meetings were held with the DFAT team followed by meetings with a range of key development actors capable of</w:t>
      </w:r>
      <w:r w:rsidR="00DE5698" w:rsidRPr="007B0751">
        <w:rPr>
          <w:rFonts w:asciiTheme="majorHAnsi" w:hAnsiTheme="majorHAnsi"/>
          <w:szCs w:val="22"/>
          <w:lang w:val="en-GB"/>
        </w:rPr>
        <w:t xml:space="preserve"> providing their perspectives on</w:t>
      </w:r>
      <w:r w:rsidR="00F04445" w:rsidRPr="007B0751">
        <w:rPr>
          <w:rFonts w:asciiTheme="majorHAnsi" w:hAnsiTheme="majorHAnsi"/>
          <w:szCs w:val="22"/>
          <w:lang w:val="en-GB"/>
        </w:rPr>
        <w:t xml:space="preserve"> the ‘bigger picture’ development situation of the </w:t>
      </w:r>
      <w:proofErr w:type="spellStart"/>
      <w:r w:rsidR="00F04445" w:rsidRPr="007B0751">
        <w:rPr>
          <w:rFonts w:asciiTheme="majorHAnsi" w:hAnsiTheme="majorHAnsi"/>
          <w:szCs w:val="22"/>
          <w:lang w:val="en-GB"/>
        </w:rPr>
        <w:t>PTs.</w:t>
      </w:r>
      <w:proofErr w:type="spellEnd"/>
      <w:r w:rsidR="00F04445" w:rsidRPr="007B0751">
        <w:rPr>
          <w:rFonts w:asciiTheme="majorHAnsi" w:hAnsiTheme="majorHAnsi"/>
          <w:szCs w:val="22"/>
          <w:lang w:val="en-GB"/>
        </w:rPr>
        <w:t xml:space="preserve"> These included representatives of the </w:t>
      </w:r>
      <w:r>
        <w:rPr>
          <w:rFonts w:asciiTheme="majorHAnsi" w:hAnsiTheme="majorHAnsi"/>
          <w:szCs w:val="22"/>
          <w:lang w:val="en-GB"/>
        </w:rPr>
        <w:t>PA</w:t>
      </w:r>
      <w:r w:rsidR="00F04445" w:rsidRPr="007B0751">
        <w:rPr>
          <w:rFonts w:asciiTheme="majorHAnsi" w:hAnsiTheme="majorHAnsi"/>
          <w:szCs w:val="22"/>
          <w:lang w:val="en-GB"/>
        </w:rPr>
        <w:t>, Office of The Quartet Representative, UN agencies and the Steering Committee of PNGO Network.</w:t>
      </w:r>
    </w:p>
    <w:p w14:paraId="1B2FAF27" w14:textId="77777777" w:rsidR="00F04445" w:rsidRPr="007B0751" w:rsidRDefault="00F04445" w:rsidP="00F04445">
      <w:pPr>
        <w:rPr>
          <w:rFonts w:asciiTheme="majorHAnsi" w:hAnsiTheme="majorHAnsi"/>
          <w:szCs w:val="22"/>
          <w:lang w:val="en-GB"/>
        </w:rPr>
      </w:pPr>
    </w:p>
    <w:p w14:paraId="56E3D184" w14:textId="0A94D624" w:rsidR="00F04445" w:rsidRPr="007B0751" w:rsidRDefault="00F02094" w:rsidP="00F04445">
      <w:pPr>
        <w:pStyle w:val="ColorfulList-Accent11"/>
        <w:spacing w:after="0" w:line="240" w:lineRule="auto"/>
        <w:ind w:left="0"/>
        <w:rPr>
          <w:rFonts w:asciiTheme="majorHAnsi" w:eastAsia="Times New Roman" w:hAnsiTheme="majorHAnsi"/>
          <w:lang w:val="en-GB" w:eastAsia="en-US"/>
        </w:rPr>
      </w:pPr>
      <w:r>
        <w:rPr>
          <w:rFonts w:asciiTheme="majorHAnsi" w:hAnsiTheme="majorHAnsi"/>
          <w:lang w:val="en-GB"/>
        </w:rPr>
        <w:t>C</w:t>
      </w:r>
      <w:r w:rsidR="00DE5698" w:rsidRPr="007B0751">
        <w:rPr>
          <w:rFonts w:asciiTheme="majorHAnsi" w:hAnsiTheme="majorHAnsi"/>
          <w:lang w:val="en-GB"/>
        </w:rPr>
        <w:t>onsortia</w:t>
      </w:r>
      <w:r w:rsidR="00F04445" w:rsidRPr="007B0751">
        <w:rPr>
          <w:rFonts w:asciiTheme="majorHAnsi" w:hAnsiTheme="majorHAnsi"/>
          <w:lang w:val="en-GB"/>
        </w:rPr>
        <w:t xml:space="preserve"> were asked to prepare field visits that best reflected their </w:t>
      </w:r>
      <w:r>
        <w:rPr>
          <w:rFonts w:asciiTheme="majorHAnsi" w:hAnsiTheme="majorHAnsi"/>
          <w:lang w:val="en-GB"/>
        </w:rPr>
        <w:t>approach</w:t>
      </w:r>
      <w:r w:rsidRPr="007B0751">
        <w:rPr>
          <w:rFonts w:asciiTheme="majorHAnsi" w:hAnsiTheme="majorHAnsi"/>
          <w:lang w:val="en-GB"/>
        </w:rPr>
        <w:t xml:space="preserve"> </w:t>
      </w:r>
      <w:r w:rsidR="00F04445" w:rsidRPr="007B0751">
        <w:rPr>
          <w:rFonts w:asciiTheme="majorHAnsi" w:hAnsiTheme="majorHAnsi"/>
          <w:lang w:val="en-GB"/>
        </w:rPr>
        <w:t xml:space="preserve">given the key questions posed by the evaluation TOR. The core approach of the evaluation was to validate currently documented results through </w:t>
      </w:r>
      <w:r w:rsidR="00492416" w:rsidRPr="007B0751">
        <w:rPr>
          <w:rFonts w:asciiTheme="majorHAnsi" w:hAnsiTheme="majorHAnsi"/>
          <w:lang w:val="en-GB"/>
        </w:rPr>
        <w:t xml:space="preserve">semi-structured </w:t>
      </w:r>
      <w:r w:rsidR="00F04445" w:rsidRPr="007B0751">
        <w:rPr>
          <w:rFonts w:asciiTheme="majorHAnsi" w:hAnsiTheme="majorHAnsi"/>
          <w:lang w:val="en-GB"/>
        </w:rPr>
        <w:t xml:space="preserve">interviews with key informants with the aim of </w:t>
      </w:r>
      <w:r w:rsidR="00FD7A48" w:rsidRPr="007B0751">
        <w:rPr>
          <w:rFonts w:asciiTheme="majorHAnsi" w:hAnsiTheme="majorHAnsi"/>
          <w:lang w:val="en-GB"/>
        </w:rPr>
        <w:t xml:space="preserve">gaining insight into the </w:t>
      </w:r>
      <w:r w:rsidR="00F04445" w:rsidRPr="007B0751">
        <w:rPr>
          <w:rFonts w:asciiTheme="majorHAnsi" w:hAnsiTheme="majorHAnsi"/>
          <w:lang w:val="en-GB"/>
        </w:rPr>
        <w:t>actual</w:t>
      </w:r>
      <w:r w:rsidR="00492416" w:rsidRPr="007B0751">
        <w:rPr>
          <w:rFonts w:asciiTheme="majorHAnsi" w:hAnsiTheme="majorHAnsi"/>
          <w:lang w:val="en-GB"/>
        </w:rPr>
        <w:t xml:space="preserve"> on the ground reality of different activities. </w:t>
      </w:r>
      <w:r w:rsidR="00F04445" w:rsidRPr="007B0751">
        <w:rPr>
          <w:rFonts w:asciiTheme="majorHAnsi" w:hAnsiTheme="majorHAnsi"/>
          <w:lang w:val="en-GB"/>
        </w:rPr>
        <w:t xml:space="preserve">This was </w:t>
      </w:r>
      <w:r w:rsidR="00492416" w:rsidRPr="007B0751">
        <w:rPr>
          <w:rFonts w:asciiTheme="majorHAnsi" w:hAnsiTheme="majorHAnsi"/>
          <w:lang w:val="en-GB"/>
        </w:rPr>
        <w:t xml:space="preserve">agreed to be the best </w:t>
      </w:r>
      <w:r>
        <w:rPr>
          <w:rFonts w:asciiTheme="majorHAnsi" w:hAnsiTheme="majorHAnsi"/>
          <w:lang w:val="en-GB"/>
        </w:rPr>
        <w:t>approach</w:t>
      </w:r>
      <w:r w:rsidRPr="007B0751">
        <w:rPr>
          <w:rFonts w:asciiTheme="majorHAnsi" w:hAnsiTheme="majorHAnsi"/>
          <w:lang w:val="en-GB"/>
        </w:rPr>
        <w:t xml:space="preserve"> </w:t>
      </w:r>
      <w:r w:rsidR="00F04445" w:rsidRPr="007B0751">
        <w:rPr>
          <w:rFonts w:asciiTheme="majorHAnsi" w:hAnsiTheme="majorHAnsi"/>
          <w:lang w:val="en-GB"/>
        </w:rPr>
        <w:t xml:space="preserve">given that time constraints </w:t>
      </w:r>
      <w:r w:rsidR="00FD7A48" w:rsidRPr="007B0751">
        <w:rPr>
          <w:rFonts w:asciiTheme="majorHAnsi" w:hAnsiTheme="majorHAnsi"/>
          <w:lang w:val="en-GB"/>
        </w:rPr>
        <w:t xml:space="preserve">prevented this from being </w:t>
      </w:r>
      <w:r w:rsidR="00F04445" w:rsidRPr="007B0751">
        <w:rPr>
          <w:rFonts w:asciiTheme="majorHAnsi" w:hAnsiTheme="majorHAnsi"/>
          <w:lang w:val="en-GB"/>
        </w:rPr>
        <w:t xml:space="preserve">a detailed, participatory assessment where </w:t>
      </w:r>
      <w:r>
        <w:rPr>
          <w:rFonts w:asciiTheme="majorHAnsi" w:hAnsiTheme="majorHAnsi"/>
          <w:lang w:val="en-GB"/>
        </w:rPr>
        <w:t xml:space="preserve">sampling </w:t>
      </w:r>
      <w:r w:rsidR="00F04445" w:rsidRPr="007B0751">
        <w:rPr>
          <w:rFonts w:asciiTheme="majorHAnsi" w:hAnsiTheme="majorHAnsi"/>
          <w:lang w:val="en-GB"/>
        </w:rPr>
        <w:t xml:space="preserve">could </w:t>
      </w:r>
      <w:r w:rsidR="001A0BA2" w:rsidRPr="007B0751">
        <w:rPr>
          <w:rFonts w:asciiTheme="majorHAnsi" w:hAnsiTheme="majorHAnsi"/>
          <w:lang w:val="en-GB"/>
        </w:rPr>
        <w:t xml:space="preserve">have </w:t>
      </w:r>
      <w:r w:rsidR="00F04445" w:rsidRPr="007B0751">
        <w:rPr>
          <w:rFonts w:asciiTheme="majorHAnsi" w:hAnsiTheme="majorHAnsi"/>
          <w:lang w:val="en-GB"/>
        </w:rPr>
        <w:t>be</w:t>
      </w:r>
      <w:r w:rsidR="001A0BA2" w:rsidRPr="007B0751">
        <w:rPr>
          <w:rFonts w:asciiTheme="majorHAnsi" w:hAnsiTheme="majorHAnsi"/>
          <w:lang w:val="en-GB"/>
        </w:rPr>
        <w:t>en</w:t>
      </w:r>
      <w:r w:rsidR="00F04445" w:rsidRPr="007B0751">
        <w:rPr>
          <w:rFonts w:asciiTheme="majorHAnsi" w:hAnsiTheme="majorHAnsi"/>
          <w:lang w:val="en-GB"/>
        </w:rPr>
        <w:t xml:space="preserve"> effectively applied.</w:t>
      </w:r>
      <w:r>
        <w:rPr>
          <w:rFonts w:asciiTheme="majorHAnsi" w:eastAsia="Times New Roman" w:hAnsiTheme="majorHAnsi"/>
          <w:lang w:val="en-GB" w:eastAsia="en-US"/>
        </w:rPr>
        <w:t xml:space="preserve"> </w:t>
      </w:r>
      <w:r w:rsidR="00F04445" w:rsidRPr="007B0751">
        <w:rPr>
          <w:rFonts w:asciiTheme="majorHAnsi" w:eastAsia="Times New Roman" w:hAnsiTheme="majorHAnsi"/>
          <w:lang w:val="en-GB" w:eastAsia="en-US"/>
        </w:rPr>
        <w:t>Semi</w:t>
      </w:r>
      <w:r>
        <w:rPr>
          <w:rFonts w:asciiTheme="majorHAnsi" w:eastAsia="Times New Roman" w:hAnsiTheme="majorHAnsi"/>
          <w:lang w:val="en-GB" w:eastAsia="en-US"/>
        </w:rPr>
        <w:t xml:space="preserve"> </w:t>
      </w:r>
      <w:r w:rsidR="00F04445" w:rsidRPr="007B0751">
        <w:rPr>
          <w:rFonts w:asciiTheme="majorHAnsi" w:eastAsia="Times New Roman" w:hAnsiTheme="majorHAnsi"/>
          <w:lang w:val="en-GB" w:eastAsia="en-US"/>
        </w:rPr>
        <w:t>structured int</w:t>
      </w:r>
      <w:r w:rsidR="00FD7A48" w:rsidRPr="007B0751">
        <w:rPr>
          <w:rFonts w:asciiTheme="majorHAnsi" w:eastAsia="Times New Roman" w:hAnsiTheme="majorHAnsi"/>
          <w:lang w:val="en-GB" w:eastAsia="en-US"/>
        </w:rPr>
        <w:t xml:space="preserve">erviews </w:t>
      </w:r>
      <w:r w:rsidR="00F04445" w:rsidRPr="007B0751">
        <w:rPr>
          <w:rFonts w:asciiTheme="majorHAnsi" w:eastAsia="Times New Roman" w:hAnsiTheme="majorHAnsi"/>
          <w:lang w:val="en-GB" w:eastAsia="en-US"/>
        </w:rPr>
        <w:t>allowed for triangula</w:t>
      </w:r>
      <w:r w:rsidR="00DF524D" w:rsidRPr="007B0751">
        <w:rPr>
          <w:rFonts w:asciiTheme="majorHAnsi" w:eastAsia="Times New Roman" w:hAnsiTheme="majorHAnsi"/>
          <w:lang w:val="en-GB" w:eastAsia="en-US"/>
        </w:rPr>
        <w:t>tion of findings, as well as el</w:t>
      </w:r>
      <w:r w:rsidR="001A0BA2" w:rsidRPr="007B0751">
        <w:rPr>
          <w:rFonts w:asciiTheme="majorHAnsi" w:eastAsia="Times New Roman" w:hAnsiTheme="majorHAnsi"/>
          <w:lang w:val="en-GB" w:eastAsia="en-US"/>
        </w:rPr>
        <w:t>iciting perspectives</w:t>
      </w:r>
      <w:r w:rsidR="00F04445" w:rsidRPr="007B0751">
        <w:rPr>
          <w:rFonts w:asciiTheme="majorHAnsi" w:eastAsia="Times New Roman" w:hAnsiTheme="majorHAnsi"/>
          <w:lang w:val="en-GB" w:eastAsia="en-US"/>
        </w:rPr>
        <w:t xml:space="preserve"> regarding future programming</w:t>
      </w:r>
      <w:r>
        <w:rPr>
          <w:rFonts w:asciiTheme="majorHAnsi" w:eastAsia="Times New Roman" w:hAnsiTheme="majorHAnsi"/>
          <w:lang w:val="en-GB" w:eastAsia="en-US"/>
        </w:rPr>
        <w:t xml:space="preserve"> options</w:t>
      </w:r>
      <w:r w:rsidR="00F04445" w:rsidRPr="007B0751">
        <w:rPr>
          <w:rFonts w:asciiTheme="majorHAnsi" w:eastAsia="Times New Roman" w:hAnsiTheme="majorHAnsi"/>
          <w:lang w:val="en-GB" w:eastAsia="en-US"/>
        </w:rPr>
        <w:t>. The findings of Case Studies generated th</w:t>
      </w:r>
      <w:r w:rsidR="001A0BA2" w:rsidRPr="007B0751">
        <w:rPr>
          <w:rFonts w:asciiTheme="majorHAnsi" w:eastAsia="Times New Roman" w:hAnsiTheme="majorHAnsi"/>
          <w:lang w:val="en-GB" w:eastAsia="en-US"/>
        </w:rPr>
        <w:t xml:space="preserve">rough the </w:t>
      </w:r>
      <w:r>
        <w:rPr>
          <w:rFonts w:asciiTheme="majorHAnsi" w:eastAsia="Times New Roman" w:hAnsiTheme="majorHAnsi"/>
          <w:lang w:val="en-GB" w:eastAsia="en-US"/>
        </w:rPr>
        <w:t>P</w:t>
      </w:r>
      <w:r w:rsidR="001A0BA2" w:rsidRPr="007B0751">
        <w:rPr>
          <w:rFonts w:asciiTheme="majorHAnsi" w:eastAsia="Times New Roman" w:hAnsiTheme="majorHAnsi"/>
          <w:lang w:val="en-GB" w:eastAsia="en-US"/>
        </w:rPr>
        <w:t>rogram (often presented as</w:t>
      </w:r>
      <w:r w:rsidR="00F04445" w:rsidRPr="007B0751">
        <w:rPr>
          <w:rFonts w:asciiTheme="majorHAnsi" w:eastAsia="Times New Roman" w:hAnsiTheme="majorHAnsi"/>
          <w:lang w:val="en-GB" w:eastAsia="en-US"/>
        </w:rPr>
        <w:t xml:space="preserve"> ‘best practice’) were also investigated during these interviews.</w:t>
      </w:r>
    </w:p>
    <w:p w14:paraId="7CE98DD1" w14:textId="77777777" w:rsidR="006634A1" w:rsidRPr="007B0751" w:rsidRDefault="006634A1" w:rsidP="00F04445">
      <w:pPr>
        <w:rPr>
          <w:rFonts w:asciiTheme="majorHAnsi" w:hAnsiTheme="majorHAnsi"/>
        </w:rPr>
      </w:pPr>
    </w:p>
    <w:p w14:paraId="26F2751A" w14:textId="77777777" w:rsidR="00F04445" w:rsidRPr="007B0751" w:rsidRDefault="00F04445" w:rsidP="00F04445">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t>5.</w:t>
      </w:r>
      <w:r w:rsidRPr="007B0751">
        <w:rPr>
          <w:rFonts w:asciiTheme="majorHAnsi" w:hAnsiTheme="majorHAnsi" w:cs="Arial"/>
          <w:b/>
          <w:color w:val="1F497D"/>
          <w:sz w:val="28"/>
          <w:szCs w:val="28"/>
          <w:lang w:val="en-GB"/>
        </w:rPr>
        <w:tab/>
      </w:r>
      <w:r w:rsidR="00AE763A" w:rsidRPr="007B0751">
        <w:rPr>
          <w:rFonts w:asciiTheme="majorHAnsi" w:hAnsiTheme="majorHAnsi" w:cs="Arial"/>
          <w:b/>
          <w:color w:val="1F497D"/>
          <w:sz w:val="28"/>
          <w:szCs w:val="28"/>
          <w:lang w:val="en-GB"/>
        </w:rPr>
        <w:t>Assessment</w:t>
      </w:r>
      <w:r w:rsidRPr="007B0751">
        <w:rPr>
          <w:rFonts w:asciiTheme="majorHAnsi" w:hAnsiTheme="majorHAnsi" w:cs="Arial"/>
          <w:b/>
          <w:color w:val="1F497D"/>
          <w:sz w:val="28"/>
          <w:szCs w:val="28"/>
          <w:lang w:val="en-GB"/>
        </w:rPr>
        <w:t xml:space="preserve"> of </w:t>
      </w:r>
      <w:r w:rsidR="00DF524D" w:rsidRPr="007B0751">
        <w:rPr>
          <w:rFonts w:asciiTheme="majorHAnsi" w:hAnsiTheme="majorHAnsi" w:cs="Arial"/>
          <w:b/>
          <w:color w:val="1F497D"/>
          <w:sz w:val="28"/>
          <w:szCs w:val="28"/>
          <w:lang w:val="en-GB"/>
        </w:rPr>
        <w:t xml:space="preserve">Program Performance </w:t>
      </w:r>
    </w:p>
    <w:p w14:paraId="3E8328C2" w14:textId="77777777" w:rsidR="006616EB" w:rsidRPr="007B0751" w:rsidRDefault="006616EB" w:rsidP="00F04445">
      <w:pPr>
        <w:rPr>
          <w:rFonts w:asciiTheme="majorHAnsi" w:hAnsiTheme="majorHAnsi"/>
          <w:b/>
          <w:sz w:val="24"/>
        </w:rPr>
      </w:pPr>
      <w:r w:rsidRPr="007B0751">
        <w:rPr>
          <w:rFonts w:asciiTheme="majorHAnsi" w:hAnsiTheme="majorHAnsi"/>
          <w:b/>
          <w:i/>
          <w:sz w:val="24"/>
        </w:rPr>
        <w:t>5.1</w:t>
      </w:r>
      <w:r w:rsidRPr="007B0751">
        <w:rPr>
          <w:rFonts w:asciiTheme="majorHAnsi" w:hAnsiTheme="majorHAnsi"/>
          <w:b/>
          <w:i/>
          <w:sz w:val="24"/>
        </w:rPr>
        <w:tab/>
        <w:t>Introduction</w:t>
      </w:r>
    </w:p>
    <w:p w14:paraId="48BF6ACD" w14:textId="0D67BF07" w:rsidR="006634A1" w:rsidRPr="007B0751" w:rsidRDefault="00770FCC" w:rsidP="00F04445">
      <w:pPr>
        <w:rPr>
          <w:rFonts w:asciiTheme="majorHAnsi" w:hAnsiTheme="majorHAnsi"/>
        </w:rPr>
      </w:pPr>
      <w:r w:rsidRPr="007B0751">
        <w:rPr>
          <w:rFonts w:asciiTheme="majorHAnsi" w:hAnsiTheme="majorHAnsi"/>
        </w:rPr>
        <w:t>AMENCA</w:t>
      </w:r>
      <w:r w:rsidR="006634A1" w:rsidRPr="007B0751">
        <w:rPr>
          <w:rFonts w:asciiTheme="majorHAnsi" w:hAnsiTheme="majorHAnsi"/>
        </w:rPr>
        <w:t>2</w:t>
      </w:r>
      <w:r w:rsidRPr="007B0751">
        <w:rPr>
          <w:rFonts w:asciiTheme="majorHAnsi" w:hAnsiTheme="majorHAnsi"/>
        </w:rPr>
        <w:t>’s own reporting procedures have evolved considerably over the journey of the Program</w:t>
      </w:r>
      <w:r w:rsidR="006829AE" w:rsidRPr="007B0751">
        <w:rPr>
          <w:rFonts w:asciiTheme="majorHAnsi" w:hAnsiTheme="majorHAnsi"/>
        </w:rPr>
        <w:t xml:space="preserve"> in an effort to balance Program level reporting needs with 1/ existing monitoring approaches</w:t>
      </w:r>
      <w:r w:rsidR="00371D10">
        <w:rPr>
          <w:rFonts w:asciiTheme="majorHAnsi" w:hAnsiTheme="majorHAnsi"/>
        </w:rPr>
        <w:t xml:space="preserve"> </w:t>
      </w:r>
      <w:r w:rsidR="006829AE" w:rsidRPr="007B0751">
        <w:rPr>
          <w:rFonts w:asciiTheme="majorHAnsi" w:hAnsiTheme="majorHAnsi"/>
        </w:rPr>
        <w:t xml:space="preserve">already used by different implementing partners, and 2/ </w:t>
      </w:r>
      <w:r w:rsidR="00BC5071" w:rsidRPr="007B0751">
        <w:rPr>
          <w:rFonts w:asciiTheme="majorHAnsi" w:hAnsiTheme="majorHAnsi"/>
        </w:rPr>
        <w:t>challenges posed by the diverse</w:t>
      </w:r>
      <w:r w:rsidR="006829AE" w:rsidRPr="007B0751">
        <w:rPr>
          <w:rFonts w:asciiTheme="majorHAnsi" w:hAnsiTheme="majorHAnsi"/>
        </w:rPr>
        <w:t xml:space="preserve"> areas of focus </w:t>
      </w:r>
      <w:r w:rsidR="00FD7A48" w:rsidRPr="007B0751">
        <w:rPr>
          <w:rFonts w:asciiTheme="majorHAnsi" w:hAnsiTheme="majorHAnsi"/>
        </w:rPr>
        <w:t xml:space="preserve">and theories of change </w:t>
      </w:r>
      <w:r w:rsidR="006829AE" w:rsidRPr="007B0751">
        <w:rPr>
          <w:rFonts w:asciiTheme="majorHAnsi" w:hAnsiTheme="majorHAnsi"/>
        </w:rPr>
        <w:t xml:space="preserve">of </w:t>
      </w:r>
      <w:r w:rsidR="00FD7A48" w:rsidRPr="007B0751">
        <w:rPr>
          <w:rFonts w:asciiTheme="majorHAnsi" w:hAnsiTheme="majorHAnsi"/>
        </w:rPr>
        <w:t xml:space="preserve">the </w:t>
      </w:r>
      <w:r w:rsidR="006829AE" w:rsidRPr="007B0751">
        <w:rPr>
          <w:rFonts w:asciiTheme="majorHAnsi" w:hAnsiTheme="majorHAnsi"/>
        </w:rPr>
        <w:t xml:space="preserve">different projects. In order to cater to these differences, </w:t>
      </w:r>
      <w:r w:rsidR="001C4E05" w:rsidRPr="007B0751">
        <w:rPr>
          <w:rFonts w:asciiTheme="majorHAnsi" w:hAnsiTheme="majorHAnsi"/>
        </w:rPr>
        <w:t>ten ‘outcome themes’ were agreed upon at Program commencement to help</w:t>
      </w:r>
      <w:r w:rsidR="00BC5071" w:rsidRPr="007B0751">
        <w:rPr>
          <w:rFonts w:asciiTheme="majorHAnsi" w:hAnsiTheme="majorHAnsi"/>
        </w:rPr>
        <w:t xml:space="preserve"> group,</w:t>
      </w:r>
      <w:r w:rsidR="001C4E05" w:rsidRPr="007B0751">
        <w:rPr>
          <w:rFonts w:asciiTheme="majorHAnsi" w:hAnsiTheme="majorHAnsi"/>
        </w:rPr>
        <w:t xml:space="preserve"> link</w:t>
      </w:r>
      <w:r w:rsidR="008E3EBA" w:rsidRPr="007B0751">
        <w:rPr>
          <w:rFonts w:asciiTheme="majorHAnsi" w:hAnsiTheme="majorHAnsi"/>
        </w:rPr>
        <w:t xml:space="preserve"> and track </w:t>
      </w:r>
      <w:r w:rsidR="00BC5071" w:rsidRPr="007B0751">
        <w:rPr>
          <w:rFonts w:asciiTheme="majorHAnsi" w:hAnsiTheme="majorHAnsi"/>
        </w:rPr>
        <w:t>different activities</w:t>
      </w:r>
      <w:r w:rsidR="008E3EBA" w:rsidRPr="007B0751">
        <w:rPr>
          <w:rFonts w:asciiTheme="majorHAnsi" w:hAnsiTheme="majorHAnsi"/>
        </w:rPr>
        <w:t xml:space="preserve"> back to the AMENCA2 Program goal.</w:t>
      </w:r>
      <w:r w:rsidR="008E3EBA" w:rsidRPr="007B0751">
        <w:rPr>
          <w:rStyle w:val="FootnoteReference"/>
          <w:rFonts w:asciiTheme="majorHAnsi" w:hAnsiTheme="majorHAnsi"/>
        </w:rPr>
        <w:footnoteReference w:id="7"/>
      </w:r>
      <w:r w:rsidR="00371D10">
        <w:rPr>
          <w:rFonts w:asciiTheme="majorHAnsi" w:hAnsiTheme="majorHAnsi"/>
        </w:rPr>
        <w:t xml:space="preserve"> </w:t>
      </w:r>
      <w:r w:rsidR="004B52FD" w:rsidRPr="007B0751">
        <w:rPr>
          <w:rFonts w:asciiTheme="majorHAnsi" w:hAnsiTheme="majorHAnsi"/>
        </w:rPr>
        <w:t>Each NGO selected outcome themes relevant to their project</w:t>
      </w:r>
      <w:r w:rsidR="006634A1" w:rsidRPr="007B0751">
        <w:rPr>
          <w:rFonts w:asciiTheme="majorHAnsi" w:hAnsiTheme="majorHAnsi"/>
        </w:rPr>
        <w:t xml:space="preserve"> from the list of ten</w:t>
      </w:r>
      <w:r w:rsidR="00BC5071" w:rsidRPr="007B0751">
        <w:rPr>
          <w:rFonts w:asciiTheme="majorHAnsi" w:hAnsiTheme="majorHAnsi"/>
        </w:rPr>
        <w:t xml:space="preserve">, and </w:t>
      </w:r>
      <w:r w:rsidR="00DA27EC" w:rsidRPr="007B0751">
        <w:rPr>
          <w:rFonts w:asciiTheme="majorHAnsi" w:hAnsiTheme="majorHAnsi"/>
        </w:rPr>
        <w:t>w</w:t>
      </w:r>
      <w:r w:rsidR="00DA27EC">
        <w:rPr>
          <w:rFonts w:asciiTheme="majorHAnsi" w:hAnsiTheme="majorHAnsi"/>
        </w:rPr>
        <w:t>ere</w:t>
      </w:r>
      <w:r w:rsidR="00DA27EC" w:rsidRPr="007B0751">
        <w:rPr>
          <w:rFonts w:asciiTheme="majorHAnsi" w:hAnsiTheme="majorHAnsi"/>
        </w:rPr>
        <w:t xml:space="preserve"> </w:t>
      </w:r>
      <w:r w:rsidR="004B52FD" w:rsidRPr="007B0751">
        <w:rPr>
          <w:rFonts w:asciiTheme="majorHAnsi" w:hAnsiTheme="majorHAnsi"/>
        </w:rPr>
        <w:t xml:space="preserve">expected to report against their themes using both quantitative and qualitative data. </w:t>
      </w:r>
    </w:p>
    <w:p w14:paraId="72710985" w14:textId="77777777" w:rsidR="007F0CBF" w:rsidRPr="007B0751" w:rsidRDefault="007F0CBF" w:rsidP="00F04445">
      <w:pPr>
        <w:rPr>
          <w:rFonts w:asciiTheme="majorHAnsi" w:hAnsiTheme="majorHAnsi"/>
        </w:rPr>
      </w:pPr>
    </w:p>
    <w:p w14:paraId="7587255B" w14:textId="760950FA" w:rsidR="007533A7" w:rsidRPr="007B0751" w:rsidRDefault="00DF524D" w:rsidP="00F04445">
      <w:pPr>
        <w:rPr>
          <w:rFonts w:asciiTheme="majorHAnsi" w:hAnsiTheme="majorHAnsi"/>
        </w:rPr>
      </w:pPr>
      <w:r w:rsidRPr="007B0751">
        <w:rPr>
          <w:rFonts w:asciiTheme="majorHAnsi" w:hAnsiTheme="majorHAnsi"/>
        </w:rPr>
        <w:t>Th</w:t>
      </w:r>
      <w:r w:rsidR="00BC5071" w:rsidRPr="007B0751">
        <w:rPr>
          <w:rFonts w:asciiTheme="majorHAnsi" w:hAnsiTheme="majorHAnsi"/>
        </w:rPr>
        <w:t xml:space="preserve">e following section </w:t>
      </w:r>
      <w:r w:rsidR="00652F52" w:rsidRPr="007B0751">
        <w:rPr>
          <w:rFonts w:asciiTheme="majorHAnsi" w:hAnsiTheme="majorHAnsi"/>
        </w:rPr>
        <w:t>will</w:t>
      </w:r>
      <w:r w:rsidR="00371D10">
        <w:rPr>
          <w:rFonts w:asciiTheme="majorHAnsi" w:hAnsiTheme="majorHAnsi"/>
        </w:rPr>
        <w:t xml:space="preserve"> </w:t>
      </w:r>
      <w:r w:rsidRPr="007B0751">
        <w:rPr>
          <w:rFonts w:asciiTheme="majorHAnsi" w:hAnsiTheme="majorHAnsi"/>
        </w:rPr>
        <w:t>overview pe</w:t>
      </w:r>
      <w:r w:rsidR="007F78E5" w:rsidRPr="007B0751">
        <w:rPr>
          <w:rFonts w:asciiTheme="majorHAnsi" w:hAnsiTheme="majorHAnsi"/>
        </w:rPr>
        <w:t xml:space="preserve">rformance </w:t>
      </w:r>
      <w:r w:rsidR="00AE763A" w:rsidRPr="007B0751">
        <w:rPr>
          <w:rFonts w:asciiTheme="majorHAnsi" w:hAnsiTheme="majorHAnsi"/>
        </w:rPr>
        <w:t>at Pr</w:t>
      </w:r>
      <w:r w:rsidR="007F78E5" w:rsidRPr="007B0751">
        <w:rPr>
          <w:rFonts w:asciiTheme="majorHAnsi" w:hAnsiTheme="majorHAnsi"/>
        </w:rPr>
        <w:t xml:space="preserve">ogram level, </w:t>
      </w:r>
      <w:r w:rsidRPr="007B0751">
        <w:rPr>
          <w:rFonts w:asciiTheme="majorHAnsi" w:hAnsiTheme="majorHAnsi"/>
        </w:rPr>
        <w:t xml:space="preserve">through the lens of the quality criteria </w:t>
      </w:r>
      <w:r w:rsidR="006616EB" w:rsidRPr="007B0751">
        <w:rPr>
          <w:rFonts w:asciiTheme="majorHAnsi" w:hAnsiTheme="majorHAnsi"/>
        </w:rPr>
        <w:t xml:space="preserve">set out in the </w:t>
      </w:r>
      <w:proofErr w:type="spellStart"/>
      <w:r w:rsidR="006616EB" w:rsidRPr="007B0751">
        <w:rPr>
          <w:rFonts w:asciiTheme="majorHAnsi" w:hAnsiTheme="majorHAnsi"/>
        </w:rPr>
        <w:t>ToR</w:t>
      </w:r>
      <w:proofErr w:type="spellEnd"/>
      <w:r w:rsidR="00D229FA">
        <w:rPr>
          <w:rFonts w:asciiTheme="majorHAnsi" w:hAnsiTheme="majorHAnsi"/>
        </w:rPr>
        <w:t xml:space="preserve"> and the ten outcome themes mentioned above</w:t>
      </w:r>
      <w:r w:rsidR="006616EB" w:rsidRPr="007B0751">
        <w:rPr>
          <w:rFonts w:asciiTheme="majorHAnsi" w:hAnsiTheme="majorHAnsi"/>
        </w:rPr>
        <w:t xml:space="preserve">. </w:t>
      </w:r>
      <w:r w:rsidR="00AE763A" w:rsidRPr="007B0751">
        <w:rPr>
          <w:rFonts w:asciiTheme="majorHAnsi" w:hAnsiTheme="majorHAnsi"/>
        </w:rPr>
        <w:t>F</w:t>
      </w:r>
      <w:r w:rsidR="006616EB" w:rsidRPr="007B0751">
        <w:rPr>
          <w:rFonts w:asciiTheme="majorHAnsi" w:hAnsiTheme="majorHAnsi"/>
        </w:rPr>
        <w:t>ocus</w:t>
      </w:r>
      <w:r w:rsidR="00AE763A" w:rsidRPr="007B0751">
        <w:rPr>
          <w:rFonts w:asciiTheme="majorHAnsi" w:hAnsiTheme="majorHAnsi"/>
        </w:rPr>
        <w:t xml:space="preserve"> will be</w:t>
      </w:r>
      <w:r w:rsidR="006616EB" w:rsidRPr="007B0751">
        <w:rPr>
          <w:rFonts w:asciiTheme="majorHAnsi" w:hAnsiTheme="majorHAnsi"/>
        </w:rPr>
        <w:t xml:space="preserve"> on </w:t>
      </w:r>
      <w:r w:rsidR="00652F52" w:rsidRPr="007B0751">
        <w:rPr>
          <w:rFonts w:asciiTheme="majorHAnsi" w:hAnsiTheme="majorHAnsi"/>
        </w:rPr>
        <w:t xml:space="preserve">determining higher level </w:t>
      </w:r>
      <w:r w:rsidR="00AE763A" w:rsidRPr="007B0751">
        <w:rPr>
          <w:rFonts w:asciiTheme="majorHAnsi" w:hAnsiTheme="majorHAnsi"/>
        </w:rPr>
        <w:t xml:space="preserve">Program level </w:t>
      </w:r>
      <w:r w:rsidR="00652F52" w:rsidRPr="007B0751">
        <w:rPr>
          <w:rFonts w:asciiTheme="majorHAnsi" w:hAnsiTheme="majorHAnsi"/>
        </w:rPr>
        <w:t>progress towards</w:t>
      </w:r>
      <w:r w:rsidR="00371D10">
        <w:rPr>
          <w:rFonts w:asciiTheme="majorHAnsi" w:hAnsiTheme="majorHAnsi"/>
        </w:rPr>
        <w:t xml:space="preserve"> </w:t>
      </w:r>
      <w:r w:rsidR="006616EB" w:rsidRPr="007B0751">
        <w:rPr>
          <w:rFonts w:asciiTheme="majorHAnsi" w:hAnsiTheme="majorHAnsi"/>
        </w:rPr>
        <w:t>the</w:t>
      </w:r>
      <w:r w:rsidR="00652F52" w:rsidRPr="007B0751">
        <w:rPr>
          <w:rFonts w:asciiTheme="majorHAnsi" w:hAnsiTheme="majorHAnsi"/>
        </w:rPr>
        <w:t xml:space="preserve"> complex</w:t>
      </w:r>
      <w:r w:rsidRPr="007B0751">
        <w:rPr>
          <w:rFonts w:asciiTheme="majorHAnsi" w:hAnsiTheme="majorHAnsi"/>
        </w:rPr>
        <w:t xml:space="preserve"> development challenges</w:t>
      </w:r>
      <w:r w:rsidR="006616EB" w:rsidRPr="007B0751">
        <w:rPr>
          <w:rFonts w:asciiTheme="majorHAnsi" w:hAnsiTheme="majorHAnsi"/>
        </w:rPr>
        <w:t xml:space="preserve"> detailed in the Program logic</w:t>
      </w:r>
      <w:r w:rsidR="00AE763A" w:rsidRPr="007B0751">
        <w:rPr>
          <w:rFonts w:asciiTheme="majorHAnsi" w:hAnsiTheme="majorHAnsi"/>
        </w:rPr>
        <w:t xml:space="preserve">. </w:t>
      </w:r>
    </w:p>
    <w:p w14:paraId="5CB0FF94" w14:textId="77777777" w:rsidR="00243CA7" w:rsidRPr="007B0751" w:rsidRDefault="00243CA7" w:rsidP="00F04445">
      <w:pPr>
        <w:rPr>
          <w:rFonts w:asciiTheme="majorHAnsi" w:hAnsiTheme="majorHAnsi"/>
        </w:rPr>
      </w:pPr>
    </w:p>
    <w:p w14:paraId="0D49C3C9" w14:textId="77777777" w:rsidR="00243CA7" w:rsidRPr="007B0751" w:rsidRDefault="00243CA7" w:rsidP="00F04445">
      <w:pPr>
        <w:rPr>
          <w:rFonts w:asciiTheme="majorHAnsi" w:hAnsiTheme="majorHAnsi"/>
          <w:b/>
          <w:i/>
          <w:sz w:val="24"/>
        </w:rPr>
      </w:pPr>
      <w:r w:rsidRPr="007B0751">
        <w:rPr>
          <w:rFonts w:asciiTheme="majorHAnsi" w:hAnsiTheme="majorHAnsi"/>
          <w:b/>
          <w:i/>
          <w:sz w:val="24"/>
        </w:rPr>
        <w:t>5.2</w:t>
      </w:r>
      <w:r w:rsidRPr="007B0751">
        <w:rPr>
          <w:rFonts w:asciiTheme="majorHAnsi" w:hAnsiTheme="majorHAnsi"/>
          <w:b/>
          <w:i/>
          <w:sz w:val="24"/>
        </w:rPr>
        <w:tab/>
        <w:t>Program Level Performance</w:t>
      </w:r>
    </w:p>
    <w:p w14:paraId="61E8A286" w14:textId="5E748C91" w:rsidR="009B6C51" w:rsidRPr="007B0751" w:rsidRDefault="0050509E" w:rsidP="00F04445">
      <w:pPr>
        <w:rPr>
          <w:rFonts w:asciiTheme="majorHAnsi" w:hAnsiTheme="majorHAnsi"/>
        </w:rPr>
      </w:pPr>
      <w:r w:rsidRPr="007B0751">
        <w:rPr>
          <w:rFonts w:asciiTheme="majorHAnsi" w:hAnsiTheme="majorHAnsi"/>
        </w:rPr>
        <w:t>AMENCA2 is a highly regarded and greatly appreciated program within Palestinian development circles</w:t>
      </w:r>
      <w:r w:rsidR="00D229FA">
        <w:rPr>
          <w:rFonts w:asciiTheme="majorHAnsi" w:hAnsiTheme="majorHAnsi"/>
        </w:rPr>
        <w:t xml:space="preserve">, based on its ability to deliver a cross section of relevant outcomes using a diversity of innovative strategies. </w:t>
      </w:r>
      <w:r w:rsidR="00FD7A48" w:rsidRPr="007B0751">
        <w:rPr>
          <w:rFonts w:asciiTheme="majorHAnsi" w:hAnsiTheme="majorHAnsi"/>
        </w:rPr>
        <w:t>It is</w:t>
      </w:r>
      <w:r w:rsidRPr="007B0751">
        <w:rPr>
          <w:rFonts w:asciiTheme="majorHAnsi" w:hAnsiTheme="majorHAnsi"/>
        </w:rPr>
        <w:t xml:space="preserve"> particularly appreciated for </w:t>
      </w:r>
      <w:r w:rsidR="00D70D39" w:rsidRPr="007B0751">
        <w:rPr>
          <w:rFonts w:asciiTheme="majorHAnsi" w:hAnsiTheme="majorHAnsi"/>
        </w:rPr>
        <w:t xml:space="preserve">the opportunities provided by it </w:t>
      </w:r>
      <w:r w:rsidRPr="007B0751">
        <w:rPr>
          <w:rFonts w:asciiTheme="majorHAnsi" w:hAnsiTheme="majorHAnsi"/>
        </w:rPr>
        <w:t xml:space="preserve">being a longer term program within an environment </w:t>
      </w:r>
      <w:r w:rsidR="003F2274" w:rsidRPr="007B0751">
        <w:rPr>
          <w:rFonts w:asciiTheme="majorHAnsi" w:hAnsiTheme="majorHAnsi"/>
        </w:rPr>
        <w:t xml:space="preserve">where short term programming is the norm. Implementing partners, consortium members and beneficiaries all spoke of significant momentum gained over the course of the Program, as consortia consolidated their understanding of their context and identified solutions accordingly. Longevity was </w:t>
      </w:r>
      <w:r w:rsidR="00BC5071" w:rsidRPr="007B0751">
        <w:rPr>
          <w:rFonts w:asciiTheme="majorHAnsi" w:hAnsiTheme="majorHAnsi"/>
        </w:rPr>
        <w:t xml:space="preserve">also </w:t>
      </w:r>
      <w:r w:rsidR="003F2274" w:rsidRPr="007B0751">
        <w:rPr>
          <w:rFonts w:asciiTheme="majorHAnsi" w:hAnsiTheme="majorHAnsi"/>
        </w:rPr>
        <w:t xml:space="preserve">seen as having an ‘efficiency dividend’ with all consortia reporting that their Programs </w:t>
      </w:r>
      <w:r w:rsidR="009B6C51" w:rsidRPr="007B0751">
        <w:rPr>
          <w:rFonts w:asciiTheme="majorHAnsi" w:hAnsiTheme="majorHAnsi"/>
        </w:rPr>
        <w:t xml:space="preserve">were </w:t>
      </w:r>
      <w:r w:rsidR="003F2274" w:rsidRPr="007B0751">
        <w:rPr>
          <w:rFonts w:asciiTheme="majorHAnsi" w:hAnsiTheme="majorHAnsi"/>
        </w:rPr>
        <w:t>able to work far more effe</w:t>
      </w:r>
      <w:r w:rsidR="009B6C51" w:rsidRPr="007B0751">
        <w:rPr>
          <w:rFonts w:asciiTheme="majorHAnsi" w:hAnsiTheme="majorHAnsi"/>
        </w:rPr>
        <w:t>ctively and efficiently over</w:t>
      </w:r>
      <w:r w:rsidR="003F2274" w:rsidRPr="007B0751">
        <w:rPr>
          <w:rFonts w:asciiTheme="majorHAnsi" w:hAnsiTheme="majorHAnsi"/>
        </w:rPr>
        <w:t xml:space="preserve"> later years</w:t>
      </w:r>
      <w:r w:rsidR="00717FC6" w:rsidRPr="007B0751">
        <w:rPr>
          <w:rFonts w:asciiTheme="majorHAnsi" w:hAnsiTheme="majorHAnsi"/>
        </w:rPr>
        <w:t>, and mostly achieve beyond the</w:t>
      </w:r>
      <w:r w:rsidR="009B6C51" w:rsidRPr="007B0751">
        <w:rPr>
          <w:rFonts w:asciiTheme="majorHAnsi" w:hAnsiTheme="majorHAnsi"/>
        </w:rPr>
        <w:t xml:space="preserve"> original targets </w:t>
      </w:r>
      <w:r w:rsidR="00717FC6" w:rsidRPr="007B0751">
        <w:rPr>
          <w:rFonts w:asciiTheme="majorHAnsi" w:hAnsiTheme="majorHAnsi"/>
        </w:rPr>
        <w:t xml:space="preserve">they </w:t>
      </w:r>
      <w:r w:rsidR="009B6C51" w:rsidRPr="007B0751">
        <w:rPr>
          <w:rFonts w:asciiTheme="majorHAnsi" w:hAnsiTheme="majorHAnsi"/>
        </w:rPr>
        <w:t xml:space="preserve">set for themselves. </w:t>
      </w:r>
      <w:r w:rsidR="00BC5071" w:rsidRPr="007B0751">
        <w:rPr>
          <w:rFonts w:asciiTheme="majorHAnsi" w:hAnsiTheme="majorHAnsi"/>
        </w:rPr>
        <w:t xml:space="preserve">Time was also seen to enhance opportunities for deeper levels of learning over the implementation journey, contributing to considerable adaptation and </w:t>
      </w:r>
      <w:r w:rsidR="00F71EB9" w:rsidRPr="007B0751">
        <w:rPr>
          <w:rFonts w:asciiTheme="majorHAnsi" w:hAnsiTheme="majorHAnsi"/>
        </w:rPr>
        <w:t>understanding of causal factors.</w:t>
      </w:r>
    </w:p>
    <w:p w14:paraId="34AFEAD6" w14:textId="77777777" w:rsidR="009B6C51" w:rsidRPr="007B0751" w:rsidRDefault="009B6C51" w:rsidP="00F04445">
      <w:pPr>
        <w:rPr>
          <w:rFonts w:asciiTheme="majorHAnsi" w:hAnsiTheme="majorHAnsi"/>
        </w:rPr>
      </w:pPr>
    </w:p>
    <w:p w14:paraId="5BD0ECC1" w14:textId="5D6CE62B" w:rsidR="00B05D64" w:rsidRDefault="0015420F" w:rsidP="00F04445">
      <w:pPr>
        <w:rPr>
          <w:rFonts w:asciiTheme="majorHAnsi" w:hAnsiTheme="majorHAnsi"/>
        </w:rPr>
      </w:pPr>
      <w:r w:rsidRPr="007B0751">
        <w:rPr>
          <w:rFonts w:asciiTheme="majorHAnsi" w:hAnsiTheme="majorHAnsi"/>
        </w:rPr>
        <w:t xml:space="preserve">PNGO partners </w:t>
      </w:r>
      <w:r>
        <w:rPr>
          <w:rFonts w:asciiTheme="majorHAnsi" w:hAnsiTheme="majorHAnsi"/>
        </w:rPr>
        <w:t>stated that t</w:t>
      </w:r>
      <w:r w:rsidR="00E97E9F">
        <w:rPr>
          <w:rFonts w:asciiTheme="majorHAnsi" w:hAnsiTheme="majorHAnsi"/>
        </w:rPr>
        <w:t>he P</w:t>
      </w:r>
      <w:r w:rsidR="00F71EB9" w:rsidRPr="007B0751">
        <w:rPr>
          <w:rFonts w:asciiTheme="majorHAnsi" w:hAnsiTheme="majorHAnsi"/>
        </w:rPr>
        <w:t>rogram</w:t>
      </w:r>
      <w:r w:rsidR="00E97E9F">
        <w:rPr>
          <w:rFonts w:asciiTheme="majorHAnsi" w:hAnsiTheme="majorHAnsi"/>
        </w:rPr>
        <w:t>’s high</w:t>
      </w:r>
      <w:r w:rsidR="00717FC6" w:rsidRPr="007B0751">
        <w:rPr>
          <w:rFonts w:asciiTheme="majorHAnsi" w:hAnsiTheme="majorHAnsi"/>
        </w:rPr>
        <w:t xml:space="preserve"> </w:t>
      </w:r>
      <w:proofErr w:type="gramStart"/>
      <w:r w:rsidR="00717FC6" w:rsidRPr="007B0751">
        <w:rPr>
          <w:rFonts w:asciiTheme="majorHAnsi" w:hAnsiTheme="majorHAnsi"/>
        </w:rPr>
        <w:t>e</w:t>
      </w:r>
      <w:r w:rsidR="009B6C51" w:rsidRPr="007B0751">
        <w:rPr>
          <w:rFonts w:asciiTheme="majorHAnsi" w:hAnsiTheme="majorHAnsi"/>
        </w:rPr>
        <w:t xml:space="preserve">xpectations </w:t>
      </w:r>
      <w:r w:rsidR="00717FC6" w:rsidRPr="007B0751">
        <w:rPr>
          <w:rFonts w:asciiTheme="majorHAnsi" w:hAnsiTheme="majorHAnsi"/>
        </w:rPr>
        <w:t xml:space="preserve">in terms of planning, monitoring and reporting </w:t>
      </w:r>
      <w:r w:rsidR="00E97E9F">
        <w:rPr>
          <w:rFonts w:asciiTheme="majorHAnsi" w:hAnsiTheme="majorHAnsi"/>
        </w:rPr>
        <w:t>has</w:t>
      </w:r>
      <w:proofErr w:type="gramEnd"/>
      <w:r w:rsidR="00E97E9F">
        <w:rPr>
          <w:rFonts w:asciiTheme="majorHAnsi" w:hAnsiTheme="majorHAnsi"/>
        </w:rPr>
        <w:t xml:space="preserve"> </w:t>
      </w:r>
      <w:r w:rsidR="00717FC6" w:rsidRPr="007B0751">
        <w:rPr>
          <w:rFonts w:asciiTheme="majorHAnsi" w:hAnsiTheme="majorHAnsi"/>
        </w:rPr>
        <w:t>contributed to</w:t>
      </w:r>
      <w:r w:rsidR="00E97E9F">
        <w:rPr>
          <w:rFonts w:asciiTheme="majorHAnsi" w:hAnsiTheme="majorHAnsi"/>
        </w:rPr>
        <w:t xml:space="preserve"> their</w:t>
      </w:r>
      <w:r w:rsidR="00717FC6" w:rsidRPr="007B0751">
        <w:rPr>
          <w:rFonts w:asciiTheme="majorHAnsi" w:hAnsiTheme="majorHAnsi"/>
        </w:rPr>
        <w:t xml:space="preserve"> increased capacity for management of longer term programs. Particular </w:t>
      </w:r>
      <w:r w:rsidR="00D70D39" w:rsidRPr="007B0751">
        <w:rPr>
          <w:rFonts w:asciiTheme="majorHAnsi" w:hAnsiTheme="majorHAnsi"/>
        </w:rPr>
        <w:t>reference</w:t>
      </w:r>
      <w:r w:rsidR="00717FC6" w:rsidRPr="007B0751">
        <w:rPr>
          <w:rFonts w:asciiTheme="majorHAnsi" w:hAnsiTheme="majorHAnsi"/>
        </w:rPr>
        <w:t xml:space="preserve"> was made of </w:t>
      </w:r>
      <w:r w:rsidR="00FD7A48" w:rsidRPr="007B0751">
        <w:rPr>
          <w:rFonts w:asciiTheme="majorHAnsi" w:hAnsiTheme="majorHAnsi"/>
        </w:rPr>
        <w:t xml:space="preserve">significantly </w:t>
      </w:r>
      <w:r w:rsidR="00717FC6" w:rsidRPr="007B0751">
        <w:rPr>
          <w:rFonts w:asciiTheme="majorHAnsi" w:hAnsiTheme="majorHAnsi"/>
        </w:rPr>
        <w:t xml:space="preserve">improved M&amp;E capacity, and the contribution made </w:t>
      </w:r>
      <w:r w:rsidR="00D70D39" w:rsidRPr="007B0751">
        <w:rPr>
          <w:rFonts w:asciiTheme="majorHAnsi" w:hAnsiTheme="majorHAnsi"/>
        </w:rPr>
        <w:t>by t</w:t>
      </w:r>
      <w:r w:rsidR="009B6C51" w:rsidRPr="007B0751">
        <w:rPr>
          <w:rFonts w:asciiTheme="majorHAnsi" w:hAnsiTheme="majorHAnsi"/>
        </w:rPr>
        <w:t xml:space="preserve">he Program’s </w:t>
      </w:r>
      <w:r w:rsidR="00D70D39" w:rsidRPr="007B0751">
        <w:rPr>
          <w:rFonts w:asciiTheme="majorHAnsi" w:hAnsiTheme="majorHAnsi"/>
        </w:rPr>
        <w:t xml:space="preserve">M&amp;E Advisor to supporting local partners to develop robust monitoring systems for complex, multi-year programs. </w:t>
      </w:r>
    </w:p>
    <w:p w14:paraId="502B51E5" w14:textId="77777777" w:rsidR="0015420F" w:rsidRDefault="0015420F" w:rsidP="00F04445">
      <w:pPr>
        <w:rPr>
          <w:rFonts w:asciiTheme="majorHAnsi" w:hAnsiTheme="majorHAnsi"/>
        </w:rPr>
      </w:pPr>
    </w:p>
    <w:p w14:paraId="28F1AA3D" w14:textId="32D00CE4" w:rsidR="0015420F" w:rsidRPr="007B0751" w:rsidRDefault="0015420F" w:rsidP="00F04445">
      <w:pPr>
        <w:rPr>
          <w:rFonts w:asciiTheme="majorHAnsi" w:hAnsiTheme="majorHAnsi"/>
        </w:rPr>
      </w:pPr>
      <w:r>
        <w:rPr>
          <w:rFonts w:asciiTheme="majorHAnsi" w:hAnsiTheme="majorHAnsi"/>
        </w:rPr>
        <w:t xml:space="preserve">As an indication of the capacity of </w:t>
      </w:r>
      <w:r w:rsidR="00734C9F">
        <w:rPr>
          <w:rFonts w:asciiTheme="majorHAnsi" w:hAnsiTheme="majorHAnsi"/>
        </w:rPr>
        <w:t xml:space="preserve">the </w:t>
      </w:r>
      <w:r>
        <w:rPr>
          <w:rFonts w:asciiTheme="majorHAnsi" w:hAnsiTheme="majorHAnsi"/>
        </w:rPr>
        <w:t>PNGOs</w:t>
      </w:r>
      <w:r w:rsidR="00734C9F">
        <w:rPr>
          <w:rFonts w:asciiTheme="majorHAnsi" w:hAnsiTheme="majorHAnsi"/>
        </w:rPr>
        <w:t xml:space="preserve"> active in AMENCA</w:t>
      </w:r>
      <w:r>
        <w:rPr>
          <w:rFonts w:asciiTheme="majorHAnsi" w:hAnsiTheme="majorHAnsi"/>
        </w:rPr>
        <w:t xml:space="preserve">, UAWC was recently awarded UNDP’s Equator Award for 2014, for its leadership and capacity to address development challenges through conservation and sustainable use of nature. </w:t>
      </w:r>
      <w:r w:rsidR="00484D73">
        <w:rPr>
          <w:rFonts w:asciiTheme="majorHAnsi" w:hAnsiTheme="majorHAnsi"/>
        </w:rPr>
        <w:t xml:space="preserve">UAWC </w:t>
      </w:r>
      <w:r w:rsidR="00734C9F">
        <w:rPr>
          <w:rFonts w:asciiTheme="majorHAnsi" w:hAnsiTheme="majorHAnsi"/>
        </w:rPr>
        <w:t>acknowledges the key role played by AMENCA in developing their capacity in Gaza, where they are an important delivery mechanism for multiple donors.</w:t>
      </w:r>
    </w:p>
    <w:p w14:paraId="7917A038" w14:textId="77777777" w:rsidR="00B05D64" w:rsidRPr="007B0751" w:rsidRDefault="00B05D64" w:rsidP="00F04445">
      <w:pPr>
        <w:rPr>
          <w:rFonts w:asciiTheme="majorHAnsi" w:hAnsiTheme="majorHAnsi"/>
        </w:rPr>
      </w:pPr>
    </w:p>
    <w:p w14:paraId="1A6A8B11" w14:textId="77777777" w:rsidR="00B05D64" w:rsidRPr="007B0751" w:rsidRDefault="00B05D64" w:rsidP="00F04445">
      <w:pPr>
        <w:rPr>
          <w:rFonts w:asciiTheme="majorHAnsi" w:hAnsiTheme="majorHAnsi"/>
          <w:i/>
        </w:rPr>
      </w:pPr>
      <w:r w:rsidRPr="007B0751">
        <w:rPr>
          <w:rFonts w:asciiTheme="majorHAnsi" w:hAnsiTheme="majorHAnsi"/>
          <w:i/>
        </w:rPr>
        <w:t>5.2.1</w:t>
      </w:r>
      <w:r w:rsidRPr="007B0751">
        <w:rPr>
          <w:rFonts w:asciiTheme="majorHAnsi" w:hAnsiTheme="majorHAnsi"/>
          <w:i/>
        </w:rPr>
        <w:tab/>
        <w:t>Program Relevance</w:t>
      </w:r>
    </w:p>
    <w:p w14:paraId="0465D56F" w14:textId="77777777" w:rsidR="00324422" w:rsidRPr="007B0751" w:rsidRDefault="00FD7A48" w:rsidP="00324422">
      <w:pPr>
        <w:ind w:left="720"/>
        <w:rPr>
          <w:rFonts w:asciiTheme="majorHAnsi" w:hAnsiTheme="majorHAnsi"/>
          <w:i/>
        </w:rPr>
      </w:pPr>
      <w:r w:rsidRPr="007B0751">
        <w:rPr>
          <w:rFonts w:asciiTheme="majorHAnsi" w:hAnsiTheme="majorHAnsi"/>
          <w:i/>
        </w:rPr>
        <w:t>“</w:t>
      </w:r>
      <w:r w:rsidR="00324422" w:rsidRPr="007B0751">
        <w:rPr>
          <w:rFonts w:asciiTheme="majorHAnsi" w:hAnsiTheme="majorHAnsi"/>
          <w:i/>
        </w:rPr>
        <w:t xml:space="preserve">AMENCA2 </w:t>
      </w:r>
      <w:r w:rsidR="00C350F7" w:rsidRPr="007B0751">
        <w:rPr>
          <w:rFonts w:asciiTheme="majorHAnsi" w:hAnsiTheme="majorHAnsi"/>
          <w:i/>
        </w:rPr>
        <w:t xml:space="preserve">has and </w:t>
      </w:r>
      <w:r w:rsidR="00324422" w:rsidRPr="007B0751">
        <w:rPr>
          <w:rFonts w:asciiTheme="majorHAnsi" w:hAnsiTheme="majorHAnsi"/>
          <w:i/>
        </w:rPr>
        <w:t>continues to maintain an acute relevance to the development needs of the Palestinian territories, based on its</w:t>
      </w:r>
      <w:r w:rsidR="00371D10">
        <w:rPr>
          <w:rFonts w:asciiTheme="majorHAnsi" w:hAnsiTheme="majorHAnsi"/>
          <w:i/>
        </w:rPr>
        <w:t xml:space="preserve"> </w:t>
      </w:r>
      <w:r w:rsidR="00FC7534" w:rsidRPr="007B0751">
        <w:rPr>
          <w:rFonts w:asciiTheme="majorHAnsi" w:hAnsiTheme="majorHAnsi"/>
          <w:i/>
        </w:rPr>
        <w:t>alignment with</w:t>
      </w:r>
      <w:r w:rsidR="007D1C2C" w:rsidRPr="007B0751">
        <w:rPr>
          <w:rFonts w:asciiTheme="majorHAnsi" w:hAnsiTheme="majorHAnsi"/>
          <w:i/>
        </w:rPr>
        <w:t xml:space="preserve"> community and</w:t>
      </w:r>
      <w:r w:rsidR="00FC7534" w:rsidRPr="007B0751">
        <w:rPr>
          <w:rFonts w:asciiTheme="majorHAnsi" w:hAnsiTheme="majorHAnsi"/>
          <w:i/>
        </w:rPr>
        <w:t xml:space="preserve"> national priorities and</w:t>
      </w:r>
      <w:r w:rsidR="00324422" w:rsidRPr="007B0751">
        <w:rPr>
          <w:rFonts w:asciiTheme="majorHAnsi" w:hAnsiTheme="majorHAnsi"/>
          <w:i/>
        </w:rPr>
        <w:t xml:space="preserve"> ability to </w:t>
      </w:r>
      <w:r w:rsidR="00FC7534" w:rsidRPr="007B0751">
        <w:rPr>
          <w:rFonts w:asciiTheme="majorHAnsi" w:hAnsiTheme="majorHAnsi"/>
          <w:i/>
        </w:rPr>
        <w:t xml:space="preserve">provide effective community and household level solutions to complex and critical higher level </w:t>
      </w:r>
      <w:r w:rsidR="00C350F7" w:rsidRPr="007B0751">
        <w:rPr>
          <w:rFonts w:asciiTheme="majorHAnsi" w:hAnsiTheme="majorHAnsi"/>
          <w:i/>
        </w:rPr>
        <w:t>issue</w:t>
      </w:r>
      <w:r w:rsidR="00FC7534" w:rsidRPr="007B0751">
        <w:rPr>
          <w:rFonts w:asciiTheme="majorHAnsi" w:hAnsiTheme="majorHAnsi"/>
          <w:i/>
        </w:rPr>
        <w:t>s.</w:t>
      </w:r>
      <w:r w:rsidRPr="007B0751">
        <w:rPr>
          <w:rFonts w:asciiTheme="majorHAnsi" w:hAnsiTheme="majorHAnsi"/>
          <w:i/>
        </w:rPr>
        <w:t>”</w:t>
      </w:r>
    </w:p>
    <w:p w14:paraId="51B9B706" w14:textId="77777777" w:rsidR="00324422" w:rsidRPr="007B0751" w:rsidRDefault="00324422" w:rsidP="00F04445">
      <w:pPr>
        <w:rPr>
          <w:rFonts w:asciiTheme="majorHAnsi" w:hAnsiTheme="majorHAnsi"/>
          <w:i/>
        </w:rPr>
      </w:pPr>
    </w:p>
    <w:p w14:paraId="5CAF47C1" w14:textId="77777777" w:rsidR="0064530A" w:rsidRPr="007B0751" w:rsidRDefault="00B05D64" w:rsidP="00F04445">
      <w:pPr>
        <w:rPr>
          <w:rFonts w:asciiTheme="majorHAnsi" w:eastAsia="Times New Roman" w:hAnsiTheme="majorHAnsi" w:cs="Times New Roman"/>
          <w:szCs w:val="22"/>
        </w:rPr>
      </w:pPr>
      <w:r w:rsidRPr="007B0751">
        <w:rPr>
          <w:rFonts w:asciiTheme="majorHAnsi" w:hAnsiTheme="majorHAnsi"/>
        </w:rPr>
        <w:t xml:space="preserve">The goal of AMENCA2 is to </w:t>
      </w:r>
      <w:r w:rsidR="0064530A" w:rsidRPr="007B0751">
        <w:rPr>
          <w:rFonts w:asciiTheme="majorHAnsi" w:eastAsia="Times New Roman" w:hAnsiTheme="majorHAnsi" w:cs="Times New Roman"/>
          <w:bCs/>
          <w:szCs w:val="22"/>
        </w:rPr>
        <w:t>improve livelihoods to reduce the socio-economic vulnerability of the Palestinian people</w:t>
      </w:r>
      <w:r w:rsidR="00371D10">
        <w:rPr>
          <w:rFonts w:asciiTheme="majorHAnsi" w:eastAsia="Times New Roman" w:hAnsiTheme="majorHAnsi" w:cs="Times New Roman"/>
          <w:bCs/>
          <w:szCs w:val="22"/>
        </w:rPr>
        <w:t xml:space="preserve"> </w:t>
      </w:r>
      <w:r w:rsidR="0064530A" w:rsidRPr="007B0751">
        <w:rPr>
          <w:rFonts w:asciiTheme="majorHAnsi" w:eastAsia="Times New Roman" w:hAnsiTheme="majorHAnsi" w:cs="Times New Roman"/>
          <w:szCs w:val="22"/>
        </w:rPr>
        <w:t xml:space="preserve">with priority focus on women, youth and farmers. </w:t>
      </w:r>
      <w:r w:rsidR="00FD7A48" w:rsidRPr="007B0751">
        <w:rPr>
          <w:rFonts w:asciiTheme="majorHAnsi" w:eastAsia="Times New Roman" w:hAnsiTheme="majorHAnsi" w:cs="Times New Roman"/>
          <w:szCs w:val="22"/>
        </w:rPr>
        <w:t>To ensure flexibility for Projects to tailor their approaches to the</w:t>
      </w:r>
      <w:r w:rsidR="002315E5" w:rsidRPr="007B0751">
        <w:rPr>
          <w:rFonts w:asciiTheme="majorHAnsi" w:eastAsia="Times New Roman" w:hAnsiTheme="majorHAnsi" w:cs="Times New Roman"/>
          <w:szCs w:val="22"/>
        </w:rPr>
        <w:t>ir own unique strengths and the</w:t>
      </w:r>
      <w:r w:rsidR="00FD7A48" w:rsidRPr="007B0751">
        <w:rPr>
          <w:rFonts w:asciiTheme="majorHAnsi" w:eastAsia="Times New Roman" w:hAnsiTheme="majorHAnsi" w:cs="Times New Roman"/>
          <w:szCs w:val="22"/>
        </w:rPr>
        <w:t xml:space="preserve"> specific needs of their local communities</w:t>
      </w:r>
      <w:r w:rsidR="002315E5" w:rsidRPr="007B0751">
        <w:rPr>
          <w:rFonts w:asciiTheme="majorHAnsi" w:eastAsia="Times New Roman" w:hAnsiTheme="majorHAnsi" w:cs="Times New Roman"/>
          <w:szCs w:val="22"/>
        </w:rPr>
        <w:t xml:space="preserve">, </w:t>
      </w:r>
      <w:r w:rsidR="0064530A" w:rsidRPr="007B0751">
        <w:rPr>
          <w:rFonts w:asciiTheme="majorHAnsi" w:eastAsia="Times New Roman" w:hAnsiTheme="majorHAnsi" w:cs="Times New Roman"/>
          <w:szCs w:val="22"/>
        </w:rPr>
        <w:t>a list of ten relevant outcome themes (now known as ‘key result</w:t>
      </w:r>
      <w:r w:rsidR="002315E5" w:rsidRPr="007B0751">
        <w:rPr>
          <w:rFonts w:asciiTheme="majorHAnsi" w:eastAsia="Times New Roman" w:hAnsiTheme="majorHAnsi" w:cs="Times New Roman"/>
          <w:szCs w:val="22"/>
        </w:rPr>
        <w:t xml:space="preserve"> area</w:t>
      </w:r>
      <w:r w:rsidR="0064530A" w:rsidRPr="007B0751">
        <w:rPr>
          <w:rFonts w:asciiTheme="majorHAnsi" w:eastAsia="Times New Roman" w:hAnsiTheme="majorHAnsi" w:cs="Times New Roman"/>
          <w:szCs w:val="22"/>
        </w:rPr>
        <w:t xml:space="preserve">s’) </w:t>
      </w:r>
      <w:r w:rsidR="00D22441" w:rsidRPr="007B0751">
        <w:rPr>
          <w:rFonts w:asciiTheme="majorHAnsi" w:eastAsia="Times New Roman" w:hAnsiTheme="majorHAnsi" w:cs="Times New Roman"/>
          <w:szCs w:val="22"/>
        </w:rPr>
        <w:t xml:space="preserve">were agreed upon </w:t>
      </w:r>
      <w:r w:rsidR="0064530A" w:rsidRPr="007B0751">
        <w:rPr>
          <w:rFonts w:asciiTheme="majorHAnsi" w:eastAsia="Times New Roman" w:hAnsiTheme="majorHAnsi" w:cs="Times New Roman"/>
          <w:szCs w:val="22"/>
        </w:rPr>
        <w:t>for the various partners to report against.</w:t>
      </w:r>
      <w:r w:rsidR="00371D10">
        <w:rPr>
          <w:rFonts w:asciiTheme="majorHAnsi" w:eastAsia="Times New Roman" w:hAnsiTheme="majorHAnsi" w:cs="Times New Roman"/>
          <w:szCs w:val="22"/>
        </w:rPr>
        <w:t xml:space="preserve"> </w:t>
      </w:r>
      <w:r w:rsidR="0064530A" w:rsidRPr="007B0751">
        <w:rPr>
          <w:rFonts w:asciiTheme="majorHAnsi" w:eastAsia="Times New Roman" w:hAnsiTheme="majorHAnsi" w:cs="Times New Roman"/>
          <w:szCs w:val="22"/>
        </w:rPr>
        <w:t xml:space="preserve">The table below details these </w:t>
      </w:r>
      <w:r w:rsidR="00E93F3D" w:rsidRPr="007B0751">
        <w:rPr>
          <w:rFonts w:asciiTheme="majorHAnsi" w:eastAsia="Times New Roman" w:hAnsiTheme="majorHAnsi" w:cs="Times New Roman"/>
          <w:szCs w:val="22"/>
        </w:rPr>
        <w:t>key result areas</w:t>
      </w:r>
      <w:r w:rsidR="00B165B1" w:rsidRPr="007B0751">
        <w:rPr>
          <w:rFonts w:asciiTheme="majorHAnsi" w:eastAsia="Times New Roman" w:hAnsiTheme="majorHAnsi" w:cs="Times New Roman"/>
          <w:szCs w:val="22"/>
        </w:rPr>
        <w:t>;</w:t>
      </w:r>
      <w:r w:rsidR="007051F0" w:rsidRPr="007B0751">
        <w:rPr>
          <w:rFonts w:asciiTheme="majorHAnsi" w:eastAsia="Times New Roman" w:hAnsiTheme="majorHAnsi" w:cs="Times New Roman"/>
          <w:szCs w:val="22"/>
        </w:rPr>
        <w:t xml:space="preserve"> which </w:t>
      </w:r>
      <w:proofErr w:type="spellStart"/>
      <w:r w:rsidR="007051F0" w:rsidRPr="007B0751">
        <w:rPr>
          <w:rFonts w:asciiTheme="majorHAnsi" w:eastAsia="Times New Roman" w:hAnsiTheme="majorHAnsi" w:cs="Times New Roman"/>
          <w:szCs w:val="22"/>
        </w:rPr>
        <w:t>organisati</w:t>
      </w:r>
      <w:r w:rsidR="0064530A" w:rsidRPr="007B0751">
        <w:rPr>
          <w:rFonts w:asciiTheme="majorHAnsi" w:eastAsia="Times New Roman" w:hAnsiTheme="majorHAnsi" w:cs="Times New Roman"/>
          <w:szCs w:val="22"/>
        </w:rPr>
        <w:t>ons</w:t>
      </w:r>
      <w:proofErr w:type="spellEnd"/>
      <w:r w:rsidR="0064530A" w:rsidRPr="007B0751">
        <w:rPr>
          <w:rFonts w:asciiTheme="majorHAnsi" w:eastAsia="Times New Roman" w:hAnsiTheme="majorHAnsi" w:cs="Times New Roman"/>
          <w:szCs w:val="22"/>
        </w:rPr>
        <w:t xml:space="preserve"> are working under which themes</w:t>
      </w:r>
      <w:r w:rsidR="00B165B1" w:rsidRPr="007B0751">
        <w:rPr>
          <w:rFonts w:asciiTheme="majorHAnsi" w:eastAsia="Times New Roman" w:hAnsiTheme="majorHAnsi" w:cs="Times New Roman"/>
          <w:szCs w:val="22"/>
        </w:rPr>
        <w:t>;</w:t>
      </w:r>
      <w:r w:rsidR="0064530A" w:rsidRPr="007B0751">
        <w:rPr>
          <w:rFonts w:asciiTheme="majorHAnsi" w:eastAsia="Times New Roman" w:hAnsiTheme="majorHAnsi" w:cs="Times New Roman"/>
          <w:szCs w:val="22"/>
        </w:rPr>
        <w:t xml:space="preserve"> and the relevance (or not) of the themes to </w:t>
      </w:r>
      <w:r w:rsidR="00163D0A" w:rsidRPr="007B0751">
        <w:rPr>
          <w:rFonts w:asciiTheme="majorHAnsi" w:eastAsia="Times New Roman" w:hAnsiTheme="majorHAnsi" w:cs="Times New Roman"/>
          <w:szCs w:val="22"/>
        </w:rPr>
        <w:t>development needs in Palestine</w:t>
      </w:r>
      <w:r w:rsidR="00B165B1" w:rsidRPr="007B0751">
        <w:rPr>
          <w:rFonts w:asciiTheme="majorHAnsi" w:eastAsia="Times New Roman" w:hAnsiTheme="majorHAnsi" w:cs="Times New Roman"/>
          <w:szCs w:val="22"/>
        </w:rPr>
        <w:t>;</w:t>
      </w:r>
      <w:r w:rsidR="007051F0" w:rsidRPr="007B0751">
        <w:rPr>
          <w:rFonts w:asciiTheme="majorHAnsi" w:eastAsia="Times New Roman" w:hAnsiTheme="majorHAnsi" w:cs="Times New Roman"/>
          <w:szCs w:val="22"/>
        </w:rPr>
        <w:t xml:space="preserve"> and </w:t>
      </w:r>
      <w:r w:rsidR="00B165B1" w:rsidRPr="007B0751">
        <w:rPr>
          <w:rFonts w:asciiTheme="majorHAnsi" w:eastAsia="Times New Roman" w:hAnsiTheme="majorHAnsi" w:cs="Times New Roman"/>
          <w:szCs w:val="22"/>
        </w:rPr>
        <w:t xml:space="preserve">the degree to which they align with and support </w:t>
      </w:r>
      <w:r w:rsidR="007051F0" w:rsidRPr="007B0751">
        <w:rPr>
          <w:rFonts w:asciiTheme="majorHAnsi" w:eastAsia="Times New Roman" w:hAnsiTheme="majorHAnsi" w:cs="Times New Roman"/>
          <w:szCs w:val="22"/>
        </w:rPr>
        <w:t xml:space="preserve">Australia’s strategy for the </w:t>
      </w:r>
      <w:proofErr w:type="spellStart"/>
      <w:r w:rsidR="007051F0" w:rsidRPr="007B0751">
        <w:rPr>
          <w:rFonts w:asciiTheme="majorHAnsi" w:eastAsia="Times New Roman" w:hAnsiTheme="majorHAnsi" w:cs="Times New Roman"/>
          <w:szCs w:val="22"/>
        </w:rPr>
        <w:t>PTs</w:t>
      </w:r>
      <w:r w:rsidR="00163D0A" w:rsidRPr="007B0751">
        <w:rPr>
          <w:rFonts w:asciiTheme="majorHAnsi" w:eastAsia="Times New Roman" w:hAnsiTheme="majorHAnsi" w:cs="Times New Roman"/>
          <w:szCs w:val="22"/>
        </w:rPr>
        <w:t>.</w:t>
      </w:r>
      <w:proofErr w:type="spellEnd"/>
    </w:p>
    <w:p w14:paraId="06780113" w14:textId="77777777" w:rsidR="005B30F2" w:rsidRDefault="005B30F2" w:rsidP="00F04445">
      <w:pPr>
        <w:rPr>
          <w:rFonts w:asciiTheme="majorHAnsi" w:eastAsia="Times New Roman" w:hAnsiTheme="majorHAnsi" w:cs="Times New Roman"/>
          <w:szCs w:val="22"/>
        </w:rPr>
      </w:pPr>
    </w:p>
    <w:p w14:paraId="70D3F9A1" w14:textId="77777777" w:rsidR="005B30F2" w:rsidRPr="007B0751" w:rsidRDefault="005B30F2" w:rsidP="005B30F2">
      <w:pPr>
        <w:rPr>
          <w:rFonts w:asciiTheme="majorHAnsi" w:hAnsiTheme="majorHAnsi"/>
        </w:rPr>
      </w:pPr>
      <w:r w:rsidRPr="007B0751">
        <w:rPr>
          <w:rFonts w:asciiTheme="majorHAnsi" w:hAnsiTheme="majorHAnsi"/>
        </w:rPr>
        <w:t xml:space="preserve">An important observation coming from the Review (and of particular relevance to Outcome Ten above) was that while some ANGOs chose not to directly link themselves to some key result areas, they have often still achieved progress in these outcome areas. For example, WV could rightfully claim to be active in area three, given its investments in integrated home gardening, composting and water savings. Similarly, </w:t>
      </w:r>
      <w:proofErr w:type="spellStart"/>
      <w:r w:rsidRPr="007B0751">
        <w:rPr>
          <w:rFonts w:asciiTheme="majorHAnsi" w:hAnsiTheme="majorHAnsi"/>
        </w:rPr>
        <w:t>ActionAid</w:t>
      </w:r>
      <w:proofErr w:type="spellEnd"/>
      <w:r w:rsidRPr="007B0751">
        <w:rPr>
          <w:rFonts w:asciiTheme="majorHAnsi" w:hAnsiTheme="majorHAnsi"/>
        </w:rPr>
        <w:t xml:space="preserve"> is clearly having a significant impact on the psychosocial health of young women through providing opportunities that allow them to move beyond the confines of the home and participate in community affairs. APHEDA/</w:t>
      </w:r>
      <w:proofErr w:type="spellStart"/>
      <w:r w:rsidRPr="007B0751">
        <w:rPr>
          <w:rFonts w:asciiTheme="majorHAnsi" w:hAnsiTheme="majorHAnsi"/>
        </w:rPr>
        <w:t>Ma’an</w:t>
      </w:r>
      <w:proofErr w:type="spellEnd"/>
      <w:r w:rsidRPr="007B0751">
        <w:rPr>
          <w:rFonts w:asciiTheme="majorHAnsi" w:hAnsiTheme="majorHAnsi"/>
        </w:rPr>
        <w:t xml:space="preserve">, through their establishment of a farmer field school/permaculture </w:t>
      </w:r>
      <w:proofErr w:type="spellStart"/>
      <w:r w:rsidRPr="007B0751">
        <w:rPr>
          <w:rFonts w:asciiTheme="majorHAnsi" w:hAnsiTheme="majorHAnsi"/>
        </w:rPr>
        <w:t>centre</w:t>
      </w:r>
      <w:proofErr w:type="spellEnd"/>
      <w:r w:rsidRPr="007B0751">
        <w:rPr>
          <w:rFonts w:asciiTheme="majorHAnsi" w:hAnsiTheme="majorHAnsi"/>
        </w:rPr>
        <w:t xml:space="preserve"> could lay claim to contributing to area five – ensuring locally accessible expertise. </w:t>
      </w:r>
    </w:p>
    <w:p w14:paraId="0F1C83F0" w14:textId="77777777" w:rsidR="005B30F2" w:rsidRPr="007B0751" w:rsidRDefault="005B30F2" w:rsidP="005B30F2">
      <w:pPr>
        <w:rPr>
          <w:rFonts w:asciiTheme="majorHAnsi" w:hAnsiTheme="majorHAnsi"/>
        </w:rPr>
      </w:pPr>
    </w:p>
    <w:p w14:paraId="53FE37C6" w14:textId="77777777" w:rsidR="005B30F2" w:rsidRPr="007B0751" w:rsidRDefault="005B30F2" w:rsidP="005B30F2">
      <w:pPr>
        <w:rPr>
          <w:rFonts w:asciiTheme="majorHAnsi" w:hAnsiTheme="majorHAnsi"/>
        </w:rPr>
      </w:pPr>
      <w:r w:rsidRPr="007B0751">
        <w:rPr>
          <w:rFonts w:asciiTheme="majorHAnsi" w:hAnsiTheme="majorHAnsi"/>
        </w:rPr>
        <w:t>Furthermore, the relevance of the Program approach and the capacities it has fostered were brought into sharp focus during and following the recent conflict in Gaza, when it was demonstrated that APHEDA/</w:t>
      </w:r>
      <w:proofErr w:type="spellStart"/>
      <w:r w:rsidRPr="007B0751">
        <w:rPr>
          <w:rFonts w:asciiTheme="majorHAnsi" w:hAnsiTheme="majorHAnsi"/>
        </w:rPr>
        <w:t>Ma’an</w:t>
      </w:r>
      <w:proofErr w:type="spellEnd"/>
      <w:r w:rsidRPr="007B0751">
        <w:rPr>
          <w:rFonts w:asciiTheme="majorHAnsi" w:hAnsiTheme="majorHAnsi"/>
        </w:rPr>
        <w:t xml:space="preserve"> and WV/UAWC had </w:t>
      </w:r>
      <w:r>
        <w:rPr>
          <w:rFonts w:asciiTheme="majorHAnsi" w:hAnsiTheme="majorHAnsi"/>
        </w:rPr>
        <w:t xml:space="preserve">very strong </w:t>
      </w:r>
      <w:r w:rsidRPr="007B0751">
        <w:rPr>
          <w:rFonts w:asciiTheme="majorHAnsi" w:hAnsiTheme="majorHAnsi"/>
        </w:rPr>
        <w:t xml:space="preserve">systems in place and the capacity to quickly initiate effective emergency and early recovery activities. </w:t>
      </w:r>
      <w:r>
        <w:rPr>
          <w:rFonts w:asciiTheme="majorHAnsi" w:hAnsiTheme="majorHAnsi"/>
        </w:rPr>
        <w:t xml:space="preserve">And households themselves were able to quickly initiate their own recovery efforts, including replanting of crops during the short, mid conflict ceasefire period. </w:t>
      </w:r>
      <w:r w:rsidRPr="007B0751">
        <w:rPr>
          <w:rFonts w:asciiTheme="majorHAnsi" w:hAnsiTheme="majorHAnsi"/>
        </w:rPr>
        <w:t xml:space="preserve">These actions helped minimize the impact of the conflict on AMENCA2 project beneficiaries through technical and grant support to affected families and activities. Both </w:t>
      </w:r>
      <w:proofErr w:type="spellStart"/>
      <w:r w:rsidRPr="007B0751">
        <w:rPr>
          <w:rFonts w:asciiTheme="majorHAnsi" w:hAnsiTheme="majorHAnsi"/>
        </w:rPr>
        <w:t>organisations</w:t>
      </w:r>
      <w:proofErr w:type="spellEnd"/>
      <w:r w:rsidRPr="007B0751">
        <w:rPr>
          <w:rFonts w:asciiTheme="majorHAnsi" w:hAnsiTheme="majorHAnsi"/>
        </w:rPr>
        <w:t xml:space="preserve"> were also able to quickly initiate new activities in response to the conflict and provide valuable partners for DFAT in its response. For example, both </w:t>
      </w:r>
      <w:proofErr w:type="spellStart"/>
      <w:r w:rsidRPr="007B0751">
        <w:rPr>
          <w:rFonts w:asciiTheme="majorHAnsi" w:hAnsiTheme="majorHAnsi"/>
        </w:rPr>
        <w:t>organisations</w:t>
      </w:r>
      <w:proofErr w:type="spellEnd"/>
      <w:r w:rsidRPr="007B0751">
        <w:rPr>
          <w:rFonts w:asciiTheme="majorHAnsi" w:hAnsiTheme="majorHAnsi"/>
        </w:rPr>
        <w:t xml:space="preserve"> expanded the reach of their network of Child Friendly Spaces CFS) in order to allow as many children as possible the opportunity to be supported during the crisis.</w:t>
      </w:r>
    </w:p>
    <w:p w14:paraId="2B7634CA" w14:textId="77777777" w:rsidR="005B30F2" w:rsidRPr="007B0751" w:rsidRDefault="005B30F2" w:rsidP="00F04445">
      <w:pPr>
        <w:rPr>
          <w:rFonts w:asciiTheme="majorHAnsi" w:eastAsia="Times New Roman" w:hAnsiTheme="majorHAnsi" w:cs="Times New Roman"/>
          <w:szCs w:val="22"/>
        </w:rPr>
        <w:sectPr w:rsidR="005B30F2" w:rsidRPr="007B0751" w:rsidSect="00775D2C">
          <w:footerReference w:type="default" r:id="rId24"/>
          <w:pgSz w:w="11900" w:h="16840"/>
          <w:pgMar w:top="1440" w:right="1800" w:bottom="1440" w:left="1800" w:header="708" w:footer="708" w:gutter="0"/>
          <w:pgNumType w:start="1"/>
          <w:cols w:space="708"/>
        </w:sectPr>
      </w:pPr>
    </w:p>
    <w:p w14:paraId="1D818D2C" w14:textId="7A11C1BC" w:rsidR="003A46D6" w:rsidRPr="007B0751" w:rsidRDefault="003A46D6" w:rsidP="003A46D6">
      <w:pPr>
        <w:rPr>
          <w:rFonts w:asciiTheme="majorHAnsi" w:hAnsiTheme="majorHAnsi"/>
          <w:szCs w:val="22"/>
        </w:rPr>
      </w:pPr>
      <w:r w:rsidRPr="007B0751">
        <w:rPr>
          <w:rFonts w:asciiTheme="majorHAnsi" w:hAnsiTheme="majorHAnsi"/>
          <w:b/>
          <w:szCs w:val="22"/>
          <w:u w:val="single"/>
        </w:rPr>
        <w:t xml:space="preserve">Table One – Program Key Results </w:t>
      </w:r>
      <w:r w:rsidR="005B30F2">
        <w:rPr>
          <w:rFonts w:asciiTheme="majorHAnsi" w:hAnsiTheme="majorHAnsi"/>
          <w:b/>
          <w:szCs w:val="22"/>
          <w:u w:val="single"/>
        </w:rPr>
        <w:t xml:space="preserve">Areas, </w:t>
      </w:r>
      <w:r w:rsidRPr="007B0751">
        <w:rPr>
          <w:rFonts w:asciiTheme="majorHAnsi" w:hAnsiTheme="majorHAnsi"/>
          <w:b/>
          <w:szCs w:val="22"/>
          <w:u w:val="single"/>
        </w:rPr>
        <w:t>Relevance</w:t>
      </w:r>
      <w:r w:rsidR="005B30F2">
        <w:rPr>
          <w:rFonts w:asciiTheme="majorHAnsi" w:hAnsiTheme="majorHAnsi"/>
          <w:b/>
          <w:szCs w:val="22"/>
          <w:u w:val="single"/>
        </w:rPr>
        <w:t xml:space="preserve"> </w:t>
      </w:r>
    </w:p>
    <w:tbl>
      <w:tblPr>
        <w:tblW w:w="1375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0"/>
        <w:gridCol w:w="1417"/>
        <w:gridCol w:w="10773"/>
      </w:tblGrid>
      <w:tr w:rsidR="003A46D6" w:rsidRPr="007B0751" w14:paraId="5F78B459" w14:textId="77777777" w:rsidTr="002A5C0E">
        <w:trPr>
          <w:tblHeader/>
        </w:trPr>
        <w:tc>
          <w:tcPr>
            <w:tcW w:w="1560" w:type="dxa"/>
            <w:shd w:val="clear" w:color="auto" w:fill="CCCCCC"/>
          </w:tcPr>
          <w:p w14:paraId="0E118583" w14:textId="1642314D" w:rsidR="003A46D6" w:rsidRPr="007B0751" w:rsidRDefault="003A46D6" w:rsidP="00C42B8F">
            <w:pPr>
              <w:spacing w:before="40" w:after="40"/>
              <w:rPr>
                <w:rFonts w:asciiTheme="majorHAnsi" w:hAnsiTheme="majorHAnsi" w:cs="Arial"/>
                <w:b/>
                <w:sz w:val="20"/>
                <w:szCs w:val="20"/>
              </w:rPr>
            </w:pPr>
            <w:r w:rsidRPr="007B0751">
              <w:rPr>
                <w:rFonts w:asciiTheme="majorHAnsi" w:hAnsiTheme="majorHAnsi" w:cs="Arial"/>
                <w:b/>
                <w:sz w:val="20"/>
                <w:szCs w:val="20"/>
              </w:rPr>
              <w:t>Key Result</w:t>
            </w:r>
            <w:r w:rsidR="006B6060" w:rsidRPr="007B0751">
              <w:rPr>
                <w:rFonts w:asciiTheme="majorHAnsi" w:hAnsiTheme="majorHAnsi" w:cs="Arial"/>
                <w:b/>
                <w:sz w:val="20"/>
                <w:szCs w:val="20"/>
              </w:rPr>
              <w:t xml:space="preserve"> Areas</w:t>
            </w:r>
          </w:p>
        </w:tc>
        <w:tc>
          <w:tcPr>
            <w:tcW w:w="1417" w:type="dxa"/>
            <w:shd w:val="clear" w:color="auto" w:fill="CCCCCC"/>
          </w:tcPr>
          <w:p w14:paraId="513BB2BA" w14:textId="046A0EF3" w:rsidR="003A46D6" w:rsidRPr="007B0751" w:rsidRDefault="006B6060" w:rsidP="006B6060">
            <w:pPr>
              <w:spacing w:before="40" w:after="40"/>
              <w:rPr>
                <w:rFonts w:asciiTheme="majorHAnsi" w:hAnsiTheme="majorHAnsi" w:cs="Arial"/>
                <w:b/>
                <w:sz w:val="20"/>
                <w:szCs w:val="20"/>
              </w:rPr>
            </w:pPr>
            <w:r w:rsidRPr="007B0751">
              <w:rPr>
                <w:rFonts w:asciiTheme="majorHAnsi" w:hAnsiTheme="majorHAnsi" w:cs="Arial"/>
                <w:b/>
                <w:sz w:val="20"/>
                <w:szCs w:val="20"/>
              </w:rPr>
              <w:t>Partners active in</w:t>
            </w:r>
            <w:r w:rsidR="00E72C36">
              <w:rPr>
                <w:rFonts w:asciiTheme="majorHAnsi" w:hAnsiTheme="majorHAnsi" w:cs="Arial"/>
                <w:b/>
                <w:sz w:val="20"/>
                <w:szCs w:val="20"/>
              </w:rPr>
              <w:t xml:space="preserve"> </w:t>
            </w:r>
            <w:r w:rsidRPr="007B0751">
              <w:rPr>
                <w:rFonts w:asciiTheme="majorHAnsi" w:hAnsiTheme="majorHAnsi" w:cs="Arial"/>
                <w:b/>
                <w:sz w:val="20"/>
                <w:szCs w:val="20"/>
              </w:rPr>
              <w:t>KRA</w:t>
            </w:r>
          </w:p>
        </w:tc>
        <w:tc>
          <w:tcPr>
            <w:tcW w:w="10773" w:type="dxa"/>
            <w:shd w:val="clear" w:color="auto" w:fill="CCCCCC"/>
          </w:tcPr>
          <w:p w14:paraId="7A4475FD" w14:textId="77777777" w:rsidR="003A46D6" w:rsidRPr="007B0751" w:rsidRDefault="003A46D6" w:rsidP="00C42B8F">
            <w:pPr>
              <w:spacing w:before="40" w:after="40"/>
              <w:rPr>
                <w:rFonts w:asciiTheme="majorHAnsi" w:hAnsiTheme="majorHAnsi" w:cs="Arial"/>
                <w:b/>
                <w:sz w:val="20"/>
                <w:szCs w:val="20"/>
              </w:rPr>
            </w:pPr>
            <w:r w:rsidRPr="007B0751">
              <w:rPr>
                <w:rFonts w:asciiTheme="majorHAnsi" w:hAnsiTheme="majorHAnsi" w:cs="Arial"/>
                <w:b/>
                <w:sz w:val="20"/>
                <w:szCs w:val="20"/>
              </w:rPr>
              <w:t>1/ Relevance to current Palestinian development needs</w:t>
            </w:r>
            <w:r w:rsidR="006B6060" w:rsidRPr="007B0751">
              <w:rPr>
                <w:rFonts w:asciiTheme="majorHAnsi" w:hAnsiTheme="majorHAnsi" w:cs="Arial"/>
                <w:b/>
                <w:sz w:val="20"/>
                <w:szCs w:val="20"/>
              </w:rPr>
              <w:t xml:space="preserve"> and policies</w:t>
            </w:r>
          </w:p>
          <w:p w14:paraId="2F6F64BF" w14:textId="0D17BBAA" w:rsidR="005B30F2" w:rsidRPr="007B0751" w:rsidRDefault="003A46D6" w:rsidP="00E72C36">
            <w:pPr>
              <w:spacing w:before="40" w:after="40"/>
              <w:rPr>
                <w:rFonts w:asciiTheme="majorHAnsi" w:hAnsiTheme="majorHAnsi" w:cs="Arial"/>
                <w:b/>
                <w:sz w:val="20"/>
                <w:szCs w:val="20"/>
              </w:rPr>
            </w:pPr>
            <w:r w:rsidRPr="007B0751">
              <w:rPr>
                <w:rFonts w:asciiTheme="majorHAnsi" w:hAnsiTheme="majorHAnsi" w:cs="Arial"/>
                <w:b/>
                <w:sz w:val="20"/>
                <w:szCs w:val="20"/>
              </w:rPr>
              <w:t xml:space="preserve">2/ Relevance and alignment with Australian aid objectives and strategy for the PTs </w:t>
            </w:r>
          </w:p>
        </w:tc>
      </w:tr>
      <w:tr w:rsidR="003A46D6" w:rsidRPr="007B0751" w14:paraId="38262DB7" w14:textId="77777777" w:rsidTr="00C42B8F">
        <w:tc>
          <w:tcPr>
            <w:tcW w:w="13750" w:type="dxa"/>
            <w:gridSpan w:val="3"/>
            <w:tcBorders>
              <w:bottom w:val="single" w:sz="2" w:space="0" w:color="auto"/>
            </w:tcBorders>
            <w:shd w:val="clear" w:color="auto" w:fill="B8CCE4"/>
          </w:tcPr>
          <w:p w14:paraId="34ABA6AE" w14:textId="77777777" w:rsidR="003A46D6" w:rsidRPr="007B0751" w:rsidRDefault="003A46D6" w:rsidP="00C42B8F">
            <w:pPr>
              <w:spacing w:before="40" w:after="40"/>
              <w:rPr>
                <w:rFonts w:asciiTheme="majorHAnsi" w:hAnsiTheme="majorHAnsi" w:cs="Arial"/>
                <w:b/>
                <w:sz w:val="20"/>
                <w:szCs w:val="20"/>
              </w:rPr>
            </w:pPr>
            <w:r w:rsidRPr="007B0751">
              <w:rPr>
                <w:rFonts w:asciiTheme="majorHAnsi" w:hAnsiTheme="majorHAnsi" w:cs="Arial"/>
                <w:b/>
                <w:sz w:val="20"/>
                <w:szCs w:val="20"/>
              </w:rPr>
              <w:t>Component 1: Reducing Vulnerability</w:t>
            </w:r>
          </w:p>
        </w:tc>
      </w:tr>
      <w:tr w:rsidR="003A46D6" w:rsidRPr="007B0751" w14:paraId="29D61797" w14:textId="77777777" w:rsidTr="002A5C0E">
        <w:tc>
          <w:tcPr>
            <w:tcW w:w="1560" w:type="dxa"/>
            <w:shd w:val="clear" w:color="auto" w:fill="auto"/>
          </w:tcPr>
          <w:p w14:paraId="2BB48A6B" w14:textId="77777777" w:rsidR="003A46D6" w:rsidRPr="007B0751" w:rsidRDefault="003A46D6" w:rsidP="00C42B8F">
            <w:pPr>
              <w:spacing w:before="40" w:after="40"/>
              <w:ind w:left="34" w:right="-108"/>
              <w:rPr>
                <w:rFonts w:asciiTheme="majorHAnsi" w:hAnsiTheme="majorHAnsi" w:cs="Arial"/>
                <w:color w:val="000000"/>
                <w:sz w:val="20"/>
                <w:szCs w:val="20"/>
              </w:rPr>
            </w:pPr>
            <w:r w:rsidRPr="007B0751">
              <w:rPr>
                <w:rFonts w:asciiTheme="majorHAnsi" w:hAnsiTheme="majorHAnsi" w:cs="Arial"/>
                <w:color w:val="000000"/>
                <w:sz w:val="20"/>
                <w:szCs w:val="20"/>
              </w:rPr>
              <w:t>1. Improved psycho-social wellbeing of children and women in Gaza</w:t>
            </w:r>
          </w:p>
        </w:tc>
        <w:tc>
          <w:tcPr>
            <w:tcW w:w="1417" w:type="dxa"/>
            <w:shd w:val="clear" w:color="auto" w:fill="auto"/>
          </w:tcPr>
          <w:p w14:paraId="482EE28B"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APHEDA</w:t>
            </w:r>
          </w:p>
          <w:p w14:paraId="49B5C6C3"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WV</w:t>
            </w:r>
          </w:p>
        </w:tc>
        <w:tc>
          <w:tcPr>
            <w:tcW w:w="10773" w:type="dxa"/>
          </w:tcPr>
          <w:p w14:paraId="04D9A6B3" w14:textId="14A360AF" w:rsidR="003A46D6" w:rsidRPr="007B0751" w:rsidRDefault="003A46D6" w:rsidP="00C42B8F">
            <w:pPr>
              <w:tabs>
                <w:tab w:val="center" w:pos="4320"/>
                <w:tab w:val="right" w:pos="8640"/>
              </w:tabs>
              <w:rPr>
                <w:rFonts w:asciiTheme="majorHAnsi" w:hAnsiTheme="majorHAnsi" w:cs="Arial"/>
                <w:sz w:val="20"/>
                <w:szCs w:val="20"/>
              </w:rPr>
            </w:pPr>
            <w:r w:rsidRPr="007B0751">
              <w:rPr>
                <w:rFonts w:asciiTheme="majorHAnsi" w:hAnsiTheme="majorHAnsi" w:cs="Arial"/>
                <w:sz w:val="20"/>
                <w:szCs w:val="20"/>
              </w:rPr>
              <w:t>1/ The P</w:t>
            </w:r>
            <w:r w:rsidR="00B165B1" w:rsidRPr="007B0751">
              <w:rPr>
                <w:rFonts w:asciiTheme="majorHAnsi" w:hAnsiTheme="majorHAnsi" w:cs="Arial"/>
                <w:sz w:val="20"/>
                <w:szCs w:val="20"/>
              </w:rPr>
              <w:t xml:space="preserve">NDP </w:t>
            </w:r>
            <w:r w:rsidRPr="007B0751">
              <w:rPr>
                <w:rFonts w:asciiTheme="majorHAnsi" w:hAnsiTheme="majorHAnsi" w:cs="Arial"/>
                <w:sz w:val="20"/>
                <w:szCs w:val="20"/>
              </w:rPr>
              <w:t xml:space="preserve">reports that 28% of West Bank residents and 38% of </w:t>
            </w:r>
            <w:proofErr w:type="spellStart"/>
            <w:r w:rsidRPr="007B0751">
              <w:rPr>
                <w:rFonts w:asciiTheme="majorHAnsi" w:hAnsiTheme="majorHAnsi" w:cs="Arial"/>
                <w:sz w:val="20"/>
                <w:szCs w:val="20"/>
              </w:rPr>
              <w:t>Gazans</w:t>
            </w:r>
            <w:proofErr w:type="spellEnd"/>
            <w:r w:rsidRPr="007B0751">
              <w:rPr>
                <w:rFonts w:asciiTheme="majorHAnsi" w:hAnsiTheme="majorHAnsi" w:cs="Arial"/>
                <w:sz w:val="20"/>
                <w:szCs w:val="20"/>
              </w:rPr>
              <w:t xml:space="preserve"> suffer from worsening psychological health problems</w:t>
            </w:r>
            <w:r w:rsidR="00074BBB">
              <w:rPr>
                <w:rFonts w:asciiTheme="majorHAnsi" w:hAnsiTheme="majorHAnsi" w:cs="Arial"/>
                <w:sz w:val="20"/>
                <w:szCs w:val="20"/>
              </w:rPr>
              <w:t>, and sets a target of</w:t>
            </w:r>
            <w:r w:rsidRPr="007B0751">
              <w:rPr>
                <w:rFonts w:asciiTheme="majorHAnsi" w:hAnsiTheme="majorHAnsi" w:cs="Arial"/>
                <w:sz w:val="20"/>
                <w:szCs w:val="20"/>
              </w:rPr>
              <w:t xml:space="preserve"> ‘developing and integrating psychological and community health with primary healthcare delivery, with a focus on a family health approach</w:t>
            </w:r>
            <w:r w:rsidR="001D4405">
              <w:rPr>
                <w:rFonts w:asciiTheme="majorHAnsi" w:hAnsiTheme="majorHAnsi" w:cs="Arial"/>
                <w:sz w:val="20"/>
                <w:szCs w:val="20"/>
              </w:rPr>
              <w:t>’</w:t>
            </w:r>
            <w:r w:rsidRPr="007B0751">
              <w:rPr>
                <w:rFonts w:asciiTheme="majorHAnsi" w:hAnsiTheme="majorHAnsi" w:cs="Arial"/>
                <w:sz w:val="20"/>
                <w:szCs w:val="20"/>
              </w:rPr>
              <w:t>.</w:t>
            </w:r>
            <w:r w:rsidRPr="007B0751">
              <w:rPr>
                <w:rStyle w:val="FootnoteReference"/>
                <w:rFonts w:asciiTheme="majorHAnsi" w:hAnsiTheme="majorHAnsi" w:cs="Arial"/>
                <w:sz w:val="20"/>
                <w:szCs w:val="20"/>
              </w:rPr>
              <w:footnoteReference w:id="8"/>
            </w:r>
            <w:r w:rsidRPr="007B0751">
              <w:rPr>
                <w:rFonts w:asciiTheme="majorHAnsi" w:hAnsiTheme="majorHAnsi" w:cs="Arial"/>
                <w:sz w:val="20"/>
                <w:szCs w:val="20"/>
              </w:rPr>
              <w:t xml:space="preserve"> </w:t>
            </w:r>
            <w:r w:rsidR="001F50FB">
              <w:rPr>
                <w:rFonts w:asciiTheme="majorHAnsi" w:hAnsiTheme="majorHAnsi"/>
                <w:sz w:val="20"/>
              </w:rPr>
              <w:t xml:space="preserve">While MHPSS issues </w:t>
            </w:r>
            <w:r w:rsidR="00D215A3">
              <w:rPr>
                <w:rFonts w:asciiTheme="majorHAnsi" w:hAnsiTheme="majorHAnsi"/>
                <w:sz w:val="20"/>
              </w:rPr>
              <w:t xml:space="preserve">exist in West Bank, </w:t>
            </w:r>
            <w:r w:rsidR="001F50FB">
              <w:rPr>
                <w:rFonts w:asciiTheme="majorHAnsi" w:hAnsiTheme="majorHAnsi"/>
                <w:sz w:val="20"/>
              </w:rPr>
              <w:t>these are far more acute in Gaza</w:t>
            </w:r>
            <w:r w:rsidR="00D215A3">
              <w:rPr>
                <w:rFonts w:asciiTheme="majorHAnsi" w:hAnsiTheme="majorHAnsi"/>
                <w:sz w:val="20"/>
              </w:rPr>
              <w:t>, given recent wars</w:t>
            </w:r>
          </w:p>
          <w:p w14:paraId="2BE5CC29" w14:textId="5AC0C3D5" w:rsidR="007E7CC8" w:rsidRPr="005D3C90" w:rsidRDefault="003A46D6" w:rsidP="00F21F37">
            <w:pPr>
              <w:tabs>
                <w:tab w:val="center" w:pos="4320"/>
                <w:tab w:val="right" w:pos="8640"/>
              </w:tabs>
              <w:rPr>
                <w:rFonts w:asciiTheme="majorHAnsi" w:hAnsiTheme="majorHAnsi" w:cs="Arial"/>
                <w:sz w:val="20"/>
                <w:szCs w:val="20"/>
              </w:rPr>
            </w:pPr>
            <w:r w:rsidRPr="007B0751">
              <w:rPr>
                <w:rFonts w:asciiTheme="majorHAnsi" w:hAnsiTheme="majorHAnsi" w:cs="Arial"/>
                <w:sz w:val="20"/>
                <w:szCs w:val="20"/>
              </w:rPr>
              <w:t xml:space="preserve">2/ Consistent with </w:t>
            </w:r>
            <w:r w:rsidR="00D22441" w:rsidRPr="007B0751">
              <w:rPr>
                <w:rFonts w:asciiTheme="majorHAnsi" w:hAnsiTheme="majorHAnsi" w:cs="Arial"/>
                <w:sz w:val="20"/>
                <w:szCs w:val="20"/>
              </w:rPr>
              <w:t>Australia</w:t>
            </w:r>
            <w:r w:rsidR="00371D10">
              <w:rPr>
                <w:rFonts w:asciiTheme="majorHAnsi" w:hAnsiTheme="majorHAnsi" w:cs="Arial"/>
                <w:sz w:val="20"/>
                <w:szCs w:val="20"/>
              </w:rPr>
              <w:t>-</w:t>
            </w:r>
            <w:r w:rsidR="00D22441" w:rsidRPr="007B0751">
              <w:rPr>
                <w:rFonts w:asciiTheme="majorHAnsi" w:hAnsiTheme="majorHAnsi" w:cs="Arial"/>
                <w:sz w:val="20"/>
                <w:szCs w:val="20"/>
              </w:rPr>
              <w:t xml:space="preserve">Palestine Strategy </w:t>
            </w:r>
            <w:r w:rsidR="006B6060" w:rsidRPr="007B0751">
              <w:rPr>
                <w:rFonts w:asciiTheme="majorHAnsi" w:hAnsiTheme="majorHAnsi" w:cs="Arial"/>
                <w:sz w:val="20"/>
                <w:szCs w:val="20"/>
              </w:rPr>
              <w:t xml:space="preserve">priority </w:t>
            </w:r>
            <w:r w:rsidR="00D22441" w:rsidRPr="007B0751">
              <w:rPr>
                <w:rFonts w:asciiTheme="majorHAnsi" w:hAnsiTheme="majorHAnsi" w:cs="Arial"/>
                <w:sz w:val="20"/>
                <w:szCs w:val="20"/>
              </w:rPr>
              <w:t>of</w:t>
            </w:r>
            <w:r w:rsidRPr="007B0751">
              <w:rPr>
                <w:rFonts w:asciiTheme="majorHAnsi" w:hAnsiTheme="majorHAnsi" w:cs="Arial"/>
                <w:sz w:val="20"/>
                <w:szCs w:val="20"/>
              </w:rPr>
              <w:t xml:space="preserve"> 1/ p</w:t>
            </w:r>
            <w:r w:rsidRPr="007B0751">
              <w:rPr>
                <w:rFonts w:asciiTheme="majorHAnsi" w:hAnsiTheme="majorHAnsi"/>
                <w:sz w:val="20"/>
              </w:rPr>
              <w:t>rovi</w:t>
            </w:r>
            <w:r w:rsidR="00D22441" w:rsidRPr="007B0751">
              <w:rPr>
                <w:rFonts w:asciiTheme="majorHAnsi" w:hAnsiTheme="majorHAnsi"/>
                <w:sz w:val="20"/>
              </w:rPr>
              <w:t>ding</w:t>
            </w:r>
            <w:r w:rsidRPr="007B0751">
              <w:rPr>
                <w:rFonts w:asciiTheme="majorHAnsi" w:hAnsiTheme="majorHAnsi"/>
                <w:sz w:val="20"/>
              </w:rPr>
              <w:t xml:space="preserve"> basic services and humanitarian and emergency assistance to refugees and other vulnerable</w:t>
            </w:r>
            <w:r w:rsidR="00D22441" w:rsidRPr="007B0751">
              <w:rPr>
                <w:rFonts w:asciiTheme="majorHAnsi" w:hAnsiTheme="majorHAnsi"/>
                <w:sz w:val="20"/>
              </w:rPr>
              <w:t xml:space="preserve"> people</w:t>
            </w:r>
            <w:r w:rsidRPr="007B0751">
              <w:rPr>
                <w:rFonts w:asciiTheme="majorHAnsi" w:hAnsiTheme="majorHAnsi"/>
                <w:sz w:val="20"/>
              </w:rPr>
              <w:t>, and 2/ to reduce vuln</w:t>
            </w:r>
            <w:r w:rsidR="00D22441" w:rsidRPr="007B0751">
              <w:rPr>
                <w:rFonts w:asciiTheme="majorHAnsi" w:hAnsiTheme="majorHAnsi"/>
                <w:sz w:val="20"/>
              </w:rPr>
              <w:t xml:space="preserve">erability for women and youth. </w:t>
            </w:r>
          </w:p>
        </w:tc>
      </w:tr>
      <w:tr w:rsidR="003A46D6" w:rsidRPr="007B0751" w14:paraId="745E8126" w14:textId="77777777" w:rsidTr="002A5C0E">
        <w:trPr>
          <w:trHeight w:val="1447"/>
        </w:trPr>
        <w:tc>
          <w:tcPr>
            <w:tcW w:w="1560" w:type="dxa"/>
          </w:tcPr>
          <w:p w14:paraId="1553B567" w14:textId="30764488" w:rsidR="003A46D6" w:rsidRPr="007B0751" w:rsidRDefault="003A46D6" w:rsidP="00BD3C70">
            <w:pPr>
              <w:spacing w:before="40" w:after="40"/>
              <w:ind w:right="-108"/>
              <w:rPr>
                <w:rFonts w:asciiTheme="majorHAnsi" w:hAnsiTheme="majorHAnsi" w:cs="Arial"/>
                <w:sz w:val="20"/>
                <w:szCs w:val="20"/>
              </w:rPr>
            </w:pPr>
            <w:r w:rsidRPr="007B0751">
              <w:rPr>
                <w:rFonts w:asciiTheme="majorHAnsi" w:hAnsiTheme="majorHAnsi" w:cs="Arial"/>
                <w:sz w:val="20"/>
                <w:szCs w:val="20"/>
              </w:rPr>
              <w:t>2. Improved food security at the household level through increase</w:t>
            </w:r>
            <w:r w:rsidR="00BD3C70">
              <w:rPr>
                <w:rFonts w:asciiTheme="majorHAnsi" w:hAnsiTheme="majorHAnsi" w:cs="Arial"/>
                <w:sz w:val="20"/>
                <w:szCs w:val="20"/>
              </w:rPr>
              <w:t>d</w:t>
            </w:r>
            <w:r w:rsidRPr="007B0751">
              <w:rPr>
                <w:rFonts w:asciiTheme="majorHAnsi" w:hAnsiTheme="majorHAnsi" w:cs="Arial"/>
                <w:sz w:val="20"/>
                <w:szCs w:val="20"/>
              </w:rPr>
              <w:t xml:space="preserve"> production</w:t>
            </w:r>
          </w:p>
        </w:tc>
        <w:tc>
          <w:tcPr>
            <w:tcW w:w="1417" w:type="dxa"/>
          </w:tcPr>
          <w:p w14:paraId="4762F713"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APHEDA</w:t>
            </w:r>
          </w:p>
          <w:p w14:paraId="3AAD78C2"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CARE</w:t>
            </w:r>
          </w:p>
          <w:p w14:paraId="2BFE70B0" w14:textId="77777777"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color w:val="000000"/>
                <w:sz w:val="20"/>
                <w:szCs w:val="20"/>
              </w:rPr>
              <w:t>WV</w:t>
            </w:r>
          </w:p>
        </w:tc>
        <w:tc>
          <w:tcPr>
            <w:tcW w:w="10773" w:type="dxa"/>
          </w:tcPr>
          <w:p w14:paraId="39B8DE1E" w14:textId="2FE9BEAE" w:rsidR="003A46D6" w:rsidRPr="007B0751" w:rsidRDefault="003A46D6" w:rsidP="00C42B8F">
            <w:pPr>
              <w:widowControl w:val="0"/>
              <w:autoSpaceDE w:val="0"/>
              <w:autoSpaceDN w:val="0"/>
              <w:adjustRightInd w:val="0"/>
              <w:rPr>
                <w:rFonts w:asciiTheme="majorHAnsi" w:hAnsiTheme="majorHAnsi" w:cs="P·ˇø’'70›"/>
                <w:sz w:val="20"/>
                <w:szCs w:val="20"/>
              </w:rPr>
            </w:pPr>
            <w:r w:rsidRPr="007B0751">
              <w:rPr>
                <w:rFonts w:asciiTheme="majorHAnsi" w:hAnsiTheme="majorHAnsi" w:cs="Arial"/>
                <w:sz w:val="20"/>
                <w:szCs w:val="20"/>
              </w:rPr>
              <w:t xml:space="preserve">1/ In 2012, food insecurity was </w:t>
            </w:r>
            <w:r w:rsidR="00202119">
              <w:rPr>
                <w:rFonts w:asciiTheme="majorHAnsi" w:hAnsiTheme="majorHAnsi" w:cs="Arial"/>
                <w:sz w:val="20"/>
                <w:szCs w:val="20"/>
              </w:rPr>
              <w:t xml:space="preserve">reported at </w:t>
            </w:r>
            <w:r w:rsidRPr="007B0751">
              <w:rPr>
                <w:rFonts w:asciiTheme="majorHAnsi" w:hAnsiTheme="majorHAnsi" w:cs="Arial"/>
                <w:sz w:val="20"/>
                <w:szCs w:val="20"/>
              </w:rPr>
              <w:t>34% overall (57% in Gaza and 20% in West Bank)</w:t>
            </w:r>
            <w:r w:rsidR="00202119">
              <w:rPr>
                <w:rFonts w:asciiTheme="majorHAnsi" w:hAnsiTheme="majorHAnsi" w:cs="Arial"/>
                <w:sz w:val="20"/>
                <w:szCs w:val="20"/>
              </w:rPr>
              <w:t>, Causes i</w:t>
            </w:r>
            <w:r w:rsidR="00E72C36">
              <w:rPr>
                <w:rFonts w:asciiTheme="majorHAnsi" w:hAnsiTheme="majorHAnsi" w:cs="Arial"/>
                <w:sz w:val="20"/>
                <w:szCs w:val="20"/>
              </w:rPr>
              <w:t>nclude</w:t>
            </w:r>
            <w:r w:rsidR="00202119">
              <w:rPr>
                <w:rFonts w:asciiTheme="majorHAnsi" w:hAnsiTheme="majorHAnsi" w:cs="Arial"/>
                <w:sz w:val="20"/>
                <w:szCs w:val="20"/>
              </w:rPr>
              <w:t xml:space="preserve"> </w:t>
            </w:r>
            <w:r w:rsidRPr="007B0751">
              <w:rPr>
                <w:rFonts w:asciiTheme="majorHAnsi" w:hAnsiTheme="majorHAnsi" w:cs="Arial"/>
                <w:sz w:val="20"/>
                <w:szCs w:val="20"/>
              </w:rPr>
              <w:t xml:space="preserve">low levels of </w:t>
            </w:r>
            <w:proofErr w:type="gramStart"/>
            <w:r w:rsidRPr="007B0751">
              <w:rPr>
                <w:rFonts w:asciiTheme="majorHAnsi" w:hAnsiTheme="majorHAnsi" w:cs="Arial"/>
                <w:sz w:val="20"/>
                <w:szCs w:val="20"/>
              </w:rPr>
              <w:t>production,</w:t>
            </w:r>
            <w:proofErr w:type="gramEnd"/>
            <w:r w:rsidRPr="007B0751">
              <w:rPr>
                <w:rFonts w:asciiTheme="majorHAnsi" w:hAnsiTheme="majorHAnsi" w:cs="Arial"/>
                <w:sz w:val="20"/>
                <w:szCs w:val="20"/>
              </w:rPr>
              <w:t xml:space="preserve"> issues related to water access, </w:t>
            </w:r>
            <w:r w:rsidR="00202119">
              <w:rPr>
                <w:rFonts w:asciiTheme="majorHAnsi" w:hAnsiTheme="majorHAnsi" w:cs="Arial"/>
                <w:sz w:val="20"/>
                <w:szCs w:val="20"/>
              </w:rPr>
              <w:t>and</w:t>
            </w:r>
            <w:r w:rsidRPr="007B0751">
              <w:rPr>
                <w:rFonts w:asciiTheme="majorHAnsi" w:hAnsiTheme="majorHAnsi" w:cs="Arial"/>
                <w:sz w:val="20"/>
                <w:szCs w:val="20"/>
              </w:rPr>
              <w:t xml:space="preserve"> supply chain issues</w:t>
            </w:r>
            <w:r w:rsidR="0018505C">
              <w:rPr>
                <w:rFonts w:asciiTheme="majorHAnsi" w:hAnsiTheme="majorHAnsi" w:cs="Arial"/>
                <w:sz w:val="20"/>
                <w:szCs w:val="20"/>
              </w:rPr>
              <w:t xml:space="preserve">. </w:t>
            </w:r>
            <w:r w:rsidRPr="007B0751">
              <w:rPr>
                <w:rFonts w:asciiTheme="majorHAnsi" w:hAnsiTheme="majorHAnsi" w:cs="Arial"/>
                <w:sz w:val="20"/>
                <w:szCs w:val="20"/>
              </w:rPr>
              <w:t xml:space="preserve">Agriculture Sector Strategy </w:t>
            </w:r>
            <w:r w:rsidR="005D3C90">
              <w:rPr>
                <w:rFonts w:asciiTheme="majorHAnsi" w:hAnsiTheme="majorHAnsi" w:cs="Arial"/>
                <w:sz w:val="20"/>
                <w:szCs w:val="20"/>
              </w:rPr>
              <w:t xml:space="preserve">vision </w:t>
            </w:r>
            <w:r w:rsidRPr="007B0751">
              <w:rPr>
                <w:rFonts w:asciiTheme="majorHAnsi" w:hAnsiTheme="majorHAnsi" w:cs="Arial"/>
                <w:sz w:val="20"/>
                <w:szCs w:val="20"/>
              </w:rPr>
              <w:t xml:space="preserve">is for </w:t>
            </w:r>
            <w:r w:rsidRPr="007B0751">
              <w:rPr>
                <w:rFonts w:asciiTheme="majorHAnsi" w:hAnsiTheme="majorHAnsi" w:cs="P·ˇø’'70›"/>
                <w:sz w:val="20"/>
                <w:szCs w:val="20"/>
              </w:rPr>
              <w:t xml:space="preserve">a sustainable agriculture sector that can </w:t>
            </w:r>
            <w:r w:rsidR="005D3C90">
              <w:rPr>
                <w:rFonts w:asciiTheme="majorHAnsi" w:hAnsiTheme="majorHAnsi" w:cs="P·ˇø’'70›"/>
                <w:sz w:val="20"/>
                <w:szCs w:val="20"/>
              </w:rPr>
              <w:t>“</w:t>
            </w:r>
            <w:r w:rsidRPr="007B0751">
              <w:rPr>
                <w:rFonts w:asciiTheme="majorHAnsi" w:hAnsiTheme="majorHAnsi" w:cs="P·ˇø’'70›"/>
                <w:sz w:val="20"/>
                <w:szCs w:val="20"/>
              </w:rPr>
              <w:t>compete domestically and externally; can effectively contribute to enhancing food security and connection between the Palestinian people and their land, while enha</w:t>
            </w:r>
            <w:r w:rsidR="0018505C">
              <w:rPr>
                <w:rFonts w:asciiTheme="majorHAnsi" w:hAnsiTheme="majorHAnsi" w:cs="P·ˇø’'70›"/>
                <w:sz w:val="20"/>
                <w:szCs w:val="20"/>
              </w:rPr>
              <w:t>ncing</w:t>
            </w:r>
            <w:r w:rsidRPr="007B0751">
              <w:rPr>
                <w:rFonts w:asciiTheme="majorHAnsi" w:hAnsiTheme="majorHAnsi" w:cs="P·ˇø’'70›"/>
                <w:sz w:val="20"/>
                <w:szCs w:val="20"/>
              </w:rPr>
              <w:t xml:space="preserve"> state-building efforts through resource sovereignty.’</w:t>
            </w:r>
            <w:r w:rsidRPr="007B0751">
              <w:rPr>
                <w:rStyle w:val="FootnoteReference"/>
                <w:rFonts w:asciiTheme="majorHAnsi" w:hAnsiTheme="majorHAnsi" w:cs="P·ˇø’'70›"/>
                <w:sz w:val="20"/>
                <w:szCs w:val="20"/>
              </w:rPr>
              <w:footnoteReference w:id="9"/>
            </w:r>
          </w:p>
          <w:p w14:paraId="042E0410" w14:textId="0E6470A5" w:rsidR="008F3EED" w:rsidRPr="007B0751" w:rsidRDefault="003A46D6" w:rsidP="00BD3C70">
            <w:pPr>
              <w:widowControl w:val="0"/>
              <w:autoSpaceDE w:val="0"/>
              <w:autoSpaceDN w:val="0"/>
              <w:adjustRightInd w:val="0"/>
              <w:rPr>
                <w:rFonts w:asciiTheme="majorHAnsi" w:eastAsia="MS Mincho" w:hAnsiTheme="majorHAnsi"/>
                <w:sz w:val="20"/>
              </w:rPr>
            </w:pPr>
            <w:r w:rsidRPr="007B0751">
              <w:rPr>
                <w:rFonts w:asciiTheme="majorHAnsi" w:hAnsiTheme="majorHAnsi" w:cs="P·ˇø’'70›"/>
                <w:sz w:val="20"/>
                <w:szCs w:val="20"/>
              </w:rPr>
              <w:t xml:space="preserve">2/ </w:t>
            </w:r>
            <w:r w:rsidRPr="007B0751">
              <w:rPr>
                <w:rFonts w:asciiTheme="majorHAnsi" w:hAnsiTheme="majorHAnsi" w:cs="Arial"/>
                <w:sz w:val="20"/>
                <w:szCs w:val="20"/>
              </w:rPr>
              <w:t xml:space="preserve">Consistent with Australian objective of </w:t>
            </w:r>
            <w:r w:rsidRPr="007B0751">
              <w:rPr>
                <w:rFonts w:asciiTheme="majorHAnsi" w:eastAsia="MS Mincho" w:hAnsiTheme="majorHAnsi"/>
                <w:sz w:val="20"/>
              </w:rPr>
              <w:t xml:space="preserve">supporting sustainable economic growth </w:t>
            </w:r>
            <w:r w:rsidR="00BD3C70">
              <w:rPr>
                <w:rFonts w:asciiTheme="majorHAnsi" w:eastAsia="MS Mincho" w:hAnsiTheme="majorHAnsi"/>
                <w:sz w:val="20"/>
              </w:rPr>
              <w:t>amongst</w:t>
            </w:r>
            <w:r w:rsidRPr="007B0751">
              <w:rPr>
                <w:rFonts w:asciiTheme="majorHAnsi" w:eastAsia="MS Mincho" w:hAnsiTheme="majorHAnsi"/>
                <w:sz w:val="20"/>
              </w:rPr>
              <w:t xml:space="preserve"> rural communities and vulnerable groups. Support to small and medium enterprises consistent with new strategy to better engage private sector.</w:t>
            </w:r>
            <w:r w:rsidR="00FC21BF">
              <w:rPr>
                <w:rFonts w:asciiTheme="majorHAnsi" w:eastAsia="MS Mincho" w:hAnsiTheme="majorHAnsi"/>
                <w:sz w:val="20"/>
              </w:rPr>
              <w:t xml:space="preserve"> </w:t>
            </w:r>
          </w:p>
        </w:tc>
      </w:tr>
      <w:tr w:rsidR="003A46D6" w:rsidRPr="007B0751" w14:paraId="12602CF0" w14:textId="77777777" w:rsidTr="002A5C0E">
        <w:trPr>
          <w:trHeight w:val="1107"/>
        </w:trPr>
        <w:tc>
          <w:tcPr>
            <w:tcW w:w="1560" w:type="dxa"/>
          </w:tcPr>
          <w:p w14:paraId="688D7681" w14:textId="26ACA1DB" w:rsidR="003A46D6" w:rsidRPr="007B0751" w:rsidRDefault="003A46D6" w:rsidP="00D21C47">
            <w:pPr>
              <w:spacing w:before="40" w:after="40"/>
              <w:rPr>
                <w:rFonts w:asciiTheme="majorHAnsi" w:hAnsiTheme="majorHAnsi" w:cs="Arial"/>
                <w:sz w:val="20"/>
                <w:szCs w:val="20"/>
              </w:rPr>
            </w:pPr>
            <w:r w:rsidRPr="007B0751">
              <w:rPr>
                <w:rFonts w:asciiTheme="majorHAnsi" w:hAnsiTheme="majorHAnsi" w:cs="Arial"/>
                <w:sz w:val="20"/>
                <w:szCs w:val="20"/>
              </w:rPr>
              <w:t xml:space="preserve">3. </w:t>
            </w:r>
            <w:r w:rsidR="00D21C47">
              <w:rPr>
                <w:rFonts w:asciiTheme="majorHAnsi" w:hAnsiTheme="majorHAnsi" w:cs="Arial"/>
                <w:sz w:val="20"/>
                <w:szCs w:val="20"/>
              </w:rPr>
              <w:t>E</w:t>
            </w:r>
            <w:r w:rsidR="00A4254C" w:rsidRPr="007B0751">
              <w:rPr>
                <w:rFonts w:asciiTheme="majorHAnsi" w:hAnsiTheme="majorHAnsi" w:cs="Arial"/>
                <w:sz w:val="20"/>
                <w:szCs w:val="20"/>
              </w:rPr>
              <w:t xml:space="preserve">ffective and ecologically </w:t>
            </w:r>
            <w:r w:rsidR="00A4254C">
              <w:rPr>
                <w:rFonts w:asciiTheme="majorHAnsi" w:hAnsiTheme="majorHAnsi" w:cs="Arial"/>
                <w:sz w:val="20"/>
                <w:szCs w:val="20"/>
              </w:rPr>
              <w:t xml:space="preserve">sustainable </w:t>
            </w:r>
            <w:r w:rsidRPr="007B0751">
              <w:rPr>
                <w:rFonts w:asciiTheme="majorHAnsi" w:hAnsiTheme="majorHAnsi" w:cs="Arial"/>
                <w:sz w:val="20"/>
                <w:szCs w:val="20"/>
              </w:rPr>
              <w:t xml:space="preserve">agricultural practices </w:t>
            </w:r>
          </w:p>
        </w:tc>
        <w:tc>
          <w:tcPr>
            <w:tcW w:w="1417" w:type="dxa"/>
          </w:tcPr>
          <w:p w14:paraId="16081BB1"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APHEDA</w:t>
            </w:r>
          </w:p>
          <w:p w14:paraId="501B0D32" w14:textId="77777777"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color w:val="000000"/>
                <w:sz w:val="20"/>
                <w:szCs w:val="20"/>
              </w:rPr>
              <w:t>CARE</w:t>
            </w:r>
          </w:p>
        </w:tc>
        <w:tc>
          <w:tcPr>
            <w:tcW w:w="10773" w:type="dxa"/>
          </w:tcPr>
          <w:p w14:paraId="38D62456" w14:textId="7827F352" w:rsidR="003A46D6" w:rsidRPr="007B0751" w:rsidRDefault="003A46D6" w:rsidP="00507649">
            <w:pPr>
              <w:spacing w:before="40" w:after="40"/>
              <w:ind w:left="33"/>
              <w:rPr>
                <w:rFonts w:asciiTheme="majorHAnsi" w:hAnsiTheme="majorHAnsi"/>
                <w:sz w:val="20"/>
              </w:rPr>
            </w:pPr>
            <w:r w:rsidRPr="007B0751">
              <w:rPr>
                <w:rFonts w:asciiTheme="majorHAnsi" w:hAnsiTheme="majorHAnsi" w:cs="Arial"/>
                <w:sz w:val="20"/>
                <w:szCs w:val="20"/>
              </w:rPr>
              <w:t xml:space="preserve">1/ </w:t>
            </w:r>
            <w:r w:rsidR="00852252">
              <w:rPr>
                <w:rFonts w:asciiTheme="majorHAnsi" w:hAnsiTheme="majorHAnsi" w:cs="Arial"/>
                <w:sz w:val="20"/>
                <w:szCs w:val="20"/>
              </w:rPr>
              <w:t>T</w:t>
            </w:r>
            <w:r w:rsidRPr="007B0751">
              <w:rPr>
                <w:rFonts w:asciiTheme="majorHAnsi" w:hAnsiTheme="majorHAnsi" w:cs="Arial"/>
                <w:sz w:val="20"/>
                <w:szCs w:val="20"/>
              </w:rPr>
              <w:t xml:space="preserve">he Palestinian agriculture sector has been in significant decline for several years </w:t>
            </w:r>
            <w:r w:rsidRPr="007B0751">
              <w:rPr>
                <w:rFonts w:asciiTheme="majorHAnsi" w:hAnsiTheme="majorHAnsi"/>
                <w:sz w:val="20"/>
              </w:rPr>
              <w:t>declining from 12% of GDP in 1995 to just 4.9% in 2012.</w:t>
            </w:r>
            <w:r w:rsidRPr="007B0751">
              <w:rPr>
                <w:rStyle w:val="FootnoteReference"/>
                <w:rFonts w:asciiTheme="majorHAnsi" w:hAnsiTheme="majorHAnsi"/>
                <w:sz w:val="20"/>
              </w:rPr>
              <w:footnoteReference w:id="10"/>
            </w:r>
            <w:r w:rsidRPr="007B0751">
              <w:rPr>
                <w:rFonts w:asciiTheme="majorHAnsi" w:hAnsiTheme="majorHAnsi"/>
                <w:sz w:val="20"/>
              </w:rPr>
              <w:t xml:space="preserve"> </w:t>
            </w:r>
            <w:r w:rsidR="00852252">
              <w:rPr>
                <w:rFonts w:asciiTheme="majorHAnsi" w:hAnsiTheme="majorHAnsi"/>
                <w:sz w:val="20"/>
              </w:rPr>
              <w:t>Central</w:t>
            </w:r>
            <w:r w:rsidRPr="007B0751">
              <w:rPr>
                <w:rFonts w:asciiTheme="majorHAnsi" w:hAnsiTheme="majorHAnsi"/>
                <w:sz w:val="20"/>
              </w:rPr>
              <w:t xml:space="preserve"> to this decline</w:t>
            </w:r>
            <w:r w:rsidR="00852252">
              <w:rPr>
                <w:rFonts w:asciiTheme="majorHAnsi" w:hAnsiTheme="majorHAnsi"/>
                <w:sz w:val="20"/>
              </w:rPr>
              <w:t xml:space="preserve"> </w:t>
            </w:r>
            <w:r w:rsidRPr="007B0751">
              <w:rPr>
                <w:rFonts w:asciiTheme="majorHAnsi" w:hAnsiTheme="majorHAnsi"/>
                <w:sz w:val="20"/>
              </w:rPr>
              <w:t xml:space="preserve">is restricted </w:t>
            </w:r>
            <w:r w:rsidR="006B6060" w:rsidRPr="007B0751">
              <w:rPr>
                <w:rFonts w:asciiTheme="majorHAnsi" w:hAnsiTheme="majorHAnsi"/>
                <w:sz w:val="20"/>
              </w:rPr>
              <w:t xml:space="preserve">and unreliable </w:t>
            </w:r>
            <w:r w:rsidRPr="007B0751">
              <w:rPr>
                <w:rFonts w:asciiTheme="majorHAnsi" w:hAnsiTheme="majorHAnsi"/>
                <w:sz w:val="20"/>
              </w:rPr>
              <w:t xml:space="preserve">access to critically important inputs such as water, </w:t>
            </w:r>
            <w:proofErr w:type="spellStart"/>
            <w:r w:rsidRPr="007B0751">
              <w:rPr>
                <w:rFonts w:asciiTheme="majorHAnsi" w:hAnsiTheme="majorHAnsi"/>
                <w:sz w:val="20"/>
              </w:rPr>
              <w:t>fertiliser</w:t>
            </w:r>
            <w:proofErr w:type="spellEnd"/>
            <w:r w:rsidRPr="007B0751">
              <w:rPr>
                <w:rFonts w:asciiTheme="majorHAnsi" w:hAnsiTheme="majorHAnsi"/>
                <w:sz w:val="20"/>
              </w:rPr>
              <w:t>, seeds and fodder</w:t>
            </w:r>
            <w:r w:rsidR="00852252">
              <w:rPr>
                <w:rFonts w:asciiTheme="majorHAnsi" w:hAnsiTheme="majorHAnsi"/>
                <w:sz w:val="20"/>
              </w:rPr>
              <w:t>, further exacerbated by climate change</w:t>
            </w:r>
            <w:r w:rsidRPr="007B0751">
              <w:rPr>
                <w:rFonts w:asciiTheme="majorHAnsi" w:hAnsiTheme="majorHAnsi"/>
                <w:sz w:val="20"/>
              </w:rPr>
              <w:t xml:space="preserve">. </w:t>
            </w:r>
          </w:p>
          <w:p w14:paraId="582B5B73" w14:textId="3D580034" w:rsidR="006B6060" w:rsidRPr="007B0751" w:rsidRDefault="003A46D6" w:rsidP="00A64F35">
            <w:pPr>
              <w:widowControl w:val="0"/>
              <w:autoSpaceDE w:val="0"/>
              <w:autoSpaceDN w:val="0"/>
              <w:adjustRightInd w:val="0"/>
              <w:rPr>
                <w:rFonts w:asciiTheme="majorHAnsi" w:hAnsiTheme="majorHAnsi" w:cs="P·ˇø’'70›"/>
                <w:sz w:val="20"/>
                <w:szCs w:val="20"/>
              </w:rPr>
            </w:pPr>
            <w:r w:rsidRPr="007B0751">
              <w:rPr>
                <w:rFonts w:asciiTheme="majorHAnsi" w:hAnsiTheme="majorHAnsi" w:cs="P·ˇø’'70›"/>
                <w:sz w:val="20"/>
                <w:szCs w:val="20"/>
              </w:rPr>
              <w:t xml:space="preserve">2/ </w:t>
            </w:r>
            <w:r w:rsidRPr="007B0751">
              <w:rPr>
                <w:rFonts w:asciiTheme="majorHAnsi" w:hAnsiTheme="majorHAnsi" w:cs="Arial"/>
                <w:sz w:val="20"/>
                <w:szCs w:val="20"/>
              </w:rPr>
              <w:t xml:space="preserve">Consistent with Australian objective of </w:t>
            </w:r>
            <w:r w:rsidRPr="007B0751">
              <w:rPr>
                <w:rFonts w:asciiTheme="majorHAnsi" w:eastAsia="MS Mincho" w:hAnsiTheme="majorHAnsi"/>
                <w:sz w:val="20"/>
              </w:rPr>
              <w:t>supporting sustainable economic growth including helping rural communities and vulnerable groups overcome poverty. AMENCA stakeholders participate in the Agriculture Sector Working Group.</w:t>
            </w:r>
          </w:p>
        </w:tc>
      </w:tr>
      <w:tr w:rsidR="003A46D6" w:rsidRPr="007B0751" w14:paraId="52FCA17A" w14:textId="77777777" w:rsidTr="002A5C0E">
        <w:trPr>
          <w:trHeight w:val="95"/>
        </w:trPr>
        <w:tc>
          <w:tcPr>
            <w:tcW w:w="1560" w:type="dxa"/>
          </w:tcPr>
          <w:p w14:paraId="0EA8A4B8" w14:textId="77777777"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4. Enhanced potential for women to increase livelihoods and income.</w:t>
            </w:r>
          </w:p>
        </w:tc>
        <w:tc>
          <w:tcPr>
            <w:tcW w:w="1417" w:type="dxa"/>
          </w:tcPr>
          <w:p w14:paraId="60FFC5C3" w14:textId="7A63920D" w:rsidR="003A46D6" w:rsidRPr="007B0751" w:rsidRDefault="00EF2C9E" w:rsidP="00C42B8F">
            <w:pPr>
              <w:spacing w:before="40" w:after="40"/>
              <w:rPr>
                <w:rFonts w:asciiTheme="majorHAnsi" w:hAnsiTheme="majorHAnsi" w:cs="Arial"/>
                <w:sz w:val="20"/>
                <w:szCs w:val="20"/>
              </w:rPr>
            </w:pPr>
            <w:r>
              <w:rPr>
                <w:rFonts w:asciiTheme="majorHAnsi" w:hAnsiTheme="majorHAnsi" w:cs="Arial"/>
                <w:sz w:val="20"/>
                <w:szCs w:val="20"/>
              </w:rPr>
              <w:t>All</w:t>
            </w:r>
          </w:p>
        </w:tc>
        <w:tc>
          <w:tcPr>
            <w:tcW w:w="10773" w:type="dxa"/>
          </w:tcPr>
          <w:p w14:paraId="33383B09" w14:textId="740CB057" w:rsidR="003A46D6" w:rsidRPr="007B0751" w:rsidRDefault="003A46D6" w:rsidP="002A5C0E">
            <w:pPr>
              <w:pStyle w:val="CommentText"/>
              <w:rPr>
                <w:rFonts w:asciiTheme="majorHAnsi" w:hAnsiTheme="majorHAnsi"/>
                <w:sz w:val="20"/>
              </w:rPr>
            </w:pPr>
            <w:r w:rsidRPr="007B0751">
              <w:rPr>
                <w:rFonts w:asciiTheme="majorHAnsi" w:hAnsiTheme="majorHAnsi" w:cs="Arial"/>
                <w:sz w:val="20"/>
                <w:szCs w:val="20"/>
              </w:rPr>
              <w:t xml:space="preserve">1/ Target six of the NDP’s “Social Protection and Development’ subset is ‘an empowered Palestinian woman who enjoys more protection and better participation in the </w:t>
            </w:r>
            <w:proofErr w:type="spellStart"/>
            <w:r w:rsidRPr="007B0751">
              <w:rPr>
                <w:rFonts w:asciiTheme="majorHAnsi" w:hAnsiTheme="majorHAnsi" w:cs="Arial"/>
                <w:sz w:val="20"/>
                <w:szCs w:val="20"/>
              </w:rPr>
              <w:t>labour</w:t>
            </w:r>
            <w:proofErr w:type="spellEnd"/>
            <w:r w:rsidRPr="007B0751">
              <w:rPr>
                <w:rFonts w:asciiTheme="majorHAnsi" w:hAnsiTheme="majorHAnsi" w:cs="Arial"/>
                <w:sz w:val="20"/>
                <w:szCs w:val="20"/>
              </w:rPr>
              <w:t xml:space="preserve"> and market and public life, with easier access to all basic services and with equitable opportunities without discrimination.</w:t>
            </w:r>
            <w:r w:rsidRPr="007B0751">
              <w:rPr>
                <w:rStyle w:val="FootnoteReference"/>
                <w:rFonts w:asciiTheme="majorHAnsi" w:hAnsiTheme="majorHAnsi" w:cs="Arial"/>
                <w:sz w:val="20"/>
                <w:szCs w:val="20"/>
              </w:rPr>
              <w:footnoteReference w:id="11"/>
            </w:r>
            <w:r w:rsidRPr="007B0751">
              <w:rPr>
                <w:rFonts w:asciiTheme="majorHAnsi" w:hAnsiTheme="majorHAnsi" w:cs="Arial"/>
                <w:sz w:val="20"/>
                <w:szCs w:val="20"/>
              </w:rPr>
              <w:t xml:space="preserve"> Currently a huge discrepancy exists between the per capita gross national income of women and men (</w:t>
            </w:r>
            <w:r w:rsidRPr="007B0751">
              <w:rPr>
                <w:rFonts w:asciiTheme="majorHAnsi" w:hAnsiTheme="majorHAnsi"/>
                <w:sz w:val="20"/>
              </w:rPr>
              <w:t>US$1,651 and US$8,580 respectively).</w:t>
            </w:r>
            <w:r w:rsidR="00FC21BF">
              <w:rPr>
                <w:rFonts w:asciiTheme="majorHAnsi" w:hAnsiTheme="majorHAnsi"/>
                <w:sz w:val="20"/>
              </w:rPr>
              <w:t xml:space="preserve"> </w:t>
            </w:r>
            <w:r w:rsidRPr="007B0751">
              <w:rPr>
                <w:rFonts w:asciiTheme="majorHAnsi" w:hAnsiTheme="majorHAnsi"/>
                <w:sz w:val="20"/>
              </w:rPr>
              <w:t>Women are also twice as likely to be unemployed as men. Major impediments to women’s economic participation are related to conservative cultural norms</w:t>
            </w:r>
            <w:r w:rsidR="00FC21BF">
              <w:rPr>
                <w:rFonts w:asciiTheme="majorHAnsi" w:hAnsiTheme="majorHAnsi"/>
                <w:sz w:val="20"/>
              </w:rPr>
              <w:t xml:space="preserve">, </w:t>
            </w:r>
            <w:r w:rsidRPr="007B0751">
              <w:rPr>
                <w:rFonts w:asciiTheme="majorHAnsi" w:hAnsiTheme="majorHAnsi"/>
                <w:sz w:val="20"/>
              </w:rPr>
              <w:t>and capacity/confidence to succeed in the market</w:t>
            </w:r>
            <w:r w:rsidR="00A64F35">
              <w:rPr>
                <w:rFonts w:asciiTheme="majorHAnsi" w:hAnsiTheme="majorHAnsi"/>
                <w:sz w:val="20"/>
              </w:rPr>
              <w:t>.</w:t>
            </w:r>
            <w:r w:rsidR="00D21C47">
              <w:rPr>
                <w:rFonts w:asciiTheme="majorHAnsi" w:hAnsiTheme="majorHAnsi"/>
                <w:sz w:val="20"/>
              </w:rPr>
              <w:t xml:space="preserve"> F</w:t>
            </w:r>
            <w:r w:rsidR="00046A99" w:rsidRPr="00046A99">
              <w:rPr>
                <w:rFonts w:asciiTheme="majorHAnsi" w:hAnsiTheme="majorHAnsi"/>
                <w:sz w:val="20"/>
              </w:rPr>
              <w:t xml:space="preserve">ear of harassment by security forces or settlers </w:t>
            </w:r>
            <w:r w:rsidR="00D21C47">
              <w:rPr>
                <w:rFonts w:asciiTheme="majorHAnsi" w:hAnsiTheme="majorHAnsi"/>
                <w:sz w:val="20"/>
              </w:rPr>
              <w:t>i</w:t>
            </w:r>
            <w:r w:rsidR="00046A99">
              <w:rPr>
                <w:rFonts w:asciiTheme="majorHAnsi" w:hAnsiTheme="majorHAnsi"/>
                <w:sz w:val="20"/>
              </w:rPr>
              <w:t>s a growing</w:t>
            </w:r>
            <w:r w:rsidR="00046A99" w:rsidRPr="00046A99">
              <w:rPr>
                <w:rFonts w:asciiTheme="majorHAnsi" w:hAnsiTheme="majorHAnsi"/>
                <w:sz w:val="20"/>
              </w:rPr>
              <w:t xml:space="preserve"> factor restricting </w:t>
            </w:r>
            <w:r w:rsidR="00D21C47">
              <w:rPr>
                <w:rFonts w:asciiTheme="majorHAnsi" w:hAnsiTheme="majorHAnsi"/>
                <w:sz w:val="20"/>
              </w:rPr>
              <w:t>women’s</w:t>
            </w:r>
            <w:r w:rsidR="00046A99" w:rsidRPr="00046A99">
              <w:rPr>
                <w:rFonts w:asciiTheme="majorHAnsi" w:hAnsiTheme="majorHAnsi"/>
                <w:sz w:val="20"/>
              </w:rPr>
              <w:t xml:space="preserve"> mobility</w:t>
            </w:r>
            <w:r w:rsidR="00730427">
              <w:rPr>
                <w:rFonts w:asciiTheme="majorHAnsi" w:hAnsiTheme="majorHAnsi"/>
                <w:sz w:val="20"/>
              </w:rPr>
              <w:t>.</w:t>
            </w:r>
          </w:p>
          <w:p w14:paraId="48CBF180" w14:textId="64DCB35A" w:rsidR="003A46D6" w:rsidRPr="007B0751" w:rsidRDefault="003A46D6" w:rsidP="003264D6">
            <w:pPr>
              <w:spacing w:before="40" w:after="40"/>
              <w:rPr>
                <w:rFonts w:asciiTheme="majorHAnsi" w:hAnsiTheme="majorHAnsi" w:cs="Arial"/>
                <w:sz w:val="20"/>
                <w:szCs w:val="20"/>
              </w:rPr>
            </w:pPr>
            <w:r w:rsidRPr="007B0751">
              <w:rPr>
                <w:rFonts w:asciiTheme="majorHAnsi" w:hAnsiTheme="majorHAnsi"/>
                <w:sz w:val="20"/>
              </w:rPr>
              <w:t>2/ Program aligns with Australian Government commitment to ‘empower women economically and improving their livelihood security</w:t>
            </w:r>
            <w:r w:rsidR="00730427">
              <w:rPr>
                <w:rFonts w:asciiTheme="majorHAnsi" w:hAnsiTheme="majorHAnsi"/>
                <w:sz w:val="20"/>
              </w:rPr>
              <w:t>’.</w:t>
            </w:r>
            <w:r w:rsidRPr="007B0751">
              <w:rPr>
                <w:rFonts w:asciiTheme="majorHAnsi" w:hAnsiTheme="majorHAnsi"/>
                <w:sz w:val="20"/>
              </w:rPr>
              <w:t xml:space="preserve"> It is also of relevance to Australia’s National Action Plan on Women, Peace and Security (2012-18)</w:t>
            </w:r>
          </w:p>
        </w:tc>
      </w:tr>
      <w:tr w:rsidR="00D932E9" w:rsidRPr="007B0751" w14:paraId="3529B416" w14:textId="77777777" w:rsidTr="002A5C0E">
        <w:trPr>
          <w:trHeight w:val="766"/>
        </w:trPr>
        <w:tc>
          <w:tcPr>
            <w:tcW w:w="1560" w:type="dxa"/>
            <w:tcBorders>
              <w:top w:val="single" w:sz="2" w:space="0" w:color="auto"/>
            </w:tcBorders>
          </w:tcPr>
          <w:p w14:paraId="40CBA754" w14:textId="6494A4B3" w:rsidR="00D932E9" w:rsidRPr="007B0751" w:rsidRDefault="00D932E9" w:rsidP="002C47BD">
            <w:pPr>
              <w:spacing w:before="40" w:after="40"/>
              <w:ind w:right="-108"/>
              <w:rPr>
                <w:rFonts w:asciiTheme="majorHAnsi" w:hAnsiTheme="majorHAnsi" w:cs="Arial"/>
                <w:sz w:val="20"/>
                <w:szCs w:val="20"/>
              </w:rPr>
            </w:pPr>
            <w:r w:rsidRPr="007B0751">
              <w:rPr>
                <w:rFonts w:asciiTheme="majorHAnsi" w:hAnsiTheme="majorHAnsi" w:cs="Arial"/>
                <w:sz w:val="20"/>
                <w:szCs w:val="20"/>
              </w:rPr>
              <w:t>5. Improved access to local services</w:t>
            </w:r>
            <w:r w:rsidR="002C47BD">
              <w:rPr>
                <w:rFonts w:asciiTheme="majorHAnsi" w:hAnsiTheme="majorHAnsi" w:cs="Arial"/>
                <w:sz w:val="20"/>
                <w:szCs w:val="20"/>
              </w:rPr>
              <w:t>/</w:t>
            </w:r>
            <w:r w:rsidRPr="007B0751">
              <w:rPr>
                <w:rFonts w:asciiTheme="majorHAnsi" w:hAnsiTheme="majorHAnsi" w:cs="Arial"/>
                <w:sz w:val="20"/>
                <w:szCs w:val="20"/>
              </w:rPr>
              <w:t xml:space="preserve"> skills.</w:t>
            </w:r>
          </w:p>
        </w:tc>
        <w:tc>
          <w:tcPr>
            <w:tcW w:w="1417" w:type="dxa"/>
            <w:tcBorders>
              <w:top w:val="nil"/>
            </w:tcBorders>
          </w:tcPr>
          <w:p w14:paraId="5FDF0B78" w14:textId="77777777" w:rsidR="00D932E9" w:rsidRPr="007B0751" w:rsidRDefault="00D932E9" w:rsidP="00C42B8F">
            <w:pPr>
              <w:spacing w:before="40" w:after="40"/>
              <w:rPr>
                <w:rFonts w:asciiTheme="majorHAnsi" w:hAnsiTheme="majorHAnsi" w:cs="Arial"/>
                <w:sz w:val="20"/>
                <w:szCs w:val="20"/>
              </w:rPr>
            </w:pPr>
            <w:proofErr w:type="spellStart"/>
            <w:r w:rsidRPr="007B0751">
              <w:rPr>
                <w:rFonts w:asciiTheme="majorHAnsi" w:hAnsiTheme="majorHAnsi" w:cs="Arial"/>
                <w:sz w:val="20"/>
                <w:szCs w:val="20"/>
              </w:rPr>
              <w:t>ActionAid</w:t>
            </w:r>
            <w:proofErr w:type="spellEnd"/>
          </w:p>
          <w:p w14:paraId="0AC7DF27" w14:textId="77777777" w:rsidR="00D932E9" w:rsidRPr="007B0751" w:rsidRDefault="00D932E9" w:rsidP="00C42B8F">
            <w:pPr>
              <w:spacing w:before="40" w:after="40"/>
              <w:rPr>
                <w:rFonts w:asciiTheme="majorHAnsi" w:hAnsiTheme="majorHAnsi" w:cs="Arial"/>
                <w:sz w:val="20"/>
                <w:szCs w:val="20"/>
              </w:rPr>
            </w:pPr>
            <w:r w:rsidRPr="007B0751">
              <w:rPr>
                <w:rFonts w:asciiTheme="majorHAnsi" w:hAnsiTheme="majorHAnsi" w:cs="Arial"/>
                <w:color w:val="000000"/>
                <w:sz w:val="20"/>
                <w:szCs w:val="20"/>
              </w:rPr>
              <w:t>CARE</w:t>
            </w:r>
          </w:p>
        </w:tc>
        <w:tc>
          <w:tcPr>
            <w:tcW w:w="10773" w:type="dxa"/>
            <w:tcBorders>
              <w:top w:val="nil"/>
            </w:tcBorders>
          </w:tcPr>
          <w:p w14:paraId="30C88581" w14:textId="4EE51317" w:rsidR="00D932E9" w:rsidRPr="007B0751" w:rsidRDefault="00D932E9" w:rsidP="00C42B8F">
            <w:pPr>
              <w:spacing w:before="40" w:after="40"/>
              <w:rPr>
                <w:rFonts w:asciiTheme="majorHAnsi" w:hAnsiTheme="majorHAnsi" w:cs="Arial"/>
                <w:sz w:val="20"/>
                <w:szCs w:val="20"/>
              </w:rPr>
            </w:pPr>
            <w:r w:rsidRPr="007B0751">
              <w:rPr>
                <w:rFonts w:asciiTheme="majorHAnsi" w:hAnsiTheme="majorHAnsi" w:cs="Arial"/>
                <w:sz w:val="20"/>
                <w:szCs w:val="20"/>
              </w:rPr>
              <w:t xml:space="preserve">1/ </w:t>
            </w:r>
            <w:r>
              <w:rPr>
                <w:rFonts w:asciiTheme="majorHAnsi" w:hAnsiTheme="majorHAnsi" w:cs="Arial"/>
                <w:sz w:val="20"/>
                <w:szCs w:val="20"/>
              </w:rPr>
              <w:t>Palestinian communities have trouble accessing high quality services and skills, exacerbated by restrictions on people’s movement posed by the blockade. Being able to access services locally is therefore an important driver of the local economy.</w:t>
            </w:r>
          </w:p>
          <w:p w14:paraId="4D28E6C3" w14:textId="2BA08429" w:rsidR="00D932E9" w:rsidRPr="007B0751" w:rsidRDefault="00D932E9" w:rsidP="00D932E9">
            <w:pPr>
              <w:pStyle w:val="NormalWeb"/>
              <w:spacing w:before="0" w:beforeAutospacing="0" w:after="0" w:afterAutospacing="0"/>
              <w:rPr>
                <w:rFonts w:asciiTheme="majorHAnsi" w:hAnsiTheme="majorHAnsi" w:cs="Arial"/>
                <w:sz w:val="20"/>
                <w:szCs w:val="20"/>
              </w:rPr>
            </w:pPr>
            <w:r w:rsidRPr="007B0751">
              <w:rPr>
                <w:rFonts w:asciiTheme="majorHAnsi" w:hAnsiTheme="majorHAnsi" w:cs="Arial"/>
                <w:sz w:val="20"/>
                <w:szCs w:val="22"/>
              </w:rPr>
              <w:t>2/ Relates directly to Australian strategy PTs priority of developing civil society</w:t>
            </w:r>
            <w:r w:rsidRPr="007B0751">
              <w:rPr>
                <w:rFonts w:asciiTheme="majorHAnsi" w:hAnsiTheme="majorHAnsi"/>
                <w:sz w:val="20"/>
                <w:szCs w:val="22"/>
              </w:rPr>
              <w:t xml:space="preserve"> </w:t>
            </w:r>
          </w:p>
        </w:tc>
      </w:tr>
      <w:tr w:rsidR="003A46D6" w:rsidRPr="007B0751" w14:paraId="563D6CDA" w14:textId="77777777" w:rsidTr="002A5C0E">
        <w:tc>
          <w:tcPr>
            <w:tcW w:w="1560" w:type="dxa"/>
          </w:tcPr>
          <w:p w14:paraId="4A9F2EDC" w14:textId="47FAF176" w:rsidR="003A46D6" w:rsidRPr="007B0751" w:rsidRDefault="003A46D6" w:rsidP="002C47BD">
            <w:pPr>
              <w:pStyle w:val="ListNum"/>
              <w:numPr>
                <w:ilvl w:val="0"/>
                <w:numId w:val="0"/>
              </w:num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 xml:space="preserve">6. Strengthened employment opportunities </w:t>
            </w:r>
          </w:p>
        </w:tc>
        <w:tc>
          <w:tcPr>
            <w:tcW w:w="1417" w:type="dxa"/>
          </w:tcPr>
          <w:p w14:paraId="57D5813E" w14:textId="77777777" w:rsidR="003A46D6" w:rsidRPr="007B0751" w:rsidRDefault="003A46D6" w:rsidP="00C42B8F">
            <w:pPr>
              <w:spacing w:before="40" w:after="40"/>
              <w:rPr>
                <w:rFonts w:asciiTheme="majorHAnsi" w:hAnsiTheme="majorHAnsi" w:cs="Arial"/>
                <w:color w:val="000000"/>
                <w:sz w:val="20"/>
                <w:szCs w:val="20"/>
              </w:rPr>
            </w:pPr>
            <w:proofErr w:type="spellStart"/>
            <w:r w:rsidRPr="007B0751">
              <w:rPr>
                <w:rFonts w:asciiTheme="majorHAnsi" w:hAnsiTheme="majorHAnsi" w:cs="Arial"/>
                <w:color w:val="000000"/>
                <w:sz w:val="20"/>
                <w:szCs w:val="20"/>
              </w:rPr>
              <w:t>ActionAid</w:t>
            </w:r>
            <w:proofErr w:type="spellEnd"/>
          </w:p>
          <w:p w14:paraId="34CC00C4"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CARE</w:t>
            </w:r>
          </w:p>
          <w:p w14:paraId="11461F7F"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WV</w:t>
            </w:r>
          </w:p>
        </w:tc>
        <w:tc>
          <w:tcPr>
            <w:tcW w:w="10773" w:type="dxa"/>
          </w:tcPr>
          <w:p w14:paraId="4A32F8C5" w14:textId="40AFDC69"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1/ Promoting economic growth and a prosperous local economy is a cross-cutting issue of relevance to all outcome themes listed in this tabl</w:t>
            </w:r>
            <w:r w:rsidR="001D7B5E">
              <w:rPr>
                <w:rFonts w:asciiTheme="majorHAnsi" w:hAnsiTheme="majorHAnsi" w:cs="Arial"/>
                <w:color w:val="000000"/>
                <w:sz w:val="20"/>
                <w:szCs w:val="20"/>
              </w:rPr>
              <w:t>e, and is</w:t>
            </w:r>
            <w:r w:rsidRPr="007B0751">
              <w:rPr>
                <w:rFonts w:asciiTheme="majorHAnsi" w:hAnsiTheme="majorHAnsi" w:cs="Arial"/>
                <w:color w:val="000000"/>
                <w:sz w:val="20"/>
                <w:szCs w:val="20"/>
              </w:rPr>
              <w:t xml:space="preserve"> with the</w:t>
            </w:r>
            <w:r w:rsidR="001D7B5E">
              <w:rPr>
                <w:rFonts w:asciiTheme="majorHAnsi" w:hAnsiTheme="majorHAnsi" w:cs="Arial"/>
                <w:color w:val="000000"/>
                <w:sz w:val="20"/>
                <w:szCs w:val="20"/>
              </w:rPr>
              <w:t xml:space="preserve"> NDP’s</w:t>
            </w:r>
            <w:r w:rsidRPr="007B0751">
              <w:rPr>
                <w:rFonts w:asciiTheme="majorHAnsi" w:hAnsiTheme="majorHAnsi" w:cs="Arial"/>
                <w:color w:val="000000"/>
                <w:sz w:val="20"/>
                <w:szCs w:val="20"/>
              </w:rPr>
              <w:t xml:space="preserve"> ‘Economic Development and Employment Sector</w:t>
            </w:r>
            <w:r w:rsidR="006B6060" w:rsidRPr="007B0751">
              <w:rPr>
                <w:rFonts w:asciiTheme="majorHAnsi" w:hAnsiTheme="majorHAnsi" w:cs="Arial"/>
                <w:color w:val="000000"/>
                <w:sz w:val="20"/>
                <w:szCs w:val="20"/>
              </w:rPr>
              <w:t>’</w:t>
            </w:r>
            <w:r w:rsidRPr="007B0751">
              <w:rPr>
                <w:rFonts w:asciiTheme="majorHAnsi" w:hAnsiTheme="majorHAnsi" w:cs="Arial"/>
                <w:color w:val="000000"/>
                <w:sz w:val="20"/>
                <w:szCs w:val="20"/>
              </w:rPr>
              <w:t xml:space="preserve"> Strategic Objectives set out in the NDP.</w:t>
            </w:r>
            <w:r w:rsidRPr="007B0751">
              <w:rPr>
                <w:rStyle w:val="FootnoteReference"/>
                <w:rFonts w:asciiTheme="majorHAnsi" w:hAnsiTheme="majorHAnsi" w:cs="Arial"/>
                <w:color w:val="000000"/>
                <w:sz w:val="20"/>
                <w:szCs w:val="20"/>
              </w:rPr>
              <w:footnoteReference w:id="12"/>
            </w:r>
          </w:p>
          <w:p w14:paraId="2C871BAC" w14:textId="21C8EB35" w:rsidR="006B6060" w:rsidRPr="007B0751" w:rsidRDefault="003A46D6" w:rsidP="002C47BD">
            <w:pPr>
              <w:pStyle w:val="NormalWeb"/>
              <w:spacing w:before="0" w:beforeAutospacing="0" w:after="0" w:afterAutospacing="0"/>
              <w:rPr>
                <w:rFonts w:asciiTheme="majorHAnsi" w:hAnsiTheme="majorHAnsi"/>
                <w:sz w:val="20"/>
              </w:rPr>
            </w:pPr>
            <w:r w:rsidRPr="007B0751">
              <w:rPr>
                <w:rFonts w:asciiTheme="majorHAnsi" w:hAnsiTheme="majorHAnsi" w:cs="Arial"/>
                <w:sz w:val="20"/>
                <w:szCs w:val="22"/>
              </w:rPr>
              <w:t>2/ Directly relevant to Australian strategy for PTs to reduce vulnerability</w:t>
            </w:r>
            <w:r w:rsidR="001D7B5E">
              <w:rPr>
                <w:rFonts w:asciiTheme="majorHAnsi" w:hAnsiTheme="majorHAnsi" w:cs="Arial"/>
                <w:sz w:val="20"/>
                <w:szCs w:val="22"/>
              </w:rPr>
              <w:t xml:space="preserve">. Also </w:t>
            </w:r>
            <w:r w:rsidRPr="007B0751">
              <w:rPr>
                <w:rFonts w:asciiTheme="majorHAnsi" w:hAnsiTheme="majorHAnsi"/>
                <w:sz w:val="20"/>
                <w:szCs w:val="22"/>
              </w:rPr>
              <w:t xml:space="preserve">of direct relevance to the </w:t>
            </w:r>
            <w:r w:rsidRPr="007B0751">
              <w:rPr>
                <w:rFonts w:asciiTheme="majorHAnsi" w:hAnsiTheme="majorHAnsi" w:cs="Times-Roman"/>
                <w:bCs/>
                <w:iCs/>
                <w:sz w:val="20"/>
                <w:szCs w:val="22"/>
                <w:lang w:val="en-GB" w:eastAsia="ja-JP"/>
              </w:rPr>
              <w:t xml:space="preserve">Australian Government’s new development policy </w:t>
            </w:r>
            <w:r w:rsidRPr="007B0751">
              <w:rPr>
                <w:rFonts w:asciiTheme="majorHAnsi" w:hAnsiTheme="majorHAnsi" w:cs="Times-BoldItalic"/>
                <w:b/>
                <w:bCs/>
                <w:i/>
                <w:iCs/>
                <w:sz w:val="20"/>
                <w:szCs w:val="22"/>
                <w:lang w:val="en-GB" w:eastAsia="ja-JP"/>
              </w:rPr>
              <w:t>Australian aid: promoting prosperity, reducing poverty, enhancing stability</w:t>
            </w:r>
          </w:p>
        </w:tc>
      </w:tr>
      <w:tr w:rsidR="003A46D6" w:rsidRPr="007B0751" w14:paraId="5E1A95A6" w14:textId="77777777" w:rsidTr="00C42B8F">
        <w:tc>
          <w:tcPr>
            <w:tcW w:w="13750" w:type="dxa"/>
            <w:gridSpan w:val="3"/>
            <w:shd w:val="clear" w:color="auto" w:fill="B8CCE4"/>
          </w:tcPr>
          <w:p w14:paraId="0D85B918" w14:textId="77777777" w:rsidR="003A46D6" w:rsidRPr="007B0751" w:rsidRDefault="003A46D6" w:rsidP="00C42B8F">
            <w:pPr>
              <w:spacing w:before="40" w:after="40"/>
              <w:ind w:right="-108"/>
              <w:rPr>
                <w:rFonts w:asciiTheme="majorHAnsi" w:hAnsiTheme="majorHAnsi" w:cs="Arial"/>
                <w:b/>
                <w:szCs w:val="20"/>
              </w:rPr>
            </w:pPr>
            <w:r w:rsidRPr="007B0751">
              <w:rPr>
                <w:rFonts w:asciiTheme="majorHAnsi" w:hAnsiTheme="majorHAnsi" w:cs="Arial"/>
                <w:b/>
                <w:szCs w:val="20"/>
              </w:rPr>
              <w:t>Component 2: Capacity Building of Palestinian NGOs and CBOs</w:t>
            </w:r>
          </w:p>
        </w:tc>
      </w:tr>
      <w:tr w:rsidR="003A46D6" w:rsidRPr="007B0751" w14:paraId="6D2B43AD" w14:textId="77777777" w:rsidTr="002A5C0E">
        <w:trPr>
          <w:trHeight w:val="439"/>
        </w:trPr>
        <w:tc>
          <w:tcPr>
            <w:tcW w:w="1560" w:type="dxa"/>
          </w:tcPr>
          <w:p w14:paraId="3CEBE988" w14:textId="35E65016" w:rsidR="003A46D6" w:rsidRPr="007B0751" w:rsidRDefault="00507649" w:rsidP="002C47BD">
            <w:pPr>
              <w:spacing w:before="40" w:after="40"/>
              <w:ind w:right="-108"/>
              <w:rPr>
                <w:rFonts w:asciiTheme="majorHAnsi" w:hAnsiTheme="majorHAnsi" w:cs="Arial"/>
                <w:sz w:val="20"/>
                <w:szCs w:val="20"/>
              </w:rPr>
            </w:pPr>
            <w:r w:rsidRPr="007B0751">
              <w:rPr>
                <w:rFonts w:asciiTheme="majorHAnsi" w:hAnsiTheme="majorHAnsi" w:cs="Arial"/>
                <w:sz w:val="20"/>
                <w:szCs w:val="20"/>
              </w:rPr>
              <w:t>7. Strengthen</w:t>
            </w:r>
            <w:r w:rsidR="00103D55" w:rsidRPr="007B0751">
              <w:rPr>
                <w:rFonts w:asciiTheme="majorHAnsi" w:hAnsiTheme="majorHAnsi" w:cs="Arial"/>
                <w:sz w:val="20"/>
                <w:szCs w:val="20"/>
              </w:rPr>
              <w:t xml:space="preserve"> capacity of</w:t>
            </w:r>
            <w:r w:rsidR="003A46D6" w:rsidRPr="007B0751">
              <w:rPr>
                <w:rFonts w:asciiTheme="majorHAnsi" w:hAnsiTheme="majorHAnsi" w:cs="Arial"/>
                <w:sz w:val="20"/>
                <w:szCs w:val="20"/>
              </w:rPr>
              <w:t xml:space="preserve"> civil society to better </w:t>
            </w:r>
            <w:r w:rsidR="00AD538E">
              <w:rPr>
                <w:rFonts w:asciiTheme="majorHAnsi" w:hAnsiTheme="majorHAnsi" w:cs="Arial"/>
                <w:sz w:val="20"/>
                <w:szCs w:val="20"/>
              </w:rPr>
              <w:t>support</w:t>
            </w:r>
            <w:r w:rsidR="003A46D6" w:rsidRPr="007B0751">
              <w:rPr>
                <w:rFonts w:asciiTheme="majorHAnsi" w:hAnsiTheme="majorHAnsi" w:cs="Arial"/>
                <w:sz w:val="20"/>
                <w:szCs w:val="20"/>
              </w:rPr>
              <w:t xml:space="preserve"> community priorities</w:t>
            </w:r>
          </w:p>
        </w:tc>
        <w:tc>
          <w:tcPr>
            <w:tcW w:w="1417" w:type="dxa"/>
          </w:tcPr>
          <w:p w14:paraId="29CFA1C1" w14:textId="5F9B27E5" w:rsidR="003A46D6" w:rsidRPr="007B0751" w:rsidRDefault="00EF2C9E" w:rsidP="00C42B8F">
            <w:pPr>
              <w:spacing w:before="40" w:after="40"/>
              <w:rPr>
                <w:rFonts w:asciiTheme="majorHAnsi" w:hAnsiTheme="majorHAnsi" w:cs="Arial"/>
                <w:sz w:val="20"/>
                <w:szCs w:val="20"/>
              </w:rPr>
            </w:pPr>
            <w:r>
              <w:rPr>
                <w:rFonts w:asciiTheme="majorHAnsi" w:hAnsiTheme="majorHAnsi" w:cs="Arial"/>
                <w:color w:val="000000"/>
                <w:sz w:val="20"/>
                <w:szCs w:val="20"/>
              </w:rPr>
              <w:t>All</w:t>
            </w:r>
          </w:p>
        </w:tc>
        <w:tc>
          <w:tcPr>
            <w:tcW w:w="10773" w:type="dxa"/>
          </w:tcPr>
          <w:p w14:paraId="1D7D304C" w14:textId="5E56561B"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 xml:space="preserve">1/ </w:t>
            </w:r>
            <w:r w:rsidR="005359EC">
              <w:rPr>
                <w:rFonts w:asciiTheme="majorHAnsi" w:hAnsiTheme="majorHAnsi" w:cs="Arial"/>
                <w:sz w:val="20"/>
                <w:szCs w:val="20"/>
              </w:rPr>
              <w:t xml:space="preserve">PNGOs and </w:t>
            </w:r>
            <w:r w:rsidRPr="007B0751">
              <w:rPr>
                <w:rFonts w:asciiTheme="majorHAnsi" w:hAnsiTheme="majorHAnsi" w:cs="Arial"/>
                <w:sz w:val="20"/>
                <w:szCs w:val="20"/>
              </w:rPr>
              <w:t>CBOs have long been an important provider of services at community level, aiming to provide a safety net when the ‘system’ fails local community members. More recently, governance reforms have placed greater emphasis and responsibility on local government units (LGUs). The NDP states that it aims to ‘consolidate the role and capacity of LGUs to take on greater responsibilities and powers to be more responsive to citizens’ needs’.</w:t>
            </w:r>
            <w:r w:rsidRPr="007B0751">
              <w:rPr>
                <w:rStyle w:val="FootnoteReference"/>
                <w:rFonts w:asciiTheme="majorHAnsi" w:hAnsiTheme="majorHAnsi" w:cs="Arial"/>
                <w:sz w:val="20"/>
                <w:szCs w:val="20"/>
              </w:rPr>
              <w:footnoteReference w:id="13"/>
            </w:r>
            <w:r w:rsidRPr="007B0751">
              <w:rPr>
                <w:rFonts w:asciiTheme="majorHAnsi" w:hAnsiTheme="majorHAnsi" w:cs="Arial"/>
                <w:sz w:val="20"/>
                <w:szCs w:val="20"/>
              </w:rPr>
              <w:t xml:space="preserve"> </w:t>
            </w:r>
          </w:p>
          <w:p w14:paraId="66B29C83" w14:textId="64509D43" w:rsidR="003A46D6" w:rsidRPr="007B0751" w:rsidRDefault="003A46D6" w:rsidP="00FE5B68">
            <w:pPr>
              <w:spacing w:before="40" w:after="40"/>
              <w:rPr>
                <w:rFonts w:asciiTheme="majorHAnsi" w:hAnsiTheme="majorHAnsi" w:cs="Arial"/>
                <w:sz w:val="20"/>
                <w:szCs w:val="20"/>
              </w:rPr>
            </w:pPr>
            <w:r w:rsidRPr="007B0751">
              <w:rPr>
                <w:rFonts w:asciiTheme="majorHAnsi" w:hAnsiTheme="majorHAnsi" w:cs="Arial"/>
                <w:sz w:val="20"/>
                <w:szCs w:val="20"/>
              </w:rPr>
              <w:t xml:space="preserve">2/ Relates directly to Australian strategy PTs priority of developing civil society, with a focus on reducing vulnerability, </w:t>
            </w:r>
            <w:r w:rsidRPr="007B0751">
              <w:rPr>
                <w:rFonts w:asciiTheme="majorHAnsi" w:hAnsiTheme="majorHAnsi"/>
                <w:sz w:val="20"/>
                <w:szCs w:val="20"/>
              </w:rPr>
              <w:t xml:space="preserve">particularly for Palestinian women, children and youth. </w:t>
            </w:r>
            <w:r w:rsidRPr="007B0751">
              <w:rPr>
                <w:rFonts w:asciiTheme="majorHAnsi" w:hAnsiTheme="majorHAnsi" w:cs="Arial"/>
                <w:sz w:val="20"/>
                <w:szCs w:val="20"/>
              </w:rPr>
              <w:t xml:space="preserve">Australia is a strong supporter of </w:t>
            </w:r>
            <w:r w:rsidR="00B23F93">
              <w:rPr>
                <w:rFonts w:asciiTheme="majorHAnsi" w:hAnsiTheme="majorHAnsi" w:cs="Arial"/>
                <w:sz w:val="20"/>
                <w:szCs w:val="20"/>
              </w:rPr>
              <w:t xml:space="preserve">decentralized </w:t>
            </w:r>
            <w:r w:rsidRPr="007B0751">
              <w:rPr>
                <w:rFonts w:asciiTheme="majorHAnsi" w:hAnsiTheme="majorHAnsi" w:cs="Arial"/>
                <w:sz w:val="20"/>
                <w:szCs w:val="20"/>
              </w:rPr>
              <w:t>governance</w:t>
            </w:r>
            <w:r w:rsidR="00B23F93">
              <w:rPr>
                <w:rFonts w:asciiTheme="majorHAnsi" w:hAnsiTheme="majorHAnsi" w:cs="Arial"/>
                <w:sz w:val="20"/>
                <w:szCs w:val="20"/>
              </w:rPr>
              <w:t>.</w:t>
            </w:r>
          </w:p>
        </w:tc>
      </w:tr>
      <w:tr w:rsidR="003A46D6" w:rsidRPr="007B0751" w14:paraId="62976A69" w14:textId="77777777" w:rsidTr="002A5C0E">
        <w:trPr>
          <w:trHeight w:val="1000"/>
        </w:trPr>
        <w:tc>
          <w:tcPr>
            <w:tcW w:w="1560" w:type="dxa"/>
          </w:tcPr>
          <w:p w14:paraId="2FD027E1" w14:textId="03ADF906" w:rsidR="003A46D6" w:rsidRPr="007B0751" w:rsidRDefault="003A46D6" w:rsidP="00BD3C70">
            <w:pPr>
              <w:spacing w:before="40" w:after="40"/>
              <w:ind w:right="-108"/>
              <w:rPr>
                <w:rFonts w:asciiTheme="majorHAnsi" w:hAnsiTheme="majorHAnsi" w:cs="Arial"/>
                <w:sz w:val="20"/>
                <w:szCs w:val="20"/>
              </w:rPr>
            </w:pPr>
            <w:r w:rsidRPr="007B0751">
              <w:rPr>
                <w:rFonts w:asciiTheme="majorHAnsi" w:hAnsiTheme="majorHAnsi" w:cs="Arial"/>
                <w:sz w:val="20"/>
                <w:szCs w:val="20"/>
              </w:rPr>
              <w:t xml:space="preserve">8. Strengthen the responsibilities, role and status of Palestinian women in </w:t>
            </w:r>
            <w:r w:rsidR="00BD3C70">
              <w:rPr>
                <w:rFonts w:asciiTheme="majorHAnsi" w:hAnsiTheme="majorHAnsi" w:cs="Arial"/>
                <w:sz w:val="20"/>
                <w:szCs w:val="20"/>
              </w:rPr>
              <w:t>CS</w:t>
            </w:r>
          </w:p>
        </w:tc>
        <w:tc>
          <w:tcPr>
            <w:tcW w:w="1417" w:type="dxa"/>
          </w:tcPr>
          <w:p w14:paraId="5F96A918" w14:textId="77777777" w:rsidR="003A46D6" w:rsidRPr="007B0751" w:rsidRDefault="003A46D6" w:rsidP="00C42B8F">
            <w:pPr>
              <w:spacing w:before="40" w:after="40"/>
              <w:rPr>
                <w:rFonts w:asciiTheme="majorHAnsi" w:hAnsiTheme="majorHAnsi" w:cs="Arial"/>
                <w:sz w:val="20"/>
                <w:szCs w:val="20"/>
              </w:rPr>
            </w:pPr>
            <w:proofErr w:type="spellStart"/>
            <w:r w:rsidRPr="007B0751">
              <w:rPr>
                <w:rFonts w:asciiTheme="majorHAnsi" w:hAnsiTheme="majorHAnsi" w:cs="Arial"/>
                <w:sz w:val="20"/>
                <w:szCs w:val="20"/>
              </w:rPr>
              <w:t>ActionAid</w:t>
            </w:r>
            <w:proofErr w:type="spellEnd"/>
          </w:p>
          <w:p w14:paraId="31E1ED10" w14:textId="77777777" w:rsidR="003A46D6" w:rsidRPr="007B0751" w:rsidRDefault="003A46D6" w:rsidP="00C42B8F">
            <w:pPr>
              <w:spacing w:before="40" w:after="40"/>
              <w:rPr>
                <w:rFonts w:asciiTheme="majorHAnsi" w:hAnsiTheme="majorHAnsi" w:cs="Arial"/>
                <w:color w:val="000000"/>
                <w:sz w:val="20"/>
                <w:szCs w:val="20"/>
              </w:rPr>
            </w:pPr>
            <w:r w:rsidRPr="007B0751">
              <w:rPr>
                <w:rFonts w:asciiTheme="majorHAnsi" w:hAnsiTheme="majorHAnsi" w:cs="Arial"/>
                <w:color w:val="000000"/>
                <w:sz w:val="20"/>
                <w:szCs w:val="20"/>
              </w:rPr>
              <w:t>APHEDA</w:t>
            </w:r>
          </w:p>
          <w:p w14:paraId="43505581" w14:textId="77777777"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color w:val="000000"/>
                <w:sz w:val="20"/>
                <w:szCs w:val="20"/>
              </w:rPr>
              <w:t>CARE</w:t>
            </w:r>
          </w:p>
        </w:tc>
        <w:tc>
          <w:tcPr>
            <w:tcW w:w="10773" w:type="dxa"/>
          </w:tcPr>
          <w:p w14:paraId="7BED15C5" w14:textId="6C03D005"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 xml:space="preserve">1/ </w:t>
            </w:r>
            <w:r w:rsidR="00FE5B68">
              <w:rPr>
                <w:rFonts w:asciiTheme="majorHAnsi" w:hAnsiTheme="majorHAnsi" w:cs="Arial"/>
                <w:sz w:val="20"/>
                <w:szCs w:val="20"/>
              </w:rPr>
              <w:t xml:space="preserve">While PNGOs are at the forefront of promotion of gender issues, </w:t>
            </w:r>
            <w:r w:rsidRPr="007B0751">
              <w:rPr>
                <w:rFonts w:asciiTheme="majorHAnsi" w:hAnsiTheme="majorHAnsi" w:cs="Arial"/>
                <w:sz w:val="20"/>
                <w:szCs w:val="20"/>
              </w:rPr>
              <w:t>many Palestinian CBOs fail</w:t>
            </w:r>
            <w:r w:rsidR="000A1C09">
              <w:rPr>
                <w:rFonts w:asciiTheme="majorHAnsi" w:hAnsiTheme="majorHAnsi" w:cs="Arial"/>
                <w:sz w:val="20"/>
                <w:szCs w:val="20"/>
              </w:rPr>
              <w:t xml:space="preserve"> </w:t>
            </w:r>
            <w:r w:rsidRPr="007B0751">
              <w:rPr>
                <w:rFonts w:asciiTheme="majorHAnsi" w:hAnsiTheme="majorHAnsi" w:cs="Arial"/>
                <w:sz w:val="20"/>
                <w:szCs w:val="20"/>
              </w:rPr>
              <w:t>to adequately challenge cultural practices that reinforce gender stereotypes and inequality, and provide little opportunity for women’s participati</w:t>
            </w:r>
            <w:r w:rsidR="00EF2C9E">
              <w:rPr>
                <w:rFonts w:asciiTheme="majorHAnsi" w:hAnsiTheme="majorHAnsi" w:cs="Arial"/>
                <w:sz w:val="20"/>
                <w:szCs w:val="20"/>
              </w:rPr>
              <w:t>on</w:t>
            </w:r>
          </w:p>
          <w:p w14:paraId="4721466C" w14:textId="1B88B305" w:rsidR="006B6060"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2/</w:t>
            </w:r>
            <w:r w:rsidRPr="007B0751">
              <w:rPr>
                <w:rFonts w:asciiTheme="majorHAnsi" w:hAnsiTheme="majorHAnsi"/>
                <w:sz w:val="20"/>
                <w:szCs w:val="20"/>
              </w:rPr>
              <w:t xml:space="preserve">Clear alignment with Australian Government and UN agencies commitment to gender equality and women’s empowerment. It specifically </w:t>
            </w:r>
            <w:r w:rsidRPr="00BD3C70">
              <w:rPr>
                <w:rFonts w:asciiTheme="majorHAnsi" w:hAnsiTheme="majorHAnsi"/>
                <w:sz w:val="20"/>
                <w:szCs w:val="20"/>
              </w:rPr>
              <w:t xml:space="preserve">supports </w:t>
            </w:r>
            <w:r w:rsidRPr="002A5C0E">
              <w:rPr>
                <w:rFonts w:asciiTheme="majorHAnsi" w:hAnsiTheme="majorHAnsi"/>
                <w:sz w:val="20"/>
                <w:szCs w:val="20"/>
              </w:rPr>
              <w:t>Australia</w:t>
            </w:r>
            <w:r w:rsidR="00BD3C70" w:rsidRPr="002A5C0E">
              <w:rPr>
                <w:rFonts w:asciiTheme="majorHAnsi" w:hAnsiTheme="majorHAnsi"/>
                <w:sz w:val="20"/>
                <w:szCs w:val="20"/>
              </w:rPr>
              <w:t>n</w:t>
            </w:r>
            <w:r w:rsidRPr="002A5C0E">
              <w:rPr>
                <w:rFonts w:asciiTheme="majorHAnsi" w:hAnsiTheme="majorHAnsi"/>
                <w:sz w:val="20"/>
                <w:szCs w:val="20"/>
              </w:rPr>
              <w:t xml:space="preserve"> </w:t>
            </w:r>
            <w:r w:rsidRPr="00BD3C70">
              <w:rPr>
                <w:rFonts w:asciiTheme="majorHAnsi" w:hAnsiTheme="majorHAnsi"/>
                <w:sz w:val="20"/>
                <w:szCs w:val="20"/>
              </w:rPr>
              <w:t>gender</w:t>
            </w:r>
            <w:r w:rsidRPr="007B0751">
              <w:rPr>
                <w:rFonts w:asciiTheme="majorHAnsi" w:hAnsiTheme="majorHAnsi"/>
                <w:sz w:val="20"/>
                <w:szCs w:val="20"/>
              </w:rPr>
              <w:t xml:space="preserve"> strategy of ‘empowering women economically and improving their livelihood security. It is also of relevance to Australia’s National Action Plan on Women, Peace and Security (2012-18)</w:t>
            </w:r>
          </w:p>
        </w:tc>
      </w:tr>
      <w:tr w:rsidR="003A46D6" w:rsidRPr="007B0751" w14:paraId="0AC4DEE3" w14:textId="77777777" w:rsidTr="002A5C0E">
        <w:trPr>
          <w:trHeight w:val="867"/>
        </w:trPr>
        <w:tc>
          <w:tcPr>
            <w:tcW w:w="1560" w:type="dxa"/>
          </w:tcPr>
          <w:p w14:paraId="65DA1B6E" w14:textId="4986AC02" w:rsidR="003A46D6" w:rsidRPr="007B0751" w:rsidRDefault="003A46D6" w:rsidP="0018505C">
            <w:pPr>
              <w:spacing w:before="40" w:after="40"/>
              <w:ind w:right="-108"/>
              <w:rPr>
                <w:rFonts w:asciiTheme="majorHAnsi" w:hAnsiTheme="majorHAnsi" w:cs="Arial"/>
                <w:sz w:val="20"/>
                <w:szCs w:val="20"/>
              </w:rPr>
            </w:pPr>
            <w:r w:rsidRPr="007B0751">
              <w:rPr>
                <w:rFonts w:asciiTheme="majorHAnsi" w:hAnsiTheme="majorHAnsi" w:cs="Arial"/>
                <w:sz w:val="20"/>
                <w:szCs w:val="20"/>
              </w:rPr>
              <w:t>9. Strengthen governance of CBOs</w:t>
            </w:r>
          </w:p>
        </w:tc>
        <w:tc>
          <w:tcPr>
            <w:tcW w:w="1417" w:type="dxa"/>
          </w:tcPr>
          <w:p w14:paraId="5571DA5A" w14:textId="55EC65F6" w:rsidR="003A46D6" w:rsidRPr="007B0751" w:rsidRDefault="00EF2C9E" w:rsidP="00C42B8F">
            <w:pPr>
              <w:spacing w:before="40" w:after="40"/>
              <w:rPr>
                <w:rFonts w:asciiTheme="majorHAnsi" w:hAnsiTheme="majorHAnsi" w:cs="Arial"/>
                <w:sz w:val="20"/>
                <w:szCs w:val="20"/>
              </w:rPr>
            </w:pPr>
            <w:r>
              <w:rPr>
                <w:rFonts w:asciiTheme="majorHAnsi" w:hAnsiTheme="majorHAnsi" w:cs="Arial"/>
                <w:color w:val="000000"/>
                <w:sz w:val="20"/>
                <w:szCs w:val="20"/>
              </w:rPr>
              <w:t>All</w:t>
            </w:r>
          </w:p>
        </w:tc>
        <w:tc>
          <w:tcPr>
            <w:tcW w:w="10773" w:type="dxa"/>
          </w:tcPr>
          <w:p w14:paraId="0BD288C3" w14:textId="194CE12F" w:rsidR="003A46D6"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1/ Palestinian CBOs play a unique role in Palestine, given the m</w:t>
            </w:r>
            <w:r w:rsidR="001D417A">
              <w:rPr>
                <w:rFonts w:asciiTheme="majorHAnsi" w:hAnsiTheme="majorHAnsi" w:cs="Arial"/>
                <w:sz w:val="20"/>
                <w:szCs w:val="20"/>
              </w:rPr>
              <w:t xml:space="preserve">yriad challenges faced by the PA in delivering services. </w:t>
            </w:r>
            <w:r w:rsidRPr="007B0751">
              <w:rPr>
                <w:rFonts w:asciiTheme="majorHAnsi" w:hAnsiTheme="majorHAnsi" w:cs="Arial"/>
                <w:sz w:val="20"/>
                <w:szCs w:val="20"/>
              </w:rPr>
              <w:t xml:space="preserve">However, many of these CBOs lack the skills for participatory planning, democratic governance and sound financial management. </w:t>
            </w:r>
          </w:p>
          <w:p w14:paraId="62F9231C" w14:textId="2896AAFD" w:rsidR="006B6060" w:rsidRPr="007B0751" w:rsidRDefault="003A46D6" w:rsidP="00C42B8F">
            <w:pPr>
              <w:spacing w:before="40" w:after="40"/>
              <w:rPr>
                <w:rFonts w:asciiTheme="majorHAnsi" w:hAnsiTheme="majorHAnsi" w:cs="Arial"/>
                <w:sz w:val="20"/>
                <w:szCs w:val="20"/>
              </w:rPr>
            </w:pPr>
            <w:r w:rsidRPr="007B0751">
              <w:rPr>
                <w:rFonts w:asciiTheme="majorHAnsi" w:hAnsiTheme="majorHAnsi" w:cs="Arial"/>
                <w:sz w:val="20"/>
                <w:szCs w:val="20"/>
              </w:rPr>
              <w:t>2/ Relates directly to Australian strategy PTs priority of developing civil society, with a focus on reducing vulnerability</w:t>
            </w:r>
          </w:p>
        </w:tc>
      </w:tr>
      <w:tr w:rsidR="003A46D6" w:rsidRPr="007B0751" w14:paraId="5AD9C08E" w14:textId="77777777" w:rsidTr="00C42B8F">
        <w:tc>
          <w:tcPr>
            <w:tcW w:w="13750" w:type="dxa"/>
            <w:gridSpan w:val="3"/>
            <w:shd w:val="clear" w:color="auto" w:fill="B8CCE4"/>
          </w:tcPr>
          <w:p w14:paraId="3DA76BA7" w14:textId="77777777" w:rsidR="003A46D6" w:rsidRPr="007B0751" w:rsidRDefault="003A46D6" w:rsidP="00C42B8F">
            <w:pPr>
              <w:spacing w:before="40" w:after="40"/>
              <w:ind w:right="-108"/>
              <w:rPr>
                <w:rFonts w:asciiTheme="majorHAnsi" w:hAnsiTheme="majorHAnsi" w:cs="Arial"/>
                <w:b/>
                <w:sz w:val="20"/>
                <w:szCs w:val="22"/>
              </w:rPr>
            </w:pPr>
            <w:r w:rsidRPr="007B0751">
              <w:rPr>
                <w:rFonts w:asciiTheme="majorHAnsi" w:hAnsiTheme="majorHAnsi" w:cs="Arial"/>
                <w:b/>
                <w:sz w:val="20"/>
                <w:szCs w:val="22"/>
              </w:rPr>
              <w:t>Component 3: Capacity Development via AMENCA2</w:t>
            </w:r>
          </w:p>
        </w:tc>
      </w:tr>
      <w:tr w:rsidR="003A46D6" w:rsidRPr="007B0751" w14:paraId="3A3EB942" w14:textId="77777777" w:rsidTr="002A5C0E">
        <w:trPr>
          <w:trHeight w:val="383"/>
        </w:trPr>
        <w:tc>
          <w:tcPr>
            <w:tcW w:w="1560" w:type="dxa"/>
          </w:tcPr>
          <w:p w14:paraId="6EBCEE16" w14:textId="372A64EE" w:rsidR="003A46D6" w:rsidRPr="007B0751" w:rsidRDefault="003A46D6" w:rsidP="001D417A">
            <w:pPr>
              <w:spacing w:before="40" w:after="40"/>
              <w:ind w:right="-108"/>
              <w:rPr>
                <w:rFonts w:asciiTheme="majorHAnsi" w:hAnsiTheme="majorHAnsi" w:cs="Arial"/>
                <w:sz w:val="20"/>
                <w:szCs w:val="22"/>
              </w:rPr>
            </w:pPr>
            <w:r w:rsidRPr="007B0751">
              <w:rPr>
                <w:rFonts w:asciiTheme="majorHAnsi" w:hAnsiTheme="majorHAnsi" w:cs="Arial"/>
                <w:sz w:val="20"/>
                <w:szCs w:val="22"/>
              </w:rPr>
              <w:t xml:space="preserve">10. Strengthening collaboration amongst partners </w:t>
            </w:r>
          </w:p>
        </w:tc>
        <w:tc>
          <w:tcPr>
            <w:tcW w:w="1417" w:type="dxa"/>
          </w:tcPr>
          <w:p w14:paraId="71CFCAEF" w14:textId="61C2B89F" w:rsidR="003A46D6" w:rsidRPr="007B0751" w:rsidRDefault="003A46D6" w:rsidP="00C42B8F">
            <w:pPr>
              <w:spacing w:before="40" w:after="40"/>
              <w:rPr>
                <w:rFonts w:asciiTheme="majorHAnsi" w:hAnsiTheme="majorHAnsi" w:cs="Arial"/>
                <w:sz w:val="20"/>
                <w:szCs w:val="22"/>
              </w:rPr>
            </w:pPr>
            <w:r w:rsidRPr="007B0751">
              <w:rPr>
                <w:rFonts w:asciiTheme="majorHAnsi" w:hAnsiTheme="majorHAnsi" w:cs="Arial"/>
                <w:sz w:val="20"/>
                <w:szCs w:val="22"/>
              </w:rPr>
              <w:t>A</w:t>
            </w:r>
            <w:r w:rsidR="000A1C09">
              <w:rPr>
                <w:rFonts w:asciiTheme="majorHAnsi" w:hAnsiTheme="majorHAnsi" w:cs="Arial"/>
                <w:color w:val="000000"/>
                <w:sz w:val="20"/>
                <w:szCs w:val="22"/>
              </w:rPr>
              <w:t>ll</w:t>
            </w:r>
          </w:p>
        </w:tc>
        <w:tc>
          <w:tcPr>
            <w:tcW w:w="10773" w:type="dxa"/>
          </w:tcPr>
          <w:p w14:paraId="34624D5D" w14:textId="31E9C2CB" w:rsidR="00103D55" w:rsidRPr="007B0751" w:rsidRDefault="003A46D6" w:rsidP="000A1C09">
            <w:pPr>
              <w:spacing w:before="40" w:after="40"/>
              <w:rPr>
                <w:rFonts w:asciiTheme="majorHAnsi" w:hAnsiTheme="majorHAnsi" w:cs="Arial"/>
                <w:sz w:val="20"/>
                <w:szCs w:val="22"/>
              </w:rPr>
            </w:pPr>
            <w:r w:rsidRPr="007B0751">
              <w:rPr>
                <w:rFonts w:asciiTheme="majorHAnsi" w:hAnsiTheme="majorHAnsi" w:cs="Arial"/>
                <w:sz w:val="20"/>
                <w:szCs w:val="22"/>
              </w:rPr>
              <w:t xml:space="preserve">1/ </w:t>
            </w:r>
            <w:r w:rsidR="00560211">
              <w:rPr>
                <w:rFonts w:asciiTheme="majorHAnsi" w:hAnsiTheme="majorHAnsi" w:cs="Arial"/>
                <w:sz w:val="20"/>
                <w:szCs w:val="22"/>
              </w:rPr>
              <w:t>Knowledge, information sharing and imp</w:t>
            </w:r>
            <w:r w:rsidR="00277F89">
              <w:rPr>
                <w:rFonts w:asciiTheme="majorHAnsi" w:hAnsiTheme="majorHAnsi" w:cs="Arial"/>
                <w:sz w:val="20"/>
                <w:szCs w:val="22"/>
              </w:rPr>
              <w:t>ro</w:t>
            </w:r>
            <w:r w:rsidR="00560211">
              <w:rPr>
                <w:rFonts w:asciiTheme="majorHAnsi" w:hAnsiTheme="majorHAnsi" w:cs="Arial"/>
                <w:sz w:val="20"/>
                <w:szCs w:val="22"/>
              </w:rPr>
              <w:t>ved collaboration</w:t>
            </w:r>
            <w:r w:rsidR="00277F89">
              <w:rPr>
                <w:rFonts w:asciiTheme="majorHAnsi" w:hAnsiTheme="majorHAnsi" w:cs="Arial"/>
                <w:sz w:val="20"/>
                <w:szCs w:val="22"/>
              </w:rPr>
              <w:t xml:space="preserve"> are</w:t>
            </w:r>
            <w:r w:rsidR="00560211">
              <w:rPr>
                <w:rFonts w:asciiTheme="majorHAnsi" w:hAnsiTheme="majorHAnsi" w:cs="Arial"/>
                <w:sz w:val="20"/>
                <w:szCs w:val="22"/>
              </w:rPr>
              <w:t xml:space="preserve"> important in consolidating the Palestinian development effort. </w:t>
            </w:r>
            <w:r w:rsidR="002C47BD">
              <w:rPr>
                <w:rFonts w:asciiTheme="majorHAnsi" w:hAnsiTheme="majorHAnsi" w:cs="Arial"/>
                <w:sz w:val="20"/>
                <w:szCs w:val="22"/>
              </w:rPr>
              <w:t xml:space="preserve"> </w:t>
            </w:r>
            <w:r w:rsidRPr="007B0751">
              <w:rPr>
                <w:rFonts w:asciiTheme="majorHAnsi" w:hAnsiTheme="majorHAnsi" w:cs="Arial"/>
                <w:sz w:val="20"/>
                <w:szCs w:val="22"/>
              </w:rPr>
              <w:t xml:space="preserve">The </w:t>
            </w:r>
            <w:r w:rsidR="001D417A">
              <w:rPr>
                <w:rFonts w:asciiTheme="majorHAnsi" w:hAnsiTheme="majorHAnsi" w:cs="Arial"/>
                <w:sz w:val="20"/>
                <w:szCs w:val="22"/>
              </w:rPr>
              <w:t>P</w:t>
            </w:r>
            <w:r w:rsidR="001D417A" w:rsidRPr="007B0751">
              <w:rPr>
                <w:rFonts w:asciiTheme="majorHAnsi" w:hAnsiTheme="majorHAnsi" w:cs="Arial"/>
                <w:sz w:val="20"/>
                <w:szCs w:val="22"/>
              </w:rPr>
              <w:t xml:space="preserve">rogram </w:t>
            </w:r>
            <w:r w:rsidR="00277F89">
              <w:rPr>
                <w:rFonts w:asciiTheme="majorHAnsi" w:hAnsiTheme="majorHAnsi" w:cs="Arial"/>
                <w:sz w:val="20"/>
                <w:szCs w:val="22"/>
              </w:rPr>
              <w:t xml:space="preserve">structure aims to promote </w:t>
            </w:r>
            <w:r w:rsidRPr="007B0751">
              <w:rPr>
                <w:rFonts w:asciiTheme="majorHAnsi" w:hAnsiTheme="majorHAnsi" w:cs="Arial"/>
                <w:sz w:val="20"/>
                <w:szCs w:val="22"/>
              </w:rPr>
              <w:t>learning and knowledge sharing</w:t>
            </w:r>
            <w:r w:rsidR="00587A4C" w:rsidRPr="007B0751">
              <w:rPr>
                <w:rFonts w:asciiTheme="majorHAnsi" w:hAnsiTheme="majorHAnsi" w:cs="Arial"/>
                <w:sz w:val="20"/>
                <w:szCs w:val="22"/>
              </w:rPr>
              <w:t xml:space="preserve"> </w:t>
            </w:r>
            <w:r w:rsidR="00277F89">
              <w:rPr>
                <w:rFonts w:asciiTheme="majorHAnsi" w:hAnsiTheme="majorHAnsi" w:cs="Arial"/>
                <w:sz w:val="20"/>
                <w:szCs w:val="22"/>
              </w:rPr>
              <w:t xml:space="preserve">to allow </w:t>
            </w:r>
            <w:r w:rsidR="00587A4C" w:rsidRPr="007B0751">
              <w:rPr>
                <w:rFonts w:asciiTheme="majorHAnsi" w:hAnsiTheme="majorHAnsi" w:cs="Arial"/>
                <w:sz w:val="20"/>
                <w:szCs w:val="22"/>
              </w:rPr>
              <w:t>for successes to be duplicated and new strategies adopted</w:t>
            </w:r>
            <w:r w:rsidR="000676FA" w:rsidRPr="007B0751">
              <w:rPr>
                <w:rFonts w:asciiTheme="majorHAnsi" w:hAnsiTheme="majorHAnsi" w:cs="Arial"/>
                <w:sz w:val="20"/>
                <w:szCs w:val="22"/>
              </w:rPr>
              <w:t>, particularly through its ‘Case Study’ methodology for capturing lessons learned and better practice</w:t>
            </w:r>
            <w:r w:rsidR="00587A4C" w:rsidRPr="007B0751">
              <w:rPr>
                <w:rFonts w:asciiTheme="majorHAnsi" w:hAnsiTheme="majorHAnsi" w:cs="Arial"/>
                <w:sz w:val="20"/>
                <w:szCs w:val="22"/>
              </w:rPr>
              <w:t>.</w:t>
            </w:r>
            <w:r w:rsidR="00103D55" w:rsidRPr="007B0751">
              <w:rPr>
                <w:rFonts w:asciiTheme="majorHAnsi" w:hAnsiTheme="majorHAnsi" w:cs="Arial"/>
                <w:sz w:val="20"/>
                <w:szCs w:val="22"/>
              </w:rPr>
              <w:t xml:space="preserve"> The overwhelming majority of partners speak of vastly improved capacity for M&amp;E</w:t>
            </w:r>
            <w:r w:rsidR="000A1C09">
              <w:rPr>
                <w:rFonts w:asciiTheme="majorHAnsi" w:hAnsiTheme="majorHAnsi" w:cs="Arial"/>
                <w:sz w:val="20"/>
                <w:szCs w:val="22"/>
              </w:rPr>
              <w:t xml:space="preserve"> fostered at Program level.</w:t>
            </w:r>
          </w:p>
        </w:tc>
      </w:tr>
    </w:tbl>
    <w:p w14:paraId="1355F5F7" w14:textId="5548CB01" w:rsidR="00B67C2B" w:rsidRPr="007B0751" w:rsidRDefault="00B67C2B" w:rsidP="00F04445">
      <w:pPr>
        <w:rPr>
          <w:rFonts w:asciiTheme="majorHAnsi" w:eastAsia="Times New Roman" w:hAnsiTheme="majorHAnsi" w:cs="Times New Roman"/>
          <w:i/>
          <w:szCs w:val="22"/>
        </w:rPr>
        <w:sectPr w:rsidR="00B67C2B" w:rsidRPr="007B0751" w:rsidSect="002A5C0E">
          <w:pgSz w:w="16817" w:h="11901" w:orient="landscape"/>
          <w:pgMar w:top="1418" w:right="1440" w:bottom="1560" w:left="1440" w:header="709" w:footer="709" w:gutter="0"/>
          <w:cols w:space="708"/>
        </w:sectPr>
      </w:pPr>
    </w:p>
    <w:p w14:paraId="6F34F7D2" w14:textId="77777777" w:rsidR="000E641B" w:rsidRPr="007B0751" w:rsidRDefault="000E641B" w:rsidP="000E641B">
      <w:pPr>
        <w:rPr>
          <w:rFonts w:asciiTheme="majorHAnsi" w:hAnsiTheme="majorHAnsi"/>
        </w:rPr>
      </w:pPr>
    </w:p>
    <w:p w14:paraId="5E143690" w14:textId="77777777" w:rsidR="00163D0A" w:rsidRPr="007B0751" w:rsidRDefault="003A46D6" w:rsidP="00F04445">
      <w:pPr>
        <w:rPr>
          <w:rFonts w:asciiTheme="majorHAnsi" w:eastAsia="Times New Roman" w:hAnsiTheme="majorHAnsi" w:cs="Times New Roman"/>
          <w:i/>
          <w:szCs w:val="22"/>
        </w:rPr>
      </w:pPr>
      <w:r w:rsidRPr="007B0751">
        <w:rPr>
          <w:rFonts w:asciiTheme="majorHAnsi" w:eastAsia="Times New Roman" w:hAnsiTheme="majorHAnsi" w:cs="Times New Roman"/>
          <w:i/>
          <w:szCs w:val="22"/>
        </w:rPr>
        <w:t>5.2.2</w:t>
      </w:r>
      <w:r w:rsidRPr="007B0751">
        <w:rPr>
          <w:rFonts w:asciiTheme="majorHAnsi" w:eastAsia="Times New Roman" w:hAnsiTheme="majorHAnsi" w:cs="Times New Roman"/>
          <w:i/>
          <w:szCs w:val="22"/>
        </w:rPr>
        <w:tab/>
        <w:t>Program Effectiveness</w:t>
      </w:r>
    </w:p>
    <w:p w14:paraId="487E1525" w14:textId="77777777" w:rsidR="004249B5" w:rsidRPr="007B0751" w:rsidRDefault="004249B5" w:rsidP="004249B5">
      <w:pPr>
        <w:ind w:left="720"/>
        <w:rPr>
          <w:rFonts w:asciiTheme="majorHAnsi" w:hAnsiTheme="majorHAnsi"/>
        </w:rPr>
      </w:pPr>
      <w:r w:rsidRPr="007B0751">
        <w:rPr>
          <w:rFonts w:asciiTheme="majorHAnsi" w:hAnsiTheme="majorHAnsi"/>
          <w:i/>
        </w:rPr>
        <w:t>“</w:t>
      </w:r>
      <w:r w:rsidR="000652C9" w:rsidRPr="007B0751">
        <w:rPr>
          <w:rFonts w:asciiTheme="majorHAnsi" w:hAnsiTheme="majorHAnsi"/>
          <w:i/>
        </w:rPr>
        <w:t>AMENCA2 has</w:t>
      </w:r>
      <w:r w:rsidR="00A22A92">
        <w:rPr>
          <w:rFonts w:asciiTheme="majorHAnsi" w:hAnsiTheme="majorHAnsi"/>
          <w:i/>
        </w:rPr>
        <w:t xml:space="preserve"> </w:t>
      </w:r>
      <w:proofErr w:type="spellStart"/>
      <w:r w:rsidRPr="007B0751">
        <w:rPr>
          <w:rFonts w:asciiTheme="majorHAnsi" w:hAnsiTheme="majorHAnsi"/>
          <w:i/>
        </w:rPr>
        <w:t>utilised</w:t>
      </w:r>
      <w:proofErr w:type="spellEnd"/>
      <w:r w:rsidRPr="007B0751">
        <w:rPr>
          <w:rFonts w:asciiTheme="majorHAnsi" w:hAnsiTheme="majorHAnsi"/>
          <w:i/>
        </w:rPr>
        <w:t xml:space="preserve"> a diverse array of effective</w:t>
      </w:r>
      <w:r w:rsidR="00A22A92">
        <w:rPr>
          <w:rFonts w:asciiTheme="majorHAnsi" w:hAnsiTheme="majorHAnsi"/>
          <w:i/>
        </w:rPr>
        <w:t xml:space="preserve"> </w:t>
      </w:r>
      <w:r w:rsidRPr="007B0751">
        <w:rPr>
          <w:rFonts w:asciiTheme="majorHAnsi" w:hAnsiTheme="majorHAnsi"/>
          <w:i/>
        </w:rPr>
        <w:t>strategies to mak</w:t>
      </w:r>
      <w:r w:rsidR="000652C9" w:rsidRPr="007B0751">
        <w:rPr>
          <w:rFonts w:asciiTheme="majorHAnsi" w:hAnsiTheme="majorHAnsi"/>
          <w:i/>
        </w:rPr>
        <w:t xml:space="preserve">e strong progress </w:t>
      </w:r>
      <w:r w:rsidRPr="007B0751">
        <w:rPr>
          <w:rFonts w:asciiTheme="majorHAnsi" w:hAnsiTheme="majorHAnsi"/>
          <w:i/>
        </w:rPr>
        <w:t xml:space="preserve">(both quantitatively and qualitatively) </w:t>
      </w:r>
      <w:r w:rsidR="000652C9" w:rsidRPr="007B0751">
        <w:rPr>
          <w:rFonts w:asciiTheme="majorHAnsi" w:hAnsiTheme="majorHAnsi"/>
          <w:i/>
        </w:rPr>
        <w:t xml:space="preserve">against all of the four Program components </w:t>
      </w:r>
      <w:r w:rsidR="00B67C2B" w:rsidRPr="007B0751">
        <w:rPr>
          <w:rFonts w:asciiTheme="majorHAnsi" w:hAnsiTheme="majorHAnsi"/>
          <w:i/>
        </w:rPr>
        <w:t xml:space="preserve">and will </w:t>
      </w:r>
      <w:r w:rsidR="005D337A" w:rsidRPr="007B0751">
        <w:rPr>
          <w:rFonts w:asciiTheme="majorHAnsi" w:hAnsiTheme="majorHAnsi"/>
          <w:i/>
        </w:rPr>
        <w:t xml:space="preserve">significantly </w:t>
      </w:r>
      <w:r w:rsidR="00B67C2B" w:rsidRPr="007B0751">
        <w:rPr>
          <w:rFonts w:asciiTheme="majorHAnsi" w:hAnsiTheme="majorHAnsi"/>
          <w:i/>
        </w:rPr>
        <w:t>e</w:t>
      </w:r>
      <w:r w:rsidR="005D337A" w:rsidRPr="007B0751">
        <w:rPr>
          <w:rFonts w:asciiTheme="majorHAnsi" w:hAnsiTheme="majorHAnsi"/>
          <w:i/>
        </w:rPr>
        <w:t>x</w:t>
      </w:r>
      <w:r w:rsidR="00B67C2B" w:rsidRPr="007B0751">
        <w:rPr>
          <w:rFonts w:asciiTheme="majorHAnsi" w:hAnsiTheme="majorHAnsi"/>
          <w:i/>
        </w:rPr>
        <w:t>ceed</w:t>
      </w:r>
      <w:r w:rsidR="00C65156" w:rsidRPr="007B0751">
        <w:rPr>
          <w:rFonts w:asciiTheme="majorHAnsi" w:hAnsiTheme="majorHAnsi"/>
          <w:i/>
        </w:rPr>
        <w:t xml:space="preserve"> performanc</w:t>
      </w:r>
      <w:r w:rsidRPr="007B0751">
        <w:rPr>
          <w:rFonts w:asciiTheme="majorHAnsi" w:hAnsiTheme="majorHAnsi"/>
          <w:i/>
        </w:rPr>
        <w:t xml:space="preserve">e targets set </w:t>
      </w:r>
      <w:r w:rsidR="005D337A" w:rsidRPr="007B0751">
        <w:rPr>
          <w:rFonts w:asciiTheme="majorHAnsi" w:hAnsiTheme="majorHAnsi"/>
          <w:i/>
        </w:rPr>
        <w:t>at inception</w:t>
      </w:r>
      <w:r w:rsidRPr="007B0751">
        <w:rPr>
          <w:rFonts w:asciiTheme="majorHAnsi" w:hAnsiTheme="majorHAnsi"/>
        </w:rPr>
        <w:t>.”</w:t>
      </w:r>
    </w:p>
    <w:p w14:paraId="27FDF653" w14:textId="77777777" w:rsidR="004249B5" w:rsidRPr="007B0751" w:rsidRDefault="004249B5" w:rsidP="00F04445">
      <w:pPr>
        <w:rPr>
          <w:rFonts w:asciiTheme="majorHAnsi" w:hAnsiTheme="majorHAnsi"/>
        </w:rPr>
      </w:pPr>
    </w:p>
    <w:p w14:paraId="54DF8560" w14:textId="51980735" w:rsidR="005D337A" w:rsidRPr="007B0751" w:rsidRDefault="005D337A" w:rsidP="00A64F35">
      <w:pPr>
        <w:rPr>
          <w:rFonts w:asciiTheme="majorHAnsi" w:hAnsiTheme="majorHAnsi"/>
        </w:rPr>
      </w:pPr>
      <w:r w:rsidRPr="007B0751">
        <w:rPr>
          <w:rFonts w:asciiTheme="majorHAnsi" w:hAnsiTheme="majorHAnsi"/>
        </w:rPr>
        <w:t xml:space="preserve">At the end of Year Five, the Program has increased farming and livelihoods opportunities and </w:t>
      </w:r>
      <w:r w:rsidR="00E661C5">
        <w:rPr>
          <w:rFonts w:asciiTheme="majorHAnsi" w:hAnsiTheme="majorHAnsi"/>
        </w:rPr>
        <w:t xml:space="preserve">provided </w:t>
      </w:r>
      <w:r w:rsidRPr="007B0751">
        <w:rPr>
          <w:rFonts w:asciiTheme="majorHAnsi" w:hAnsiTheme="majorHAnsi"/>
        </w:rPr>
        <w:t>access to ba</w:t>
      </w:r>
      <w:r w:rsidR="007E7CC8" w:rsidRPr="007B0751">
        <w:rPr>
          <w:rFonts w:asciiTheme="majorHAnsi" w:hAnsiTheme="majorHAnsi"/>
        </w:rPr>
        <w:t xml:space="preserve">sic services </w:t>
      </w:r>
      <w:r w:rsidR="00257E4A" w:rsidRPr="007B0751">
        <w:rPr>
          <w:rFonts w:asciiTheme="majorHAnsi" w:hAnsiTheme="majorHAnsi"/>
        </w:rPr>
        <w:t xml:space="preserve">and training </w:t>
      </w:r>
      <w:r w:rsidR="007E7CC8" w:rsidRPr="007B0751">
        <w:rPr>
          <w:rFonts w:asciiTheme="majorHAnsi" w:hAnsiTheme="majorHAnsi"/>
        </w:rPr>
        <w:t>for 8</w:t>
      </w:r>
      <w:r w:rsidR="00CE424F">
        <w:rPr>
          <w:rFonts w:asciiTheme="majorHAnsi" w:hAnsiTheme="majorHAnsi"/>
        </w:rPr>
        <w:t>0</w:t>
      </w:r>
      <w:r w:rsidR="007E7CC8" w:rsidRPr="007B0751">
        <w:rPr>
          <w:rFonts w:asciiTheme="majorHAnsi" w:hAnsiTheme="majorHAnsi"/>
        </w:rPr>
        <w:t>,</w:t>
      </w:r>
      <w:r w:rsidR="00CE424F">
        <w:rPr>
          <w:rFonts w:asciiTheme="majorHAnsi" w:hAnsiTheme="majorHAnsi"/>
        </w:rPr>
        <w:t>702</w:t>
      </w:r>
      <w:r w:rsidR="007E7CC8" w:rsidRPr="007B0751">
        <w:rPr>
          <w:rFonts w:asciiTheme="majorHAnsi" w:hAnsiTheme="majorHAnsi"/>
        </w:rPr>
        <w:t xml:space="preserve"> persons, </w:t>
      </w:r>
      <w:r w:rsidRPr="007B0751">
        <w:rPr>
          <w:rFonts w:asciiTheme="majorHAnsi" w:hAnsiTheme="majorHAnsi"/>
        </w:rPr>
        <w:t xml:space="preserve">their families and communities. This is well above the target of 50,000 included in the original design document. On average, </w:t>
      </w:r>
      <w:r w:rsidR="00E661C5">
        <w:rPr>
          <w:rFonts w:asciiTheme="majorHAnsi" w:hAnsiTheme="majorHAnsi"/>
        </w:rPr>
        <w:t>the 11,</w:t>
      </w:r>
      <w:r w:rsidR="003C7489">
        <w:rPr>
          <w:rFonts w:asciiTheme="majorHAnsi" w:hAnsiTheme="majorHAnsi"/>
        </w:rPr>
        <w:t>700</w:t>
      </w:r>
      <w:r w:rsidR="00E661C5">
        <w:rPr>
          <w:rFonts w:asciiTheme="majorHAnsi" w:hAnsiTheme="majorHAnsi"/>
        </w:rPr>
        <w:t xml:space="preserve"> income generating investments </w:t>
      </w:r>
      <w:r w:rsidRPr="007B0751">
        <w:rPr>
          <w:rFonts w:asciiTheme="majorHAnsi" w:hAnsiTheme="majorHAnsi"/>
        </w:rPr>
        <w:t>have</w:t>
      </w:r>
      <w:r w:rsidR="007E7CC8" w:rsidRPr="007B0751">
        <w:rPr>
          <w:rFonts w:asciiTheme="majorHAnsi" w:hAnsiTheme="majorHAnsi"/>
        </w:rPr>
        <w:t xml:space="preserve"> been able to achieve a</w:t>
      </w:r>
      <w:r w:rsidR="00A22A92">
        <w:rPr>
          <w:rFonts w:asciiTheme="majorHAnsi" w:hAnsiTheme="majorHAnsi"/>
        </w:rPr>
        <w:t xml:space="preserve"> </w:t>
      </w:r>
      <w:r w:rsidRPr="007B0751">
        <w:rPr>
          <w:rFonts w:asciiTheme="majorHAnsi" w:hAnsiTheme="majorHAnsi"/>
          <w:u w:val="single"/>
        </w:rPr>
        <w:t>sustained</w:t>
      </w:r>
      <w:r w:rsidRPr="007B0751">
        <w:rPr>
          <w:rFonts w:asciiTheme="majorHAnsi" w:hAnsiTheme="majorHAnsi"/>
        </w:rPr>
        <w:t xml:space="preserve"> increase in their income of 42.5%</w:t>
      </w:r>
      <w:r w:rsidR="007E7CC8" w:rsidRPr="007B0751">
        <w:rPr>
          <w:rFonts w:asciiTheme="majorHAnsi" w:hAnsiTheme="majorHAnsi"/>
        </w:rPr>
        <w:t xml:space="preserve"> during a period of consistent economic decline</w:t>
      </w:r>
      <w:r w:rsidRPr="007B0751">
        <w:rPr>
          <w:rFonts w:asciiTheme="majorHAnsi" w:hAnsiTheme="majorHAnsi"/>
        </w:rPr>
        <w:t>.</w:t>
      </w:r>
      <w:r w:rsidR="007E7CC8" w:rsidRPr="007B0751">
        <w:rPr>
          <w:rFonts w:asciiTheme="majorHAnsi" w:hAnsiTheme="majorHAnsi"/>
        </w:rPr>
        <w:t xml:space="preserve"> Of the 8</w:t>
      </w:r>
      <w:r w:rsidR="003C7489">
        <w:rPr>
          <w:rFonts w:asciiTheme="majorHAnsi" w:hAnsiTheme="majorHAnsi"/>
        </w:rPr>
        <w:t>0</w:t>
      </w:r>
      <w:r w:rsidR="007E7CC8" w:rsidRPr="007B0751">
        <w:rPr>
          <w:rFonts w:asciiTheme="majorHAnsi" w:hAnsiTheme="majorHAnsi"/>
        </w:rPr>
        <w:t>,</w:t>
      </w:r>
      <w:r w:rsidR="003C7489">
        <w:rPr>
          <w:rFonts w:asciiTheme="majorHAnsi" w:hAnsiTheme="majorHAnsi"/>
        </w:rPr>
        <w:t>702</w:t>
      </w:r>
      <w:r w:rsidR="007E7CC8" w:rsidRPr="007B0751">
        <w:rPr>
          <w:rFonts w:asciiTheme="majorHAnsi" w:hAnsiTheme="majorHAnsi"/>
        </w:rPr>
        <w:t xml:space="preserve"> beneficiaries, </w:t>
      </w:r>
      <w:r w:rsidR="00A64F35">
        <w:rPr>
          <w:rFonts w:asciiTheme="majorHAnsi" w:hAnsiTheme="majorHAnsi"/>
        </w:rPr>
        <w:t>44,317</w:t>
      </w:r>
      <w:r w:rsidR="007E7CC8" w:rsidRPr="007B0751">
        <w:rPr>
          <w:rFonts w:asciiTheme="majorHAnsi" w:hAnsiTheme="majorHAnsi"/>
        </w:rPr>
        <w:t xml:space="preserve"> are women.</w:t>
      </w:r>
      <w:r w:rsidR="00257E4A" w:rsidRPr="007B0751">
        <w:rPr>
          <w:rStyle w:val="FootnoteReference"/>
          <w:rFonts w:asciiTheme="majorHAnsi" w:hAnsiTheme="majorHAnsi"/>
        </w:rPr>
        <w:footnoteReference w:id="14"/>
      </w:r>
    </w:p>
    <w:p w14:paraId="1E0C88B2" w14:textId="77777777" w:rsidR="000E641B" w:rsidRPr="007B0751" w:rsidRDefault="000E641B" w:rsidP="00F04445">
      <w:pPr>
        <w:rPr>
          <w:rFonts w:asciiTheme="majorHAnsi" w:hAnsiTheme="majorHAnsi"/>
        </w:rPr>
      </w:pPr>
    </w:p>
    <w:p w14:paraId="61E4DFD1" w14:textId="77777777" w:rsidR="000E641B" w:rsidRPr="007B0751" w:rsidRDefault="001B0068" w:rsidP="00F04445">
      <w:pPr>
        <w:rPr>
          <w:rFonts w:asciiTheme="majorHAnsi" w:hAnsiTheme="majorHAnsi"/>
        </w:rPr>
      </w:pPr>
      <w:r w:rsidRPr="007B0751">
        <w:rPr>
          <w:rFonts w:asciiTheme="majorHAnsi" w:hAnsiTheme="majorHAnsi"/>
        </w:rPr>
        <w:t>Other notable statistics ove</w:t>
      </w:r>
      <w:r w:rsidR="000E641B" w:rsidRPr="007B0751">
        <w:rPr>
          <w:rFonts w:asciiTheme="majorHAnsi" w:hAnsiTheme="majorHAnsi"/>
        </w:rPr>
        <w:t>r the Program</w:t>
      </w:r>
      <w:r w:rsidRPr="007B0751">
        <w:rPr>
          <w:rFonts w:asciiTheme="majorHAnsi" w:hAnsiTheme="majorHAnsi"/>
        </w:rPr>
        <w:t xml:space="preserve"> life</w:t>
      </w:r>
      <w:r w:rsidR="000E641B" w:rsidRPr="007B0751">
        <w:rPr>
          <w:rFonts w:asciiTheme="majorHAnsi" w:hAnsiTheme="majorHAnsi"/>
        </w:rPr>
        <w:t xml:space="preserve"> include:</w:t>
      </w:r>
    </w:p>
    <w:p w14:paraId="246B35E3" w14:textId="77777777" w:rsidR="00CB3D9D" w:rsidRPr="007B0751" w:rsidRDefault="00CB3D9D" w:rsidP="00CB3D9D">
      <w:pPr>
        <w:pStyle w:val="ListParagraph"/>
        <w:numPr>
          <w:ilvl w:val="0"/>
          <w:numId w:val="34"/>
        </w:numPr>
        <w:rPr>
          <w:rFonts w:asciiTheme="majorHAnsi" w:hAnsiTheme="majorHAnsi"/>
        </w:rPr>
      </w:pPr>
      <w:r w:rsidRPr="007B0751">
        <w:rPr>
          <w:rFonts w:asciiTheme="majorHAnsi" w:hAnsiTheme="majorHAnsi"/>
        </w:rPr>
        <w:t>1,090 hectares of land opened to new agriculture through land rehabilitation, irrigation and/or building of access r</w:t>
      </w:r>
      <w:r w:rsidR="0097390F" w:rsidRPr="007B0751">
        <w:rPr>
          <w:rFonts w:asciiTheme="majorHAnsi" w:hAnsiTheme="majorHAnsi"/>
        </w:rPr>
        <w:t>oads</w:t>
      </w:r>
    </w:p>
    <w:p w14:paraId="3FFEFA97" w14:textId="77777777" w:rsidR="0097390F" w:rsidRPr="007B0751" w:rsidRDefault="0097390F" w:rsidP="00CB3D9D">
      <w:pPr>
        <w:pStyle w:val="ListParagraph"/>
        <w:numPr>
          <w:ilvl w:val="0"/>
          <w:numId w:val="34"/>
        </w:numPr>
        <w:rPr>
          <w:rFonts w:asciiTheme="majorHAnsi" w:hAnsiTheme="majorHAnsi"/>
        </w:rPr>
      </w:pPr>
      <w:r w:rsidRPr="007B0751">
        <w:rPr>
          <w:rFonts w:asciiTheme="majorHAnsi" w:hAnsiTheme="majorHAnsi"/>
        </w:rPr>
        <w:t xml:space="preserve">37,100 cubic </w:t>
      </w:r>
      <w:proofErr w:type="spellStart"/>
      <w:r w:rsidRPr="007B0751">
        <w:rPr>
          <w:rFonts w:asciiTheme="majorHAnsi" w:hAnsiTheme="majorHAnsi"/>
        </w:rPr>
        <w:t>metres</w:t>
      </w:r>
      <w:proofErr w:type="spellEnd"/>
      <w:r w:rsidRPr="007B0751">
        <w:rPr>
          <w:rFonts w:asciiTheme="majorHAnsi" w:hAnsiTheme="majorHAnsi"/>
        </w:rPr>
        <w:t xml:space="preserve"> of rain water harvesting capacity installed</w:t>
      </w:r>
    </w:p>
    <w:p w14:paraId="33E04461" w14:textId="0EC442D5" w:rsidR="0097390F" w:rsidRPr="007B0751" w:rsidRDefault="0097390F" w:rsidP="00A64F35">
      <w:pPr>
        <w:pStyle w:val="ListParagraph"/>
        <w:numPr>
          <w:ilvl w:val="0"/>
          <w:numId w:val="34"/>
        </w:numPr>
        <w:rPr>
          <w:rFonts w:asciiTheme="majorHAnsi" w:hAnsiTheme="majorHAnsi"/>
        </w:rPr>
      </w:pPr>
      <w:r w:rsidRPr="007B0751">
        <w:rPr>
          <w:rFonts w:asciiTheme="majorHAnsi" w:hAnsiTheme="majorHAnsi"/>
        </w:rPr>
        <w:t xml:space="preserve">More than 91,000 </w:t>
      </w:r>
      <w:proofErr w:type="spellStart"/>
      <w:r w:rsidRPr="007B0751">
        <w:rPr>
          <w:rFonts w:asciiTheme="majorHAnsi" w:hAnsiTheme="majorHAnsi"/>
        </w:rPr>
        <w:t>tonnes</w:t>
      </w:r>
      <w:proofErr w:type="spellEnd"/>
      <w:r w:rsidRPr="007B0751">
        <w:rPr>
          <w:rFonts w:asciiTheme="majorHAnsi" w:hAnsiTheme="majorHAnsi"/>
        </w:rPr>
        <w:t xml:space="preserve"> of food with a total value of </w:t>
      </w:r>
      <w:r w:rsidR="00A64F35">
        <w:rPr>
          <w:rFonts w:asciiTheme="majorHAnsi" w:hAnsiTheme="majorHAnsi"/>
        </w:rPr>
        <w:t>over</w:t>
      </w:r>
      <w:r w:rsidRPr="007B0751">
        <w:rPr>
          <w:rFonts w:asciiTheme="majorHAnsi" w:hAnsiTheme="majorHAnsi"/>
        </w:rPr>
        <w:t xml:space="preserve"> A$</w:t>
      </w:r>
      <w:r w:rsidR="00A64F35">
        <w:rPr>
          <w:rFonts w:asciiTheme="majorHAnsi" w:hAnsiTheme="majorHAnsi"/>
        </w:rPr>
        <w:t>64</w:t>
      </w:r>
      <w:r w:rsidRPr="007B0751">
        <w:rPr>
          <w:rFonts w:asciiTheme="majorHAnsi" w:hAnsiTheme="majorHAnsi"/>
        </w:rPr>
        <w:t xml:space="preserve"> million produced by program beneficiaries, at a cost to the Program of A$</w:t>
      </w:r>
      <w:r w:rsidR="00A64F35">
        <w:rPr>
          <w:rFonts w:asciiTheme="majorHAnsi" w:hAnsiTheme="majorHAnsi"/>
        </w:rPr>
        <w:t>8</w:t>
      </w:r>
      <w:r w:rsidRPr="007B0751">
        <w:rPr>
          <w:rFonts w:asciiTheme="majorHAnsi" w:hAnsiTheme="majorHAnsi"/>
        </w:rPr>
        <w:t xml:space="preserve"> million</w:t>
      </w:r>
    </w:p>
    <w:p w14:paraId="3DAC08B1" w14:textId="6C3F3DD1" w:rsidR="002703C1" w:rsidRPr="007B0751" w:rsidRDefault="0097390F" w:rsidP="00A64F35">
      <w:pPr>
        <w:pStyle w:val="ListParagraph"/>
        <w:numPr>
          <w:ilvl w:val="0"/>
          <w:numId w:val="34"/>
        </w:numPr>
        <w:rPr>
          <w:rFonts w:asciiTheme="majorHAnsi" w:hAnsiTheme="majorHAnsi"/>
        </w:rPr>
      </w:pPr>
      <w:r w:rsidRPr="007B0751">
        <w:rPr>
          <w:rFonts w:asciiTheme="majorHAnsi" w:hAnsiTheme="majorHAnsi"/>
        </w:rPr>
        <w:t xml:space="preserve">APHEDA and WV greenhouse beneficiaries are estimated to have collectively </w:t>
      </w:r>
      <w:r w:rsidR="00FE120A" w:rsidRPr="007B0751">
        <w:rPr>
          <w:rFonts w:asciiTheme="majorHAnsi" w:hAnsiTheme="majorHAnsi"/>
        </w:rPr>
        <w:t>produc</w:t>
      </w:r>
      <w:r w:rsidRPr="007B0751">
        <w:rPr>
          <w:rFonts w:asciiTheme="majorHAnsi" w:hAnsiTheme="majorHAnsi"/>
        </w:rPr>
        <w:t>ed more than 12</w:t>
      </w:r>
      <w:r w:rsidR="00FE120A" w:rsidRPr="007B0751">
        <w:rPr>
          <w:rFonts w:asciiTheme="majorHAnsi" w:hAnsiTheme="majorHAnsi"/>
        </w:rPr>
        <w:t>%</w:t>
      </w:r>
      <w:r w:rsidRPr="007B0751">
        <w:rPr>
          <w:rFonts w:asciiTheme="majorHAnsi" w:hAnsiTheme="majorHAnsi"/>
        </w:rPr>
        <w:t xml:space="preserve"> of Gaza</w:t>
      </w:r>
      <w:r w:rsidR="00E661C5">
        <w:rPr>
          <w:rFonts w:asciiTheme="majorHAnsi" w:hAnsiTheme="majorHAnsi"/>
        </w:rPr>
        <w:t xml:space="preserve">’s </w:t>
      </w:r>
      <w:r w:rsidR="00E661C5" w:rsidRPr="002A5C0E">
        <w:rPr>
          <w:rFonts w:asciiTheme="majorHAnsi" w:hAnsiTheme="majorHAnsi"/>
          <w:u w:val="single"/>
        </w:rPr>
        <w:t>total</w:t>
      </w:r>
      <w:r w:rsidRPr="007B0751">
        <w:rPr>
          <w:rFonts w:asciiTheme="majorHAnsi" w:hAnsiTheme="majorHAnsi"/>
        </w:rPr>
        <w:t xml:space="preserve"> production </w:t>
      </w:r>
      <w:r w:rsidR="00FE120A" w:rsidRPr="007B0751">
        <w:rPr>
          <w:rFonts w:asciiTheme="majorHAnsi" w:hAnsiTheme="majorHAnsi"/>
        </w:rPr>
        <w:t xml:space="preserve">each of </w:t>
      </w:r>
      <w:r w:rsidRPr="007B0751">
        <w:rPr>
          <w:rFonts w:asciiTheme="majorHAnsi" w:hAnsiTheme="majorHAnsi"/>
        </w:rPr>
        <w:t>tomatoes and peppers in 2013-14 season</w:t>
      </w:r>
      <w:r w:rsidR="001B0068" w:rsidRPr="007B0751">
        <w:rPr>
          <w:rStyle w:val="FootnoteReference"/>
          <w:rFonts w:asciiTheme="majorHAnsi" w:hAnsiTheme="majorHAnsi"/>
        </w:rPr>
        <w:footnoteReference w:id="15"/>
      </w:r>
    </w:p>
    <w:p w14:paraId="0BD644C6" w14:textId="77777777" w:rsidR="00464FF5" w:rsidRPr="007B0751" w:rsidRDefault="00464FF5" w:rsidP="002703C1">
      <w:pPr>
        <w:pStyle w:val="ListParagraph"/>
        <w:numPr>
          <w:ilvl w:val="0"/>
          <w:numId w:val="34"/>
        </w:numPr>
        <w:rPr>
          <w:rFonts w:asciiTheme="majorHAnsi" w:hAnsiTheme="majorHAnsi"/>
        </w:rPr>
      </w:pPr>
      <w:r w:rsidRPr="007B0751">
        <w:rPr>
          <w:rFonts w:asciiTheme="majorHAnsi" w:hAnsiTheme="majorHAnsi"/>
        </w:rPr>
        <w:t>Partnering with the Palestinian priv</w:t>
      </w:r>
      <w:r w:rsidR="002703C1" w:rsidRPr="007B0751">
        <w:rPr>
          <w:rFonts w:asciiTheme="majorHAnsi" w:hAnsiTheme="majorHAnsi"/>
        </w:rPr>
        <w:t xml:space="preserve">ate sector have facilitated </w:t>
      </w:r>
      <w:r w:rsidRPr="007B0751">
        <w:rPr>
          <w:rFonts w:asciiTheme="majorHAnsi" w:hAnsiTheme="majorHAnsi"/>
        </w:rPr>
        <w:t xml:space="preserve">export opportunities </w:t>
      </w:r>
      <w:r w:rsidR="002703C1" w:rsidRPr="007B0751">
        <w:rPr>
          <w:rFonts w:asciiTheme="majorHAnsi" w:hAnsiTheme="majorHAnsi"/>
        </w:rPr>
        <w:t xml:space="preserve">to Europe, UK and Saudi Arabia – including strawberries, </w:t>
      </w:r>
      <w:proofErr w:type="spellStart"/>
      <w:r w:rsidR="002703C1" w:rsidRPr="007B0751">
        <w:rPr>
          <w:rFonts w:asciiTheme="majorHAnsi" w:hAnsiTheme="majorHAnsi"/>
        </w:rPr>
        <w:t>freekeh</w:t>
      </w:r>
      <w:proofErr w:type="spellEnd"/>
      <w:r w:rsidR="002703C1" w:rsidRPr="007B0751">
        <w:rPr>
          <w:rFonts w:asciiTheme="majorHAnsi" w:hAnsiTheme="majorHAnsi"/>
        </w:rPr>
        <w:t xml:space="preserve"> (green wheat) and </w:t>
      </w:r>
      <w:proofErr w:type="spellStart"/>
      <w:r w:rsidR="002703C1" w:rsidRPr="007B0751">
        <w:rPr>
          <w:rFonts w:asciiTheme="majorHAnsi" w:hAnsiTheme="majorHAnsi"/>
        </w:rPr>
        <w:t>zataar</w:t>
      </w:r>
      <w:proofErr w:type="spellEnd"/>
      <w:r w:rsidR="002703C1" w:rsidRPr="007B0751">
        <w:rPr>
          <w:rFonts w:asciiTheme="majorHAnsi" w:hAnsiTheme="majorHAnsi"/>
        </w:rPr>
        <w:t xml:space="preserve"> (thyme)</w:t>
      </w:r>
    </w:p>
    <w:p w14:paraId="36190492" w14:textId="77777777" w:rsidR="000E641B" w:rsidRPr="007B0751" w:rsidRDefault="000E641B" w:rsidP="00F04445">
      <w:pPr>
        <w:rPr>
          <w:rFonts w:asciiTheme="majorHAnsi" w:hAnsiTheme="majorHAnsi"/>
        </w:rPr>
      </w:pPr>
    </w:p>
    <w:p w14:paraId="78D1280E" w14:textId="77777777" w:rsidR="006E544C" w:rsidRPr="007B0751" w:rsidRDefault="001B0068" w:rsidP="00F04445">
      <w:pPr>
        <w:rPr>
          <w:rFonts w:asciiTheme="majorHAnsi" w:hAnsiTheme="majorHAnsi"/>
        </w:rPr>
      </w:pPr>
      <w:r w:rsidRPr="007B0751">
        <w:rPr>
          <w:rFonts w:asciiTheme="majorHAnsi" w:hAnsiTheme="majorHAnsi"/>
        </w:rPr>
        <w:t xml:space="preserve">These impressive quantitative achievements are backstopped by </w:t>
      </w:r>
      <w:r w:rsidR="00D1406D" w:rsidRPr="007B0751">
        <w:rPr>
          <w:rFonts w:asciiTheme="majorHAnsi" w:hAnsiTheme="majorHAnsi"/>
        </w:rPr>
        <w:t xml:space="preserve">significant achievements of a more qualitative nature. Within the Program goal is an ambition to ‘reduce the socio-economic vulnerability’ of particularly Palestinian women, youth and farmers. </w:t>
      </w:r>
    </w:p>
    <w:p w14:paraId="22384B6A" w14:textId="77777777" w:rsidR="00BA3553" w:rsidRPr="007B0751" w:rsidRDefault="00BA3553" w:rsidP="00F04445">
      <w:pPr>
        <w:rPr>
          <w:rFonts w:asciiTheme="majorHAnsi" w:hAnsiTheme="majorHAnsi"/>
        </w:rPr>
      </w:pPr>
    </w:p>
    <w:p w14:paraId="64B1F6B3" w14:textId="77777777" w:rsidR="006E544C" w:rsidRPr="007B0751" w:rsidRDefault="006E544C" w:rsidP="00F04445">
      <w:pPr>
        <w:rPr>
          <w:rFonts w:asciiTheme="majorHAnsi" w:hAnsiTheme="majorHAnsi"/>
        </w:rPr>
      </w:pPr>
      <w:r w:rsidRPr="007B0751">
        <w:rPr>
          <w:rFonts w:asciiTheme="majorHAnsi" w:hAnsiTheme="majorHAnsi"/>
        </w:rPr>
        <w:t>Resilience, wellbeing, and empowerment are concepts not easily quantified. Observations from the Review related to progressing these concepts within the cohort (measured against the ten Key Results) include:</w:t>
      </w:r>
    </w:p>
    <w:p w14:paraId="0738C38D" w14:textId="66CCB42A" w:rsidR="00E72C36" w:rsidRPr="002A5C0E" w:rsidRDefault="00E72C36" w:rsidP="002A5C0E">
      <w:pPr>
        <w:pStyle w:val="Default"/>
        <w:numPr>
          <w:ilvl w:val="0"/>
          <w:numId w:val="42"/>
        </w:numPr>
        <w:rPr>
          <w:rFonts w:asciiTheme="majorHAnsi" w:hAnsiTheme="majorHAnsi"/>
          <w:b/>
          <w:sz w:val="22"/>
          <w:szCs w:val="22"/>
        </w:rPr>
      </w:pPr>
      <w:r w:rsidRPr="002A5C0E">
        <w:rPr>
          <w:rFonts w:asciiTheme="majorHAnsi" w:hAnsiTheme="majorHAnsi" w:cs="Arial"/>
          <w:sz w:val="22"/>
          <w:szCs w:val="22"/>
        </w:rPr>
        <w:t xml:space="preserve">WV’s primary health care type psychosocial interventions such as Psychological First Aid and Child Friendly Spaces have been effective in building family and community capacity for action and referral around </w:t>
      </w:r>
      <w:r w:rsidRPr="002A5C0E">
        <w:rPr>
          <w:rFonts w:asciiTheme="majorHAnsi" w:hAnsiTheme="majorHAnsi"/>
          <w:b/>
          <w:sz w:val="22"/>
          <w:szCs w:val="22"/>
        </w:rPr>
        <w:t>Mental Health and Psychosocial Support</w:t>
      </w:r>
      <w:r w:rsidRPr="002A5C0E">
        <w:rPr>
          <w:rFonts w:asciiTheme="majorHAnsi" w:hAnsiTheme="majorHAnsi"/>
          <w:sz w:val="22"/>
          <w:szCs w:val="22"/>
        </w:rPr>
        <w:t xml:space="preserve"> (MHPSS) issues. These skills have helped</w:t>
      </w:r>
      <w:r w:rsidRPr="002A5C0E">
        <w:rPr>
          <w:rFonts w:asciiTheme="majorHAnsi" w:hAnsiTheme="majorHAnsi" w:cs="Arial"/>
          <w:sz w:val="22"/>
          <w:szCs w:val="22"/>
        </w:rPr>
        <w:t xml:space="preserve"> improve psychosocial health, </w:t>
      </w:r>
      <w:r w:rsidR="007C52D9" w:rsidRPr="007C52D9">
        <w:rPr>
          <w:rFonts w:asciiTheme="majorHAnsi" w:hAnsiTheme="majorHAnsi" w:cs="Arial"/>
          <w:sz w:val="22"/>
          <w:szCs w:val="22"/>
        </w:rPr>
        <w:t>while</w:t>
      </w:r>
      <w:r w:rsidRPr="002A5C0E">
        <w:rPr>
          <w:rFonts w:asciiTheme="majorHAnsi" w:hAnsiTheme="majorHAnsi" w:cs="Arial"/>
          <w:sz w:val="22"/>
          <w:szCs w:val="22"/>
        </w:rPr>
        <w:t xml:space="preserve"> also providing a model relevant to achievement of NDP targets. Importantly, sustainability issues are addressed by mainstreaming psychosocial work through UAWC’s livelihood </w:t>
      </w:r>
      <w:r w:rsidRPr="002A5C0E">
        <w:rPr>
          <w:rFonts w:asciiTheme="majorHAnsi" w:hAnsiTheme="majorHAnsi"/>
          <w:sz w:val="22"/>
          <w:szCs w:val="22"/>
        </w:rPr>
        <w:t>interventions, including the skilling up of UAWC technical workers in strategies such as PFA.</w:t>
      </w:r>
      <w:r w:rsidR="007C52D9" w:rsidRPr="002A5C0E">
        <w:rPr>
          <w:rFonts w:asciiTheme="majorHAnsi" w:hAnsiTheme="majorHAnsi"/>
          <w:sz w:val="22"/>
          <w:szCs w:val="22"/>
        </w:rPr>
        <w:t xml:space="preserve"> </w:t>
      </w:r>
      <w:r w:rsidR="007C52D9">
        <w:rPr>
          <w:rFonts w:asciiTheme="majorHAnsi" w:hAnsiTheme="majorHAnsi"/>
          <w:sz w:val="22"/>
          <w:szCs w:val="22"/>
        </w:rPr>
        <w:t xml:space="preserve">Improved psychosocial health is therefore an important aspect of WV’s livelihoods and women’s empowerment objectives. </w:t>
      </w:r>
      <w:r w:rsidR="007C52D9" w:rsidRPr="007C52D9">
        <w:rPr>
          <w:rFonts w:asciiTheme="majorHAnsi" w:hAnsiTheme="majorHAnsi"/>
          <w:sz w:val="22"/>
          <w:szCs w:val="22"/>
        </w:rPr>
        <w:t xml:space="preserve">An innovative WV ‘Quality of Life’ review of its MHPSS work suggests that </w:t>
      </w:r>
      <w:r w:rsidR="007C52D9" w:rsidRPr="007C52D9">
        <w:rPr>
          <w:rFonts w:asciiTheme="majorHAnsi" w:hAnsiTheme="majorHAnsi" w:cs="Arial"/>
          <w:sz w:val="22"/>
          <w:szCs w:val="22"/>
        </w:rPr>
        <w:t xml:space="preserve">AMENCA2 supported beneficiaries experienced higher ‘quality of life’ than those supported by similar livelihoods interventions where there is no integrated psychosocial support. </w:t>
      </w:r>
      <w:r w:rsidR="007C52D9" w:rsidRPr="002A5C0E">
        <w:rPr>
          <w:rFonts w:asciiTheme="majorHAnsi" w:hAnsiTheme="majorHAnsi"/>
          <w:sz w:val="22"/>
          <w:szCs w:val="22"/>
        </w:rPr>
        <w:t xml:space="preserve">The provision of CFS in the current context is an important frontline response to the current </w:t>
      </w:r>
      <w:proofErr w:type="spellStart"/>
      <w:r w:rsidR="007C52D9" w:rsidRPr="002A5C0E">
        <w:rPr>
          <w:rFonts w:asciiTheme="majorHAnsi" w:hAnsiTheme="majorHAnsi"/>
          <w:sz w:val="22"/>
          <w:szCs w:val="22"/>
        </w:rPr>
        <w:t>Gazan</w:t>
      </w:r>
      <w:proofErr w:type="spellEnd"/>
      <w:r w:rsidR="007C52D9" w:rsidRPr="002A5C0E">
        <w:rPr>
          <w:rFonts w:asciiTheme="majorHAnsi" w:hAnsiTheme="majorHAnsi"/>
          <w:sz w:val="22"/>
          <w:szCs w:val="22"/>
        </w:rPr>
        <w:t xml:space="preserve"> context, allowing children access to support and hope within an otherwise bleak environment. </w:t>
      </w:r>
      <w:r w:rsidR="007C52D9" w:rsidRPr="002A5C0E">
        <w:rPr>
          <w:rFonts w:asciiTheme="majorHAnsi" w:hAnsiTheme="majorHAnsi" w:cs="Arial"/>
          <w:sz w:val="22"/>
          <w:szCs w:val="22"/>
        </w:rPr>
        <w:t xml:space="preserve">WV and APHEDA’s </w:t>
      </w:r>
      <w:r w:rsidRPr="002A5C0E">
        <w:rPr>
          <w:rFonts w:asciiTheme="majorHAnsi" w:hAnsiTheme="majorHAnsi"/>
          <w:sz w:val="22"/>
          <w:szCs w:val="22"/>
        </w:rPr>
        <w:t>MHPSS efforts are child focused and integrated within the Gaza based MHPSS Cluster group chaired by UNICEF, allowing extension of lessons learned</w:t>
      </w:r>
      <w:r w:rsidR="007C52D9" w:rsidRPr="002A5C0E">
        <w:rPr>
          <w:rFonts w:asciiTheme="majorHAnsi" w:hAnsiTheme="majorHAnsi"/>
          <w:sz w:val="22"/>
          <w:szCs w:val="22"/>
        </w:rPr>
        <w:t xml:space="preserve"> to other providers of MHPSS services</w:t>
      </w:r>
      <w:r w:rsidRPr="002A5C0E">
        <w:rPr>
          <w:rFonts w:asciiTheme="majorHAnsi" w:hAnsiTheme="majorHAnsi"/>
          <w:sz w:val="22"/>
          <w:szCs w:val="22"/>
        </w:rPr>
        <w:t xml:space="preserve">. </w:t>
      </w:r>
    </w:p>
    <w:p w14:paraId="0E6E8CD0" w14:textId="77777777" w:rsidR="00E72C36" w:rsidRPr="007B0751" w:rsidRDefault="00E72C36" w:rsidP="002A5C0E">
      <w:pPr>
        <w:pStyle w:val="Default"/>
        <w:ind w:left="720"/>
        <w:rPr>
          <w:rFonts w:asciiTheme="majorHAnsi" w:eastAsiaTheme="minorHAnsi" w:hAnsiTheme="majorHAnsi" w:cs="Arial"/>
          <w:sz w:val="22"/>
          <w:szCs w:val="22"/>
        </w:rPr>
      </w:pPr>
    </w:p>
    <w:p w14:paraId="5B7CF588" w14:textId="734C2894" w:rsidR="008C620C" w:rsidRPr="00AD538E" w:rsidRDefault="00771DA5" w:rsidP="008C620C">
      <w:pPr>
        <w:pStyle w:val="Default"/>
        <w:numPr>
          <w:ilvl w:val="0"/>
          <w:numId w:val="36"/>
        </w:numPr>
        <w:rPr>
          <w:rFonts w:asciiTheme="majorHAnsi" w:eastAsiaTheme="minorHAnsi" w:hAnsiTheme="majorHAnsi" w:cs="Arial"/>
          <w:sz w:val="22"/>
          <w:szCs w:val="22"/>
        </w:rPr>
      </w:pPr>
      <w:r>
        <w:rPr>
          <w:rFonts w:asciiTheme="majorHAnsi" w:eastAsiaTheme="minorHAnsi" w:hAnsiTheme="majorHAnsi" w:cs="Arial"/>
          <w:sz w:val="22"/>
          <w:szCs w:val="22"/>
        </w:rPr>
        <w:t>The</w:t>
      </w:r>
      <w:r w:rsidR="008B47A1" w:rsidRPr="007B0751">
        <w:rPr>
          <w:rFonts w:asciiTheme="majorHAnsi" w:eastAsiaTheme="minorHAnsi" w:hAnsiTheme="majorHAnsi" w:cs="Arial"/>
          <w:sz w:val="22"/>
          <w:szCs w:val="22"/>
        </w:rPr>
        <w:t xml:space="preserve"> Program </w:t>
      </w:r>
      <w:r>
        <w:rPr>
          <w:rFonts w:asciiTheme="majorHAnsi" w:eastAsiaTheme="minorHAnsi" w:hAnsiTheme="majorHAnsi" w:cs="Arial"/>
          <w:sz w:val="22"/>
          <w:szCs w:val="22"/>
        </w:rPr>
        <w:t>pursues</w:t>
      </w:r>
      <w:r w:rsidRPr="007B0751">
        <w:rPr>
          <w:rFonts w:asciiTheme="majorHAnsi" w:eastAsiaTheme="minorHAnsi" w:hAnsiTheme="majorHAnsi" w:cs="Arial"/>
          <w:sz w:val="22"/>
          <w:szCs w:val="22"/>
        </w:rPr>
        <w:t xml:space="preserve"> </w:t>
      </w:r>
      <w:r w:rsidR="008B47A1" w:rsidRPr="007B0751">
        <w:rPr>
          <w:rFonts w:asciiTheme="majorHAnsi" w:eastAsiaTheme="minorHAnsi" w:hAnsiTheme="majorHAnsi" w:cs="Arial"/>
          <w:sz w:val="22"/>
          <w:szCs w:val="22"/>
        </w:rPr>
        <w:t>a two pronged approach to food production</w:t>
      </w:r>
      <w:r>
        <w:rPr>
          <w:rFonts w:asciiTheme="majorHAnsi" w:eastAsiaTheme="minorHAnsi" w:hAnsiTheme="majorHAnsi" w:cs="Arial"/>
          <w:sz w:val="22"/>
          <w:szCs w:val="22"/>
        </w:rPr>
        <w:t>, working with landholders</w:t>
      </w:r>
      <w:r w:rsidR="003C7BC7">
        <w:rPr>
          <w:rFonts w:asciiTheme="majorHAnsi" w:eastAsiaTheme="minorHAnsi" w:hAnsiTheme="majorHAnsi" w:cs="Arial"/>
          <w:sz w:val="22"/>
          <w:szCs w:val="22"/>
        </w:rPr>
        <w:t xml:space="preserve"> (or r</w:t>
      </w:r>
      <w:r>
        <w:rPr>
          <w:rFonts w:asciiTheme="majorHAnsi" w:eastAsiaTheme="minorHAnsi" w:hAnsiTheme="majorHAnsi" w:cs="Arial"/>
          <w:sz w:val="22"/>
          <w:szCs w:val="22"/>
        </w:rPr>
        <w:t>enters, as is often the case)</w:t>
      </w:r>
      <w:r w:rsidR="00647F8A" w:rsidRPr="007B0751">
        <w:rPr>
          <w:rFonts w:asciiTheme="majorHAnsi" w:eastAsiaTheme="minorHAnsi" w:hAnsiTheme="majorHAnsi" w:cs="Arial"/>
          <w:sz w:val="22"/>
          <w:szCs w:val="22"/>
        </w:rPr>
        <w:t xml:space="preserve"> capable of significant production (i.e. people with land, water access, existing crops and capacity)</w:t>
      </w:r>
      <w:r w:rsidR="007D1C2C" w:rsidRPr="007B0751">
        <w:rPr>
          <w:rFonts w:asciiTheme="majorHAnsi" w:eastAsiaTheme="minorHAnsi" w:hAnsiTheme="majorHAnsi" w:cs="Arial"/>
          <w:sz w:val="22"/>
          <w:szCs w:val="22"/>
        </w:rPr>
        <w:t xml:space="preserve"> in order to </w:t>
      </w:r>
      <w:r w:rsidR="007D1C2C" w:rsidRPr="002A5C0E">
        <w:rPr>
          <w:rFonts w:asciiTheme="majorHAnsi" w:eastAsiaTheme="minorHAnsi" w:hAnsiTheme="majorHAnsi" w:cs="Arial"/>
          <w:b/>
          <w:sz w:val="22"/>
          <w:szCs w:val="22"/>
        </w:rPr>
        <w:t>boost production, ensure food security and keep prices down</w:t>
      </w:r>
      <w:r w:rsidR="007D1C2C" w:rsidRPr="007B0751">
        <w:rPr>
          <w:rFonts w:asciiTheme="majorHAnsi" w:eastAsiaTheme="minorHAnsi" w:hAnsiTheme="majorHAnsi" w:cs="Arial"/>
          <w:sz w:val="22"/>
          <w:szCs w:val="22"/>
        </w:rPr>
        <w:t xml:space="preserve">. </w:t>
      </w:r>
      <w:r>
        <w:rPr>
          <w:rFonts w:asciiTheme="majorHAnsi" w:eastAsiaTheme="minorHAnsi" w:hAnsiTheme="majorHAnsi" w:cs="Arial"/>
          <w:sz w:val="22"/>
          <w:szCs w:val="22"/>
        </w:rPr>
        <w:t xml:space="preserve">At the same time, partners use </w:t>
      </w:r>
      <w:r w:rsidR="007D1C2C" w:rsidRPr="007B0751">
        <w:rPr>
          <w:rFonts w:asciiTheme="majorHAnsi" w:eastAsiaTheme="minorHAnsi" w:hAnsiTheme="majorHAnsi" w:cs="Arial"/>
          <w:sz w:val="22"/>
          <w:szCs w:val="22"/>
        </w:rPr>
        <w:t>vulnerability criteria to identify</w:t>
      </w:r>
      <w:r w:rsidR="00647F8A" w:rsidRPr="007B0751">
        <w:rPr>
          <w:rFonts w:asciiTheme="majorHAnsi" w:eastAsiaTheme="minorHAnsi" w:hAnsiTheme="majorHAnsi" w:cs="Arial"/>
          <w:sz w:val="22"/>
          <w:szCs w:val="22"/>
        </w:rPr>
        <w:t xml:space="preserve"> poor and vulnerable families </w:t>
      </w:r>
      <w:r w:rsidR="007D1C2C" w:rsidRPr="007B0751">
        <w:rPr>
          <w:rFonts w:asciiTheme="majorHAnsi" w:eastAsiaTheme="minorHAnsi" w:hAnsiTheme="majorHAnsi" w:cs="Arial"/>
          <w:sz w:val="22"/>
          <w:szCs w:val="22"/>
        </w:rPr>
        <w:t>for inclusion, wit</w:t>
      </w:r>
      <w:r w:rsidR="00764CC6" w:rsidRPr="007B0751">
        <w:rPr>
          <w:rFonts w:asciiTheme="majorHAnsi" w:eastAsiaTheme="minorHAnsi" w:hAnsiTheme="majorHAnsi" w:cs="Arial"/>
          <w:sz w:val="22"/>
          <w:szCs w:val="22"/>
        </w:rPr>
        <w:t>h</w:t>
      </w:r>
      <w:r w:rsidR="007D1C2C" w:rsidRPr="007B0751">
        <w:rPr>
          <w:rFonts w:asciiTheme="majorHAnsi" w:eastAsiaTheme="minorHAnsi" w:hAnsiTheme="majorHAnsi" w:cs="Arial"/>
          <w:sz w:val="22"/>
          <w:szCs w:val="22"/>
        </w:rPr>
        <w:t xml:space="preserve"> the aim of </w:t>
      </w:r>
      <w:r w:rsidR="00647F8A" w:rsidRPr="007B0751">
        <w:rPr>
          <w:rFonts w:asciiTheme="majorHAnsi" w:eastAsiaTheme="minorHAnsi" w:hAnsiTheme="majorHAnsi" w:cs="Arial"/>
          <w:sz w:val="22"/>
          <w:szCs w:val="22"/>
        </w:rPr>
        <w:t>increas</w:t>
      </w:r>
      <w:r w:rsidR="007D1C2C" w:rsidRPr="007B0751">
        <w:rPr>
          <w:rFonts w:asciiTheme="majorHAnsi" w:eastAsiaTheme="minorHAnsi" w:hAnsiTheme="majorHAnsi" w:cs="Arial"/>
          <w:sz w:val="22"/>
          <w:szCs w:val="22"/>
        </w:rPr>
        <w:t>ing</w:t>
      </w:r>
      <w:r w:rsidR="00647F8A" w:rsidRPr="007B0751">
        <w:rPr>
          <w:rFonts w:asciiTheme="majorHAnsi" w:eastAsiaTheme="minorHAnsi" w:hAnsiTheme="majorHAnsi" w:cs="Arial"/>
          <w:sz w:val="22"/>
          <w:szCs w:val="22"/>
        </w:rPr>
        <w:t xml:space="preserve"> </w:t>
      </w:r>
      <w:r w:rsidR="00647F8A" w:rsidRPr="00F96732">
        <w:rPr>
          <w:rFonts w:asciiTheme="majorHAnsi" w:eastAsiaTheme="minorHAnsi" w:hAnsiTheme="majorHAnsi" w:cs="Arial"/>
          <w:sz w:val="22"/>
          <w:szCs w:val="22"/>
        </w:rPr>
        <w:t>household food production</w:t>
      </w:r>
      <w:r w:rsidR="007D1C2C" w:rsidRPr="00D21C47">
        <w:rPr>
          <w:rFonts w:asciiTheme="majorHAnsi" w:eastAsiaTheme="minorHAnsi" w:hAnsiTheme="majorHAnsi" w:cs="Arial"/>
          <w:sz w:val="22"/>
          <w:szCs w:val="22"/>
        </w:rPr>
        <w:t xml:space="preserve"> and reducing financial stress</w:t>
      </w:r>
      <w:r w:rsidR="00647F8A" w:rsidRPr="00B5267C">
        <w:rPr>
          <w:rFonts w:asciiTheme="majorHAnsi" w:eastAsiaTheme="minorHAnsi" w:hAnsiTheme="majorHAnsi" w:cs="Arial"/>
          <w:sz w:val="22"/>
          <w:szCs w:val="22"/>
        </w:rPr>
        <w:t xml:space="preserve">. </w:t>
      </w:r>
      <w:r w:rsidR="003C7BC7" w:rsidRPr="00244ED6">
        <w:rPr>
          <w:rFonts w:asciiTheme="majorHAnsi" w:eastAsiaTheme="minorHAnsi" w:hAnsiTheme="majorHAnsi" w:cs="Arial"/>
          <w:sz w:val="22"/>
          <w:szCs w:val="22"/>
        </w:rPr>
        <w:t xml:space="preserve">This appears to be </w:t>
      </w:r>
      <w:r w:rsidR="00647F8A" w:rsidRPr="00466A50">
        <w:rPr>
          <w:rFonts w:asciiTheme="majorHAnsi" w:eastAsiaTheme="minorHAnsi" w:hAnsiTheme="majorHAnsi" w:cs="Arial"/>
          <w:sz w:val="22"/>
          <w:szCs w:val="22"/>
        </w:rPr>
        <w:t>an appropriate balance, allowing for food production potential to be maximized, while also addressing the need</w:t>
      </w:r>
      <w:r w:rsidR="004F2228" w:rsidRPr="00466A50">
        <w:rPr>
          <w:rFonts w:asciiTheme="majorHAnsi" w:eastAsiaTheme="minorHAnsi" w:hAnsiTheme="majorHAnsi" w:cs="Arial"/>
          <w:sz w:val="22"/>
          <w:szCs w:val="22"/>
        </w:rPr>
        <w:t>s</w:t>
      </w:r>
      <w:r w:rsidR="00DF7FD4" w:rsidRPr="00466A50">
        <w:rPr>
          <w:rFonts w:asciiTheme="majorHAnsi" w:eastAsiaTheme="minorHAnsi" w:hAnsiTheme="majorHAnsi" w:cs="Arial"/>
          <w:sz w:val="22"/>
          <w:szCs w:val="22"/>
        </w:rPr>
        <w:t xml:space="preserve"> of people</w:t>
      </w:r>
      <w:r w:rsidR="00647F8A" w:rsidRPr="00466A50">
        <w:rPr>
          <w:rFonts w:asciiTheme="majorHAnsi" w:eastAsiaTheme="minorHAnsi" w:hAnsiTheme="majorHAnsi" w:cs="Arial"/>
          <w:sz w:val="22"/>
          <w:szCs w:val="22"/>
        </w:rPr>
        <w:t xml:space="preserve"> vulnerable</w:t>
      </w:r>
      <w:r w:rsidR="00DF7FD4" w:rsidRPr="00466A50">
        <w:rPr>
          <w:rFonts w:asciiTheme="majorHAnsi" w:eastAsiaTheme="minorHAnsi" w:hAnsiTheme="majorHAnsi" w:cs="Arial"/>
          <w:sz w:val="22"/>
          <w:szCs w:val="22"/>
        </w:rPr>
        <w:t xml:space="preserve"> to falling into extreme poverty</w:t>
      </w:r>
      <w:r w:rsidR="00647F8A" w:rsidRPr="00466A50">
        <w:rPr>
          <w:rFonts w:asciiTheme="majorHAnsi" w:eastAsiaTheme="minorHAnsi" w:hAnsiTheme="majorHAnsi" w:cs="Arial"/>
          <w:sz w:val="22"/>
          <w:szCs w:val="22"/>
        </w:rPr>
        <w:t xml:space="preserve">. </w:t>
      </w:r>
      <w:proofErr w:type="gramStart"/>
      <w:r w:rsidR="003C7BC7" w:rsidRPr="00466A50">
        <w:rPr>
          <w:rFonts w:asciiTheme="majorHAnsi" w:eastAsiaTheme="minorHAnsi" w:hAnsiTheme="majorHAnsi" w:cs="Arial"/>
          <w:sz w:val="22"/>
          <w:szCs w:val="22"/>
        </w:rPr>
        <w:t>A strength</w:t>
      </w:r>
      <w:proofErr w:type="gramEnd"/>
      <w:r w:rsidR="003C7BC7" w:rsidRPr="00466A50">
        <w:rPr>
          <w:rFonts w:asciiTheme="majorHAnsi" w:eastAsiaTheme="minorHAnsi" w:hAnsiTheme="majorHAnsi" w:cs="Arial"/>
          <w:sz w:val="22"/>
          <w:szCs w:val="22"/>
        </w:rPr>
        <w:t xml:space="preserve"> of the Program is that different partners apply different approaches, t</w:t>
      </w:r>
      <w:r w:rsidR="003C7BC7" w:rsidRPr="00D932E9">
        <w:rPr>
          <w:rFonts w:asciiTheme="majorHAnsi" w:eastAsiaTheme="minorHAnsi" w:hAnsiTheme="majorHAnsi" w:cs="Arial"/>
          <w:sz w:val="22"/>
          <w:szCs w:val="22"/>
        </w:rPr>
        <w:t xml:space="preserve">ailored to the unique constraints and opportunities of </w:t>
      </w:r>
      <w:r w:rsidR="003C7BC7" w:rsidRPr="00AD538E">
        <w:rPr>
          <w:rFonts w:asciiTheme="majorHAnsi" w:eastAsiaTheme="minorHAnsi" w:hAnsiTheme="majorHAnsi" w:cs="Arial"/>
          <w:sz w:val="22"/>
          <w:szCs w:val="22"/>
        </w:rPr>
        <w:t xml:space="preserve">specific social, political, and eco systems. </w:t>
      </w:r>
    </w:p>
    <w:p w14:paraId="557C7BF9" w14:textId="77777777" w:rsidR="002B50DB" w:rsidRPr="00AD538E" w:rsidRDefault="002B50DB" w:rsidP="002A5C0E">
      <w:pPr>
        <w:pStyle w:val="Default"/>
        <w:ind w:left="720"/>
        <w:rPr>
          <w:rFonts w:asciiTheme="majorHAnsi" w:eastAsiaTheme="minorHAnsi" w:hAnsiTheme="majorHAnsi" w:cs="Arial"/>
          <w:sz w:val="22"/>
          <w:szCs w:val="22"/>
        </w:rPr>
      </w:pPr>
    </w:p>
    <w:p w14:paraId="23ACD5B4" w14:textId="3B69843A" w:rsidR="002B50DB" w:rsidRDefault="002B50DB" w:rsidP="002A5C0E">
      <w:pPr>
        <w:pStyle w:val="Default"/>
        <w:ind w:left="720"/>
        <w:rPr>
          <w:rFonts w:asciiTheme="majorHAnsi" w:eastAsia="MS Mincho" w:hAnsiTheme="majorHAnsi"/>
          <w:sz w:val="22"/>
          <w:szCs w:val="22"/>
        </w:rPr>
      </w:pPr>
      <w:r w:rsidRPr="002A5C0E">
        <w:rPr>
          <w:rFonts w:asciiTheme="majorHAnsi" w:eastAsia="MS Mincho" w:hAnsiTheme="majorHAnsi"/>
          <w:sz w:val="22"/>
          <w:szCs w:val="22"/>
        </w:rPr>
        <w:t xml:space="preserve">APHEDA, CARE and WV are all active in improving food production, utilizing strategies of land rehabilitation, agricultural infrastructure investments, support to cooperatives and improved marketing. While each approach has proven effective, the common theme to the most effective activities was the degree to which they were evidence based and highly responsive to local constraints. APHEDA’s work appears particularly strong in that its investments in agricultural infrastructure come with a very clear justification for action, and strong monitoring captures impact clearly. </w:t>
      </w:r>
      <w:r w:rsidR="00E6053D" w:rsidRPr="002A5C0E">
        <w:rPr>
          <w:rFonts w:asciiTheme="majorHAnsi" w:eastAsia="MS Mincho" w:hAnsiTheme="majorHAnsi"/>
          <w:sz w:val="22"/>
          <w:szCs w:val="22"/>
        </w:rPr>
        <w:t xml:space="preserve">In this model, significant infrastructure investments become </w:t>
      </w:r>
      <w:proofErr w:type="gramStart"/>
      <w:r w:rsidR="00E6053D" w:rsidRPr="002A5C0E">
        <w:rPr>
          <w:rFonts w:asciiTheme="majorHAnsi" w:eastAsia="MS Mincho" w:hAnsiTheme="majorHAnsi"/>
          <w:sz w:val="22"/>
          <w:szCs w:val="22"/>
        </w:rPr>
        <w:t>feasible,</w:t>
      </w:r>
      <w:proofErr w:type="gramEnd"/>
      <w:r w:rsidR="00E6053D" w:rsidRPr="002A5C0E">
        <w:rPr>
          <w:rFonts w:asciiTheme="majorHAnsi" w:eastAsia="MS Mincho" w:hAnsiTheme="majorHAnsi"/>
          <w:sz w:val="22"/>
          <w:szCs w:val="22"/>
        </w:rPr>
        <w:t xml:space="preserve"> based on a strong likelihood of success. </w:t>
      </w:r>
      <w:r w:rsidRPr="002A5C0E">
        <w:rPr>
          <w:rFonts w:asciiTheme="majorHAnsi" w:eastAsia="MS Mincho" w:hAnsiTheme="majorHAnsi"/>
          <w:sz w:val="22"/>
          <w:szCs w:val="22"/>
        </w:rPr>
        <w:t>Greenhouse rehabilitation of WV and APHEDA has been highly effective in facilitating</w:t>
      </w:r>
      <w:r w:rsidR="00E6053D" w:rsidRPr="002A5C0E">
        <w:rPr>
          <w:rFonts w:asciiTheme="majorHAnsi" w:eastAsia="MS Mincho" w:hAnsiTheme="majorHAnsi"/>
          <w:sz w:val="22"/>
          <w:szCs w:val="22"/>
        </w:rPr>
        <w:t xml:space="preserve"> large scale production. </w:t>
      </w:r>
      <w:r w:rsidRPr="002A5C0E">
        <w:rPr>
          <w:rFonts w:asciiTheme="majorHAnsi" w:eastAsia="MS Mincho" w:hAnsiTheme="majorHAnsi"/>
          <w:sz w:val="22"/>
          <w:szCs w:val="22"/>
        </w:rPr>
        <w:t>CARE’s investment in Seed</w:t>
      </w:r>
      <w:r w:rsidR="00E6053D" w:rsidRPr="002A5C0E">
        <w:rPr>
          <w:rFonts w:asciiTheme="majorHAnsi" w:eastAsia="MS Mincho" w:hAnsiTheme="majorHAnsi"/>
          <w:sz w:val="22"/>
          <w:szCs w:val="22"/>
        </w:rPr>
        <w:t xml:space="preserve"> Banks and Nurseries has ensured </w:t>
      </w:r>
      <w:r w:rsidRPr="002A5C0E">
        <w:rPr>
          <w:rFonts w:asciiTheme="majorHAnsi" w:eastAsia="MS Mincho" w:hAnsiTheme="majorHAnsi"/>
          <w:sz w:val="22"/>
          <w:szCs w:val="22"/>
        </w:rPr>
        <w:t>reliable supply of high quality inputs to farmers, effectively addressing risks associated with the blockade. CARE’s work is further strengthened by upstream processing and value adding activities.</w:t>
      </w:r>
    </w:p>
    <w:p w14:paraId="6FF6298C" w14:textId="77777777" w:rsidR="00D80E37" w:rsidRPr="00F96732" w:rsidRDefault="00D80E37" w:rsidP="002A5C0E">
      <w:pPr>
        <w:pStyle w:val="Default"/>
        <w:ind w:left="720"/>
        <w:rPr>
          <w:rFonts w:asciiTheme="majorHAnsi" w:eastAsiaTheme="minorHAnsi" w:hAnsiTheme="majorHAnsi" w:cs="Arial"/>
          <w:sz w:val="22"/>
          <w:szCs w:val="22"/>
        </w:rPr>
      </w:pPr>
    </w:p>
    <w:p w14:paraId="63E43FC4" w14:textId="1E874699" w:rsidR="008F59ED" w:rsidRPr="002A5C0E" w:rsidRDefault="004F2228" w:rsidP="00A64F35">
      <w:pPr>
        <w:pStyle w:val="Default"/>
        <w:numPr>
          <w:ilvl w:val="0"/>
          <w:numId w:val="36"/>
        </w:numPr>
        <w:rPr>
          <w:rFonts w:asciiTheme="majorHAnsi" w:hAnsiTheme="majorHAnsi"/>
          <w:sz w:val="22"/>
          <w:szCs w:val="22"/>
        </w:rPr>
      </w:pPr>
      <w:r w:rsidRPr="00D21C47">
        <w:rPr>
          <w:rFonts w:asciiTheme="majorHAnsi" w:eastAsiaTheme="minorHAnsi" w:hAnsiTheme="majorHAnsi" w:cs="Arial"/>
          <w:b/>
          <w:sz w:val="22"/>
          <w:szCs w:val="22"/>
        </w:rPr>
        <w:t>Improved agricultural practices</w:t>
      </w:r>
      <w:r w:rsidRPr="00D21C47">
        <w:rPr>
          <w:rFonts w:asciiTheme="majorHAnsi" w:eastAsiaTheme="minorHAnsi" w:hAnsiTheme="majorHAnsi" w:cs="Arial"/>
          <w:sz w:val="22"/>
          <w:szCs w:val="22"/>
        </w:rPr>
        <w:t xml:space="preserve"> have been </w:t>
      </w:r>
      <w:r w:rsidR="00DF7FD4" w:rsidRPr="00B5267C">
        <w:rPr>
          <w:rFonts w:asciiTheme="majorHAnsi" w:eastAsiaTheme="minorHAnsi" w:hAnsiTheme="majorHAnsi" w:cs="Arial"/>
          <w:sz w:val="22"/>
          <w:szCs w:val="22"/>
        </w:rPr>
        <w:t>achiev</w:t>
      </w:r>
      <w:r w:rsidRPr="00244ED6">
        <w:rPr>
          <w:rFonts w:asciiTheme="majorHAnsi" w:eastAsiaTheme="minorHAnsi" w:hAnsiTheme="majorHAnsi" w:cs="Arial"/>
          <w:sz w:val="22"/>
          <w:szCs w:val="22"/>
        </w:rPr>
        <w:t>ed by both complementing and enhancing existing agricultural practice, as wel</w:t>
      </w:r>
      <w:r w:rsidRPr="00466A50">
        <w:rPr>
          <w:rFonts w:asciiTheme="majorHAnsi" w:eastAsiaTheme="minorHAnsi" w:hAnsiTheme="majorHAnsi" w:cs="Arial"/>
          <w:sz w:val="22"/>
          <w:szCs w:val="22"/>
        </w:rPr>
        <w:t xml:space="preserve">l as </w:t>
      </w:r>
      <w:r w:rsidR="00647F8A" w:rsidRPr="00466A50">
        <w:rPr>
          <w:rFonts w:asciiTheme="majorHAnsi" w:eastAsiaTheme="minorHAnsi" w:hAnsiTheme="majorHAnsi" w:cs="Arial"/>
          <w:sz w:val="22"/>
          <w:szCs w:val="22"/>
        </w:rPr>
        <w:t>introducing</w:t>
      </w:r>
      <w:r w:rsidRPr="00466A50">
        <w:rPr>
          <w:rFonts w:asciiTheme="majorHAnsi" w:eastAsiaTheme="minorHAnsi" w:hAnsiTheme="majorHAnsi" w:cs="Arial"/>
          <w:sz w:val="22"/>
          <w:szCs w:val="22"/>
        </w:rPr>
        <w:t xml:space="preserve"> a wide range of agricultural innovations relevant to reducing reliance on expensive inputs and overcoming constraints posed by the political situation. </w:t>
      </w:r>
      <w:r w:rsidR="00F96732" w:rsidRPr="00D932E9">
        <w:rPr>
          <w:rFonts w:asciiTheme="majorHAnsi" w:eastAsiaTheme="minorHAnsi" w:hAnsiTheme="majorHAnsi" w:cs="Arial"/>
          <w:sz w:val="22"/>
          <w:szCs w:val="22"/>
        </w:rPr>
        <w:t xml:space="preserve">APHEDA partner </w:t>
      </w:r>
      <w:proofErr w:type="spellStart"/>
      <w:r w:rsidRPr="00D932E9">
        <w:rPr>
          <w:rFonts w:asciiTheme="majorHAnsi" w:eastAsiaTheme="minorHAnsi" w:hAnsiTheme="majorHAnsi" w:cs="Arial"/>
          <w:sz w:val="22"/>
          <w:szCs w:val="22"/>
        </w:rPr>
        <w:t>Ma’an</w:t>
      </w:r>
      <w:proofErr w:type="spellEnd"/>
      <w:r w:rsidRPr="00D932E9">
        <w:rPr>
          <w:rFonts w:asciiTheme="majorHAnsi" w:eastAsiaTheme="minorHAnsi" w:hAnsiTheme="majorHAnsi" w:cs="Arial"/>
          <w:sz w:val="22"/>
          <w:szCs w:val="22"/>
        </w:rPr>
        <w:t xml:space="preserve"> Development Centre has recently opened a permaculture </w:t>
      </w:r>
      <w:proofErr w:type="spellStart"/>
      <w:r w:rsidRPr="00D932E9">
        <w:rPr>
          <w:rFonts w:asciiTheme="majorHAnsi" w:eastAsiaTheme="minorHAnsi" w:hAnsiTheme="majorHAnsi" w:cs="Arial"/>
          <w:sz w:val="22"/>
          <w:szCs w:val="22"/>
        </w:rPr>
        <w:t>centre</w:t>
      </w:r>
      <w:proofErr w:type="spellEnd"/>
      <w:r w:rsidRPr="00D932E9">
        <w:rPr>
          <w:rFonts w:asciiTheme="majorHAnsi" w:eastAsiaTheme="minorHAnsi" w:hAnsiTheme="majorHAnsi" w:cs="Arial"/>
          <w:sz w:val="22"/>
          <w:szCs w:val="22"/>
        </w:rPr>
        <w:t xml:space="preserve"> in Je</w:t>
      </w:r>
      <w:r w:rsidRPr="00AD538E">
        <w:rPr>
          <w:rFonts w:asciiTheme="majorHAnsi" w:eastAsiaTheme="minorHAnsi" w:hAnsiTheme="majorHAnsi" w:cs="Arial"/>
          <w:sz w:val="22"/>
          <w:szCs w:val="22"/>
        </w:rPr>
        <w:t xml:space="preserve">nin, as a facility to educate Palestinians on integrated and </w:t>
      </w:r>
      <w:r w:rsidR="008F59ED" w:rsidRPr="00AD538E">
        <w:rPr>
          <w:rFonts w:asciiTheme="majorHAnsi" w:eastAsiaTheme="minorHAnsi" w:hAnsiTheme="majorHAnsi" w:cs="Arial"/>
          <w:sz w:val="22"/>
          <w:szCs w:val="22"/>
        </w:rPr>
        <w:t xml:space="preserve">ecological farming techniques. </w:t>
      </w:r>
      <w:r w:rsidR="00F96732" w:rsidRPr="002A5C0E">
        <w:rPr>
          <w:rFonts w:asciiTheme="majorHAnsi" w:hAnsiTheme="majorHAnsi"/>
          <w:sz w:val="22"/>
          <w:szCs w:val="22"/>
        </w:rPr>
        <w:t xml:space="preserve">Integrated home gardening schemes implemented by APHEDA and WV are </w:t>
      </w:r>
      <w:r w:rsidR="00F96732" w:rsidRPr="00F96732">
        <w:rPr>
          <w:rFonts w:asciiTheme="majorHAnsi" w:eastAsiaTheme="minorHAnsi" w:hAnsiTheme="majorHAnsi" w:cs="Arial"/>
          <w:sz w:val="22"/>
          <w:szCs w:val="22"/>
        </w:rPr>
        <w:t xml:space="preserve">a common form of support to </w:t>
      </w:r>
      <w:r w:rsidR="00F96732" w:rsidRPr="00D21C47">
        <w:rPr>
          <w:rFonts w:asciiTheme="majorHAnsi" w:eastAsiaTheme="minorHAnsi" w:hAnsiTheme="majorHAnsi" w:cs="Arial"/>
          <w:sz w:val="22"/>
          <w:szCs w:val="22"/>
        </w:rPr>
        <w:t>female headed households</w:t>
      </w:r>
      <w:r w:rsidR="00F96732" w:rsidRPr="002A5C0E">
        <w:rPr>
          <w:rFonts w:asciiTheme="majorHAnsi" w:hAnsiTheme="majorHAnsi"/>
          <w:sz w:val="22"/>
          <w:szCs w:val="22"/>
        </w:rPr>
        <w:t>. They reduce the need for bought inputs and promote the use of green manures and composting, while offering multiple benefits to a household in terms of improved food security, nutrition and household incomes and savings.</w:t>
      </w:r>
      <w:r w:rsidR="008F59ED" w:rsidRPr="00244ED6">
        <w:rPr>
          <w:rFonts w:asciiTheme="majorHAnsi" w:eastAsiaTheme="minorHAnsi" w:hAnsiTheme="majorHAnsi" w:cs="Arial"/>
          <w:sz w:val="22"/>
          <w:szCs w:val="22"/>
        </w:rPr>
        <w:t xml:space="preserve"> </w:t>
      </w:r>
      <w:r w:rsidR="00A64F35">
        <w:rPr>
          <w:rFonts w:asciiTheme="majorHAnsi" w:eastAsiaTheme="minorHAnsi" w:hAnsiTheme="majorHAnsi" w:cs="Arial"/>
          <w:sz w:val="22"/>
          <w:szCs w:val="22"/>
        </w:rPr>
        <w:t>Bee-keeping</w:t>
      </w:r>
      <w:r w:rsidR="00466A50">
        <w:rPr>
          <w:rFonts w:asciiTheme="majorHAnsi" w:eastAsiaTheme="minorHAnsi" w:hAnsiTheme="majorHAnsi" w:cs="Arial"/>
          <w:sz w:val="22"/>
          <w:szCs w:val="22"/>
        </w:rPr>
        <w:t>, introduced by APHEDA and CARE, has</w:t>
      </w:r>
      <w:r w:rsidR="008F59ED" w:rsidRPr="00244ED6">
        <w:rPr>
          <w:rFonts w:asciiTheme="majorHAnsi" w:eastAsiaTheme="minorHAnsi" w:hAnsiTheme="majorHAnsi" w:cs="Arial"/>
          <w:sz w:val="22"/>
          <w:szCs w:val="22"/>
        </w:rPr>
        <w:t xml:space="preserve"> been </w:t>
      </w:r>
      <w:r w:rsidR="00466A50">
        <w:rPr>
          <w:rFonts w:asciiTheme="majorHAnsi" w:eastAsiaTheme="minorHAnsi" w:hAnsiTheme="majorHAnsi" w:cs="Arial"/>
          <w:sz w:val="22"/>
          <w:szCs w:val="22"/>
        </w:rPr>
        <w:t xml:space="preserve">a </w:t>
      </w:r>
      <w:r w:rsidR="008F59ED" w:rsidRPr="00244ED6">
        <w:rPr>
          <w:rFonts w:asciiTheme="majorHAnsi" w:eastAsiaTheme="minorHAnsi" w:hAnsiTheme="majorHAnsi" w:cs="Arial"/>
          <w:sz w:val="22"/>
          <w:szCs w:val="22"/>
        </w:rPr>
        <w:t>very successful</w:t>
      </w:r>
      <w:r w:rsidR="00466A50">
        <w:rPr>
          <w:rFonts w:asciiTheme="majorHAnsi" w:eastAsiaTheme="minorHAnsi" w:hAnsiTheme="majorHAnsi" w:cs="Arial"/>
          <w:sz w:val="22"/>
          <w:szCs w:val="22"/>
        </w:rPr>
        <w:t xml:space="preserve"> livelihood intervention for women</w:t>
      </w:r>
      <w:r w:rsidR="008F59ED" w:rsidRPr="00244ED6">
        <w:rPr>
          <w:rFonts w:asciiTheme="majorHAnsi" w:eastAsiaTheme="minorHAnsi" w:hAnsiTheme="majorHAnsi" w:cs="Arial"/>
          <w:sz w:val="22"/>
          <w:szCs w:val="22"/>
        </w:rPr>
        <w:t xml:space="preserve">, and </w:t>
      </w:r>
      <w:r w:rsidR="00466A50">
        <w:rPr>
          <w:rFonts w:asciiTheme="majorHAnsi" w:eastAsiaTheme="minorHAnsi" w:hAnsiTheme="majorHAnsi" w:cs="Arial"/>
          <w:sz w:val="22"/>
          <w:szCs w:val="22"/>
        </w:rPr>
        <w:t xml:space="preserve">supports pollination. </w:t>
      </w:r>
      <w:r w:rsidR="008F59ED" w:rsidRPr="00244ED6">
        <w:rPr>
          <w:rFonts w:asciiTheme="majorHAnsi" w:eastAsiaTheme="minorHAnsi" w:hAnsiTheme="majorHAnsi" w:cs="Arial"/>
          <w:sz w:val="22"/>
          <w:szCs w:val="22"/>
        </w:rPr>
        <w:t xml:space="preserve"> Seed banks and nurseries established through the CARE program ensure reliable, high quality and affordable </w:t>
      </w:r>
      <w:r w:rsidR="008F59ED" w:rsidRPr="00466A50">
        <w:rPr>
          <w:rFonts w:asciiTheme="majorHAnsi" w:eastAsiaTheme="minorHAnsi" w:hAnsiTheme="majorHAnsi" w:cs="Arial"/>
          <w:sz w:val="22"/>
          <w:szCs w:val="22"/>
        </w:rPr>
        <w:t>supply of these critical inputs.</w:t>
      </w:r>
    </w:p>
    <w:p w14:paraId="51A4CCF4" w14:textId="77777777" w:rsidR="00D80E37" w:rsidRPr="002A5C0E" w:rsidRDefault="00D80E37" w:rsidP="002A5C0E">
      <w:pPr>
        <w:pStyle w:val="Default"/>
        <w:ind w:left="720"/>
        <w:rPr>
          <w:rFonts w:asciiTheme="majorHAnsi" w:hAnsiTheme="majorHAnsi"/>
          <w:sz w:val="22"/>
          <w:szCs w:val="22"/>
        </w:rPr>
      </w:pPr>
    </w:p>
    <w:p w14:paraId="6DD6B77C" w14:textId="2B72E680" w:rsidR="00D80E37" w:rsidRPr="002A5C0E" w:rsidRDefault="007C31DC" w:rsidP="00D80E37">
      <w:pPr>
        <w:pStyle w:val="Default"/>
        <w:numPr>
          <w:ilvl w:val="0"/>
          <w:numId w:val="36"/>
        </w:numPr>
        <w:rPr>
          <w:rFonts w:asciiTheme="majorHAnsi" w:eastAsiaTheme="minorHAnsi" w:hAnsiTheme="majorHAnsi" w:cs="Arial"/>
          <w:sz w:val="22"/>
          <w:szCs w:val="22"/>
        </w:rPr>
      </w:pPr>
      <w:r w:rsidRPr="00D80E37">
        <w:rPr>
          <w:rFonts w:asciiTheme="majorHAnsi" w:hAnsiTheme="majorHAnsi"/>
          <w:sz w:val="22"/>
        </w:rPr>
        <w:t xml:space="preserve">Efforts have been made by all consortia to </w:t>
      </w:r>
      <w:r w:rsidRPr="00D80E37">
        <w:rPr>
          <w:rFonts w:asciiTheme="majorHAnsi" w:hAnsiTheme="majorHAnsi"/>
          <w:b/>
          <w:sz w:val="22"/>
        </w:rPr>
        <w:t xml:space="preserve">increase livelihoods and incomes of women, </w:t>
      </w:r>
      <w:proofErr w:type="spellStart"/>
      <w:r w:rsidRPr="007D4A6C">
        <w:rPr>
          <w:rFonts w:asciiTheme="majorHAnsi" w:hAnsiTheme="majorHAnsi"/>
          <w:sz w:val="22"/>
        </w:rPr>
        <w:t>utilising</w:t>
      </w:r>
      <w:proofErr w:type="spellEnd"/>
      <w:r w:rsidRPr="007D4A6C">
        <w:rPr>
          <w:rFonts w:asciiTheme="majorHAnsi" w:hAnsiTheme="majorHAnsi"/>
          <w:sz w:val="22"/>
        </w:rPr>
        <w:t xml:space="preserve"> a range of </w:t>
      </w:r>
      <w:r w:rsidR="00831049" w:rsidRPr="007D4A6C">
        <w:rPr>
          <w:rFonts w:asciiTheme="majorHAnsi" w:hAnsiTheme="majorHAnsi"/>
          <w:sz w:val="22"/>
        </w:rPr>
        <w:t>dif</w:t>
      </w:r>
      <w:r w:rsidR="00976CA3" w:rsidRPr="007D4A6C">
        <w:rPr>
          <w:rFonts w:asciiTheme="majorHAnsi" w:hAnsiTheme="majorHAnsi"/>
          <w:sz w:val="22"/>
        </w:rPr>
        <w:t>f</w:t>
      </w:r>
      <w:r w:rsidR="00831049" w:rsidRPr="007D4A6C">
        <w:rPr>
          <w:rFonts w:asciiTheme="majorHAnsi" w:hAnsiTheme="majorHAnsi"/>
          <w:sz w:val="22"/>
        </w:rPr>
        <w:t xml:space="preserve">erent </w:t>
      </w:r>
      <w:r w:rsidRPr="007D4A6C">
        <w:rPr>
          <w:rFonts w:asciiTheme="majorHAnsi" w:hAnsiTheme="majorHAnsi"/>
          <w:sz w:val="22"/>
        </w:rPr>
        <w:t>strategies</w:t>
      </w:r>
      <w:r w:rsidR="004958BE" w:rsidRPr="007D4A6C">
        <w:rPr>
          <w:rFonts w:asciiTheme="majorHAnsi" w:hAnsiTheme="majorHAnsi"/>
          <w:sz w:val="22"/>
        </w:rPr>
        <w:t xml:space="preserve">. A key Program finding across the various different interventions </w:t>
      </w:r>
      <w:r w:rsidR="00831049" w:rsidRPr="00C51737">
        <w:rPr>
          <w:rFonts w:asciiTheme="majorHAnsi" w:hAnsiTheme="majorHAnsi"/>
          <w:sz w:val="22"/>
        </w:rPr>
        <w:t xml:space="preserve">is the clear </w:t>
      </w:r>
      <w:r w:rsidR="004958BE" w:rsidRPr="00024A2E">
        <w:rPr>
          <w:rFonts w:asciiTheme="majorHAnsi" w:hAnsiTheme="majorHAnsi"/>
          <w:sz w:val="22"/>
        </w:rPr>
        <w:t>link</w:t>
      </w:r>
      <w:r w:rsidR="00831049" w:rsidRPr="005D3451">
        <w:rPr>
          <w:rFonts w:asciiTheme="majorHAnsi" w:hAnsiTheme="majorHAnsi"/>
          <w:sz w:val="22"/>
        </w:rPr>
        <w:t xml:space="preserve"> that exists</w:t>
      </w:r>
      <w:r w:rsidR="004958BE" w:rsidRPr="00142797">
        <w:rPr>
          <w:rFonts w:asciiTheme="majorHAnsi" w:hAnsiTheme="majorHAnsi"/>
          <w:sz w:val="22"/>
        </w:rPr>
        <w:t xml:space="preserve"> between economic and social empowerment</w:t>
      </w:r>
      <w:r w:rsidR="00831049" w:rsidRPr="0001781D">
        <w:rPr>
          <w:rFonts w:asciiTheme="majorHAnsi" w:hAnsiTheme="majorHAnsi"/>
          <w:sz w:val="22"/>
        </w:rPr>
        <w:t xml:space="preserve"> of women</w:t>
      </w:r>
      <w:r w:rsidR="00976CA3" w:rsidRPr="0001781D">
        <w:rPr>
          <w:rFonts w:asciiTheme="majorHAnsi" w:hAnsiTheme="majorHAnsi"/>
          <w:sz w:val="22"/>
        </w:rPr>
        <w:t>. This has inc</w:t>
      </w:r>
      <w:r w:rsidR="00831049" w:rsidRPr="0001781D">
        <w:rPr>
          <w:rFonts w:asciiTheme="majorHAnsi" w:hAnsiTheme="majorHAnsi"/>
          <w:sz w:val="22"/>
        </w:rPr>
        <w:t xml:space="preserve">reased </w:t>
      </w:r>
      <w:r w:rsidR="00976CA3" w:rsidRPr="0001781D">
        <w:rPr>
          <w:rFonts w:asciiTheme="majorHAnsi" w:hAnsiTheme="majorHAnsi"/>
          <w:sz w:val="22"/>
        </w:rPr>
        <w:t xml:space="preserve">women’s </w:t>
      </w:r>
      <w:r w:rsidR="00831049" w:rsidRPr="009C55BC">
        <w:rPr>
          <w:rFonts w:asciiTheme="majorHAnsi" w:hAnsiTheme="majorHAnsi"/>
          <w:sz w:val="22"/>
        </w:rPr>
        <w:t>mobility</w:t>
      </w:r>
      <w:r w:rsidR="00976CA3" w:rsidRPr="00FD3262">
        <w:rPr>
          <w:rFonts w:asciiTheme="majorHAnsi" w:hAnsiTheme="majorHAnsi"/>
          <w:sz w:val="22"/>
        </w:rPr>
        <w:t xml:space="preserve"> and </w:t>
      </w:r>
      <w:r w:rsidR="00EC7374" w:rsidRPr="009C0641">
        <w:rPr>
          <w:rFonts w:asciiTheme="majorHAnsi" w:hAnsiTheme="majorHAnsi"/>
          <w:sz w:val="22"/>
        </w:rPr>
        <w:t>ability to co</w:t>
      </w:r>
      <w:r w:rsidR="00EC7374" w:rsidRPr="00D3106F">
        <w:rPr>
          <w:rFonts w:asciiTheme="majorHAnsi" w:hAnsiTheme="majorHAnsi"/>
          <w:sz w:val="22"/>
        </w:rPr>
        <w:t xml:space="preserve">ntribute to community life, as well as their status within their family. </w:t>
      </w:r>
    </w:p>
    <w:p w14:paraId="4574FC56" w14:textId="77777777" w:rsidR="00D80E37" w:rsidRDefault="00D80E37" w:rsidP="002A5C0E">
      <w:pPr>
        <w:pStyle w:val="Default"/>
        <w:ind w:left="720"/>
        <w:rPr>
          <w:rFonts w:asciiTheme="majorHAnsi" w:eastAsiaTheme="minorHAnsi" w:hAnsiTheme="majorHAnsi" w:cs="Arial"/>
          <w:sz w:val="22"/>
          <w:szCs w:val="22"/>
        </w:rPr>
      </w:pPr>
    </w:p>
    <w:p w14:paraId="34014795" w14:textId="0F4559FF" w:rsidR="00D80E37" w:rsidRDefault="00D80E37" w:rsidP="002A5C0E">
      <w:pPr>
        <w:pStyle w:val="Default"/>
        <w:ind w:left="720"/>
        <w:rPr>
          <w:rFonts w:asciiTheme="majorHAnsi" w:eastAsiaTheme="minorHAnsi" w:hAnsiTheme="majorHAnsi" w:cs="Arial"/>
          <w:sz w:val="22"/>
          <w:szCs w:val="22"/>
        </w:rPr>
      </w:pPr>
      <w:r>
        <w:rPr>
          <w:rFonts w:asciiTheme="majorHAnsi" w:eastAsiaTheme="minorHAnsi" w:hAnsiTheme="majorHAnsi" w:cs="Arial"/>
          <w:sz w:val="22"/>
          <w:szCs w:val="22"/>
        </w:rPr>
        <w:t xml:space="preserve">Both grants and loans have been used to support increased livelihoods for women. </w:t>
      </w:r>
      <w:r w:rsidR="007D4A6C">
        <w:rPr>
          <w:rFonts w:asciiTheme="majorHAnsi" w:eastAsiaTheme="minorHAnsi" w:hAnsiTheme="majorHAnsi" w:cs="Arial"/>
          <w:sz w:val="22"/>
          <w:szCs w:val="22"/>
        </w:rPr>
        <w:t>Grants have proven very effective in the complex Gaza environment where significantly higher poverty rates exist than is the case in the West Bank. G</w:t>
      </w:r>
      <w:r>
        <w:rPr>
          <w:rFonts w:asciiTheme="majorHAnsi" w:eastAsiaTheme="minorHAnsi" w:hAnsiTheme="majorHAnsi" w:cs="Arial"/>
          <w:sz w:val="22"/>
          <w:szCs w:val="22"/>
        </w:rPr>
        <w:t xml:space="preserve">rants provided to vulnerable </w:t>
      </w:r>
      <w:r w:rsidR="007D4A6C">
        <w:rPr>
          <w:rFonts w:asciiTheme="majorHAnsi" w:eastAsiaTheme="minorHAnsi" w:hAnsiTheme="majorHAnsi" w:cs="Arial"/>
          <w:sz w:val="22"/>
          <w:szCs w:val="22"/>
        </w:rPr>
        <w:t xml:space="preserve">women </w:t>
      </w:r>
      <w:r>
        <w:rPr>
          <w:rFonts w:asciiTheme="majorHAnsi" w:eastAsiaTheme="minorHAnsi" w:hAnsiTheme="majorHAnsi" w:cs="Arial"/>
          <w:sz w:val="22"/>
          <w:szCs w:val="22"/>
        </w:rPr>
        <w:t xml:space="preserve">by APHEDA and WV </w:t>
      </w:r>
      <w:proofErr w:type="gramStart"/>
      <w:r>
        <w:rPr>
          <w:rFonts w:asciiTheme="majorHAnsi" w:eastAsiaTheme="minorHAnsi" w:hAnsiTheme="majorHAnsi" w:cs="Arial"/>
          <w:sz w:val="22"/>
          <w:szCs w:val="22"/>
        </w:rPr>
        <w:t>have</w:t>
      </w:r>
      <w:proofErr w:type="gramEnd"/>
      <w:r>
        <w:rPr>
          <w:rFonts w:asciiTheme="majorHAnsi" w:eastAsiaTheme="minorHAnsi" w:hAnsiTheme="majorHAnsi" w:cs="Arial"/>
          <w:sz w:val="22"/>
          <w:szCs w:val="22"/>
        </w:rPr>
        <w:t xml:space="preserve"> proven very effective in establishing reliable income flows around home gardening and livestock. </w:t>
      </w:r>
      <w:proofErr w:type="spellStart"/>
      <w:r w:rsidR="007D4A6C">
        <w:rPr>
          <w:rFonts w:asciiTheme="majorHAnsi" w:eastAsiaTheme="minorHAnsi" w:hAnsiTheme="majorHAnsi" w:cs="Arial"/>
          <w:sz w:val="22"/>
          <w:szCs w:val="22"/>
        </w:rPr>
        <w:t>ActionAId</w:t>
      </w:r>
      <w:proofErr w:type="spellEnd"/>
      <w:r w:rsidR="007D4A6C">
        <w:rPr>
          <w:rFonts w:asciiTheme="majorHAnsi" w:eastAsiaTheme="minorHAnsi" w:hAnsiTheme="majorHAnsi" w:cs="Arial"/>
          <w:sz w:val="22"/>
          <w:szCs w:val="22"/>
        </w:rPr>
        <w:t xml:space="preserve"> and </w:t>
      </w:r>
      <w:proofErr w:type="spellStart"/>
      <w:r w:rsidR="007D4A6C">
        <w:rPr>
          <w:rFonts w:asciiTheme="majorHAnsi" w:eastAsiaTheme="minorHAnsi" w:hAnsiTheme="majorHAnsi" w:cs="Arial"/>
          <w:sz w:val="22"/>
          <w:szCs w:val="22"/>
        </w:rPr>
        <w:t>Asala</w:t>
      </w:r>
      <w:proofErr w:type="spellEnd"/>
      <w:r w:rsidR="007D4A6C">
        <w:rPr>
          <w:rFonts w:asciiTheme="majorHAnsi" w:eastAsiaTheme="minorHAnsi" w:hAnsiTheme="majorHAnsi" w:cs="Arial"/>
          <w:sz w:val="22"/>
          <w:szCs w:val="22"/>
        </w:rPr>
        <w:t xml:space="preserve"> have </w:t>
      </w:r>
      <w:r w:rsidR="00C51737">
        <w:rPr>
          <w:rFonts w:asciiTheme="majorHAnsi" w:eastAsiaTheme="minorHAnsi" w:hAnsiTheme="majorHAnsi" w:cs="Arial"/>
          <w:sz w:val="22"/>
          <w:szCs w:val="22"/>
        </w:rPr>
        <w:t xml:space="preserve">overseen </w:t>
      </w:r>
      <w:r w:rsidR="007D4A6C">
        <w:rPr>
          <w:rFonts w:asciiTheme="majorHAnsi" w:eastAsiaTheme="minorHAnsi" w:hAnsiTheme="majorHAnsi" w:cs="Arial"/>
          <w:sz w:val="22"/>
          <w:szCs w:val="22"/>
        </w:rPr>
        <w:t>a mix of loans and grants to poor women in Hebron</w:t>
      </w:r>
      <w:r w:rsidR="00C51737">
        <w:rPr>
          <w:rFonts w:asciiTheme="majorHAnsi" w:eastAsiaTheme="minorHAnsi" w:hAnsiTheme="majorHAnsi" w:cs="Arial"/>
          <w:sz w:val="22"/>
          <w:szCs w:val="22"/>
        </w:rPr>
        <w:t>, with the Program’s initial $800,000 investment having now facilitated close to $1.3 million being distributed (utilizing resources coming available from repayments. Of the 440 loans made, 173 are now repaid in full. Loan recipients met through the review spoke of the empowerment enjoyed through the work they</w:t>
      </w:r>
      <w:r w:rsidR="00024A2E">
        <w:rPr>
          <w:rFonts w:asciiTheme="majorHAnsi" w:eastAsiaTheme="minorHAnsi" w:hAnsiTheme="majorHAnsi" w:cs="Arial"/>
          <w:sz w:val="22"/>
          <w:szCs w:val="22"/>
        </w:rPr>
        <w:t xml:space="preserve"> </w:t>
      </w:r>
      <w:r w:rsidR="00C51737">
        <w:rPr>
          <w:rFonts w:asciiTheme="majorHAnsi" w:eastAsiaTheme="minorHAnsi" w:hAnsiTheme="majorHAnsi" w:cs="Arial"/>
          <w:sz w:val="22"/>
          <w:szCs w:val="22"/>
        </w:rPr>
        <w:t xml:space="preserve">have commenced through their loan </w:t>
      </w:r>
      <w:proofErr w:type="gramStart"/>
      <w:r w:rsidR="00C51737">
        <w:rPr>
          <w:rFonts w:asciiTheme="majorHAnsi" w:eastAsiaTheme="minorHAnsi" w:hAnsiTheme="majorHAnsi" w:cs="Arial"/>
          <w:sz w:val="22"/>
          <w:szCs w:val="22"/>
        </w:rPr>
        <w:t>However,</w:t>
      </w:r>
      <w:proofErr w:type="gramEnd"/>
      <w:r w:rsidR="00C51737">
        <w:rPr>
          <w:rFonts w:asciiTheme="majorHAnsi" w:eastAsiaTheme="minorHAnsi" w:hAnsiTheme="majorHAnsi" w:cs="Arial"/>
          <w:sz w:val="22"/>
          <w:szCs w:val="22"/>
        </w:rPr>
        <w:t xml:space="preserve"> it appeared that some loan recipients ha</w:t>
      </w:r>
      <w:r w:rsidR="00024A2E">
        <w:rPr>
          <w:rFonts w:asciiTheme="majorHAnsi" w:eastAsiaTheme="minorHAnsi" w:hAnsiTheme="majorHAnsi" w:cs="Arial"/>
          <w:sz w:val="22"/>
          <w:szCs w:val="22"/>
        </w:rPr>
        <w:t>d</w:t>
      </w:r>
      <w:r w:rsidR="00C51737">
        <w:rPr>
          <w:rFonts w:asciiTheme="majorHAnsi" w:eastAsiaTheme="minorHAnsi" w:hAnsiTheme="majorHAnsi" w:cs="Arial"/>
          <w:sz w:val="22"/>
          <w:szCs w:val="22"/>
        </w:rPr>
        <w:t xml:space="preserve"> </w:t>
      </w:r>
      <w:r w:rsidR="00024A2E">
        <w:rPr>
          <w:rFonts w:asciiTheme="majorHAnsi" w:eastAsiaTheme="minorHAnsi" w:hAnsiTheme="majorHAnsi" w:cs="Arial"/>
          <w:sz w:val="22"/>
          <w:szCs w:val="22"/>
        </w:rPr>
        <w:t xml:space="preserve">only limited capacity to initiate any cost-benefit analysis of their enterprise. </w:t>
      </w:r>
      <w:r w:rsidR="005D3451">
        <w:rPr>
          <w:rFonts w:asciiTheme="majorHAnsi" w:eastAsiaTheme="minorHAnsi" w:hAnsiTheme="majorHAnsi" w:cs="Arial"/>
          <w:sz w:val="22"/>
          <w:szCs w:val="22"/>
        </w:rPr>
        <w:t>Whether loans or grants, a key success indicator appears to be access to ongoing support and guidance in enterprise development from people experienced in micro enterprise development.</w:t>
      </w:r>
    </w:p>
    <w:p w14:paraId="78D58546" w14:textId="77777777" w:rsidR="00142797" w:rsidRPr="002A5C0E" w:rsidRDefault="00142797" w:rsidP="002A5C0E">
      <w:pPr>
        <w:pStyle w:val="Default"/>
        <w:ind w:left="720"/>
        <w:rPr>
          <w:rFonts w:asciiTheme="majorHAnsi" w:eastAsiaTheme="minorHAnsi" w:hAnsiTheme="majorHAnsi" w:cs="Arial"/>
          <w:sz w:val="22"/>
          <w:szCs w:val="22"/>
        </w:rPr>
      </w:pPr>
    </w:p>
    <w:p w14:paraId="3266BF33" w14:textId="3ABC41B0" w:rsidR="00142797" w:rsidRDefault="00DF7FD4" w:rsidP="00D80E37">
      <w:pPr>
        <w:pStyle w:val="Default"/>
        <w:numPr>
          <w:ilvl w:val="0"/>
          <w:numId w:val="36"/>
        </w:numPr>
        <w:rPr>
          <w:rFonts w:asciiTheme="majorHAnsi" w:eastAsiaTheme="minorHAnsi" w:hAnsiTheme="majorHAnsi" w:cs="Arial"/>
          <w:sz w:val="22"/>
          <w:szCs w:val="22"/>
        </w:rPr>
      </w:pPr>
      <w:r w:rsidRPr="00D80E37">
        <w:rPr>
          <w:rFonts w:asciiTheme="majorHAnsi" w:eastAsiaTheme="minorHAnsi" w:hAnsiTheme="majorHAnsi" w:cs="Arial"/>
          <w:sz w:val="22"/>
          <w:szCs w:val="22"/>
        </w:rPr>
        <w:t>While the term</w:t>
      </w:r>
      <w:r w:rsidR="00825541" w:rsidRPr="00D80E37">
        <w:rPr>
          <w:rFonts w:asciiTheme="majorHAnsi" w:eastAsiaTheme="minorHAnsi" w:hAnsiTheme="majorHAnsi" w:cs="Arial"/>
          <w:sz w:val="22"/>
          <w:szCs w:val="22"/>
        </w:rPr>
        <w:t>s</w:t>
      </w:r>
      <w:r w:rsidRPr="00D80E37">
        <w:rPr>
          <w:rFonts w:asciiTheme="majorHAnsi" w:eastAsiaTheme="minorHAnsi" w:hAnsiTheme="majorHAnsi" w:cs="Arial"/>
          <w:sz w:val="22"/>
          <w:szCs w:val="22"/>
        </w:rPr>
        <w:t xml:space="preserve"> </w:t>
      </w:r>
      <w:r w:rsidR="00825541" w:rsidRPr="002A5C0E">
        <w:rPr>
          <w:rFonts w:asciiTheme="majorHAnsi" w:eastAsiaTheme="minorHAnsi" w:hAnsiTheme="majorHAnsi" w:cs="Arial"/>
          <w:b/>
          <w:sz w:val="22"/>
          <w:szCs w:val="22"/>
        </w:rPr>
        <w:t>‘value chain’</w:t>
      </w:r>
      <w:r w:rsidR="00825541" w:rsidRPr="00D80E37">
        <w:rPr>
          <w:rFonts w:asciiTheme="majorHAnsi" w:eastAsiaTheme="minorHAnsi" w:hAnsiTheme="majorHAnsi" w:cs="Arial"/>
          <w:sz w:val="22"/>
          <w:szCs w:val="22"/>
        </w:rPr>
        <w:t xml:space="preserve"> and </w:t>
      </w:r>
      <w:r w:rsidRPr="002A5C0E">
        <w:rPr>
          <w:rFonts w:asciiTheme="majorHAnsi" w:eastAsiaTheme="minorHAnsi" w:hAnsiTheme="majorHAnsi" w:cs="Arial"/>
          <w:b/>
          <w:sz w:val="22"/>
          <w:szCs w:val="22"/>
        </w:rPr>
        <w:t>‘value adding’</w:t>
      </w:r>
      <w:r w:rsidRPr="00D80E37">
        <w:rPr>
          <w:rFonts w:asciiTheme="majorHAnsi" w:eastAsiaTheme="minorHAnsi" w:hAnsiTheme="majorHAnsi" w:cs="Arial"/>
          <w:sz w:val="22"/>
          <w:szCs w:val="22"/>
        </w:rPr>
        <w:t xml:space="preserve"> </w:t>
      </w:r>
      <w:r w:rsidR="00825541" w:rsidRPr="00D80E37">
        <w:rPr>
          <w:rFonts w:asciiTheme="majorHAnsi" w:eastAsiaTheme="minorHAnsi" w:hAnsiTheme="majorHAnsi" w:cs="Arial"/>
          <w:sz w:val="22"/>
          <w:szCs w:val="22"/>
        </w:rPr>
        <w:t>are</w:t>
      </w:r>
      <w:r w:rsidRPr="00D80E37">
        <w:rPr>
          <w:rFonts w:asciiTheme="majorHAnsi" w:eastAsiaTheme="minorHAnsi" w:hAnsiTheme="majorHAnsi" w:cs="Arial"/>
          <w:sz w:val="22"/>
          <w:szCs w:val="22"/>
        </w:rPr>
        <w:t xml:space="preserve"> in common use throughout the Program, </w:t>
      </w:r>
      <w:r w:rsidR="00D572E2" w:rsidRPr="00D80E37">
        <w:rPr>
          <w:rFonts w:asciiTheme="majorHAnsi" w:eastAsiaTheme="minorHAnsi" w:hAnsiTheme="majorHAnsi" w:cs="Arial"/>
          <w:sz w:val="22"/>
          <w:szCs w:val="22"/>
        </w:rPr>
        <w:t>they are not done</w:t>
      </w:r>
      <w:r w:rsidRPr="00D80E37">
        <w:rPr>
          <w:rFonts w:asciiTheme="majorHAnsi" w:eastAsiaTheme="minorHAnsi" w:hAnsiTheme="majorHAnsi" w:cs="Arial"/>
          <w:sz w:val="22"/>
          <w:szCs w:val="22"/>
        </w:rPr>
        <w:t xml:space="preserve"> holistically. Opportunities exist for more thorough consideration of </w:t>
      </w:r>
      <w:r w:rsidR="00280EA4" w:rsidRPr="00D80E37">
        <w:rPr>
          <w:rFonts w:asciiTheme="majorHAnsi" w:eastAsiaTheme="minorHAnsi" w:hAnsiTheme="majorHAnsi" w:cs="Arial"/>
          <w:sz w:val="22"/>
          <w:szCs w:val="22"/>
        </w:rPr>
        <w:t>value adding and the potential of</w:t>
      </w:r>
      <w:r w:rsidRPr="00D80E37">
        <w:rPr>
          <w:rFonts w:asciiTheme="majorHAnsi" w:eastAsiaTheme="minorHAnsi" w:hAnsiTheme="majorHAnsi" w:cs="Arial"/>
          <w:sz w:val="22"/>
          <w:szCs w:val="22"/>
        </w:rPr>
        <w:t xml:space="preserve"> </w:t>
      </w:r>
      <w:r w:rsidR="007F2B04" w:rsidRPr="00D80E37">
        <w:rPr>
          <w:rFonts w:asciiTheme="majorHAnsi" w:eastAsiaTheme="minorHAnsi" w:hAnsiTheme="majorHAnsi" w:cs="Arial"/>
          <w:sz w:val="22"/>
          <w:szCs w:val="22"/>
        </w:rPr>
        <w:t xml:space="preserve">utilizing </w:t>
      </w:r>
      <w:r w:rsidRPr="00D80E37">
        <w:rPr>
          <w:rFonts w:asciiTheme="majorHAnsi" w:eastAsiaTheme="minorHAnsi" w:hAnsiTheme="majorHAnsi" w:cs="Arial"/>
          <w:sz w:val="22"/>
          <w:szCs w:val="22"/>
        </w:rPr>
        <w:t>value chain</w:t>
      </w:r>
      <w:r w:rsidR="00280EA4" w:rsidRPr="00D80E37">
        <w:rPr>
          <w:rFonts w:asciiTheme="majorHAnsi" w:eastAsiaTheme="minorHAnsi" w:hAnsiTheme="majorHAnsi" w:cs="Arial"/>
          <w:sz w:val="22"/>
          <w:szCs w:val="22"/>
        </w:rPr>
        <w:t xml:space="preserve"> </w:t>
      </w:r>
      <w:r w:rsidR="007F2B04" w:rsidRPr="00D80E37">
        <w:rPr>
          <w:rFonts w:asciiTheme="majorHAnsi" w:eastAsiaTheme="minorHAnsi" w:hAnsiTheme="majorHAnsi" w:cs="Arial"/>
          <w:sz w:val="22"/>
          <w:szCs w:val="22"/>
        </w:rPr>
        <w:t>approaches to increasing incomes. This appears particularly true in terms of backstopping agricultural investments by improving farmer understanding of marketing issues</w:t>
      </w:r>
      <w:r w:rsidR="007F2B04" w:rsidRPr="007D4A6C">
        <w:rPr>
          <w:rFonts w:asciiTheme="majorHAnsi" w:eastAsiaTheme="minorHAnsi" w:hAnsiTheme="majorHAnsi" w:cs="Arial"/>
          <w:sz w:val="22"/>
          <w:szCs w:val="22"/>
        </w:rPr>
        <w:t>, pricing and considering opportunities in relation to cooperatives.</w:t>
      </w:r>
    </w:p>
    <w:p w14:paraId="466F287B" w14:textId="6330DC9E" w:rsidR="006E544C" w:rsidRPr="007D4A6C" w:rsidRDefault="006E544C" w:rsidP="002A5C0E">
      <w:pPr>
        <w:pStyle w:val="Default"/>
        <w:ind w:left="720"/>
        <w:rPr>
          <w:rFonts w:asciiTheme="majorHAnsi" w:eastAsiaTheme="minorHAnsi" w:hAnsiTheme="majorHAnsi" w:cs="Arial"/>
          <w:sz w:val="22"/>
          <w:szCs w:val="22"/>
        </w:rPr>
      </w:pPr>
    </w:p>
    <w:p w14:paraId="3170CE33" w14:textId="77777777" w:rsidR="000C6226" w:rsidRPr="002A5C0E" w:rsidRDefault="000C6226" w:rsidP="00F04445">
      <w:pPr>
        <w:pStyle w:val="Default"/>
        <w:numPr>
          <w:ilvl w:val="0"/>
          <w:numId w:val="36"/>
        </w:numPr>
        <w:rPr>
          <w:rFonts w:asciiTheme="majorHAnsi" w:eastAsiaTheme="minorHAnsi" w:hAnsiTheme="majorHAnsi" w:cs="Arial"/>
          <w:b/>
          <w:sz w:val="22"/>
          <w:szCs w:val="22"/>
        </w:rPr>
      </w:pPr>
      <w:r w:rsidRPr="007B0751">
        <w:rPr>
          <w:rFonts w:asciiTheme="majorHAnsi" w:eastAsiaTheme="minorHAnsi" w:hAnsiTheme="majorHAnsi" w:cs="Arial"/>
          <w:sz w:val="22"/>
          <w:szCs w:val="22"/>
        </w:rPr>
        <w:t xml:space="preserve">The strategy of </w:t>
      </w:r>
      <w:r w:rsidRPr="007B0751">
        <w:rPr>
          <w:rFonts w:asciiTheme="majorHAnsi" w:eastAsiaTheme="minorHAnsi" w:hAnsiTheme="majorHAnsi" w:cs="Arial"/>
          <w:b/>
          <w:sz w:val="22"/>
          <w:szCs w:val="22"/>
        </w:rPr>
        <w:t>improving access to locally available quality services and skills</w:t>
      </w:r>
      <w:r w:rsidRPr="007B0751">
        <w:rPr>
          <w:rFonts w:asciiTheme="majorHAnsi" w:eastAsiaTheme="minorHAnsi" w:hAnsiTheme="majorHAnsi" w:cs="Arial"/>
          <w:sz w:val="22"/>
          <w:szCs w:val="22"/>
        </w:rPr>
        <w:t xml:space="preserve"> has </w:t>
      </w:r>
      <w:r w:rsidR="00BC7916" w:rsidRPr="007B0751">
        <w:rPr>
          <w:rFonts w:asciiTheme="majorHAnsi" w:eastAsiaTheme="minorHAnsi" w:hAnsiTheme="majorHAnsi" w:cs="Arial"/>
          <w:sz w:val="22"/>
          <w:szCs w:val="22"/>
        </w:rPr>
        <w:t xml:space="preserve">been applied to great effect </w:t>
      </w:r>
      <w:r w:rsidRPr="007B0751">
        <w:rPr>
          <w:rFonts w:asciiTheme="majorHAnsi" w:eastAsiaTheme="minorHAnsi" w:hAnsiTheme="majorHAnsi" w:cs="Arial"/>
          <w:sz w:val="22"/>
          <w:szCs w:val="22"/>
        </w:rPr>
        <w:t>across the Pr</w:t>
      </w:r>
      <w:r w:rsidR="00BC7916" w:rsidRPr="007B0751">
        <w:rPr>
          <w:rFonts w:asciiTheme="majorHAnsi" w:eastAsiaTheme="minorHAnsi" w:hAnsiTheme="majorHAnsi" w:cs="Arial"/>
          <w:sz w:val="22"/>
          <w:szCs w:val="22"/>
        </w:rPr>
        <w:t>ogram, including</w:t>
      </w:r>
      <w:r w:rsidRPr="007B0751">
        <w:rPr>
          <w:rFonts w:asciiTheme="majorHAnsi" w:eastAsiaTheme="minorHAnsi" w:hAnsiTheme="majorHAnsi" w:cs="Arial"/>
          <w:sz w:val="22"/>
          <w:szCs w:val="22"/>
        </w:rPr>
        <w:t xml:space="preserve"> establishment of seed banks and nurseries (CARE), the availability of credit for women and community based social services (</w:t>
      </w:r>
      <w:proofErr w:type="spellStart"/>
      <w:r w:rsidRPr="007B0751">
        <w:rPr>
          <w:rFonts w:asciiTheme="majorHAnsi" w:eastAsiaTheme="minorHAnsi" w:hAnsiTheme="majorHAnsi" w:cs="Arial"/>
          <w:sz w:val="22"/>
          <w:szCs w:val="22"/>
        </w:rPr>
        <w:t>ActionAid</w:t>
      </w:r>
      <w:proofErr w:type="spellEnd"/>
      <w:r w:rsidRPr="007B0751">
        <w:rPr>
          <w:rFonts w:asciiTheme="majorHAnsi" w:eastAsiaTheme="minorHAnsi" w:hAnsiTheme="majorHAnsi" w:cs="Arial"/>
          <w:sz w:val="22"/>
          <w:szCs w:val="22"/>
        </w:rPr>
        <w:t>), MHPSS services and CFS made available to communities in Gaza (APHEDA and WV), and support for high end value adding</w:t>
      </w:r>
      <w:r w:rsidR="00DF7FD4" w:rsidRPr="007B0751">
        <w:rPr>
          <w:rFonts w:asciiTheme="majorHAnsi" w:eastAsiaTheme="minorHAnsi" w:hAnsiTheme="majorHAnsi" w:cs="Arial"/>
          <w:sz w:val="22"/>
          <w:szCs w:val="22"/>
        </w:rPr>
        <w:t xml:space="preserve"> and marketing of</w:t>
      </w:r>
      <w:r w:rsidRPr="007B0751">
        <w:rPr>
          <w:rFonts w:asciiTheme="majorHAnsi" w:eastAsiaTheme="minorHAnsi" w:hAnsiTheme="majorHAnsi" w:cs="Arial"/>
          <w:sz w:val="22"/>
          <w:szCs w:val="22"/>
        </w:rPr>
        <w:t xml:space="preserve"> agricultural produce </w:t>
      </w:r>
      <w:r w:rsidR="00BA75BD" w:rsidRPr="007B0751">
        <w:rPr>
          <w:rFonts w:asciiTheme="majorHAnsi" w:eastAsiaTheme="minorHAnsi" w:hAnsiTheme="majorHAnsi" w:cs="Arial"/>
          <w:sz w:val="22"/>
          <w:szCs w:val="22"/>
        </w:rPr>
        <w:t>(CARE). Each of these interventions has been tailored to the needs</w:t>
      </w:r>
      <w:r w:rsidR="00DF7FD4" w:rsidRPr="007B0751">
        <w:rPr>
          <w:rFonts w:asciiTheme="majorHAnsi" w:eastAsiaTheme="minorHAnsi" w:hAnsiTheme="majorHAnsi" w:cs="Arial"/>
          <w:sz w:val="22"/>
          <w:szCs w:val="22"/>
        </w:rPr>
        <w:t>, capacity</w:t>
      </w:r>
      <w:r w:rsidR="00EB190C">
        <w:rPr>
          <w:rFonts w:asciiTheme="majorHAnsi" w:eastAsiaTheme="minorHAnsi" w:hAnsiTheme="majorHAnsi" w:cs="Arial"/>
          <w:sz w:val="22"/>
          <w:szCs w:val="22"/>
        </w:rPr>
        <w:t xml:space="preserve"> </w:t>
      </w:r>
      <w:r w:rsidR="00455FBF" w:rsidRPr="007B0751">
        <w:rPr>
          <w:rFonts w:asciiTheme="majorHAnsi" w:eastAsiaTheme="minorHAnsi" w:hAnsiTheme="majorHAnsi" w:cs="Arial"/>
          <w:sz w:val="22"/>
          <w:szCs w:val="22"/>
        </w:rPr>
        <w:t xml:space="preserve">and potential </w:t>
      </w:r>
      <w:r w:rsidR="00BA75BD" w:rsidRPr="007B0751">
        <w:rPr>
          <w:rFonts w:asciiTheme="majorHAnsi" w:eastAsiaTheme="minorHAnsi" w:hAnsiTheme="majorHAnsi" w:cs="Arial"/>
          <w:sz w:val="22"/>
          <w:szCs w:val="22"/>
        </w:rPr>
        <w:t>of individual communities</w:t>
      </w:r>
      <w:r w:rsidR="00455FBF" w:rsidRPr="007B0751">
        <w:rPr>
          <w:rFonts w:asciiTheme="majorHAnsi" w:eastAsiaTheme="minorHAnsi" w:hAnsiTheme="majorHAnsi" w:cs="Arial"/>
          <w:sz w:val="22"/>
          <w:szCs w:val="22"/>
        </w:rPr>
        <w:t>.</w:t>
      </w:r>
    </w:p>
    <w:p w14:paraId="67520E76" w14:textId="77777777" w:rsidR="00142797" w:rsidRPr="007B0751" w:rsidRDefault="00142797" w:rsidP="002A5C0E">
      <w:pPr>
        <w:pStyle w:val="Default"/>
        <w:rPr>
          <w:rFonts w:asciiTheme="majorHAnsi" w:eastAsiaTheme="minorHAnsi" w:hAnsiTheme="majorHAnsi" w:cs="Arial"/>
          <w:b/>
          <w:sz w:val="22"/>
          <w:szCs w:val="22"/>
        </w:rPr>
      </w:pPr>
    </w:p>
    <w:p w14:paraId="4FA35A5C" w14:textId="77777777" w:rsidR="00455FBF" w:rsidRPr="002A5C0E" w:rsidRDefault="00455FBF" w:rsidP="00F04445">
      <w:pPr>
        <w:pStyle w:val="Default"/>
        <w:numPr>
          <w:ilvl w:val="0"/>
          <w:numId w:val="36"/>
        </w:numPr>
        <w:rPr>
          <w:rFonts w:asciiTheme="majorHAnsi" w:eastAsiaTheme="minorHAnsi" w:hAnsiTheme="majorHAnsi" w:cs="Arial"/>
          <w:b/>
          <w:sz w:val="22"/>
          <w:szCs w:val="22"/>
        </w:rPr>
      </w:pPr>
      <w:r w:rsidRPr="007B0751">
        <w:rPr>
          <w:rFonts w:asciiTheme="majorHAnsi" w:eastAsiaTheme="minorHAnsi" w:hAnsiTheme="majorHAnsi" w:cs="Arial"/>
          <w:sz w:val="22"/>
          <w:szCs w:val="22"/>
        </w:rPr>
        <w:t xml:space="preserve">A range of approaches to </w:t>
      </w:r>
      <w:r w:rsidRPr="007B0751">
        <w:rPr>
          <w:rFonts w:asciiTheme="majorHAnsi" w:eastAsiaTheme="minorHAnsi" w:hAnsiTheme="majorHAnsi" w:cs="Arial"/>
          <w:b/>
          <w:sz w:val="22"/>
          <w:szCs w:val="22"/>
        </w:rPr>
        <w:t xml:space="preserve">providing employment </w:t>
      </w:r>
      <w:r w:rsidRPr="00142797">
        <w:rPr>
          <w:rFonts w:asciiTheme="majorHAnsi" w:eastAsiaTheme="minorHAnsi" w:hAnsiTheme="majorHAnsi" w:cs="Arial"/>
          <w:b/>
          <w:sz w:val="22"/>
          <w:szCs w:val="22"/>
        </w:rPr>
        <w:t>opportunities</w:t>
      </w:r>
      <w:r w:rsidRPr="002A5C0E">
        <w:rPr>
          <w:rFonts w:asciiTheme="majorHAnsi" w:eastAsiaTheme="minorHAnsi" w:hAnsiTheme="majorHAnsi" w:cs="Arial"/>
          <w:b/>
          <w:sz w:val="22"/>
          <w:szCs w:val="22"/>
        </w:rPr>
        <w:t xml:space="preserve"> for youth</w:t>
      </w:r>
      <w:r w:rsidRPr="007B0751">
        <w:rPr>
          <w:rFonts w:asciiTheme="majorHAnsi" w:eastAsiaTheme="minorHAnsi" w:hAnsiTheme="majorHAnsi" w:cs="Arial"/>
          <w:sz w:val="22"/>
          <w:szCs w:val="22"/>
        </w:rPr>
        <w:t xml:space="preserve"> have been </w:t>
      </w:r>
      <w:proofErr w:type="spellStart"/>
      <w:r w:rsidRPr="007B0751">
        <w:rPr>
          <w:rFonts w:asciiTheme="majorHAnsi" w:eastAsiaTheme="minorHAnsi" w:hAnsiTheme="majorHAnsi" w:cs="Arial"/>
          <w:sz w:val="22"/>
          <w:szCs w:val="22"/>
        </w:rPr>
        <w:t>trialled</w:t>
      </w:r>
      <w:proofErr w:type="spellEnd"/>
      <w:r w:rsidRPr="007B0751">
        <w:rPr>
          <w:rFonts w:asciiTheme="majorHAnsi" w:eastAsiaTheme="minorHAnsi" w:hAnsiTheme="majorHAnsi" w:cs="Arial"/>
          <w:sz w:val="22"/>
          <w:szCs w:val="22"/>
        </w:rPr>
        <w:t xml:space="preserve"> through the Program. </w:t>
      </w:r>
      <w:r w:rsidR="00BC7916" w:rsidRPr="007B0751">
        <w:rPr>
          <w:rFonts w:asciiTheme="majorHAnsi" w:eastAsiaTheme="minorHAnsi" w:hAnsiTheme="majorHAnsi" w:cs="Arial"/>
          <w:sz w:val="22"/>
          <w:szCs w:val="22"/>
        </w:rPr>
        <w:t xml:space="preserve">This addresses a core issue in Palestine of many students entering university with little thought given to their employability. </w:t>
      </w:r>
      <w:r w:rsidRPr="007B0751">
        <w:rPr>
          <w:rFonts w:asciiTheme="majorHAnsi" w:eastAsiaTheme="minorHAnsi" w:hAnsiTheme="majorHAnsi" w:cs="Arial"/>
          <w:sz w:val="22"/>
          <w:szCs w:val="22"/>
        </w:rPr>
        <w:t xml:space="preserve">Characteristics of the most successful </w:t>
      </w:r>
      <w:r w:rsidR="00BC7916" w:rsidRPr="007B0751">
        <w:rPr>
          <w:rFonts w:asciiTheme="majorHAnsi" w:eastAsiaTheme="minorHAnsi" w:hAnsiTheme="majorHAnsi" w:cs="Arial"/>
          <w:sz w:val="22"/>
          <w:szCs w:val="22"/>
        </w:rPr>
        <w:t xml:space="preserve">employment </w:t>
      </w:r>
      <w:r w:rsidRPr="007B0751">
        <w:rPr>
          <w:rFonts w:asciiTheme="majorHAnsi" w:eastAsiaTheme="minorHAnsi" w:hAnsiTheme="majorHAnsi" w:cs="Arial"/>
          <w:sz w:val="22"/>
          <w:szCs w:val="22"/>
        </w:rPr>
        <w:t xml:space="preserve">interventions have been where skilled workforce facilitators have been on hand to </w:t>
      </w:r>
      <w:r w:rsidR="00497EEC" w:rsidRPr="007B0751">
        <w:rPr>
          <w:rFonts w:asciiTheme="majorHAnsi" w:eastAsiaTheme="minorHAnsi" w:hAnsiTheme="majorHAnsi" w:cs="Arial"/>
          <w:sz w:val="22"/>
          <w:szCs w:val="22"/>
        </w:rPr>
        <w:t xml:space="preserve">identify and support appropriate candidates and provide follow up </w:t>
      </w:r>
      <w:r w:rsidR="00BC7916" w:rsidRPr="007B0751">
        <w:rPr>
          <w:rFonts w:asciiTheme="majorHAnsi" w:eastAsiaTheme="minorHAnsi" w:hAnsiTheme="majorHAnsi" w:cs="Arial"/>
          <w:sz w:val="22"/>
          <w:szCs w:val="22"/>
        </w:rPr>
        <w:t xml:space="preserve">and support </w:t>
      </w:r>
      <w:r w:rsidR="00497EEC" w:rsidRPr="007B0751">
        <w:rPr>
          <w:rFonts w:asciiTheme="majorHAnsi" w:eastAsiaTheme="minorHAnsi" w:hAnsiTheme="majorHAnsi" w:cs="Arial"/>
          <w:sz w:val="22"/>
          <w:szCs w:val="22"/>
        </w:rPr>
        <w:t xml:space="preserve">as required. </w:t>
      </w:r>
      <w:r w:rsidR="00BC7916" w:rsidRPr="007B0751">
        <w:rPr>
          <w:rFonts w:asciiTheme="majorHAnsi" w:eastAsiaTheme="minorHAnsi" w:hAnsiTheme="majorHAnsi" w:cs="Arial"/>
          <w:sz w:val="22"/>
          <w:szCs w:val="22"/>
        </w:rPr>
        <w:t>ICP, through t</w:t>
      </w:r>
      <w:r w:rsidR="00497EEC" w:rsidRPr="007B0751">
        <w:rPr>
          <w:rFonts w:asciiTheme="majorHAnsi" w:eastAsiaTheme="minorHAnsi" w:hAnsiTheme="majorHAnsi" w:cs="Arial"/>
          <w:sz w:val="22"/>
          <w:szCs w:val="22"/>
        </w:rPr>
        <w:t xml:space="preserve">he </w:t>
      </w:r>
      <w:proofErr w:type="spellStart"/>
      <w:r w:rsidR="00497EEC" w:rsidRPr="007B0751">
        <w:rPr>
          <w:rFonts w:asciiTheme="majorHAnsi" w:eastAsiaTheme="minorHAnsi" w:hAnsiTheme="majorHAnsi" w:cs="Arial"/>
          <w:sz w:val="22"/>
          <w:szCs w:val="22"/>
        </w:rPr>
        <w:t>ActionAid</w:t>
      </w:r>
      <w:proofErr w:type="spellEnd"/>
      <w:r w:rsidR="00497EEC" w:rsidRPr="007B0751">
        <w:rPr>
          <w:rFonts w:asciiTheme="majorHAnsi" w:eastAsiaTheme="minorHAnsi" w:hAnsiTheme="majorHAnsi" w:cs="Arial"/>
          <w:sz w:val="22"/>
          <w:szCs w:val="22"/>
        </w:rPr>
        <w:t xml:space="preserve"> consortium</w:t>
      </w:r>
      <w:r w:rsidR="00BC7916" w:rsidRPr="007B0751">
        <w:rPr>
          <w:rFonts w:asciiTheme="majorHAnsi" w:eastAsiaTheme="minorHAnsi" w:hAnsiTheme="majorHAnsi" w:cs="Arial"/>
          <w:sz w:val="22"/>
          <w:szCs w:val="22"/>
        </w:rPr>
        <w:t>,</w:t>
      </w:r>
      <w:r w:rsidR="00497EEC" w:rsidRPr="007B0751">
        <w:rPr>
          <w:rFonts w:asciiTheme="majorHAnsi" w:eastAsiaTheme="minorHAnsi" w:hAnsiTheme="majorHAnsi" w:cs="Arial"/>
          <w:sz w:val="22"/>
          <w:szCs w:val="22"/>
        </w:rPr>
        <w:t xml:space="preserve"> seeks a 50% co-contribution from would-be employers</w:t>
      </w:r>
      <w:r w:rsidR="00BC7916" w:rsidRPr="007B0751">
        <w:rPr>
          <w:rFonts w:asciiTheme="majorHAnsi" w:eastAsiaTheme="minorHAnsi" w:hAnsiTheme="majorHAnsi" w:cs="Arial"/>
          <w:sz w:val="22"/>
          <w:szCs w:val="22"/>
        </w:rPr>
        <w:t xml:space="preserve"> to ensure strong commitment</w:t>
      </w:r>
      <w:r w:rsidR="00497EEC" w:rsidRPr="007B0751">
        <w:rPr>
          <w:rFonts w:asciiTheme="majorHAnsi" w:eastAsiaTheme="minorHAnsi" w:hAnsiTheme="majorHAnsi" w:cs="Arial"/>
          <w:sz w:val="22"/>
          <w:szCs w:val="22"/>
        </w:rPr>
        <w:t xml:space="preserve">, who </w:t>
      </w:r>
      <w:r w:rsidR="00BC7916" w:rsidRPr="007B0751">
        <w:rPr>
          <w:rFonts w:asciiTheme="majorHAnsi" w:eastAsiaTheme="minorHAnsi" w:hAnsiTheme="majorHAnsi" w:cs="Arial"/>
          <w:sz w:val="22"/>
          <w:szCs w:val="22"/>
        </w:rPr>
        <w:t xml:space="preserve">in turn </w:t>
      </w:r>
      <w:r w:rsidR="00497EEC" w:rsidRPr="007B0751">
        <w:rPr>
          <w:rFonts w:asciiTheme="majorHAnsi" w:eastAsiaTheme="minorHAnsi" w:hAnsiTheme="majorHAnsi" w:cs="Arial"/>
          <w:sz w:val="22"/>
          <w:szCs w:val="22"/>
        </w:rPr>
        <w:t xml:space="preserve">value the efficacy of the approach in identifying appropriate and reliable candidates. WV demands applicants present a business plan ahead of receiving business </w:t>
      </w:r>
      <w:proofErr w:type="spellStart"/>
      <w:r w:rsidR="00497EEC" w:rsidRPr="007B0751">
        <w:rPr>
          <w:rFonts w:asciiTheme="majorHAnsi" w:eastAsiaTheme="minorHAnsi" w:hAnsiTheme="majorHAnsi" w:cs="Arial"/>
          <w:sz w:val="22"/>
          <w:szCs w:val="22"/>
        </w:rPr>
        <w:t>start up</w:t>
      </w:r>
      <w:proofErr w:type="spellEnd"/>
      <w:r w:rsidR="00497EEC" w:rsidRPr="007B0751">
        <w:rPr>
          <w:rFonts w:asciiTheme="majorHAnsi" w:eastAsiaTheme="minorHAnsi" w:hAnsiTheme="majorHAnsi" w:cs="Arial"/>
          <w:sz w:val="22"/>
          <w:szCs w:val="22"/>
        </w:rPr>
        <w:t xml:space="preserve"> grants, contributing to an overall success rate of 87 % (success being defined as an ongoing business capable of providing a </w:t>
      </w:r>
      <w:proofErr w:type="spellStart"/>
      <w:r w:rsidR="00497EEC" w:rsidRPr="007B0751">
        <w:rPr>
          <w:rFonts w:asciiTheme="majorHAnsi" w:eastAsiaTheme="minorHAnsi" w:hAnsiTheme="majorHAnsi" w:cs="Arial"/>
          <w:sz w:val="22"/>
          <w:szCs w:val="22"/>
        </w:rPr>
        <w:t>liveable</w:t>
      </w:r>
      <w:proofErr w:type="spellEnd"/>
      <w:r w:rsidR="00497EEC" w:rsidRPr="007B0751">
        <w:rPr>
          <w:rFonts w:asciiTheme="majorHAnsi" w:eastAsiaTheme="minorHAnsi" w:hAnsiTheme="majorHAnsi" w:cs="Arial"/>
          <w:sz w:val="22"/>
          <w:szCs w:val="22"/>
        </w:rPr>
        <w:t xml:space="preserve"> wage. WV’s </w:t>
      </w:r>
      <w:r w:rsidR="00BC7916" w:rsidRPr="007B0751">
        <w:rPr>
          <w:rFonts w:asciiTheme="majorHAnsi" w:eastAsiaTheme="minorHAnsi" w:hAnsiTheme="majorHAnsi" w:cs="Arial"/>
          <w:sz w:val="22"/>
          <w:szCs w:val="22"/>
        </w:rPr>
        <w:t xml:space="preserve">employment </w:t>
      </w:r>
      <w:r w:rsidR="00497EEC" w:rsidRPr="007B0751">
        <w:rPr>
          <w:rFonts w:asciiTheme="majorHAnsi" w:eastAsiaTheme="minorHAnsi" w:hAnsiTheme="majorHAnsi" w:cs="Arial"/>
          <w:sz w:val="22"/>
          <w:szCs w:val="22"/>
        </w:rPr>
        <w:t>program has specifically targeted people living with a disability, where the success rate is 100%.</w:t>
      </w:r>
      <w:r w:rsidR="00BC7916" w:rsidRPr="007B0751">
        <w:rPr>
          <w:rFonts w:asciiTheme="majorHAnsi" w:eastAsiaTheme="minorHAnsi" w:hAnsiTheme="majorHAnsi" w:cs="Arial"/>
          <w:sz w:val="22"/>
          <w:szCs w:val="22"/>
        </w:rPr>
        <w:t xml:space="preserve"> This achievement carries the added benefit of reducing stigma and promoting better understanding of disability within Gaza.</w:t>
      </w:r>
    </w:p>
    <w:p w14:paraId="0D9AB8B2" w14:textId="77777777" w:rsidR="00142797" w:rsidRDefault="00142797" w:rsidP="002A5C0E">
      <w:pPr>
        <w:pStyle w:val="Default"/>
        <w:ind w:left="720"/>
        <w:rPr>
          <w:rFonts w:asciiTheme="majorHAnsi" w:eastAsiaTheme="minorHAnsi" w:hAnsiTheme="majorHAnsi" w:cs="Arial"/>
          <w:sz w:val="22"/>
          <w:szCs w:val="22"/>
        </w:rPr>
      </w:pPr>
    </w:p>
    <w:p w14:paraId="48CE6179" w14:textId="00AB5D99" w:rsidR="005939AE" w:rsidRPr="002A5C0E" w:rsidRDefault="00497EEC" w:rsidP="00F04445">
      <w:pPr>
        <w:pStyle w:val="Default"/>
        <w:numPr>
          <w:ilvl w:val="0"/>
          <w:numId w:val="36"/>
        </w:numPr>
        <w:rPr>
          <w:rFonts w:asciiTheme="majorHAnsi" w:hAnsiTheme="majorHAnsi"/>
        </w:rPr>
      </w:pPr>
      <w:r w:rsidRPr="007B0751">
        <w:rPr>
          <w:rFonts w:asciiTheme="majorHAnsi" w:eastAsiaTheme="minorHAnsi" w:hAnsiTheme="majorHAnsi" w:cs="Arial"/>
          <w:sz w:val="22"/>
          <w:szCs w:val="22"/>
        </w:rPr>
        <w:t>A</w:t>
      </w:r>
      <w:r w:rsidRPr="007B0751">
        <w:rPr>
          <w:rFonts w:asciiTheme="majorHAnsi" w:eastAsiaTheme="minorHAnsi" w:hAnsiTheme="majorHAnsi" w:cs="Arial"/>
          <w:b/>
          <w:sz w:val="22"/>
          <w:szCs w:val="22"/>
        </w:rPr>
        <w:t xml:space="preserve"> strengthened capacity to better advocate </w:t>
      </w:r>
      <w:r w:rsidR="00324422" w:rsidRPr="007B0751">
        <w:rPr>
          <w:rFonts w:asciiTheme="majorHAnsi" w:eastAsiaTheme="minorHAnsi" w:hAnsiTheme="majorHAnsi" w:cs="Arial"/>
          <w:b/>
          <w:sz w:val="22"/>
          <w:szCs w:val="22"/>
        </w:rPr>
        <w:t xml:space="preserve">for </w:t>
      </w:r>
      <w:r w:rsidRPr="007B0751">
        <w:rPr>
          <w:rFonts w:asciiTheme="majorHAnsi" w:eastAsiaTheme="minorHAnsi" w:hAnsiTheme="majorHAnsi" w:cs="Arial"/>
          <w:b/>
          <w:sz w:val="22"/>
          <w:szCs w:val="22"/>
        </w:rPr>
        <w:t>and respond to community priorities and needs</w:t>
      </w:r>
      <w:r w:rsidRPr="007B0751">
        <w:rPr>
          <w:rFonts w:asciiTheme="majorHAnsi" w:eastAsiaTheme="minorHAnsi" w:hAnsiTheme="majorHAnsi" w:cs="Arial"/>
          <w:sz w:val="22"/>
          <w:szCs w:val="22"/>
        </w:rPr>
        <w:t xml:space="preserve"> has been fostered primarily through efforts at strengthening CBOs</w:t>
      </w:r>
      <w:r w:rsidR="007F2B04">
        <w:rPr>
          <w:rFonts w:asciiTheme="majorHAnsi" w:eastAsiaTheme="minorHAnsi" w:hAnsiTheme="majorHAnsi" w:cs="Arial"/>
          <w:sz w:val="22"/>
          <w:szCs w:val="22"/>
        </w:rPr>
        <w:t xml:space="preserve"> and helping them better position themselves as agents of change for their community</w:t>
      </w:r>
      <w:r w:rsidR="005939AE" w:rsidRPr="007B0751">
        <w:rPr>
          <w:rFonts w:asciiTheme="majorHAnsi" w:eastAsiaTheme="minorHAnsi" w:hAnsiTheme="majorHAnsi" w:cs="Arial"/>
          <w:sz w:val="22"/>
          <w:szCs w:val="22"/>
        </w:rPr>
        <w:t xml:space="preserve">. Historically, Palestinian CBOs have been male dominated, welfare focused and unlikely to consult or seek participation from communities in setting their agendas. </w:t>
      </w:r>
      <w:r w:rsidR="0023709C" w:rsidRPr="007B0751">
        <w:rPr>
          <w:rFonts w:asciiTheme="majorHAnsi" w:eastAsiaTheme="minorHAnsi" w:hAnsiTheme="majorHAnsi" w:cs="Arial"/>
          <w:sz w:val="22"/>
          <w:szCs w:val="22"/>
        </w:rPr>
        <w:t>A</w:t>
      </w:r>
      <w:r w:rsidR="0023709C">
        <w:rPr>
          <w:rFonts w:asciiTheme="majorHAnsi" w:eastAsiaTheme="minorHAnsi" w:hAnsiTheme="majorHAnsi" w:cs="Arial"/>
          <w:sz w:val="22"/>
          <w:szCs w:val="22"/>
        </w:rPr>
        <w:t>ll</w:t>
      </w:r>
      <w:r w:rsidR="0023709C" w:rsidRPr="007B0751">
        <w:rPr>
          <w:rFonts w:asciiTheme="majorHAnsi" w:eastAsiaTheme="minorHAnsi" w:hAnsiTheme="majorHAnsi" w:cs="Arial"/>
          <w:sz w:val="22"/>
          <w:szCs w:val="22"/>
        </w:rPr>
        <w:t xml:space="preserve"> </w:t>
      </w:r>
      <w:r w:rsidR="005939AE" w:rsidRPr="007B0751">
        <w:rPr>
          <w:rFonts w:asciiTheme="majorHAnsi" w:eastAsiaTheme="minorHAnsi" w:hAnsiTheme="majorHAnsi" w:cs="Arial"/>
          <w:sz w:val="22"/>
          <w:szCs w:val="22"/>
        </w:rPr>
        <w:t>projects have been successful in promoting greater l</w:t>
      </w:r>
      <w:r w:rsidR="001652B1" w:rsidRPr="007B0751">
        <w:rPr>
          <w:rFonts w:asciiTheme="majorHAnsi" w:eastAsiaTheme="minorHAnsi" w:hAnsiTheme="majorHAnsi" w:cs="Arial"/>
          <w:sz w:val="22"/>
          <w:szCs w:val="22"/>
        </w:rPr>
        <w:t xml:space="preserve">evels of participation </w:t>
      </w:r>
      <w:r w:rsidR="005939AE" w:rsidRPr="007B0751">
        <w:rPr>
          <w:rFonts w:asciiTheme="majorHAnsi" w:eastAsiaTheme="minorHAnsi" w:hAnsiTheme="majorHAnsi" w:cs="Arial"/>
          <w:sz w:val="22"/>
          <w:szCs w:val="22"/>
        </w:rPr>
        <w:t>of women and youth</w:t>
      </w:r>
      <w:r w:rsidR="001652B1" w:rsidRPr="007B0751">
        <w:rPr>
          <w:rFonts w:asciiTheme="majorHAnsi" w:eastAsiaTheme="minorHAnsi" w:hAnsiTheme="majorHAnsi" w:cs="Arial"/>
          <w:sz w:val="22"/>
          <w:szCs w:val="22"/>
        </w:rPr>
        <w:t xml:space="preserve"> in CBOs, including at Board of Directors level</w:t>
      </w:r>
      <w:r w:rsidR="005939AE" w:rsidRPr="007B0751">
        <w:rPr>
          <w:rFonts w:asciiTheme="majorHAnsi" w:eastAsiaTheme="minorHAnsi" w:hAnsiTheme="majorHAnsi" w:cs="Arial"/>
          <w:sz w:val="22"/>
          <w:szCs w:val="22"/>
        </w:rPr>
        <w:t xml:space="preserve">. </w:t>
      </w:r>
      <w:r w:rsidR="001652B1" w:rsidRPr="007B0751">
        <w:rPr>
          <w:rFonts w:asciiTheme="majorHAnsi" w:eastAsiaTheme="minorHAnsi" w:hAnsiTheme="majorHAnsi" w:cs="Arial"/>
          <w:sz w:val="22"/>
          <w:szCs w:val="22"/>
        </w:rPr>
        <w:t xml:space="preserve">This has helped many supported CBOs better </w:t>
      </w:r>
      <w:r w:rsidR="001652B1" w:rsidRPr="007B0751">
        <w:rPr>
          <w:rFonts w:asciiTheme="majorHAnsi" w:eastAsiaTheme="minorHAnsi" w:hAnsiTheme="majorHAnsi" w:cs="Arial"/>
          <w:i/>
          <w:sz w:val="22"/>
          <w:szCs w:val="22"/>
        </w:rPr>
        <w:t>respond</w:t>
      </w:r>
      <w:r w:rsidR="001652B1" w:rsidRPr="007B0751">
        <w:rPr>
          <w:rFonts w:asciiTheme="majorHAnsi" w:eastAsiaTheme="minorHAnsi" w:hAnsiTheme="majorHAnsi" w:cs="Arial"/>
          <w:sz w:val="22"/>
          <w:szCs w:val="22"/>
        </w:rPr>
        <w:t xml:space="preserve"> to community needs, however it has not always contributed to a willingness or capacity </w:t>
      </w:r>
      <w:r w:rsidR="0093101B" w:rsidRPr="007B0751">
        <w:rPr>
          <w:rFonts w:asciiTheme="majorHAnsi" w:eastAsiaTheme="minorHAnsi" w:hAnsiTheme="majorHAnsi" w:cs="Arial"/>
          <w:sz w:val="22"/>
          <w:szCs w:val="22"/>
        </w:rPr>
        <w:t xml:space="preserve">within CBOs to </w:t>
      </w:r>
      <w:r w:rsidR="001652B1" w:rsidRPr="007B0751">
        <w:rPr>
          <w:rFonts w:asciiTheme="majorHAnsi" w:eastAsiaTheme="minorHAnsi" w:hAnsiTheme="majorHAnsi" w:cs="Arial"/>
          <w:sz w:val="22"/>
          <w:szCs w:val="22"/>
        </w:rPr>
        <w:t xml:space="preserve">advocate </w:t>
      </w:r>
      <w:r w:rsidR="0093101B" w:rsidRPr="007B0751">
        <w:rPr>
          <w:rFonts w:asciiTheme="majorHAnsi" w:eastAsiaTheme="minorHAnsi" w:hAnsiTheme="majorHAnsi" w:cs="Arial"/>
          <w:sz w:val="22"/>
          <w:szCs w:val="22"/>
        </w:rPr>
        <w:t>with local authorities</w:t>
      </w:r>
      <w:r w:rsidR="0093101B" w:rsidRPr="007B0751">
        <w:rPr>
          <w:rFonts w:asciiTheme="majorHAnsi" w:eastAsiaTheme="minorHAnsi" w:hAnsiTheme="majorHAnsi" w:cs="Arial"/>
          <w:i/>
          <w:sz w:val="22"/>
          <w:szCs w:val="22"/>
        </w:rPr>
        <w:t xml:space="preserve"> for </w:t>
      </w:r>
      <w:r w:rsidR="0093101B" w:rsidRPr="007B0751">
        <w:rPr>
          <w:rFonts w:asciiTheme="majorHAnsi" w:eastAsiaTheme="minorHAnsi" w:hAnsiTheme="majorHAnsi" w:cs="Arial"/>
          <w:sz w:val="22"/>
          <w:szCs w:val="22"/>
        </w:rPr>
        <w:t>communities</w:t>
      </w:r>
      <w:r w:rsidR="00956CA1" w:rsidRPr="007B0751">
        <w:rPr>
          <w:rFonts w:asciiTheme="majorHAnsi" w:eastAsiaTheme="minorHAnsi" w:hAnsiTheme="majorHAnsi" w:cs="Arial"/>
          <w:sz w:val="22"/>
          <w:szCs w:val="22"/>
        </w:rPr>
        <w:t xml:space="preserve">. It is also the case that </w:t>
      </w:r>
      <w:r w:rsidR="0093101B" w:rsidRPr="007B0751">
        <w:rPr>
          <w:rFonts w:asciiTheme="majorHAnsi" w:eastAsiaTheme="minorHAnsi" w:hAnsiTheme="majorHAnsi" w:cs="Arial"/>
          <w:sz w:val="22"/>
          <w:szCs w:val="22"/>
        </w:rPr>
        <w:t xml:space="preserve">enhanced </w:t>
      </w:r>
      <w:r w:rsidR="00956CA1" w:rsidRPr="007B0751">
        <w:rPr>
          <w:rFonts w:asciiTheme="majorHAnsi" w:eastAsiaTheme="minorHAnsi" w:hAnsiTheme="majorHAnsi" w:cs="Arial"/>
          <w:sz w:val="22"/>
          <w:szCs w:val="22"/>
        </w:rPr>
        <w:t>p</w:t>
      </w:r>
      <w:r w:rsidR="001652B1" w:rsidRPr="007B0751">
        <w:rPr>
          <w:rFonts w:asciiTheme="majorHAnsi" w:eastAsiaTheme="minorHAnsi" w:hAnsiTheme="majorHAnsi" w:cs="Arial"/>
          <w:sz w:val="22"/>
          <w:szCs w:val="22"/>
        </w:rPr>
        <w:t>articipation</w:t>
      </w:r>
      <w:r w:rsidR="0093101B" w:rsidRPr="007B0751">
        <w:rPr>
          <w:rFonts w:asciiTheme="majorHAnsi" w:eastAsiaTheme="minorHAnsi" w:hAnsiTheme="majorHAnsi" w:cs="Arial"/>
          <w:sz w:val="22"/>
          <w:szCs w:val="22"/>
        </w:rPr>
        <w:t xml:space="preserve"> within a CBO does not necessarily result in</w:t>
      </w:r>
      <w:r w:rsidR="001652B1" w:rsidRPr="007B0751">
        <w:rPr>
          <w:rFonts w:asciiTheme="majorHAnsi" w:eastAsiaTheme="minorHAnsi" w:hAnsiTheme="majorHAnsi" w:cs="Arial"/>
          <w:sz w:val="22"/>
          <w:szCs w:val="22"/>
        </w:rPr>
        <w:t xml:space="preserve"> meaningful change</w:t>
      </w:r>
      <w:r w:rsidR="007F2B04">
        <w:rPr>
          <w:rFonts w:asciiTheme="majorHAnsi" w:eastAsiaTheme="minorHAnsi" w:hAnsiTheme="majorHAnsi" w:cs="Arial"/>
          <w:sz w:val="22"/>
          <w:szCs w:val="22"/>
        </w:rPr>
        <w:t>. Some supported</w:t>
      </w:r>
      <w:r w:rsidR="001652B1" w:rsidRPr="007B0751">
        <w:rPr>
          <w:rFonts w:asciiTheme="majorHAnsi" w:eastAsiaTheme="minorHAnsi" w:hAnsiTheme="majorHAnsi" w:cs="Arial"/>
          <w:sz w:val="22"/>
          <w:szCs w:val="22"/>
        </w:rPr>
        <w:t xml:space="preserve"> CBOs </w:t>
      </w:r>
      <w:r w:rsidR="007F2B04">
        <w:rPr>
          <w:rFonts w:asciiTheme="majorHAnsi" w:eastAsiaTheme="minorHAnsi" w:hAnsiTheme="majorHAnsi" w:cs="Arial"/>
          <w:sz w:val="22"/>
          <w:szCs w:val="22"/>
        </w:rPr>
        <w:t xml:space="preserve">are </w:t>
      </w:r>
      <w:r w:rsidR="001652B1" w:rsidRPr="007B0751">
        <w:rPr>
          <w:rFonts w:asciiTheme="majorHAnsi" w:eastAsiaTheme="minorHAnsi" w:hAnsiTheme="majorHAnsi" w:cs="Arial"/>
          <w:sz w:val="22"/>
          <w:szCs w:val="22"/>
        </w:rPr>
        <w:t xml:space="preserve">still very conservative, male dominated and authoritarian in their approaches. It is observed that meaningful change in CBO culture requires considered and deliberative action in </w:t>
      </w:r>
      <w:r w:rsidR="00956CA1" w:rsidRPr="007B0751">
        <w:rPr>
          <w:rFonts w:asciiTheme="majorHAnsi" w:eastAsiaTheme="minorHAnsi" w:hAnsiTheme="majorHAnsi" w:cs="Arial"/>
          <w:sz w:val="22"/>
          <w:szCs w:val="22"/>
        </w:rPr>
        <w:t>building meaning</w:t>
      </w:r>
      <w:r w:rsidR="0093101B" w:rsidRPr="007B0751">
        <w:rPr>
          <w:rFonts w:asciiTheme="majorHAnsi" w:eastAsiaTheme="minorHAnsi" w:hAnsiTheme="majorHAnsi" w:cs="Arial"/>
          <w:sz w:val="22"/>
          <w:szCs w:val="22"/>
        </w:rPr>
        <w:t>ful</w:t>
      </w:r>
      <w:r w:rsidR="00956CA1" w:rsidRPr="007B0751">
        <w:rPr>
          <w:rFonts w:asciiTheme="majorHAnsi" w:eastAsiaTheme="minorHAnsi" w:hAnsiTheme="majorHAnsi" w:cs="Arial"/>
          <w:sz w:val="22"/>
          <w:szCs w:val="22"/>
        </w:rPr>
        <w:t xml:space="preserve"> roles for </w:t>
      </w:r>
      <w:r w:rsidR="0093101B" w:rsidRPr="007B0751">
        <w:rPr>
          <w:rFonts w:asciiTheme="majorHAnsi" w:eastAsiaTheme="minorHAnsi" w:hAnsiTheme="majorHAnsi" w:cs="Arial"/>
          <w:sz w:val="22"/>
          <w:szCs w:val="22"/>
        </w:rPr>
        <w:t>the</w:t>
      </w:r>
      <w:r w:rsidR="00956CA1" w:rsidRPr="007B0751">
        <w:rPr>
          <w:rFonts w:asciiTheme="majorHAnsi" w:eastAsiaTheme="minorHAnsi" w:hAnsiTheme="majorHAnsi" w:cs="Arial"/>
          <w:sz w:val="22"/>
          <w:szCs w:val="22"/>
        </w:rPr>
        <w:t xml:space="preserve"> participation </w:t>
      </w:r>
      <w:r w:rsidR="0093101B" w:rsidRPr="007B0751">
        <w:rPr>
          <w:rFonts w:asciiTheme="majorHAnsi" w:eastAsiaTheme="minorHAnsi" w:hAnsiTheme="majorHAnsi" w:cs="Arial"/>
          <w:sz w:val="22"/>
          <w:szCs w:val="22"/>
        </w:rPr>
        <w:t xml:space="preserve">of women and youth - </w:t>
      </w:r>
      <w:r w:rsidR="00956CA1" w:rsidRPr="007B0751">
        <w:rPr>
          <w:rFonts w:asciiTheme="majorHAnsi" w:eastAsiaTheme="minorHAnsi" w:hAnsiTheme="majorHAnsi" w:cs="Arial"/>
          <w:sz w:val="22"/>
          <w:szCs w:val="22"/>
        </w:rPr>
        <w:t xml:space="preserve">beyond the token. </w:t>
      </w:r>
      <w:r w:rsidR="005939AE" w:rsidRPr="007B0751">
        <w:rPr>
          <w:rFonts w:asciiTheme="majorHAnsi" w:eastAsiaTheme="minorHAnsi" w:hAnsiTheme="majorHAnsi" w:cs="Arial"/>
          <w:sz w:val="22"/>
          <w:szCs w:val="22"/>
        </w:rPr>
        <w:t xml:space="preserve">The </w:t>
      </w:r>
      <w:proofErr w:type="spellStart"/>
      <w:r w:rsidR="005939AE" w:rsidRPr="007B0751">
        <w:rPr>
          <w:rFonts w:asciiTheme="majorHAnsi" w:eastAsiaTheme="minorHAnsi" w:hAnsiTheme="majorHAnsi" w:cs="Arial"/>
          <w:sz w:val="22"/>
          <w:szCs w:val="22"/>
        </w:rPr>
        <w:t>ActionAid</w:t>
      </w:r>
      <w:proofErr w:type="spellEnd"/>
      <w:r w:rsidR="0023709C">
        <w:rPr>
          <w:rFonts w:asciiTheme="majorHAnsi" w:eastAsiaTheme="minorHAnsi" w:hAnsiTheme="majorHAnsi" w:cs="Arial"/>
          <w:sz w:val="22"/>
          <w:szCs w:val="22"/>
        </w:rPr>
        <w:t xml:space="preserve"> </w:t>
      </w:r>
      <w:proofErr w:type="gramStart"/>
      <w:r w:rsidR="005939AE" w:rsidRPr="007B0751">
        <w:rPr>
          <w:rFonts w:asciiTheme="majorHAnsi" w:eastAsiaTheme="minorHAnsi" w:hAnsiTheme="majorHAnsi" w:cs="Arial"/>
          <w:sz w:val="22"/>
          <w:szCs w:val="22"/>
        </w:rPr>
        <w:t>consortia</w:t>
      </w:r>
      <w:r w:rsidR="00956CA1" w:rsidRPr="007B0751">
        <w:rPr>
          <w:rFonts w:asciiTheme="majorHAnsi" w:eastAsiaTheme="minorHAnsi" w:hAnsiTheme="majorHAnsi" w:cs="Arial"/>
          <w:sz w:val="22"/>
          <w:szCs w:val="22"/>
        </w:rPr>
        <w:t xml:space="preserve"> has</w:t>
      </w:r>
      <w:proofErr w:type="gramEnd"/>
      <w:r w:rsidR="00956CA1" w:rsidRPr="007B0751">
        <w:rPr>
          <w:rFonts w:asciiTheme="majorHAnsi" w:eastAsiaTheme="minorHAnsi" w:hAnsiTheme="majorHAnsi" w:cs="Arial"/>
          <w:sz w:val="22"/>
          <w:szCs w:val="22"/>
        </w:rPr>
        <w:t xml:space="preserve"> invested more heavily in CBO development than other partners, including construction of facilities. While </w:t>
      </w:r>
      <w:proofErr w:type="spellStart"/>
      <w:r w:rsidR="00956CA1" w:rsidRPr="007B0751">
        <w:rPr>
          <w:rFonts w:asciiTheme="majorHAnsi" w:eastAsiaTheme="minorHAnsi" w:hAnsiTheme="majorHAnsi" w:cs="Arial"/>
          <w:sz w:val="22"/>
          <w:szCs w:val="22"/>
        </w:rPr>
        <w:t>labour</w:t>
      </w:r>
      <w:proofErr w:type="spellEnd"/>
      <w:r w:rsidR="00956CA1" w:rsidRPr="007B0751">
        <w:rPr>
          <w:rFonts w:asciiTheme="majorHAnsi" w:eastAsiaTheme="minorHAnsi" w:hAnsiTheme="majorHAnsi" w:cs="Arial"/>
          <w:sz w:val="22"/>
          <w:szCs w:val="22"/>
        </w:rPr>
        <w:t xml:space="preserve"> and cost intensive, their </w:t>
      </w:r>
      <w:r w:rsidR="005939AE" w:rsidRPr="007B0751">
        <w:rPr>
          <w:rFonts w:asciiTheme="majorHAnsi" w:eastAsiaTheme="minorHAnsi" w:hAnsiTheme="majorHAnsi" w:cs="Arial"/>
          <w:sz w:val="22"/>
          <w:szCs w:val="22"/>
        </w:rPr>
        <w:t>approach of supporting communities to see themselves as facilitators of their own development has led to CBOs drawing in new partners, while also building constructive relationships with l</w:t>
      </w:r>
      <w:r w:rsidR="003D1184" w:rsidRPr="007B0751">
        <w:rPr>
          <w:rFonts w:asciiTheme="majorHAnsi" w:eastAsiaTheme="minorHAnsi" w:hAnsiTheme="majorHAnsi" w:cs="Arial"/>
          <w:sz w:val="22"/>
          <w:szCs w:val="22"/>
        </w:rPr>
        <w:t>ocal authorities</w:t>
      </w:r>
      <w:r w:rsidR="00956CA1" w:rsidRPr="007B0751">
        <w:rPr>
          <w:rFonts w:asciiTheme="majorHAnsi" w:eastAsiaTheme="minorHAnsi" w:hAnsiTheme="majorHAnsi" w:cs="Arial"/>
          <w:sz w:val="22"/>
          <w:szCs w:val="22"/>
        </w:rPr>
        <w:t xml:space="preserve">. This contributes to </w:t>
      </w:r>
      <w:r w:rsidR="00764CC6" w:rsidRPr="007B0751">
        <w:rPr>
          <w:rFonts w:asciiTheme="majorHAnsi" w:eastAsiaTheme="minorHAnsi" w:hAnsiTheme="majorHAnsi" w:cs="Arial"/>
          <w:sz w:val="22"/>
          <w:szCs w:val="22"/>
        </w:rPr>
        <w:t xml:space="preserve">a collective approach to addressing the needs of </w:t>
      </w:r>
      <w:r w:rsidR="005939AE" w:rsidRPr="007B0751">
        <w:rPr>
          <w:rFonts w:asciiTheme="majorHAnsi" w:eastAsiaTheme="minorHAnsi" w:hAnsiTheme="majorHAnsi" w:cs="Arial"/>
          <w:sz w:val="22"/>
          <w:szCs w:val="22"/>
        </w:rPr>
        <w:t>the vulnerable in their local area</w:t>
      </w:r>
      <w:r w:rsidR="007F2B04">
        <w:rPr>
          <w:rFonts w:asciiTheme="majorHAnsi" w:eastAsiaTheme="minorHAnsi" w:hAnsiTheme="majorHAnsi" w:cs="Arial"/>
          <w:sz w:val="22"/>
          <w:szCs w:val="22"/>
        </w:rPr>
        <w:t xml:space="preserve">, through activities such as advocacy to reduce electricity </w:t>
      </w:r>
      <w:proofErr w:type="spellStart"/>
      <w:r w:rsidR="007F2B04">
        <w:rPr>
          <w:rFonts w:asciiTheme="majorHAnsi" w:eastAsiaTheme="minorHAnsi" w:hAnsiTheme="majorHAnsi" w:cs="Arial"/>
          <w:sz w:val="22"/>
          <w:szCs w:val="22"/>
        </w:rPr>
        <w:t>tarrifs</w:t>
      </w:r>
      <w:proofErr w:type="spellEnd"/>
      <w:r w:rsidR="007F2B04">
        <w:rPr>
          <w:rFonts w:asciiTheme="majorHAnsi" w:eastAsiaTheme="minorHAnsi" w:hAnsiTheme="majorHAnsi" w:cs="Arial"/>
          <w:sz w:val="22"/>
          <w:szCs w:val="22"/>
        </w:rPr>
        <w:t xml:space="preserve"> being charged by local authorities</w:t>
      </w:r>
      <w:r w:rsidR="005939AE" w:rsidRPr="007B0751">
        <w:rPr>
          <w:rFonts w:asciiTheme="majorHAnsi" w:eastAsiaTheme="minorHAnsi" w:hAnsiTheme="majorHAnsi" w:cs="Arial"/>
          <w:sz w:val="22"/>
          <w:szCs w:val="22"/>
        </w:rPr>
        <w:t xml:space="preserve">. </w:t>
      </w:r>
      <w:r w:rsidR="003D1184" w:rsidRPr="007B0751">
        <w:rPr>
          <w:rFonts w:asciiTheme="majorHAnsi" w:eastAsiaTheme="minorHAnsi" w:hAnsiTheme="majorHAnsi" w:cs="Arial"/>
          <w:sz w:val="22"/>
          <w:szCs w:val="22"/>
        </w:rPr>
        <w:t>An</w:t>
      </w:r>
      <w:r w:rsidR="009C55BC">
        <w:rPr>
          <w:rFonts w:asciiTheme="majorHAnsi" w:eastAsiaTheme="minorHAnsi" w:hAnsiTheme="majorHAnsi" w:cs="Arial"/>
          <w:sz w:val="22"/>
          <w:szCs w:val="22"/>
        </w:rPr>
        <w:t>other</w:t>
      </w:r>
      <w:r w:rsidR="003D1184" w:rsidRPr="007B0751">
        <w:rPr>
          <w:rFonts w:asciiTheme="majorHAnsi" w:eastAsiaTheme="minorHAnsi" w:hAnsiTheme="majorHAnsi" w:cs="Arial"/>
          <w:sz w:val="22"/>
          <w:szCs w:val="22"/>
        </w:rPr>
        <w:t xml:space="preserve"> example of effective advocacy has been </w:t>
      </w:r>
      <w:proofErr w:type="spellStart"/>
      <w:r w:rsidR="005939AE" w:rsidRPr="007B0751">
        <w:rPr>
          <w:rFonts w:asciiTheme="majorHAnsi" w:eastAsiaTheme="minorHAnsi" w:hAnsiTheme="majorHAnsi" w:cs="Arial"/>
          <w:sz w:val="22"/>
          <w:szCs w:val="22"/>
        </w:rPr>
        <w:t>ActionAid</w:t>
      </w:r>
      <w:proofErr w:type="spellEnd"/>
      <w:r w:rsidR="005939AE" w:rsidRPr="007B0751">
        <w:rPr>
          <w:rFonts w:asciiTheme="majorHAnsi" w:eastAsiaTheme="minorHAnsi" w:hAnsiTheme="majorHAnsi" w:cs="Arial"/>
          <w:sz w:val="22"/>
          <w:szCs w:val="22"/>
        </w:rPr>
        <w:t xml:space="preserve"> partner </w:t>
      </w:r>
      <w:proofErr w:type="spellStart"/>
      <w:r w:rsidR="005939AE" w:rsidRPr="007B0751">
        <w:rPr>
          <w:rFonts w:asciiTheme="majorHAnsi" w:eastAsiaTheme="minorHAnsi" w:hAnsiTheme="majorHAnsi" w:cs="Arial"/>
          <w:sz w:val="22"/>
          <w:szCs w:val="22"/>
        </w:rPr>
        <w:t>Asala</w:t>
      </w:r>
      <w:r w:rsidR="003D1184" w:rsidRPr="007B0751">
        <w:rPr>
          <w:rFonts w:asciiTheme="majorHAnsi" w:eastAsiaTheme="minorHAnsi" w:hAnsiTheme="majorHAnsi" w:cs="Arial"/>
          <w:sz w:val="22"/>
          <w:szCs w:val="22"/>
        </w:rPr>
        <w:t>’s</w:t>
      </w:r>
      <w:proofErr w:type="spellEnd"/>
      <w:r w:rsidR="003D1184" w:rsidRPr="007B0751">
        <w:rPr>
          <w:rFonts w:asciiTheme="majorHAnsi" w:eastAsiaTheme="minorHAnsi" w:hAnsiTheme="majorHAnsi" w:cs="Arial"/>
          <w:sz w:val="22"/>
          <w:szCs w:val="22"/>
        </w:rPr>
        <w:t xml:space="preserve"> program to promote women’s inheritance rights. Working in partnership with the Department of Religious Affairs, this advocacy has successfully brought significant practical </w:t>
      </w:r>
      <w:r w:rsidR="0093101B" w:rsidRPr="007B0751">
        <w:rPr>
          <w:rFonts w:asciiTheme="majorHAnsi" w:eastAsiaTheme="minorHAnsi" w:hAnsiTheme="majorHAnsi" w:cs="Arial"/>
          <w:sz w:val="22"/>
          <w:szCs w:val="22"/>
        </w:rPr>
        <w:t xml:space="preserve">and meaningful </w:t>
      </w:r>
      <w:r w:rsidR="003D1184" w:rsidRPr="007B0751">
        <w:rPr>
          <w:rFonts w:asciiTheme="majorHAnsi" w:eastAsiaTheme="minorHAnsi" w:hAnsiTheme="majorHAnsi" w:cs="Arial"/>
          <w:sz w:val="22"/>
          <w:szCs w:val="22"/>
        </w:rPr>
        <w:t xml:space="preserve">change to </w:t>
      </w:r>
      <w:r w:rsidR="0093101B" w:rsidRPr="007B0751">
        <w:rPr>
          <w:rFonts w:asciiTheme="majorHAnsi" w:eastAsiaTheme="minorHAnsi" w:hAnsiTheme="majorHAnsi" w:cs="Arial"/>
          <w:sz w:val="22"/>
          <w:szCs w:val="22"/>
        </w:rPr>
        <w:t xml:space="preserve">the very </w:t>
      </w:r>
      <w:r w:rsidR="003D1184" w:rsidRPr="007B0751">
        <w:rPr>
          <w:rFonts w:asciiTheme="majorHAnsi" w:eastAsiaTheme="minorHAnsi" w:hAnsiTheme="majorHAnsi" w:cs="Arial"/>
          <w:sz w:val="22"/>
          <w:szCs w:val="22"/>
        </w:rPr>
        <w:t xml:space="preserve">conservative </w:t>
      </w:r>
      <w:r w:rsidR="0093101B" w:rsidRPr="007B0751">
        <w:rPr>
          <w:rFonts w:asciiTheme="majorHAnsi" w:eastAsiaTheme="minorHAnsi" w:hAnsiTheme="majorHAnsi" w:cs="Arial"/>
          <w:sz w:val="22"/>
          <w:szCs w:val="22"/>
        </w:rPr>
        <w:t xml:space="preserve">governorate of </w:t>
      </w:r>
      <w:r w:rsidR="003D1184" w:rsidRPr="007B0751">
        <w:rPr>
          <w:rFonts w:asciiTheme="majorHAnsi" w:eastAsiaTheme="minorHAnsi" w:hAnsiTheme="majorHAnsi" w:cs="Arial"/>
          <w:sz w:val="22"/>
          <w:szCs w:val="22"/>
        </w:rPr>
        <w:t>Hebron where previously women had commonly been denied their inheritance rights.</w:t>
      </w:r>
      <w:r w:rsidR="007F2B04">
        <w:rPr>
          <w:rFonts w:asciiTheme="majorHAnsi" w:eastAsiaTheme="minorHAnsi" w:hAnsiTheme="majorHAnsi" w:cs="Arial"/>
          <w:sz w:val="22"/>
          <w:szCs w:val="22"/>
        </w:rPr>
        <w:t xml:space="preserve"> In Tubas, the Ministry of Agriculture has provided CARE’s nursery extra land in response to CBO requests and recognition of the quality of their performance. </w:t>
      </w:r>
    </w:p>
    <w:p w14:paraId="059F519D" w14:textId="77777777" w:rsidR="009C55BC" w:rsidRPr="007B0751" w:rsidRDefault="009C55BC" w:rsidP="002A5C0E">
      <w:pPr>
        <w:pStyle w:val="Default"/>
        <w:ind w:left="720"/>
        <w:rPr>
          <w:rFonts w:asciiTheme="majorHAnsi" w:hAnsiTheme="majorHAnsi"/>
        </w:rPr>
      </w:pPr>
    </w:p>
    <w:p w14:paraId="307E47EF" w14:textId="77777777" w:rsidR="005939AE" w:rsidRDefault="007D1C2C" w:rsidP="00F04445">
      <w:pPr>
        <w:pStyle w:val="Default"/>
        <w:numPr>
          <w:ilvl w:val="0"/>
          <w:numId w:val="36"/>
        </w:numPr>
        <w:rPr>
          <w:rFonts w:asciiTheme="majorHAnsi" w:hAnsiTheme="majorHAnsi"/>
          <w:sz w:val="22"/>
        </w:rPr>
      </w:pPr>
      <w:r w:rsidRPr="007B0751">
        <w:rPr>
          <w:rFonts w:asciiTheme="majorHAnsi" w:hAnsiTheme="majorHAnsi"/>
          <w:sz w:val="22"/>
        </w:rPr>
        <w:t xml:space="preserve">The Program has been highly effective in </w:t>
      </w:r>
      <w:r w:rsidRPr="007B0751">
        <w:rPr>
          <w:rFonts w:asciiTheme="majorHAnsi" w:hAnsiTheme="majorHAnsi"/>
          <w:b/>
          <w:sz w:val="22"/>
        </w:rPr>
        <w:t>promoting the role and status of Palestinian women</w:t>
      </w:r>
      <w:r w:rsidRPr="007B0751">
        <w:rPr>
          <w:rFonts w:asciiTheme="majorHAnsi" w:hAnsiTheme="majorHAnsi"/>
          <w:sz w:val="22"/>
        </w:rPr>
        <w:t xml:space="preserve"> in NGOs, CBOs and </w:t>
      </w:r>
      <w:r w:rsidR="00CC683C" w:rsidRPr="007B0751">
        <w:rPr>
          <w:rFonts w:asciiTheme="majorHAnsi" w:hAnsiTheme="majorHAnsi"/>
          <w:sz w:val="22"/>
        </w:rPr>
        <w:t xml:space="preserve">in the broader community. </w:t>
      </w:r>
      <w:r w:rsidRPr="007B0751">
        <w:rPr>
          <w:rFonts w:asciiTheme="majorHAnsi" w:hAnsiTheme="majorHAnsi"/>
          <w:sz w:val="22"/>
        </w:rPr>
        <w:t xml:space="preserve">Throughout the Review, women spoke of the Program </w:t>
      </w:r>
      <w:r w:rsidR="00CC683C" w:rsidRPr="007B0751">
        <w:rPr>
          <w:rFonts w:asciiTheme="majorHAnsi" w:hAnsiTheme="majorHAnsi"/>
          <w:sz w:val="22"/>
        </w:rPr>
        <w:t xml:space="preserve">being catalytic in shifting long entrenched opinions regarding the role and capacity of women to contribute to community affairs and production. A </w:t>
      </w:r>
      <w:proofErr w:type="spellStart"/>
      <w:r w:rsidR="00CC683C" w:rsidRPr="007B0751">
        <w:rPr>
          <w:rFonts w:asciiTheme="majorHAnsi" w:hAnsiTheme="majorHAnsi"/>
          <w:sz w:val="22"/>
        </w:rPr>
        <w:t>by product</w:t>
      </w:r>
      <w:proofErr w:type="spellEnd"/>
      <w:r w:rsidR="00CC683C" w:rsidRPr="007B0751">
        <w:rPr>
          <w:rFonts w:asciiTheme="majorHAnsi" w:hAnsiTheme="majorHAnsi"/>
          <w:sz w:val="22"/>
        </w:rPr>
        <w:t xml:space="preserve"> of this shift has been </w:t>
      </w:r>
      <w:r w:rsidR="00FE120A" w:rsidRPr="007B0751">
        <w:rPr>
          <w:rFonts w:asciiTheme="majorHAnsi" w:hAnsiTheme="majorHAnsi"/>
          <w:sz w:val="22"/>
        </w:rPr>
        <w:t>an increase in women’s mobility, with greater acceptance of their presence in public life</w:t>
      </w:r>
      <w:r w:rsidR="00971F6A" w:rsidRPr="007B0751">
        <w:rPr>
          <w:rFonts w:asciiTheme="majorHAnsi" w:hAnsiTheme="majorHAnsi"/>
          <w:sz w:val="22"/>
        </w:rPr>
        <w:t xml:space="preserve"> – resulting in a greater sense of wellbeing (psychosocial health)</w:t>
      </w:r>
      <w:r w:rsidR="00FE120A" w:rsidRPr="007B0751">
        <w:rPr>
          <w:rFonts w:asciiTheme="majorHAnsi" w:hAnsiTheme="majorHAnsi"/>
          <w:sz w:val="22"/>
        </w:rPr>
        <w:t xml:space="preserve">. </w:t>
      </w:r>
      <w:r w:rsidR="00302E45" w:rsidRPr="007B0751">
        <w:rPr>
          <w:rFonts w:asciiTheme="majorHAnsi" w:hAnsiTheme="majorHAnsi"/>
          <w:sz w:val="22"/>
        </w:rPr>
        <w:t>It was observed that g</w:t>
      </w:r>
      <w:r w:rsidR="00FE120A" w:rsidRPr="007B0751">
        <w:rPr>
          <w:rFonts w:asciiTheme="majorHAnsi" w:hAnsiTheme="majorHAnsi"/>
          <w:sz w:val="22"/>
        </w:rPr>
        <w:t>reater progress has been made in communities where</w:t>
      </w:r>
      <w:r w:rsidR="00302E45" w:rsidRPr="007B0751">
        <w:rPr>
          <w:rFonts w:asciiTheme="majorHAnsi" w:hAnsiTheme="majorHAnsi"/>
          <w:sz w:val="22"/>
        </w:rPr>
        <w:t xml:space="preserve"> a structured and sustained and </w:t>
      </w:r>
      <w:r w:rsidR="00FE120A" w:rsidRPr="007B0751">
        <w:rPr>
          <w:rFonts w:asciiTheme="majorHAnsi" w:hAnsiTheme="majorHAnsi"/>
          <w:sz w:val="22"/>
        </w:rPr>
        <w:t xml:space="preserve">deliberative process has been undertaken to raise awareness, win trust and build confidence that the </w:t>
      </w:r>
      <w:r w:rsidR="00FE120A" w:rsidRPr="007B0751">
        <w:rPr>
          <w:rFonts w:asciiTheme="majorHAnsi" w:hAnsiTheme="majorHAnsi"/>
          <w:i/>
          <w:sz w:val="22"/>
        </w:rPr>
        <w:t xml:space="preserve">whole </w:t>
      </w:r>
      <w:r w:rsidR="00FE120A" w:rsidRPr="007B0751">
        <w:rPr>
          <w:rFonts w:asciiTheme="majorHAnsi" w:hAnsiTheme="majorHAnsi"/>
          <w:sz w:val="22"/>
        </w:rPr>
        <w:t>community stands to benefit from a</w:t>
      </w:r>
      <w:r w:rsidR="008F68D0" w:rsidRPr="007B0751">
        <w:rPr>
          <w:rFonts w:asciiTheme="majorHAnsi" w:hAnsiTheme="majorHAnsi"/>
          <w:sz w:val="22"/>
        </w:rPr>
        <w:t xml:space="preserve">n enhanced role for women in local decision-making. </w:t>
      </w:r>
    </w:p>
    <w:p w14:paraId="693E0F7E" w14:textId="77777777" w:rsidR="00AD538E" w:rsidRPr="002A5C0E" w:rsidRDefault="00AD538E" w:rsidP="002A5C0E">
      <w:pPr>
        <w:pStyle w:val="Default"/>
        <w:rPr>
          <w:rFonts w:asciiTheme="majorHAnsi" w:hAnsiTheme="majorHAnsi"/>
        </w:rPr>
      </w:pPr>
    </w:p>
    <w:p w14:paraId="0CE54731" w14:textId="442DD40A" w:rsidR="00AD538E" w:rsidRPr="002A5C0E" w:rsidRDefault="00AD538E" w:rsidP="002A5C0E">
      <w:pPr>
        <w:pStyle w:val="Default"/>
        <w:ind w:left="720"/>
        <w:rPr>
          <w:rFonts w:asciiTheme="majorHAnsi" w:hAnsiTheme="majorHAnsi" w:cs="Arial"/>
          <w:sz w:val="22"/>
          <w:szCs w:val="20"/>
        </w:rPr>
      </w:pPr>
      <w:r w:rsidRPr="002A5C0E">
        <w:rPr>
          <w:rFonts w:asciiTheme="majorHAnsi" w:hAnsiTheme="majorHAnsi" w:cs="Arial"/>
          <w:sz w:val="22"/>
          <w:szCs w:val="20"/>
        </w:rPr>
        <w:t xml:space="preserve">These efforts have contributed to a range of important outcomes for women, such as greater mobility within and beyond their community, improved educational access for girls (and women), and opportunities for active economic participation. Importantly, men's attitudes towards women have also been positively affected, with </w:t>
      </w:r>
      <w:proofErr w:type="spellStart"/>
      <w:r w:rsidRPr="002A5C0E">
        <w:rPr>
          <w:rFonts w:asciiTheme="majorHAnsi" w:hAnsiTheme="majorHAnsi" w:cs="Arial"/>
          <w:sz w:val="22"/>
          <w:szCs w:val="20"/>
        </w:rPr>
        <w:t>realisation</w:t>
      </w:r>
      <w:proofErr w:type="spellEnd"/>
      <w:r w:rsidRPr="002A5C0E">
        <w:rPr>
          <w:rFonts w:asciiTheme="majorHAnsi" w:hAnsiTheme="majorHAnsi" w:cs="Arial"/>
          <w:sz w:val="22"/>
          <w:szCs w:val="20"/>
        </w:rPr>
        <w:t xml:space="preserve"> amongst male community leaders of the potential contribution that women can make to building resilience and wellbeing within their community. This progress cannot be understated, with women frequently mentioning during the Review of the profound and life changing impact that AMENCA2 efforts has had on both their lives today, tomorrow and into the future.</w:t>
      </w:r>
    </w:p>
    <w:p w14:paraId="1E6353E8" w14:textId="77777777" w:rsidR="009C0641" w:rsidRPr="007B0751" w:rsidRDefault="009C0641" w:rsidP="002A5C0E">
      <w:pPr>
        <w:pStyle w:val="Default"/>
        <w:ind w:left="720"/>
        <w:rPr>
          <w:rFonts w:asciiTheme="majorHAnsi" w:hAnsiTheme="majorHAnsi"/>
          <w:sz w:val="22"/>
        </w:rPr>
      </w:pPr>
    </w:p>
    <w:p w14:paraId="29262E0B" w14:textId="77777777" w:rsidR="009C0641" w:rsidRDefault="00C65156" w:rsidP="009C0641">
      <w:pPr>
        <w:pStyle w:val="Default"/>
        <w:numPr>
          <w:ilvl w:val="0"/>
          <w:numId w:val="36"/>
        </w:numPr>
        <w:rPr>
          <w:rFonts w:asciiTheme="majorHAnsi" w:hAnsiTheme="majorHAnsi"/>
          <w:sz w:val="22"/>
        </w:rPr>
      </w:pPr>
      <w:r w:rsidRPr="007B0751">
        <w:rPr>
          <w:rFonts w:asciiTheme="majorHAnsi" w:hAnsiTheme="majorHAnsi"/>
          <w:sz w:val="22"/>
        </w:rPr>
        <w:t xml:space="preserve">AMENCA2 has been effective in </w:t>
      </w:r>
      <w:r w:rsidRPr="007B0751">
        <w:rPr>
          <w:rFonts w:asciiTheme="majorHAnsi" w:hAnsiTheme="majorHAnsi"/>
          <w:b/>
          <w:sz w:val="22"/>
        </w:rPr>
        <w:t>strengthening governance and management of CBOs,</w:t>
      </w:r>
      <w:r w:rsidRPr="007B0751">
        <w:rPr>
          <w:rFonts w:asciiTheme="majorHAnsi" w:hAnsiTheme="majorHAnsi"/>
          <w:sz w:val="22"/>
        </w:rPr>
        <w:t xml:space="preserve"> leading to greater levels of inclusiveness of women and youth, more constructive engagement of local authorities, and greater capacity </w:t>
      </w:r>
      <w:r w:rsidR="00302E45" w:rsidRPr="007B0751">
        <w:rPr>
          <w:rFonts w:asciiTheme="majorHAnsi" w:hAnsiTheme="majorHAnsi"/>
          <w:sz w:val="22"/>
        </w:rPr>
        <w:t xml:space="preserve">for CBOs </w:t>
      </w:r>
      <w:r w:rsidRPr="007B0751">
        <w:rPr>
          <w:rFonts w:asciiTheme="majorHAnsi" w:hAnsiTheme="majorHAnsi"/>
          <w:sz w:val="22"/>
        </w:rPr>
        <w:t>to</w:t>
      </w:r>
      <w:r w:rsidR="00302E45" w:rsidRPr="007B0751">
        <w:rPr>
          <w:rFonts w:asciiTheme="majorHAnsi" w:hAnsiTheme="majorHAnsi"/>
          <w:sz w:val="22"/>
        </w:rPr>
        <w:t xml:space="preserve"> be</w:t>
      </w:r>
      <w:r w:rsidRPr="007B0751">
        <w:rPr>
          <w:rFonts w:asciiTheme="majorHAnsi" w:hAnsiTheme="majorHAnsi"/>
          <w:sz w:val="22"/>
        </w:rPr>
        <w:t xml:space="preserve"> proactive in initiating actions that respond to commun</w:t>
      </w:r>
      <w:r w:rsidR="009B69DC" w:rsidRPr="007B0751">
        <w:rPr>
          <w:rFonts w:asciiTheme="majorHAnsi" w:hAnsiTheme="majorHAnsi"/>
          <w:sz w:val="22"/>
        </w:rPr>
        <w:t>ity needs. Across</w:t>
      </w:r>
      <w:r w:rsidRPr="007B0751">
        <w:rPr>
          <w:rFonts w:asciiTheme="majorHAnsi" w:hAnsiTheme="majorHAnsi"/>
          <w:sz w:val="22"/>
        </w:rPr>
        <w:t xml:space="preserve"> seve</w:t>
      </w:r>
      <w:r w:rsidR="009B69DC" w:rsidRPr="007B0751">
        <w:rPr>
          <w:rFonts w:asciiTheme="majorHAnsi" w:hAnsiTheme="majorHAnsi"/>
          <w:sz w:val="22"/>
        </w:rPr>
        <w:t>ral face to face interviews,</w:t>
      </w:r>
      <w:r w:rsidRPr="007B0751">
        <w:rPr>
          <w:rFonts w:asciiTheme="majorHAnsi" w:hAnsiTheme="majorHAnsi"/>
          <w:sz w:val="22"/>
        </w:rPr>
        <w:t xml:space="preserve"> CBO Board Members</w:t>
      </w:r>
      <w:r w:rsidR="009B69DC" w:rsidRPr="007B0751">
        <w:rPr>
          <w:rFonts w:asciiTheme="majorHAnsi" w:hAnsiTheme="majorHAnsi"/>
          <w:sz w:val="22"/>
        </w:rPr>
        <w:t xml:space="preserve"> spoke of AMENCA having ‘totally re-</w:t>
      </w:r>
      <w:proofErr w:type="spellStart"/>
      <w:r w:rsidR="009B69DC" w:rsidRPr="007B0751">
        <w:rPr>
          <w:rFonts w:asciiTheme="majorHAnsi" w:hAnsiTheme="majorHAnsi"/>
          <w:sz w:val="22"/>
        </w:rPr>
        <w:t>energised</w:t>
      </w:r>
      <w:proofErr w:type="spellEnd"/>
      <w:r w:rsidR="009B69DC" w:rsidRPr="007B0751">
        <w:rPr>
          <w:rFonts w:asciiTheme="majorHAnsi" w:hAnsiTheme="majorHAnsi"/>
          <w:sz w:val="22"/>
        </w:rPr>
        <w:t>’ their CBO bringing new levels of participation, ownership and pride.</w:t>
      </w:r>
    </w:p>
    <w:p w14:paraId="63AECD47" w14:textId="77777777" w:rsidR="009C0641" w:rsidRDefault="009C0641" w:rsidP="002A5C0E">
      <w:pPr>
        <w:pStyle w:val="Default"/>
        <w:ind w:left="720"/>
        <w:rPr>
          <w:rFonts w:asciiTheme="majorHAnsi" w:hAnsiTheme="majorHAnsi"/>
          <w:sz w:val="22"/>
        </w:rPr>
      </w:pPr>
    </w:p>
    <w:p w14:paraId="24D6AE7A" w14:textId="38C11E29" w:rsidR="002C47BD" w:rsidRDefault="002C47BD" w:rsidP="002A5C0E">
      <w:pPr>
        <w:pStyle w:val="Default"/>
        <w:ind w:left="720"/>
        <w:rPr>
          <w:rFonts w:asciiTheme="majorHAnsi" w:hAnsiTheme="majorHAnsi" w:cs="Arial"/>
          <w:sz w:val="20"/>
          <w:szCs w:val="20"/>
        </w:rPr>
      </w:pPr>
      <w:r w:rsidRPr="009C0641">
        <w:rPr>
          <w:rFonts w:asciiTheme="majorHAnsi" w:hAnsiTheme="majorHAnsi" w:cs="Arial"/>
          <w:sz w:val="20"/>
          <w:szCs w:val="20"/>
        </w:rPr>
        <w:t xml:space="preserve">ANGOs working alongside PNGOs have been effective in </w:t>
      </w:r>
      <w:proofErr w:type="spellStart"/>
      <w:r w:rsidRPr="009C0641">
        <w:rPr>
          <w:rFonts w:asciiTheme="majorHAnsi" w:hAnsiTheme="majorHAnsi" w:cs="Arial"/>
          <w:sz w:val="20"/>
          <w:szCs w:val="20"/>
        </w:rPr>
        <w:t>modernising</w:t>
      </w:r>
      <w:proofErr w:type="spellEnd"/>
      <w:r w:rsidRPr="009C0641">
        <w:rPr>
          <w:rFonts w:asciiTheme="majorHAnsi" w:hAnsiTheme="majorHAnsi" w:cs="Arial"/>
          <w:sz w:val="20"/>
          <w:szCs w:val="20"/>
        </w:rPr>
        <w:t xml:space="preserve"> the practices and procedures of CBOs through introduction of a range of procedures and support in development of a range of skills. CBOs see a direct correlation between this support provided by</w:t>
      </w:r>
      <w:r w:rsidRPr="00D3106F">
        <w:rPr>
          <w:rFonts w:asciiTheme="majorHAnsi" w:hAnsiTheme="majorHAnsi" w:cs="Arial"/>
          <w:sz w:val="20"/>
          <w:szCs w:val="20"/>
        </w:rPr>
        <w:t xml:space="preserve"> AMENCA and their improved ability to </w:t>
      </w:r>
      <w:proofErr w:type="spellStart"/>
      <w:r w:rsidRPr="00D3106F">
        <w:rPr>
          <w:rFonts w:asciiTheme="majorHAnsi" w:hAnsiTheme="majorHAnsi" w:cs="Arial"/>
          <w:sz w:val="20"/>
          <w:szCs w:val="20"/>
        </w:rPr>
        <w:t>mobilise</w:t>
      </w:r>
      <w:proofErr w:type="spellEnd"/>
      <w:r w:rsidRPr="00D3106F">
        <w:rPr>
          <w:rFonts w:asciiTheme="majorHAnsi" w:hAnsiTheme="majorHAnsi" w:cs="Arial"/>
          <w:sz w:val="20"/>
          <w:szCs w:val="20"/>
        </w:rPr>
        <w:t xml:space="preserve"> resources from a range of different donors, enhancing sustainability.</w:t>
      </w:r>
    </w:p>
    <w:p w14:paraId="44061A73" w14:textId="77777777" w:rsidR="009C0641" w:rsidRPr="009C0641" w:rsidRDefault="009C0641" w:rsidP="002A5C0E">
      <w:pPr>
        <w:pStyle w:val="Default"/>
        <w:ind w:left="720"/>
        <w:rPr>
          <w:rFonts w:asciiTheme="majorHAnsi" w:hAnsiTheme="majorHAnsi"/>
          <w:sz w:val="22"/>
        </w:rPr>
      </w:pPr>
    </w:p>
    <w:p w14:paraId="78A14EF5" w14:textId="0B7C9F9E" w:rsidR="00A41DF4" w:rsidRPr="007B0751" w:rsidRDefault="009B69DC" w:rsidP="00F04445">
      <w:pPr>
        <w:pStyle w:val="Default"/>
        <w:numPr>
          <w:ilvl w:val="0"/>
          <w:numId w:val="36"/>
        </w:numPr>
        <w:rPr>
          <w:rFonts w:asciiTheme="majorHAnsi" w:hAnsiTheme="majorHAnsi"/>
        </w:rPr>
      </w:pPr>
      <w:r w:rsidRPr="007B0751">
        <w:rPr>
          <w:rFonts w:asciiTheme="majorHAnsi" w:hAnsiTheme="majorHAnsi" w:cs="Arial"/>
          <w:sz w:val="22"/>
          <w:szCs w:val="22"/>
        </w:rPr>
        <w:t xml:space="preserve">The Program has </w:t>
      </w:r>
      <w:r w:rsidR="000676FA" w:rsidRPr="007B0751">
        <w:rPr>
          <w:rFonts w:asciiTheme="majorHAnsi" w:hAnsiTheme="majorHAnsi" w:cs="Arial"/>
          <w:sz w:val="22"/>
          <w:szCs w:val="22"/>
        </w:rPr>
        <w:t xml:space="preserve">worked to establish </w:t>
      </w:r>
      <w:r w:rsidRPr="007B0751">
        <w:rPr>
          <w:rFonts w:asciiTheme="majorHAnsi" w:hAnsiTheme="majorHAnsi" w:cs="Arial"/>
          <w:sz w:val="22"/>
          <w:szCs w:val="22"/>
        </w:rPr>
        <w:t xml:space="preserve">a strong structure for </w:t>
      </w:r>
      <w:r w:rsidRPr="007B0751">
        <w:rPr>
          <w:rFonts w:asciiTheme="majorHAnsi" w:hAnsiTheme="majorHAnsi" w:cs="Arial"/>
          <w:b/>
          <w:sz w:val="22"/>
          <w:szCs w:val="22"/>
        </w:rPr>
        <w:t xml:space="preserve">learning and </w:t>
      </w:r>
      <w:r w:rsidR="006E436B" w:rsidRPr="007B0751">
        <w:rPr>
          <w:rFonts w:asciiTheme="majorHAnsi" w:hAnsiTheme="majorHAnsi" w:cs="Arial"/>
          <w:b/>
          <w:sz w:val="22"/>
          <w:szCs w:val="22"/>
        </w:rPr>
        <w:t>continuous improvement</w:t>
      </w:r>
      <w:r w:rsidRPr="007B0751">
        <w:rPr>
          <w:rFonts w:asciiTheme="majorHAnsi" w:hAnsiTheme="majorHAnsi" w:cs="Arial"/>
          <w:sz w:val="22"/>
          <w:szCs w:val="22"/>
        </w:rPr>
        <w:t>.</w:t>
      </w:r>
      <w:r w:rsidR="006E436B" w:rsidRPr="007B0751">
        <w:rPr>
          <w:rFonts w:asciiTheme="majorHAnsi" w:hAnsiTheme="majorHAnsi" w:cs="Arial"/>
          <w:sz w:val="22"/>
          <w:szCs w:val="22"/>
        </w:rPr>
        <w:t xml:space="preserve"> Annual Program Workshops a</w:t>
      </w:r>
      <w:r w:rsidR="000676FA" w:rsidRPr="007B0751">
        <w:rPr>
          <w:rFonts w:asciiTheme="majorHAnsi" w:hAnsiTheme="majorHAnsi" w:cs="Arial"/>
          <w:sz w:val="22"/>
          <w:szCs w:val="22"/>
        </w:rPr>
        <w:t>re valued for bringing the ‘whole’ of AMENCA2 together</w:t>
      </w:r>
      <w:r w:rsidR="00474BA8">
        <w:rPr>
          <w:rFonts w:asciiTheme="majorHAnsi" w:hAnsiTheme="majorHAnsi" w:cs="Arial"/>
          <w:sz w:val="22"/>
          <w:szCs w:val="22"/>
        </w:rPr>
        <w:t xml:space="preserve"> to share ideas, concerns and achievements. </w:t>
      </w:r>
      <w:r w:rsidR="000676FA" w:rsidRPr="007B0751">
        <w:rPr>
          <w:rFonts w:asciiTheme="majorHAnsi" w:hAnsiTheme="majorHAnsi" w:cs="Arial"/>
          <w:sz w:val="22"/>
          <w:szCs w:val="22"/>
        </w:rPr>
        <w:t xml:space="preserve">Case studies have been effective in </w:t>
      </w:r>
      <w:r w:rsidR="00A41DF4" w:rsidRPr="007B0751">
        <w:rPr>
          <w:rFonts w:asciiTheme="majorHAnsi" w:hAnsiTheme="majorHAnsi" w:cs="Arial"/>
          <w:sz w:val="22"/>
          <w:szCs w:val="22"/>
        </w:rPr>
        <w:t>drilling down</w:t>
      </w:r>
      <w:r w:rsidR="006E436B" w:rsidRPr="007B0751">
        <w:rPr>
          <w:rFonts w:asciiTheme="majorHAnsi" w:hAnsiTheme="majorHAnsi" w:cs="Arial"/>
          <w:sz w:val="22"/>
          <w:szCs w:val="22"/>
        </w:rPr>
        <w:t xml:space="preserve"> into key issues, </w:t>
      </w:r>
      <w:r w:rsidR="00302E45" w:rsidRPr="007B0751">
        <w:rPr>
          <w:rFonts w:asciiTheme="majorHAnsi" w:hAnsiTheme="majorHAnsi" w:cs="Arial"/>
          <w:sz w:val="22"/>
          <w:szCs w:val="22"/>
        </w:rPr>
        <w:t>allowing for</w:t>
      </w:r>
      <w:r w:rsidR="00A41DF4" w:rsidRPr="007B0751">
        <w:rPr>
          <w:rFonts w:asciiTheme="majorHAnsi" w:hAnsiTheme="majorHAnsi" w:cs="Arial"/>
          <w:sz w:val="22"/>
          <w:szCs w:val="22"/>
        </w:rPr>
        <w:t xml:space="preserve"> richer understanding of success factors and qualitative considerations.</w:t>
      </w:r>
      <w:r w:rsidR="00102D6B">
        <w:rPr>
          <w:rFonts w:asciiTheme="majorHAnsi" w:hAnsiTheme="majorHAnsi" w:cs="Arial"/>
          <w:sz w:val="22"/>
          <w:szCs w:val="22"/>
        </w:rPr>
        <w:t xml:space="preserve"> Some frustration was expressed </w:t>
      </w:r>
      <w:r w:rsidR="00102D6B" w:rsidRPr="007B0751">
        <w:rPr>
          <w:rFonts w:asciiTheme="majorHAnsi" w:hAnsiTheme="majorHAnsi" w:cs="Arial"/>
          <w:sz w:val="22"/>
          <w:szCs w:val="22"/>
        </w:rPr>
        <w:t>amongst most partners that</w:t>
      </w:r>
      <w:r w:rsidR="001E182B">
        <w:rPr>
          <w:rFonts w:asciiTheme="majorHAnsi" w:hAnsiTheme="majorHAnsi" w:cs="Arial"/>
          <w:sz w:val="22"/>
          <w:szCs w:val="22"/>
        </w:rPr>
        <w:t xml:space="preserve"> recent workshops have devoted too much time to administrative matters related to due diligence and security matters, detracting from consideration of</w:t>
      </w:r>
      <w:r w:rsidR="004D53EE">
        <w:rPr>
          <w:rFonts w:asciiTheme="majorHAnsi" w:hAnsiTheme="majorHAnsi" w:cs="Arial"/>
          <w:sz w:val="22"/>
          <w:szCs w:val="22"/>
        </w:rPr>
        <w:t xml:space="preserve"> the intended</w:t>
      </w:r>
      <w:r w:rsidR="001E182B">
        <w:rPr>
          <w:rFonts w:asciiTheme="majorHAnsi" w:hAnsiTheme="majorHAnsi" w:cs="Arial"/>
          <w:sz w:val="22"/>
          <w:szCs w:val="22"/>
        </w:rPr>
        <w:t xml:space="preserve"> substantive </w:t>
      </w:r>
      <w:r w:rsidR="004D53EE">
        <w:rPr>
          <w:rFonts w:asciiTheme="majorHAnsi" w:hAnsiTheme="majorHAnsi" w:cs="Arial"/>
          <w:sz w:val="22"/>
          <w:szCs w:val="22"/>
        </w:rPr>
        <w:t>focus</w:t>
      </w:r>
      <w:r w:rsidR="001E182B">
        <w:rPr>
          <w:rFonts w:asciiTheme="majorHAnsi" w:hAnsiTheme="majorHAnsi" w:cs="Arial"/>
          <w:sz w:val="22"/>
          <w:szCs w:val="22"/>
        </w:rPr>
        <w:t xml:space="preserve"> related to M&amp;E, value for money, and sustainability.  </w:t>
      </w:r>
    </w:p>
    <w:p w14:paraId="5F5F009E" w14:textId="77777777" w:rsidR="00A41DF4" w:rsidRPr="007B0751" w:rsidRDefault="00A41DF4" w:rsidP="00A41DF4">
      <w:pPr>
        <w:pStyle w:val="Default"/>
        <w:ind w:left="360"/>
        <w:rPr>
          <w:rFonts w:asciiTheme="majorHAnsi" w:hAnsiTheme="majorHAnsi"/>
        </w:rPr>
      </w:pPr>
    </w:p>
    <w:p w14:paraId="5AA791BA" w14:textId="77777777" w:rsidR="00A41DF4" w:rsidRPr="007B0751" w:rsidRDefault="00894239" w:rsidP="00894239">
      <w:pPr>
        <w:pStyle w:val="Default"/>
        <w:rPr>
          <w:rFonts w:asciiTheme="majorHAnsi" w:hAnsiTheme="majorHAnsi"/>
          <w:i/>
          <w:sz w:val="22"/>
        </w:rPr>
      </w:pPr>
      <w:r w:rsidRPr="007B0751">
        <w:rPr>
          <w:rFonts w:asciiTheme="majorHAnsi" w:hAnsiTheme="majorHAnsi"/>
          <w:i/>
          <w:sz w:val="22"/>
        </w:rPr>
        <w:t>5.2.3</w:t>
      </w:r>
      <w:r w:rsidRPr="007B0751">
        <w:rPr>
          <w:rFonts w:asciiTheme="majorHAnsi" w:hAnsiTheme="majorHAnsi"/>
          <w:i/>
          <w:sz w:val="22"/>
        </w:rPr>
        <w:tab/>
        <w:t>Program Efficiency</w:t>
      </w:r>
    </w:p>
    <w:p w14:paraId="698E6EB9" w14:textId="77777777" w:rsidR="00C93C24" w:rsidRPr="007B0751" w:rsidRDefault="00757030" w:rsidP="00C93C24">
      <w:pPr>
        <w:pStyle w:val="Default"/>
        <w:ind w:left="720"/>
        <w:rPr>
          <w:rFonts w:asciiTheme="majorHAnsi" w:hAnsiTheme="majorHAnsi"/>
          <w:sz w:val="22"/>
          <w:szCs w:val="22"/>
        </w:rPr>
      </w:pPr>
      <w:r w:rsidRPr="007B0751">
        <w:rPr>
          <w:rFonts w:asciiTheme="majorHAnsi" w:hAnsiTheme="majorHAnsi"/>
          <w:i/>
          <w:sz w:val="22"/>
        </w:rPr>
        <w:t>“</w:t>
      </w:r>
      <w:r w:rsidR="00302E45" w:rsidRPr="007B0751">
        <w:rPr>
          <w:rFonts w:asciiTheme="majorHAnsi" w:hAnsiTheme="majorHAnsi"/>
          <w:i/>
          <w:sz w:val="22"/>
        </w:rPr>
        <w:t xml:space="preserve">While complex, </w:t>
      </w:r>
      <w:r w:rsidR="00FE2BE8" w:rsidRPr="007B0751">
        <w:rPr>
          <w:rFonts w:asciiTheme="majorHAnsi" w:hAnsiTheme="majorHAnsi"/>
          <w:i/>
          <w:sz w:val="22"/>
        </w:rPr>
        <w:t xml:space="preserve">AMENCA’s </w:t>
      </w:r>
      <w:r w:rsidRPr="007B0751">
        <w:rPr>
          <w:rFonts w:asciiTheme="majorHAnsi" w:hAnsiTheme="majorHAnsi"/>
          <w:i/>
          <w:sz w:val="22"/>
        </w:rPr>
        <w:t>implementation arrangements</w:t>
      </w:r>
      <w:r w:rsidR="00FE2BE8" w:rsidRPr="007B0751">
        <w:rPr>
          <w:rFonts w:asciiTheme="majorHAnsi" w:hAnsiTheme="majorHAnsi"/>
          <w:i/>
          <w:sz w:val="22"/>
        </w:rPr>
        <w:t xml:space="preserve"> are no more complex than the environment that the Program operates within, and </w:t>
      </w:r>
      <w:r w:rsidR="00C93C24" w:rsidRPr="007B0751">
        <w:rPr>
          <w:rFonts w:asciiTheme="majorHAnsi" w:hAnsiTheme="majorHAnsi"/>
          <w:i/>
          <w:sz w:val="22"/>
        </w:rPr>
        <w:t xml:space="preserve">have resulted in impressive and seemingly cost effective </w:t>
      </w:r>
      <w:proofErr w:type="spellStart"/>
      <w:r w:rsidR="00C93C24" w:rsidRPr="007B0751">
        <w:rPr>
          <w:rFonts w:asciiTheme="majorHAnsi" w:hAnsiTheme="majorHAnsi"/>
          <w:i/>
          <w:sz w:val="22"/>
        </w:rPr>
        <w:t>bottomline</w:t>
      </w:r>
      <w:proofErr w:type="spellEnd"/>
      <w:r w:rsidR="00C93C24" w:rsidRPr="007B0751">
        <w:rPr>
          <w:rFonts w:asciiTheme="majorHAnsi" w:hAnsiTheme="majorHAnsi"/>
          <w:i/>
          <w:sz w:val="22"/>
        </w:rPr>
        <w:t xml:space="preserve"> results in terms of</w:t>
      </w:r>
      <w:r w:rsidR="00302E45" w:rsidRPr="007B0751">
        <w:rPr>
          <w:rFonts w:asciiTheme="majorHAnsi" w:hAnsiTheme="majorHAnsi"/>
          <w:i/>
          <w:sz w:val="22"/>
        </w:rPr>
        <w:t xml:space="preserve"> enhancing</w:t>
      </w:r>
      <w:r w:rsidR="00C93C24" w:rsidRPr="007B0751">
        <w:rPr>
          <w:rFonts w:asciiTheme="majorHAnsi" w:hAnsiTheme="majorHAnsi"/>
          <w:i/>
          <w:sz w:val="22"/>
        </w:rPr>
        <w:t xml:space="preserve"> food production and incomes. However, d</w:t>
      </w:r>
      <w:r w:rsidR="00C93C24" w:rsidRPr="007B0751">
        <w:rPr>
          <w:rFonts w:asciiTheme="majorHAnsi" w:hAnsiTheme="majorHAnsi"/>
          <w:i/>
          <w:sz w:val="22"/>
          <w:szCs w:val="22"/>
        </w:rPr>
        <w:t>eeper analysis of causal factors underpinning these results (a</w:t>
      </w:r>
      <w:r w:rsidR="00302E45" w:rsidRPr="007B0751">
        <w:rPr>
          <w:rFonts w:asciiTheme="majorHAnsi" w:hAnsiTheme="majorHAnsi"/>
          <w:i/>
          <w:sz w:val="22"/>
          <w:szCs w:val="22"/>
        </w:rPr>
        <w:t>s well as</w:t>
      </w:r>
      <w:r w:rsidR="00C93C24" w:rsidRPr="007B0751">
        <w:rPr>
          <w:rFonts w:asciiTheme="majorHAnsi" w:hAnsiTheme="majorHAnsi"/>
          <w:i/>
          <w:sz w:val="22"/>
          <w:szCs w:val="22"/>
        </w:rPr>
        <w:t xml:space="preserve"> other </w:t>
      </w:r>
      <w:r w:rsidR="00302E45" w:rsidRPr="007B0751">
        <w:rPr>
          <w:rFonts w:asciiTheme="majorHAnsi" w:hAnsiTheme="majorHAnsi"/>
          <w:i/>
          <w:sz w:val="22"/>
          <w:szCs w:val="22"/>
        </w:rPr>
        <w:t>‘hard to measure’</w:t>
      </w:r>
      <w:r w:rsidR="00C93C24" w:rsidRPr="007B0751">
        <w:rPr>
          <w:rFonts w:asciiTheme="majorHAnsi" w:hAnsiTheme="majorHAnsi"/>
          <w:i/>
          <w:sz w:val="22"/>
          <w:szCs w:val="22"/>
        </w:rPr>
        <w:t xml:space="preserve"> results such as empowerment and psychosocial health) would allow greater appreciation and understanding of ‘value for money’ within the AMENCA context, and greatly inform future planning.”</w:t>
      </w:r>
    </w:p>
    <w:p w14:paraId="183AAD77" w14:textId="77777777" w:rsidR="00757030" w:rsidRPr="007B0751" w:rsidRDefault="00757030" w:rsidP="00C93C24">
      <w:pPr>
        <w:pStyle w:val="Default"/>
        <w:ind w:left="720"/>
        <w:rPr>
          <w:rFonts w:asciiTheme="majorHAnsi" w:hAnsiTheme="majorHAnsi"/>
          <w:i/>
          <w:sz w:val="22"/>
        </w:rPr>
      </w:pPr>
    </w:p>
    <w:p w14:paraId="295BC49C" w14:textId="18952E02" w:rsidR="00BA7BB8" w:rsidRDefault="00956A52" w:rsidP="00894239">
      <w:pPr>
        <w:pStyle w:val="Default"/>
        <w:rPr>
          <w:rFonts w:asciiTheme="majorHAnsi" w:hAnsiTheme="majorHAnsi"/>
          <w:sz w:val="22"/>
          <w:szCs w:val="22"/>
        </w:rPr>
      </w:pPr>
      <w:r w:rsidRPr="007B0751">
        <w:rPr>
          <w:rFonts w:asciiTheme="majorHAnsi" w:hAnsiTheme="majorHAnsi"/>
          <w:sz w:val="22"/>
          <w:szCs w:val="22"/>
        </w:rPr>
        <w:t xml:space="preserve">It is important to </w:t>
      </w:r>
      <w:r w:rsidR="00302E45" w:rsidRPr="007B0751">
        <w:rPr>
          <w:rFonts w:asciiTheme="majorHAnsi" w:hAnsiTheme="majorHAnsi"/>
          <w:sz w:val="22"/>
          <w:szCs w:val="22"/>
        </w:rPr>
        <w:t xml:space="preserve">firstly </w:t>
      </w:r>
      <w:r w:rsidRPr="007B0751">
        <w:rPr>
          <w:rFonts w:asciiTheme="majorHAnsi" w:hAnsiTheme="majorHAnsi"/>
          <w:sz w:val="22"/>
          <w:szCs w:val="22"/>
        </w:rPr>
        <w:t>acknowledge that t</w:t>
      </w:r>
      <w:r w:rsidR="00894239" w:rsidRPr="007B0751">
        <w:rPr>
          <w:rFonts w:asciiTheme="majorHAnsi" w:hAnsiTheme="majorHAnsi"/>
          <w:sz w:val="22"/>
          <w:szCs w:val="22"/>
        </w:rPr>
        <w:t>he</w:t>
      </w:r>
      <w:r w:rsidR="008E47E4" w:rsidRPr="007B0751">
        <w:rPr>
          <w:rFonts w:asciiTheme="majorHAnsi" w:hAnsiTheme="majorHAnsi"/>
          <w:sz w:val="22"/>
          <w:szCs w:val="22"/>
        </w:rPr>
        <w:t xml:space="preserve">re are considerable ‘transaction costs’ related to working in the PTs given its unpredictability, insecurity, complex political considerations, </w:t>
      </w:r>
      <w:r w:rsidRPr="007B0751">
        <w:rPr>
          <w:rFonts w:asciiTheme="majorHAnsi" w:hAnsiTheme="majorHAnsi"/>
          <w:sz w:val="22"/>
          <w:szCs w:val="22"/>
        </w:rPr>
        <w:t xml:space="preserve">movement and </w:t>
      </w:r>
      <w:r w:rsidR="008E47E4" w:rsidRPr="007B0751">
        <w:rPr>
          <w:rFonts w:asciiTheme="majorHAnsi" w:hAnsiTheme="majorHAnsi"/>
          <w:sz w:val="22"/>
          <w:szCs w:val="22"/>
        </w:rPr>
        <w:t xml:space="preserve">access issues, blockade related constraints, and complex due diligence requirements. </w:t>
      </w:r>
      <w:r w:rsidR="00667503" w:rsidRPr="007B0751">
        <w:rPr>
          <w:rFonts w:asciiTheme="majorHAnsi" w:hAnsiTheme="majorHAnsi"/>
          <w:sz w:val="22"/>
          <w:szCs w:val="22"/>
        </w:rPr>
        <w:t xml:space="preserve">These factors </w:t>
      </w:r>
      <w:r w:rsidRPr="007B0751">
        <w:rPr>
          <w:rFonts w:asciiTheme="majorHAnsi" w:hAnsiTheme="majorHAnsi"/>
          <w:sz w:val="22"/>
          <w:szCs w:val="22"/>
        </w:rPr>
        <w:t>contribute</w:t>
      </w:r>
      <w:r w:rsidR="00667503" w:rsidRPr="007B0751">
        <w:rPr>
          <w:rFonts w:asciiTheme="majorHAnsi" w:hAnsiTheme="majorHAnsi"/>
          <w:sz w:val="22"/>
          <w:szCs w:val="22"/>
        </w:rPr>
        <w:t xml:space="preserve"> to </w:t>
      </w:r>
      <w:r w:rsidR="000C3380" w:rsidRPr="007B0751">
        <w:rPr>
          <w:rFonts w:asciiTheme="majorHAnsi" w:hAnsiTheme="majorHAnsi"/>
          <w:sz w:val="22"/>
          <w:szCs w:val="22"/>
        </w:rPr>
        <w:t>what can appear on the surface to be a cumbersome,</w:t>
      </w:r>
      <w:r w:rsidR="00667503" w:rsidRPr="007B0751">
        <w:rPr>
          <w:rFonts w:asciiTheme="majorHAnsi" w:hAnsiTheme="majorHAnsi"/>
          <w:sz w:val="22"/>
          <w:szCs w:val="22"/>
        </w:rPr>
        <w:t xml:space="preserve"> multi-layered partnership model</w:t>
      </w:r>
      <w:r w:rsidR="004C534B" w:rsidRPr="007B0751">
        <w:rPr>
          <w:rFonts w:asciiTheme="majorHAnsi" w:hAnsiTheme="majorHAnsi"/>
          <w:sz w:val="22"/>
          <w:szCs w:val="22"/>
        </w:rPr>
        <w:t xml:space="preserve">. </w:t>
      </w:r>
    </w:p>
    <w:p w14:paraId="474E26D2" w14:textId="77777777" w:rsidR="00BA7BB8" w:rsidRDefault="00BA7BB8" w:rsidP="00894239">
      <w:pPr>
        <w:pStyle w:val="Default"/>
        <w:rPr>
          <w:rFonts w:asciiTheme="majorHAnsi" w:hAnsiTheme="majorHAnsi"/>
          <w:sz w:val="22"/>
          <w:szCs w:val="22"/>
        </w:rPr>
      </w:pPr>
    </w:p>
    <w:p w14:paraId="521AE2D3" w14:textId="13DB105C" w:rsidR="00894239" w:rsidRPr="007B0751" w:rsidRDefault="004C534B" w:rsidP="00894239">
      <w:pPr>
        <w:pStyle w:val="Default"/>
        <w:rPr>
          <w:rFonts w:asciiTheme="majorHAnsi" w:hAnsiTheme="majorHAnsi"/>
          <w:sz w:val="22"/>
          <w:szCs w:val="22"/>
        </w:rPr>
      </w:pPr>
      <w:r w:rsidRPr="007B0751">
        <w:rPr>
          <w:rFonts w:asciiTheme="majorHAnsi" w:hAnsiTheme="majorHAnsi"/>
          <w:sz w:val="22"/>
          <w:szCs w:val="22"/>
        </w:rPr>
        <w:t xml:space="preserve">The following table looks at the role played by different stakeholders </w:t>
      </w:r>
      <w:r w:rsidR="00BA7BB8">
        <w:rPr>
          <w:rFonts w:asciiTheme="majorHAnsi" w:hAnsiTheme="majorHAnsi"/>
          <w:sz w:val="22"/>
          <w:szCs w:val="22"/>
        </w:rPr>
        <w:t xml:space="preserve">within the current Program implementation model. </w:t>
      </w:r>
    </w:p>
    <w:p w14:paraId="6C7CA9A4" w14:textId="77777777" w:rsidR="00302E45" w:rsidRPr="007B0751" w:rsidRDefault="00302E45" w:rsidP="00894239">
      <w:pPr>
        <w:pStyle w:val="Default"/>
        <w:rPr>
          <w:rFonts w:asciiTheme="majorHAnsi" w:hAnsiTheme="majorHAnsi"/>
          <w:sz w:val="22"/>
          <w:szCs w:val="22"/>
        </w:rPr>
      </w:pPr>
    </w:p>
    <w:p w14:paraId="0584F57D" w14:textId="77777777" w:rsidR="004C534B" w:rsidRPr="007B0751" w:rsidRDefault="004C534B" w:rsidP="00894239">
      <w:pPr>
        <w:pStyle w:val="Default"/>
        <w:rPr>
          <w:rFonts w:asciiTheme="majorHAnsi" w:hAnsiTheme="majorHAnsi"/>
          <w:sz w:val="20"/>
          <w:szCs w:val="22"/>
        </w:rPr>
      </w:pPr>
      <w:r w:rsidRPr="007B0751">
        <w:rPr>
          <w:rFonts w:asciiTheme="majorHAnsi" w:hAnsiTheme="majorHAnsi"/>
          <w:b/>
          <w:sz w:val="22"/>
          <w:szCs w:val="22"/>
          <w:u w:val="single"/>
        </w:rPr>
        <w:t>Table Two – AMENCA Stakeholders and Partnership model</w:t>
      </w:r>
    </w:p>
    <w:p w14:paraId="58CA6818" w14:textId="77777777" w:rsidR="00667503" w:rsidRPr="007B0751" w:rsidRDefault="00667503" w:rsidP="00894239">
      <w:pPr>
        <w:pStyle w:val="Default"/>
        <w:rPr>
          <w:rFonts w:asciiTheme="majorHAnsi" w:hAnsiTheme="majorHAnsi"/>
          <w:sz w:val="22"/>
          <w:szCs w:val="22"/>
        </w:rPr>
      </w:pPr>
    </w:p>
    <w:tbl>
      <w:tblPr>
        <w:tblStyle w:val="TableGrid"/>
        <w:tblW w:w="0" w:type="auto"/>
        <w:tblLayout w:type="fixed"/>
        <w:tblLook w:val="04A0" w:firstRow="1" w:lastRow="0" w:firstColumn="1" w:lastColumn="0" w:noHBand="0" w:noVBand="1"/>
      </w:tblPr>
      <w:tblGrid>
        <w:gridCol w:w="1242"/>
        <w:gridCol w:w="3129"/>
        <w:gridCol w:w="3969"/>
      </w:tblGrid>
      <w:tr w:rsidR="00667503" w:rsidRPr="007B0751" w14:paraId="15267DA6" w14:textId="77777777" w:rsidTr="00971F7C">
        <w:trPr>
          <w:tblHeader/>
        </w:trPr>
        <w:tc>
          <w:tcPr>
            <w:tcW w:w="1242" w:type="dxa"/>
            <w:shd w:val="clear" w:color="auto" w:fill="E0E0E0"/>
          </w:tcPr>
          <w:p w14:paraId="68083696" w14:textId="77777777" w:rsidR="00667503" w:rsidRPr="002A5C0E" w:rsidRDefault="00667503" w:rsidP="00894239">
            <w:pPr>
              <w:pStyle w:val="Default"/>
              <w:rPr>
                <w:rFonts w:asciiTheme="majorHAnsi" w:hAnsiTheme="majorHAnsi"/>
                <w:b/>
                <w:sz w:val="20"/>
                <w:szCs w:val="22"/>
              </w:rPr>
            </w:pPr>
            <w:r w:rsidRPr="002A5C0E">
              <w:rPr>
                <w:rFonts w:asciiTheme="majorHAnsi" w:hAnsiTheme="majorHAnsi"/>
                <w:b/>
                <w:sz w:val="20"/>
                <w:szCs w:val="22"/>
              </w:rPr>
              <w:t>AMENCA Stake</w:t>
            </w:r>
            <w:r w:rsidR="006C58F5" w:rsidRPr="002A5C0E">
              <w:rPr>
                <w:rFonts w:asciiTheme="majorHAnsi" w:hAnsiTheme="majorHAnsi"/>
                <w:b/>
                <w:sz w:val="20"/>
                <w:szCs w:val="22"/>
              </w:rPr>
              <w:t>-</w:t>
            </w:r>
            <w:r w:rsidRPr="002A5C0E">
              <w:rPr>
                <w:rFonts w:asciiTheme="majorHAnsi" w:hAnsiTheme="majorHAnsi"/>
                <w:b/>
                <w:sz w:val="20"/>
                <w:szCs w:val="22"/>
              </w:rPr>
              <w:t>holders</w:t>
            </w:r>
          </w:p>
        </w:tc>
        <w:tc>
          <w:tcPr>
            <w:tcW w:w="3129" w:type="dxa"/>
            <w:shd w:val="clear" w:color="auto" w:fill="E0E0E0"/>
          </w:tcPr>
          <w:p w14:paraId="1E22F87A" w14:textId="77777777" w:rsidR="00667503" w:rsidRPr="002A5C0E" w:rsidRDefault="00667503" w:rsidP="00894239">
            <w:pPr>
              <w:pStyle w:val="Default"/>
              <w:rPr>
                <w:rFonts w:asciiTheme="majorHAnsi" w:hAnsiTheme="majorHAnsi"/>
                <w:b/>
                <w:sz w:val="20"/>
                <w:szCs w:val="22"/>
              </w:rPr>
            </w:pPr>
            <w:r w:rsidRPr="002A5C0E">
              <w:rPr>
                <w:rFonts w:asciiTheme="majorHAnsi" w:hAnsiTheme="majorHAnsi"/>
                <w:b/>
                <w:sz w:val="20"/>
                <w:szCs w:val="22"/>
              </w:rPr>
              <w:t>Role</w:t>
            </w:r>
          </w:p>
        </w:tc>
        <w:tc>
          <w:tcPr>
            <w:tcW w:w="3969" w:type="dxa"/>
            <w:shd w:val="clear" w:color="auto" w:fill="E0E0E0"/>
          </w:tcPr>
          <w:p w14:paraId="3EA32DF2" w14:textId="77777777" w:rsidR="00667503" w:rsidRPr="002A5C0E" w:rsidRDefault="00792D86" w:rsidP="00894239">
            <w:pPr>
              <w:pStyle w:val="Default"/>
              <w:rPr>
                <w:rFonts w:asciiTheme="majorHAnsi" w:hAnsiTheme="majorHAnsi"/>
                <w:b/>
                <w:sz w:val="20"/>
                <w:szCs w:val="22"/>
              </w:rPr>
            </w:pPr>
            <w:r w:rsidRPr="002A5C0E">
              <w:rPr>
                <w:rFonts w:asciiTheme="majorHAnsi" w:hAnsiTheme="majorHAnsi"/>
                <w:b/>
                <w:sz w:val="20"/>
                <w:szCs w:val="22"/>
              </w:rPr>
              <w:t>Contribution to Program performance</w:t>
            </w:r>
          </w:p>
        </w:tc>
      </w:tr>
      <w:tr w:rsidR="00667503" w:rsidRPr="007B0751" w14:paraId="10F05AAE" w14:textId="77777777" w:rsidTr="00971F7C">
        <w:tc>
          <w:tcPr>
            <w:tcW w:w="1242" w:type="dxa"/>
          </w:tcPr>
          <w:p w14:paraId="00AF0FE4"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DFAT (Desk)</w:t>
            </w:r>
          </w:p>
        </w:tc>
        <w:tc>
          <w:tcPr>
            <w:tcW w:w="3129" w:type="dxa"/>
          </w:tcPr>
          <w:p w14:paraId="57015559" w14:textId="77777777" w:rsidR="00667503" w:rsidRPr="002A5C0E" w:rsidRDefault="000C3380" w:rsidP="000C3380">
            <w:pPr>
              <w:pStyle w:val="Default"/>
              <w:rPr>
                <w:rFonts w:asciiTheme="majorHAnsi" w:hAnsiTheme="majorHAnsi"/>
                <w:sz w:val="20"/>
                <w:szCs w:val="22"/>
              </w:rPr>
            </w:pPr>
            <w:r w:rsidRPr="002A5C0E">
              <w:rPr>
                <w:rFonts w:asciiTheme="majorHAnsi" w:hAnsiTheme="majorHAnsi"/>
                <w:sz w:val="20"/>
                <w:szCs w:val="22"/>
              </w:rPr>
              <w:t xml:space="preserve">Overall coordination and responsibility for </w:t>
            </w:r>
            <w:r w:rsidR="0009113A" w:rsidRPr="002A5C0E">
              <w:rPr>
                <w:rFonts w:asciiTheme="majorHAnsi" w:hAnsiTheme="majorHAnsi"/>
                <w:sz w:val="20"/>
                <w:szCs w:val="22"/>
              </w:rPr>
              <w:t xml:space="preserve">monitoring </w:t>
            </w:r>
            <w:r w:rsidRPr="002A5C0E">
              <w:rPr>
                <w:rFonts w:asciiTheme="majorHAnsi" w:hAnsiTheme="majorHAnsi"/>
                <w:sz w:val="20"/>
                <w:szCs w:val="22"/>
              </w:rPr>
              <w:t>contract compliance; corporate engagement within DFAT and broader Aust</w:t>
            </w:r>
            <w:bookmarkStart w:id="2" w:name="_GoBack"/>
            <w:bookmarkEnd w:id="2"/>
            <w:r w:rsidRPr="002A5C0E">
              <w:rPr>
                <w:rFonts w:asciiTheme="majorHAnsi" w:hAnsiTheme="majorHAnsi"/>
                <w:sz w:val="20"/>
                <w:szCs w:val="22"/>
              </w:rPr>
              <w:t>ralian Government; liaison with ANGO Head Offices.</w:t>
            </w:r>
          </w:p>
        </w:tc>
        <w:tc>
          <w:tcPr>
            <w:tcW w:w="3969" w:type="dxa"/>
          </w:tcPr>
          <w:p w14:paraId="69342806" w14:textId="77777777" w:rsidR="00667503" w:rsidRPr="002A5C0E" w:rsidRDefault="00792D86" w:rsidP="000C3380">
            <w:pPr>
              <w:pStyle w:val="Default"/>
              <w:rPr>
                <w:rFonts w:asciiTheme="majorHAnsi" w:hAnsiTheme="majorHAnsi"/>
                <w:sz w:val="20"/>
                <w:szCs w:val="22"/>
              </w:rPr>
            </w:pPr>
            <w:r w:rsidRPr="002A5C0E">
              <w:rPr>
                <w:rFonts w:asciiTheme="majorHAnsi" w:hAnsiTheme="majorHAnsi"/>
                <w:sz w:val="20"/>
                <w:szCs w:val="22"/>
              </w:rPr>
              <w:t>Mandatory</w:t>
            </w:r>
            <w:r w:rsidR="000C3380" w:rsidRPr="002A5C0E">
              <w:rPr>
                <w:rFonts w:asciiTheme="majorHAnsi" w:hAnsiTheme="majorHAnsi"/>
                <w:sz w:val="20"/>
                <w:szCs w:val="22"/>
              </w:rPr>
              <w:t xml:space="preserve"> role ensuring smooth running of Program and compliance with Australian Government procedures </w:t>
            </w:r>
          </w:p>
        </w:tc>
      </w:tr>
      <w:tr w:rsidR="00667503" w:rsidRPr="007B0751" w14:paraId="011C351F" w14:textId="77777777" w:rsidTr="00971F7C">
        <w:tc>
          <w:tcPr>
            <w:tcW w:w="1242" w:type="dxa"/>
          </w:tcPr>
          <w:p w14:paraId="6FD37949"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ANGO</w:t>
            </w:r>
          </w:p>
        </w:tc>
        <w:tc>
          <w:tcPr>
            <w:tcW w:w="3129" w:type="dxa"/>
          </w:tcPr>
          <w:p w14:paraId="1EE0C894" w14:textId="35B34A3D" w:rsidR="00667503" w:rsidRPr="002A5C0E" w:rsidRDefault="0009113A" w:rsidP="0009113A">
            <w:pPr>
              <w:pStyle w:val="Default"/>
              <w:rPr>
                <w:rFonts w:asciiTheme="majorHAnsi" w:hAnsiTheme="majorHAnsi"/>
                <w:sz w:val="20"/>
                <w:szCs w:val="22"/>
              </w:rPr>
            </w:pPr>
            <w:r w:rsidRPr="002A5C0E">
              <w:rPr>
                <w:rFonts w:asciiTheme="majorHAnsi" w:hAnsiTheme="majorHAnsi"/>
                <w:sz w:val="20"/>
                <w:szCs w:val="22"/>
              </w:rPr>
              <w:t>Signatory to contracts with DFAT; overall responsibility for ensuring contract compliance</w:t>
            </w:r>
            <w:r w:rsidR="00BA7BB8">
              <w:rPr>
                <w:rFonts w:asciiTheme="majorHAnsi" w:hAnsiTheme="majorHAnsi"/>
                <w:sz w:val="20"/>
                <w:szCs w:val="22"/>
              </w:rPr>
              <w:t xml:space="preserve"> and quality control</w:t>
            </w:r>
            <w:r w:rsidRPr="002A5C0E">
              <w:rPr>
                <w:rFonts w:asciiTheme="majorHAnsi" w:hAnsiTheme="majorHAnsi"/>
                <w:sz w:val="20"/>
                <w:szCs w:val="22"/>
              </w:rPr>
              <w:t>; monitoring role; liaison with DFAT</w:t>
            </w:r>
          </w:p>
        </w:tc>
        <w:tc>
          <w:tcPr>
            <w:tcW w:w="3969" w:type="dxa"/>
          </w:tcPr>
          <w:p w14:paraId="307B8E56" w14:textId="77777777" w:rsidR="00302E45" w:rsidRPr="002A5C0E" w:rsidRDefault="00521D30" w:rsidP="001B3AD2">
            <w:pPr>
              <w:pStyle w:val="Default"/>
              <w:rPr>
                <w:rFonts w:asciiTheme="majorHAnsi" w:hAnsiTheme="majorHAnsi"/>
                <w:sz w:val="20"/>
                <w:szCs w:val="22"/>
              </w:rPr>
            </w:pPr>
            <w:r w:rsidRPr="002A5C0E">
              <w:rPr>
                <w:rFonts w:asciiTheme="majorHAnsi" w:hAnsiTheme="majorHAnsi"/>
                <w:sz w:val="20"/>
                <w:szCs w:val="22"/>
              </w:rPr>
              <w:t>Mandatory</w:t>
            </w:r>
            <w:r w:rsidR="0009113A" w:rsidRPr="002A5C0E">
              <w:rPr>
                <w:rFonts w:asciiTheme="majorHAnsi" w:hAnsiTheme="majorHAnsi"/>
                <w:sz w:val="20"/>
                <w:szCs w:val="22"/>
              </w:rPr>
              <w:t xml:space="preserve"> role – </w:t>
            </w:r>
            <w:r w:rsidR="00792D86" w:rsidRPr="002A5C0E">
              <w:rPr>
                <w:rFonts w:asciiTheme="majorHAnsi" w:hAnsiTheme="majorHAnsi"/>
                <w:sz w:val="20"/>
                <w:szCs w:val="22"/>
              </w:rPr>
              <w:t xml:space="preserve">responsible for </w:t>
            </w:r>
            <w:r w:rsidR="006E523C" w:rsidRPr="002A5C0E">
              <w:rPr>
                <w:rFonts w:asciiTheme="majorHAnsi" w:hAnsiTheme="majorHAnsi"/>
                <w:sz w:val="20"/>
                <w:szCs w:val="22"/>
              </w:rPr>
              <w:t xml:space="preserve">ensuring contractual compliance, </w:t>
            </w:r>
            <w:r w:rsidR="001B3AD2" w:rsidRPr="002A5C0E">
              <w:rPr>
                <w:rFonts w:asciiTheme="majorHAnsi" w:hAnsiTheme="majorHAnsi"/>
                <w:sz w:val="20"/>
                <w:szCs w:val="22"/>
              </w:rPr>
              <w:t xml:space="preserve">reporting oversight, </w:t>
            </w:r>
            <w:r w:rsidR="006E523C" w:rsidRPr="002A5C0E">
              <w:rPr>
                <w:rFonts w:asciiTheme="majorHAnsi" w:hAnsiTheme="majorHAnsi"/>
                <w:sz w:val="20"/>
                <w:szCs w:val="22"/>
              </w:rPr>
              <w:t>maintaining clear dialogue with Canberra, and that adequate due diligence processes are in place for selection of local partners</w:t>
            </w:r>
            <w:r w:rsidR="00302E45" w:rsidRPr="002A5C0E">
              <w:rPr>
                <w:rFonts w:asciiTheme="majorHAnsi" w:hAnsiTheme="majorHAnsi"/>
                <w:sz w:val="20"/>
                <w:szCs w:val="22"/>
              </w:rPr>
              <w:t xml:space="preserve">. </w:t>
            </w:r>
          </w:p>
          <w:p w14:paraId="0F105868" w14:textId="77777777" w:rsidR="00667503" w:rsidRPr="002A5C0E" w:rsidRDefault="00302E45" w:rsidP="001B3AD2">
            <w:pPr>
              <w:pStyle w:val="Default"/>
              <w:rPr>
                <w:rFonts w:asciiTheme="majorHAnsi" w:hAnsiTheme="majorHAnsi"/>
                <w:i/>
                <w:sz w:val="20"/>
                <w:szCs w:val="22"/>
              </w:rPr>
            </w:pPr>
            <w:r w:rsidRPr="002A5C0E">
              <w:rPr>
                <w:rFonts w:asciiTheme="majorHAnsi" w:hAnsiTheme="majorHAnsi"/>
                <w:i/>
                <w:sz w:val="20"/>
                <w:szCs w:val="22"/>
              </w:rPr>
              <w:t>NB i</w:t>
            </w:r>
            <w:r w:rsidR="001B3AD2" w:rsidRPr="002A5C0E">
              <w:rPr>
                <w:rFonts w:asciiTheme="majorHAnsi" w:hAnsiTheme="majorHAnsi"/>
                <w:i/>
                <w:sz w:val="20"/>
                <w:szCs w:val="22"/>
              </w:rPr>
              <w:t>mportant to ensure ANGO</w:t>
            </w:r>
            <w:r w:rsidR="0009113A" w:rsidRPr="002A5C0E">
              <w:rPr>
                <w:rFonts w:asciiTheme="majorHAnsi" w:hAnsiTheme="majorHAnsi"/>
                <w:i/>
                <w:sz w:val="20"/>
                <w:szCs w:val="22"/>
              </w:rPr>
              <w:t xml:space="preserve"> roles and responsibilities are not </w:t>
            </w:r>
            <w:r w:rsidR="00792D86" w:rsidRPr="002A5C0E">
              <w:rPr>
                <w:rFonts w:asciiTheme="majorHAnsi" w:hAnsiTheme="majorHAnsi"/>
                <w:i/>
                <w:sz w:val="20"/>
                <w:szCs w:val="22"/>
              </w:rPr>
              <w:t xml:space="preserve">overly </w:t>
            </w:r>
            <w:r w:rsidR="0009113A" w:rsidRPr="002A5C0E">
              <w:rPr>
                <w:rFonts w:asciiTheme="majorHAnsi" w:hAnsiTheme="majorHAnsi"/>
                <w:i/>
                <w:sz w:val="20"/>
                <w:szCs w:val="22"/>
              </w:rPr>
              <w:t>duplicated by PT based offices</w:t>
            </w:r>
          </w:p>
        </w:tc>
      </w:tr>
      <w:tr w:rsidR="00667503" w:rsidRPr="007B0751" w14:paraId="0FCD8E8C" w14:textId="77777777" w:rsidTr="00971F7C">
        <w:tc>
          <w:tcPr>
            <w:tcW w:w="1242" w:type="dxa"/>
          </w:tcPr>
          <w:p w14:paraId="322EA79A"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DFAT (Post)</w:t>
            </w:r>
          </w:p>
        </w:tc>
        <w:tc>
          <w:tcPr>
            <w:tcW w:w="3129" w:type="dxa"/>
          </w:tcPr>
          <w:p w14:paraId="42E08168" w14:textId="77777777" w:rsidR="00667503" w:rsidRPr="002A5C0E" w:rsidRDefault="00B1259C" w:rsidP="00B1259C">
            <w:pPr>
              <w:pStyle w:val="Default"/>
              <w:rPr>
                <w:rFonts w:asciiTheme="majorHAnsi" w:hAnsiTheme="majorHAnsi"/>
                <w:sz w:val="20"/>
                <w:szCs w:val="22"/>
              </w:rPr>
            </w:pPr>
            <w:r w:rsidRPr="002A5C0E">
              <w:rPr>
                <w:rFonts w:asciiTheme="majorHAnsi" w:hAnsiTheme="majorHAnsi"/>
                <w:sz w:val="20"/>
                <w:szCs w:val="22"/>
              </w:rPr>
              <w:t>Responsible for day to day hi</w:t>
            </w:r>
            <w:r w:rsidR="00792D86" w:rsidRPr="002A5C0E">
              <w:rPr>
                <w:rFonts w:asciiTheme="majorHAnsi" w:hAnsiTheme="majorHAnsi"/>
                <w:sz w:val="20"/>
                <w:szCs w:val="22"/>
              </w:rPr>
              <w:t>gher level Program management; p</w:t>
            </w:r>
            <w:r w:rsidRPr="002A5C0E">
              <w:rPr>
                <w:rFonts w:asciiTheme="majorHAnsi" w:hAnsiTheme="majorHAnsi"/>
                <w:sz w:val="20"/>
                <w:szCs w:val="22"/>
              </w:rPr>
              <w:t>erforms i</w:t>
            </w:r>
            <w:r w:rsidR="0009113A" w:rsidRPr="002A5C0E">
              <w:rPr>
                <w:rFonts w:asciiTheme="majorHAnsi" w:hAnsiTheme="majorHAnsi"/>
                <w:sz w:val="20"/>
                <w:szCs w:val="22"/>
              </w:rPr>
              <w:t>mportant monitoring and facilitating role; liaison with PA; contact point for Implementing partners in PA; participant in relevant technical working groups</w:t>
            </w:r>
            <w:r w:rsidR="00EA5371" w:rsidRPr="002A5C0E">
              <w:rPr>
                <w:rFonts w:asciiTheme="majorHAnsi" w:hAnsiTheme="majorHAnsi"/>
                <w:sz w:val="20"/>
                <w:szCs w:val="22"/>
              </w:rPr>
              <w:t xml:space="preserve">; troubleshooting </w:t>
            </w:r>
          </w:p>
        </w:tc>
        <w:tc>
          <w:tcPr>
            <w:tcW w:w="3969" w:type="dxa"/>
          </w:tcPr>
          <w:p w14:paraId="39D15C8B" w14:textId="77777777" w:rsidR="00667503" w:rsidRPr="002A5C0E" w:rsidRDefault="00EA5371" w:rsidP="00894239">
            <w:pPr>
              <w:pStyle w:val="Default"/>
              <w:rPr>
                <w:rFonts w:asciiTheme="majorHAnsi" w:hAnsiTheme="majorHAnsi"/>
                <w:sz w:val="20"/>
                <w:szCs w:val="22"/>
              </w:rPr>
            </w:pPr>
            <w:r w:rsidRPr="002A5C0E">
              <w:rPr>
                <w:rFonts w:asciiTheme="majorHAnsi" w:hAnsiTheme="majorHAnsi"/>
                <w:sz w:val="20"/>
                <w:szCs w:val="22"/>
              </w:rPr>
              <w:t>Performs vital relationship management, coordination and troubleshooting role, ensuring clear understanding of AMENCA amongst key stakeholders; ensures AMENCA an Australian face within the Palestine development community</w:t>
            </w:r>
            <w:r w:rsidRPr="002A5C0E">
              <w:rPr>
                <w:rStyle w:val="FootnoteReference"/>
                <w:rFonts w:asciiTheme="majorHAnsi" w:hAnsiTheme="majorHAnsi"/>
                <w:sz w:val="20"/>
                <w:szCs w:val="22"/>
              </w:rPr>
              <w:footnoteReference w:id="16"/>
            </w:r>
          </w:p>
          <w:p w14:paraId="2FD815EA" w14:textId="77777777" w:rsidR="00302E45" w:rsidRPr="002A5C0E" w:rsidRDefault="00302E45" w:rsidP="00302E45">
            <w:pPr>
              <w:pStyle w:val="Default"/>
              <w:rPr>
                <w:rFonts w:asciiTheme="majorHAnsi" w:hAnsiTheme="majorHAnsi"/>
                <w:i/>
                <w:sz w:val="20"/>
                <w:szCs w:val="22"/>
              </w:rPr>
            </w:pPr>
            <w:r w:rsidRPr="002A5C0E">
              <w:rPr>
                <w:rFonts w:asciiTheme="majorHAnsi" w:hAnsiTheme="majorHAnsi"/>
                <w:i/>
                <w:sz w:val="20"/>
                <w:szCs w:val="22"/>
              </w:rPr>
              <w:t>NB Interviewees persistently praised the commitment, knowledge and interest of DFAT staff in Ramallah</w:t>
            </w:r>
          </w:p>
        </w:tc>
      </w:tr>
      <w:tr w:rsidR="00667503" w:rsidRPr="007B0751" w14:paraId="68A61324" w14:textId="77777777" w:rsidTr="00971F7C">
        <w:tc>
          <w:tcPr>
            <w:tcW w:w="1242" w:type="dxa"/>
          </w:tcPr>
          <w:p w14:paraId="5BE250D9"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M&amp;E Advisor</w:t>
            </w:r>
          </w:p>
        </w:tc>
        <w:tc>
          <w:tcPr>
            <w:tcW w:w="3129" w:type="dxa"/>
          </w:tcPr>
          <w:p w14:paraId="14447352" w14:textId="38C43B2B" w:rsidR="00667503" w:rsidRPr="002A5C0E" w:rsidRDefault="00B1259C" w:rsidP="00894239">
            <w:pPr>
              <w:pStyle w:val="Default"/>
              <w:rPr>
                <w:rFonts w:asciiTheme="majorHAnsi" w:hAnsiTheme="majorHAnsi"/>
                <w:sz w:val="20"/>
                <w:szCs w:val="22"/>
              </w:rPr>
            </w:pPr>
            <w:r w:rsidRPr="002A5C0E">
              <w:rPr>
                <w:rFonts w:asciiTheme="majorHAnsi" w:hAnsiTheme="majorHAnsi"/>
                <w:sz w:val="20"/>
                <w:szCs w:val="22"/>
              </w:rPr>
              <w:t xml:space="preserve">Initially an external monitoring function that </w:t>
            </w:r>
            <w:r w:rsidR="00333F10" w:rsidRPr="002A5C0E">
              <w:rPr>
                <w:rFonts w:asciiTheme="majorHAnsi" w:hAnsiTheme="majorHAnsi"/>
                <w:sz w:val="20"/>
                <w:szCs w:val="22"/>
              </w:rPr>
              <w:t xml:space="preserve">has </w:t>
            </w:r>
            <w:r w:rsidRPr="002A5C0E">
              <w:rPr>
                <w:rFonts w:asciiTheme="majorHAnsi" w:hAnsiTheme="majorHAnsi"/>
                <w:sz w:val="20"/>
                <w:szCs w:val="22"/>
              </w:rPr>
              <w:t xml:space="preserve">evolved into a more </w:t>
            </w:r>
            <w:r w:rsidR="00333F10" w:rsidRPr="002A5C0E">
              <w:rPr>
                <w:rFonts w:asciiTheme="majorHAnsi" w:hAnsiTheme="majorHAnsi"/>
                <w:sz w:val="20"/>
                <w:szCs w:val="22"/>
              </w:rPr>
              <w:t>substantive</w:t>
            </w:r>
            <w:r w:rsidR="00CC04B8">
              <w:rPr>
                <w:rFonts w:asciiTheme="majorHAnsi" w:hAnsiTheme="majorHAnsi"/>
                <w:sz w:val="20"/>
                <w:szCs w:val="22"/>
              </w:rPr>
              <w:t xml:space="preserve"> </w:t>
            </w:r>
            <w:r w:rsidRPr="002A5C0E">
              <w:rPr>
                <w:rFonts w:asciiTheme="majorHAnsi" w:hAnsiTheme="majorHAnsi"/>
                <w:sz w:val="20"/>
                <w:szCs w:val="22"/>
              </w:rPr>
              <w:t xml:space="preserve">hands on </w:t>
            </w:r>
            <w:r w:rsidR="00DE49B0" w:rsidRPr="002A5C0E">
              <w:rPr>
                <w:rFonts w:asciiTheme="majorHAnsi" w:hAnsiTheme="majorHAnsi"/>
                <w:sz w:val="20"/>
                <w:szCs w:val="22"/>
              </w:rPr>
              <w:t xml:space="preserve">monitoring, </w:t>
            </w:r>
            <w:r w:rsidR="00521D30" w:rsidRPr="002A5C0E">
              <w:rPr>
                <w:rFonts w:asciiTheme="majorHAnsi" w:hAnsiTheme="majorHAnsi"/>
                <w:sz w:val="20"/>
                <w:szCs w:val="22"/>
              </w:rPr>
              <w:t>coordination</w:t>
            </w:r>
            <w:r w:rsidR="00DE49B0" w:rsidRPr="002A5C0E">
              <w:rPr>
                <w:rFonts w:asciiTheme="majorHAnsi" w:hAnsiTheme="majorHAnsi"/>
                <w:sz w:val="20"/>
                <w:szCs w:val="22"/>
              </w:rPr>
              <w:t xml:space="preserve"> and M&amp;E capacity building</w:t>
            </w:r>
            <w:r w:rsidR="00521D30" w:rsidRPr="002A5C0E">
              <w:rPr>
                <w:rFonts w:asciiTheme="majorHAnsi" w:hAnsiTheme="majorHAnsi"/>
                <w:sz w:val="20"/>
                <w:szCs w:val="22"/>
              </w:rPr>
              <w:t xml:space="preserve"> role; important backstop and information source to Post</w:t>
            </w:r>
          </w:p>
        </w:tc>
        <w:tc>
          <w:tcPr>
            <w:tcW w:w="3969" w:type="dxa"/>
          </w:tcPr>
          <w:p w14:paraId="2108C624" w14:textId="77777777" w:rsidR="00667503" w:rsidRPr="002A5C0E" w:rsidRDefault="008D326A" w:rsidP="00D74CD1">
            <w:pPr>
              <w:pStyle w:val="Default"/>
              <w:rPr>
                <w:rFonts w:asciiTheme="majorHAnsi" w:hAnsiTheme="majorHAnsi"/>
                <w:sz w:val="20"/>
                <w:szCs w:val="22"/>
              </w:rPr>
            </w:pPr>
            <w:r w:rsidRPr="002A5C0E">
              <w:rPr>
                <w:rFonts w:asciiTheme="majorHAnsi" w:hAnsiTheme="majorHAnsi"/>
                <w:sz w:val="20"/>
                <w:szCs w:val="22"/>
              </w:rPr>
              <w:t>Critical to the current program in terms of collating and synthesizing a vast amount of project data</w:t>
            </w:r>
            <w:r w:rsidR="00DE49B0" w:rsidRPr="002A5C0E">
              <w:rPr>
                <w:rFonts w:asciiTheme="majorHAnsi" w:hAnsiTheme="majorHAnsi"/>
                <w:sz w:val="20"/>
                <w:szCs w:val="22"/>
              </w:rPr>
              <w:t xml:space="preserve"> into rel</w:t>
            </w:r>
            <w:r w:rsidR="00D74CD1" w:rsidRPr="002A5C0E">
              <w:rPr>
                <w:rFonts w:asciiTheme="majorHAnsi" w:hAnsiTheme="majorHAnsi"/>
                <w:sz w:val="20"/>
                <w:szCs w:val="22"/>
              </w:rPr>
              <w:t>evant Program level analysis</w:t>
            </w:r>
            <w:r w:rsidR="00D4761E" w:rsidRPr="002A5C0E">
              <w:rPr>
                <w:rFonts w:asciiTheme="majorHAnsi" w:hAnsiTheme="majorHAnsi"/>
                <w:sz w:val="20"/>
                <w:szCs w:val="22"/>
              </w:rPr>
              <w:t>; has helped develop considerable M&amp;E capacity amongst consortia members</w:t>
            </w:r>
            <w:r w:rsidR="0023709C" w:rsidRPr="002A5C0E">
              <w:rPr>
                <w:rFonts w:asciiTheme="majorHAnsi" w:hAnsiTheme="majorHAnsi"/>
                <w:sz w:val="20"/>
                <w:szCs w:val="22"/>
              </w:rPr>
              <w:t>, which has been used to improve program performance and efficiency</w:t>
            </w:r>
          </w:p>
        </w:tc>
      </w:tr>
      <w:tr w:rsidR="00667503" w:rsidRPr="007B0751" w14:paraId="1ED0209F" w14:textId="77777777" w:rsidTr="00971F7C">
        <w:tc>
          <w:tcPr>
            <w:tcW w:w="1242" w:type="dxa"/>
          </w:tcPr>
          <w:p w14:paraId="46393188"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INGO (in PTs)</w:t>
            </w:r>
          </w:p>
        </w:tc>
        <w:tc>
          <w:tcPr>
            <w:tcW w:w="3129" w:type="dxa"/>
          </w:tcPr>
          <w:p w14:paraId="1B2E0600" w14:textId="77777777" w:rsidR="00667503" w:rsidRPr="002A5C0E" w:rsidRDefault="00D74CD1" w:rsidP="00D74CD1">
            <w:pPr>
              <w:pStyle w:val="Default"/>
              <w:rPr>
                <w:rFonts w:asciiTheme="majorHAnsi" w:hAnsiTheme="majorHAnsi"/>
                <w:sz w:val="20"/>
                <w:szCs w:val="22"/>
              </w:rPr>
            </w:pPr>
            <w:r w:rsidRPr="002A5C0E">
              <w:rPr>
                <w:rFonts w:asciiTheme="majorHAnsi" w:hAnsiTheme="majorHAnsi"/>
                <w:sz w:val="20"/>
                <w:szCs w:val="22"/>
              </w:rPr>
              <w:t>Lead agency in country, responsible for coordination of day to day implementation arrange</w:t>
            </w:r>
            <w:r w:rsidR="00215695" w:rsidRPr="002A5C0E">
              <w:rPr>
                <w:rFonts w:asciiTheme="majorHAnsi" w:hAnsiTheme="majorHAnsi"/>
                <w:sz w:val="20"/>
                <w:szCs w:val="22"/>
              </w:rPr>
              <w:t>ments of consortia to ensure achievement of objectives</w:t>
            </w:r>
          </w:p>
        </w:tc>
        <w:tc>
          <w:tcPr>
            <w:tcW w:w="3969" w:type="dxa"/>
          </w:tcPr>
          <w:p w14:paraId="4FA8EE70" w14:textId="77777777" w:rsidR="00667503" w:rsidRPr="002A5C0E" w:rsidRDefault="00BB0E37" w:rsidP="00BB0E37">
            <w:pPr>
              <w:pStyle w:val="Default"/>
              <w:rPr>
                <w:rFonts w:asciiTheme="majorHAnsi" w:hAnsiTheme="majorHAnsi"/>
                <w:sz w:val="20"/>
                <w:szCs w:val="22"/>
              </w:rPr>
            </w:pPr>
            <w:r w:rsidRPr="002A5C0E">
              <w:rPr>
                <w:rFonts w:asciiTheme="majorHAnsi" w:hAnsiTheme="majorHAnsi"/>
                <w:sz w:val="20"/>
                <w:szCs w:val="22"/>
              </w:rPr>
              <w:t xml:space="preserve">All four projects have set up significantly different in-country structures. </w:t>
            </w:r>
            <w:r w:rsidRPr="002A5C0E">
              <w:rPr>
                <w:rFonts w:asciiTheme="majorHAnsi" w:hAnsiTheme="majorHAnsi"/>
                <w:i/>
                <w:sz w:val="20"/>
                <w:szCs w:val="22"/>
              </w:rPr>
              <w:t xml:space="preserve">Role, responsibility and </w:t>
            </w:r>
            <w:proofErr w:type="spellStart"/>
            <w:r w:rsidRPr="002A5C0E">
              <w:rPr>
                <w:rFonts w:asciiTheme="majorHAnsi" w:hAnsiTheme="majorHAnsi"/>
                <w:i/>
                <w:sz w:val="20"/>
                <w:szCs w:val="22"/>
              </w:rPr>
              <w:t>costings</w:t>
            </w:r>
            <w:proofErr w:type="spellEnd"/>
            <w:r w:rsidRPr="002A5C0E">
              <w:rPr>
                <w:rFonts w:asciiTheme="majorHAnsi" w:hAnsiTheme="majorHAnsi"/>
                <w:i/>
                <w:sz w:val="20"/>
                <w:szCs w:val="22"/>
              </w:rPr>
              <w:t xml:space="preserve"> need to be considered alongside </w:t>
            </w:r>
            <w:r w:rsidR="00654D57" w:rsidRPr="002A5C0E">
              <w:rPr>
                <w:rFonts w:asciiTheme="majorHAnsi" w:hAnsiTheme="majorHAnsi"/>
                <w:i/>
                <w:sz w:val="20"/>
                <w:szCs w:val="22"/>
              </w:rPr>
              <w:t>those of Australian based staff</w:t>
            </w:r>
            <w:r w:rsidRPr="002A5C0E">
              <w:rPr>
                <w:rFonts w:asciiTheme="majorHAnsi" w:hAnsiTheme="majorHAnsi"/>
                <w:i/>
                <w:sz w:val="20"/>
                <w:szCs w:val="22"/>
              </w:rPr>
              <w:t xml:space="preserve"> to avoid duplication</w:t>
            </w:r>
            <w:r w:rsidR="00654D57" w:rsidRPr="002A5C0E">
              <w:rPr>
                <w:rFonts w:asciiTheme="majorHAnsi" w:hAnsiTheme="majorHAnsi"/>
                <w:i/>
                <w:sz w:val="20"/>
                <w:szCs w:val="22"/>
              </w:rPr>
              <w:t xml:space="preserve"> and better understand ‘value for money’</w:t>
            </w:r>
          </w:p>
        </w:tc>
      </w:tr>
      <w:tr w:rsidR="00667503" w:rsidRPr="007B0751" w14:paraId="4A5181C4" w14:textId="77777777" w:rsidTr="00971F7C">
        <w:tc>
          <w:tcPr>
            <w:tcW w:w="1242" w:type="dxa"/>
          </w:tcPr>
          <w:p w14:paraId="318036C0"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PNGOs</w:t>
            </w:r>
          </w:p>
        </w:tc>
        <w:tc>
          <w:tcPr>
            <w:tcW w:w="3129" w:type="dxa"/>
          </w:tcPr>
          <w:p w14:paraId="1EC12610" w14:textId="77777777" w:rsidR="00667503" w:rsidRPr="002A5C0E" w:rsidRDefault="00BB0E37" w:rsidP="00D4761E">
            <w:pPr>
              <w:pStyle w:val="Default"/>
              <w:rPr>
                <w:rFonts w:asciiTheme="majorHAnsi" w:hAnsiTheme="majorHAnsi"/>
                <w:sz w:val="20"/>
                <w:szCs w:val="22"/>
              </w:rPr>
            </w:pPr>
            <w:r w:rsidRPr="002A5C0E">
              <w:rPr>
                <w:rFonts w:asciiTheme="majorHAnsi" w:hAnsiTheme="majorHAnsi"/>
                <w:sz w:val="20"/>
                <w:szCs w:val="22"/>
              </w:rPr>
              <w:t>Responsibility for delivery of discrete components of consortia contracts; generally very capable in all aspects of implementation; technically strong in their specialist areas</w:t>
            </w:r>
            <w:r w:rsidR="00D4761E" w:rsidRPr="002A5C0E">
              <w:rPr>
                <w:rFonts w:asciiTheme="majorHAnsi" w:hAnsiTheme="majorHAnsi"/>
                <w:sz w:val="20"/>
                <w:szCs w:val="22"/>
              </w:rPr>
              <w:t>; bring vital cultural understanding and nuance to Program</w:t>
            </w:r>
          </w:p>
        </w:tc>
        <w:tc>
          <w:tcPr>
            <w:tcW w:w="3969" w:type="dxa"/>
          </w:tcPr>
          <w:p w14:paraId="72DE0422" w14:textId="77777777" w:rsidR="00667503" w:rsidRPr="002A5C0E" w:rsidRDefault="00D4761E" w:rsidP="00C273B6">
            <w:pPr>
              <w:pStyle w:val="Default"/>
              <w:rPr>
                <w:rFonts w:asciiTheme="majorHAnsi" w:hAnsiTheme="majorHAnsi"/>
                <w:sz w:val="20"/>
                <w:szCs w:val="22"/>
              </w:rPr>
            </w:pPr>
            <w:r w:rsidRPr="002A5C0E">
              <w:rPr>
                <w:rFonts w:asciiTheme="majorHAnsi" w:hAnsiTheme="majorHAnsi"/>
                <w:sz w:val="20"/>
                <w:szCs w:val="22"/>
              </w:rPr>
              <w:t>Critical to implementation, especially given compl</w:t>
            </w:r>
            <w:r w:rsidR="00C273B6" w:rsidRPr="002A5C0E">
              <w:rPr>
                <w:rFonts w:asciiTheme="majorHAnsi" w:hAnsiTheme="majorHAnsi"/>
                <w:sz w:val="20"/>
                <w:szCs w:val="22"/>
              </w:rPr>
              <w:t>e</w:t>
            </w:r>
            <w:r w:rsidRPr="002A5C0E">
              <w:rPr>
                <w:rFonts w:asciiTheme="majorHAnsi" w:hAnsiTheme="majorHAnsi"/>
                <w:sz w:val="20"/>
                <w:szCs w:val="22"/>
              </w:rPr>
              <w:t xml:space="preserve">x operating environment; their local understanding and relationships contribute substantially to risk assessment and management; </w:t>
            </w:r>
            <w:r w:rsidR="00C273B6" w:rsidRPr="002A5C0E">
              <w:rPr>
                <w:rFonts w:asciiTheme="majorHAnsi" w:hAnsiTheme="majorHAnsi"/>
                <w:sz w:val="20"/>
                <w:szCs w:val="22"/>
              </w:rPr>
              <w:t>they value add to AMENCA in terms of bringin</w:t>
            </w:r>
            <w:r w:rsidR="00654D57" w:rsidRPr="002A5C0E">
              <w:rPr>
                <w:rFonts w:asciiTheme="majorHAnsi" w:hAnsiTheme="majorHAnsi"/>
                <w:sz w:val="20"/>
                <w:szCs w:val="22"/>
              </w:rPr>
              <w:t>g lessons already learned to</w:t>
            </w:r>
            <w:r w:rsidR="00C273B6" w:rsidRPr="002A5C0E">
              <w:rPr>
                <w:rFonts w:asciiTheme="majorHAnsi" w:hAnsiTheme="majorHAnsi"/>
                <w:sz w:val="20"/>
                <w:szCs w:val="22"/>
              </w:rPr>
              <w:t xml:space="preserve"> Program decision-making and strategic planning </w:t>
            </w:r>
          </w:p>
        </w:tc>
      </w:tr>
      <w:tr w:rsidR="00667503" w:rsidRPr="007B0751" w14:paraId="0E085BB3" w14:textId="77777777" w:rsidTr="00971F7C">
        <w:tc>
          <w:tcPr>
            <w:tcW w:w="1242" w:type="dxa"/>
          </w:tcPr>
          <w:p w14:paraId="33EC07F5" w14:textId="6B28C8DE" w:rsidR="00667503" w:rsidRPr="002A5C0E" w:rsidRDefault="00654D57" w:rsidP="00894239">
            <w:pPr>
              <w:pStyle w:val="Default"/>
              <w:rPr>
                <w:rFonts w:asciiTheme="majorHAnsi" w:hAnsiTheme="majorHAnsi"/>
                <w:sz w:val="20"/>
                <w:szCs w:val="22"/>
              </w:rPr>
            </w:pPr>
            <w:r w:rsidRPr="002A5C0E">
              <w:rPr>
                <w:rFonts w:asciiTheme="majorHAnsi" w:hAnsiTheme="majorHAnsi"/>
                <w:sz w:val="20"/>
                <w:szCs w:val="22"/>
              </w:rPr>
              <w:t>P</w:t>
            </w:r>
            <w:r w:rsidR="00BA7BB8">
              <w:rPr>
                <w:rFonts w:asciiTheme="majorHAnsi" w:hAnsiTheme="majorHAnsi"/>
                <w:sz w:val="20"/>
                <w:szCs w:val="22"/>
              </w:rPr>
              <w:t xml:space="preserve">alestinian </w:t>
            </w:r>
            <w:r w:rsidRPr="002A5C0E">
              <w:rPr>
                <w:rFonts w:asciiTheme="majorHAnsi" w:hAnsiTheme="majorHAnsi"/>
                <w:sz w:val="20"/>
                <w:szCs w:val="22"/>
              </w:rPr>
              <w:t>A</w:t>
            </w:r>
            <w:r w:rsidR="00BA7BB8">
              <w:rPr>
                <w:rFonts w:asciiTheme="majorHAnsi" w:hAnsiTheme="majorHAnsi"/>
                <w:sz w:val="20"/>
                <w:szCs w:val="22"/>
              </w:rPr>
              <w:t>uthority</w:t>
            </w:r>
          </w:p>
        </w:tc>
        <w:tc>
          <w:tcPr>
            <w:tcW w:w="3129" w:type="dxa"/>
          </w:tcPr>
          <w:p w14:paraId="00FA0DFC" w14:textId="77777777" w:rsidR="00667503" w:rsidRPr="002A5C0E" w:rsidRDefault="002703C1" w:rsidP="009948D5">
            <w:pPr>
              <w:pStyle w:val="Default"/>
              <w:rPr>
                <w:rFonts w:asciiTheme="majorHAnsi" w:hAnsiTheme="majorHAnsi"/>
                <w:sz w:val="20"/>
                <w:szCs w:val="22"/>
              </w:rPr>
            </w:pPr>
            <w:r w:rsidRPr="002A5C0E">
              <w:rPr>
                <w:rFonts w:asciiTheme="majorHAnsi" w:hAnsiTheme="majorHAnsi"/>
                <w:sz w:val="20"/>
                <w:szCs w:val="22"/>
              </w:rPr>
              <w:t xml:space="preserve">Some collaboration with the Department of Agriculture, though no formal relationship at this stage; Program </w:t>
            </w:r>
            <w:r w:rsidR="009948D5" w:rsidRPr="002A5C0E">
              <w:rPr>
                <w:rFonts w:asciiTheme="majorHAnsi" w:hAnsiTheme="majorHAnsi"/>
                <w:sz w:val="20"/>
                <w:szCs w:val="22"/>
              </w:rPr>
              <w:t xml:space="preserve">generally </w:t>
            </w:r>
            <w:r w:rsidRPr="002A5C0E">
              <w:rPr>
                <w:rFonts w:asciiTheme="majorHAnsi" w:hAnsiTheme="majorHAnsi"/>
                <w:sz w:val="20"/>
                <w:szCs w:val="22"/>
              </w:rPr>
              <w:t>align</w:t>
            </w:r>
            <w:r w:rsidR="009948D5" w:rsidRPr="002A5C0E">
              <w:rPr>
                <w:rFonts w:asciiTheme="majorHAnsi" w:hAnsiTheme="majorHAnsi"/>
                <w:sz w:val="20"/>
                <w:szCs w:val="22"/>
              </w:rPr>
              <w:t>s</w:t>
            </w:r>
            <w:r w:rsidRPr="002A5C0E">
              <w:rPr>
                <w:rFonts w:asciiTheme="majorHAnsi" w:hAnsiTheme="majorHAnsi"/>
                <w:sz w:val="20"/>
                <w:szCs w:val="22"/>
              </w:rPr>
              <w:t xml:space="preserve"> with </w:t>
            </w:r>
            <w:r w:rsidR="009948D5" w:rsidRPr="002A5C0E">
              <w:rPr>
                <w:rFonts w:asciiTheme="majorHAnsi" w:hAnsiTheme="majorHAnsi"/>
                <w:sz w:val="20"/>
                <w:szCs w:val="22"/>
              </w:rPr>
              <w:t>PA</w:t>
            </w:r>
            <w:r w:rsidRPr="002A5C0E">
              <w:rPr>
                <w:rFonts w:asciiTheme="majorHAnsi" w:hAnsiTheme="majorHAnsi"/>
                <w:sz w:val="20"/>
                <w:szCs w:val="22"/>
              </w:rPr>
              <w:t xml:space="preserve"> strategic</w:t>
            </w:r>
            <w:r w:rsidR="009948D5" w:rsidRPr="002A5C0E">
              <w:rPr>
                <w:rFonts w:asciiTheme="majorHAnsi" w:hAnsiTheme="majorHAnsi"/>
                <w:sz w:val="20"/>
                <w:szCs w:val="22"/>
              </w:rPr>
              <w:t xml:space="preserve"> directions</w:t>
            </w:r>
          </w:p>
        </w:tc>
        <w:tc>
          <w:tcPr>
            <w:tcW w:w="3969" w:type="dxa"/>
          </w:tcPr>
          <w:p w14:paraId="13F73712" w14:textId="77777777" w:rsidR="00667503" w:rsidRPr="002A5C0E" w:rsidRDefault="009948D5" w:rsidP="00894239">
            <w:pPr>
              <w:pStyle w:val="Default"/>
              <w:rPr>
                <w:rFonts w:asciiTheme="majorHAnsi" w:hAnsiTheme="majorHAnsi"/>
                <w:sz w:val="20"/>
                <w:szCs w:val="22"/>
              </w:rPr>
            </w:pPr>
            <w:r w:rsidRPr="002A5C0E">
              <w:rPr>
                <w:rFonts w:asciiTheme="majorHAnsi" w:hAnsiTheme="majorHAnsi"/>
                <w:sz w:val="20"/>
                <w:szCs w:val="22"/>
              </w:rPr>
              <w:t xml:space="preserve">Momentum exists </w:t>
            </w:r>
            <w:r w:rsidR="009D70A9" w:rsidRPr="002A5C0E">
              <w:rPr>
                <w:rFonts w:asciiTheme="majorHAnsi" w:hAnsiTheme="majorHAnsi"/>
                <w:sz w:val="20"/>
                <w:szCs w:val="22"/>
              </w:rPr>
              <w:t>within the Palestin</w:t>
            </w:r>
            <w:r w:rsidRPr="002A5C0E">
              <w:rPr>
                <w:rFonts w:asciiTheme="majorHAnsi" w:hAnsiTheme="majorHAnsi"/>
                <w:sz w:val="20"/>
                <w:szCs w:val="22"/>
              </w:rPr>
              <w:t>ian development community for greater levels of engagement of Palestinian authorities – often couched in ‘state building’ or ‘institutional strengthening’ language</w:t>
            </w:r>
          </w:p>
        </w:tc>
      </w:tr>
      <w:tr w:rsidR="00667503" w:rsidRPr="007B0751" w14:paraId="5A5BEAE6" w14:textId="77777777" w:rsidTr="00971F7C">
        <w:tc>
          <w:tcPr>
            <w:tcW w:w="1242" w:type="dxa"/>
          </w:tcPr>
          <w:p w14:paraId="71B29CCE"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CBOs</w:t>
            </w:r>
            <w:r w:rsidR="00567B42" w:rsidRPr="002A5C0E">
              <w:rPr>
                <w:rFonts w:asciiTheme="majorHAnsi" w:hAnsiTheme="majorHAnsi"/>
                <w:sz w:val="20"/>
                <w:szCs w:val="22"/>
              </w:rPr>
              <w:t xml:space="preserve"> (and Cooper</w:t>
            </w:r>
            <w:r w:rsidR="006C58F5" w:rsidRPr="002A5C0E">
              <w:rPr>
                <w:rFonts w:asciiTheme="majorHAnsi" w:hAnsiTheme="majorHAnsi"/>
                <w:sz w:val="20"/>
                <w:szCs w:val="22"/>
              </w:rPr>
              <w:t>-</w:t>
            </w:r>
            <w:proofErr w:type="spellStart"/>
            <w:r w:rsidR="00567B42" w:rsidRPr="002A5C0E">
              <w:rPr>
                <w:rFonts w:asciiTheme="majorHAnsi" w:hAnsiTheme="majorHAnsi"/>
                <w:sz w:val="20"/>
                <w:szCs w:val="22"/>
              </w:rPr>
              <w:t>atives</w:t>
            </w:r>
            <w:proofErr w:type="spellEnd"/>
            <w:r w:rsidR="00567B42" w:rsidRPr="002A5C0E">
              <w:rPr>
                <w:rFonts w:asciiTheme="majorHAnsi" w:hAnsiTheme="majorHAnsi"/>
                <w:sz w:val="20"/>
                <w:szCs w:val="22"/>
              </w:rPr>
              <w:t>)</w:t>
            </w:r>
          </w:p>
        </w:tc>
        <w:tc>
          <w:tcPr>
            <w:tcW w:w="3129" w:type="dxa"/>
          </w:tcPr>
          <w:p w14:paraId="6C368AEC" w14:textId="77777777" w:rsidR="00667503" w:rsidRPr="002A5C0E" w:rsidRDefault="00567B42" w:rsidP="00567B42">
            <w:pPr>
              <w:pStyle w:val="Default"/>
              <w:rPr>
                <w:rFonts w:asciiTheme="majorHAnsi" w:hAnsiTheme="majorHAnsi"/>
                <w:sz w:val="20"/>
                <w:szCs w:val="22"/>
              </w:rPr>
            </w:pPr>
            <w:r w:rsidRPr="002A5C0E">
              <w:rPr>
                <w:rFonts w:asciiTheme="majorHAnsi" w:hAnsiTheme="majorHAnsi"/>
                <w:sz w:val="20"/>
                <w:szCs w:val="22"/>
              </w:rPr>
              <w:t>Both a beneficiary and facilitator; k</w:t>
            </w:r>
            <w:r w:rsidR="009D70A9" w:rsidRPr="002A5C0E">
              <w:rPr>
                <w:rFonts w:asciiTheme="majorHAnsi" w:hAnsiTheme="majorHAnsi"/>
                <w:sz w:val="20"/>
                <w:szCs w:val="22"/>
              </w:rPr>
              <w:t>ey point of investment for Program; play important role in one or more of community</w:t>
            </w:r>
            <w:r w:rsidRPr="002A5C0E">
              <w:rPr>
                <w:rFonts w:asciiTheme="majorHAnsi" w:hAnsiTheme="majorHAnsi"/>
                <w:sz w:val="20"/>
                <w:szCs w:val="22"/>
              </w:rPr>
              <w:t xml:space="preserve"> mobilization/</w:t>
            </w:r>
            <w:r w:rsidR="009D70A9" w:rsidRPr="002A5C0E">
              <w:rPr>
                <w:rFonts w:asciiTheme="majorHAnsi" w:hAnsiTheme="majorHAnsi"/>
                <w:sz w:val="20"/>
                <w:szCs w:val="22"/>
              </w:rPr>
              <w:t>strengthening</w:t>
            </w:r>
            <w:r w:rsidRPr="002A5C0E">
              <w:rPr>
                <w:rFonts w:asciiTheme="majorHAnsi" w:hAnsiTheme="majorHAnsi"/>
                <w:sz w:val="20"/>
                <w:szCs w:val="22"/>
              </w:rPr>
              <w:t>, service provision,</w:t>
            </w:r>
            <w:r w:rsidR="009D70A9" w:rsidRPr="002A5C0E">
              <w:rPr>
                <w:rFonts w:asciiTheme="majorHAnsi" w:hAnsiTheme="majorHAnsi"/>
                <w:sz w:val="20"/>
                <w:szCs w:val="22"/>
              </w:rPr>
              <w:t xml:space="preserve"> beneficiary selection and leveraging opportunities for </w:t>
            </w:r>
            <w:r w:rsidRPr="002A5C0E">
              <w:rPr>
                <w:rFonts w:asciiTheme="majorHAnsi" w:hAnsiTheme="majorHAnsi"/>
                <w:sz w:val="20"/>
                <w:szCs w:val="22"/>
              </w:rPr>
              <w:t>more active parti</w:t>
            </w:r>
            <w:r w:rsidR="00BF757C" w:rsidRPr="002A5C0E">
              <w:rPr>
                <w:rFonts w:asciiTheme="majorHAnsi" w:hAnsiTheme="majorHAnsi"/>
                <w:sz w:val="20"/>
                <w:szCs w:val="22"/>
              </w:rPr>
              <w:t>cipation of women and youth</w:t>
            </w:r>
          </w:p>
        </w:tc>
        <w:tc>
          <w:tcPr>
            <w:tcW w:w="3969" w:type="dxa"/>
          </w:tcPr>
          <w:p w14:paraId="037C808A" w14:textId="77777777" w:rsidR="00667503" w:rsidRPr="002A5C0E" w:rsidRDefault="00567B42" w:rsidP="00387536">
            <w:pPr>
              <w:pStyle w:val="Default"/>
              <w:rPr>
                <w:rFonts w:asciiTheme="majorHAnsi" w:hAnsiTheme="majorHAnsi"/>
                <w:sz w:val="20"/>
                <w:szCs w:val="22"/>
              </w:rPr>
            </w:pPr>
            <w:r w:rsidRPr="002A5C0E">
              <w:rPr>
                <w:rFonts w:asciiTheme="majorHAnsi" w:hAnsiTheme="majorHAnsi"/>
                <w:sz w:val="20"/>
                <w:szCs w:val="22"/>
              </w:rPr>
              <w:t xml:space="preserve">To use a cliché, CBOs </w:t>
            </w:r>
            <w:r w:rsidR="0064000C" w:rsidRPr="002A5C0E">
              <w:rPr>
                <w:rFonts w:asciiTheme="majorHAnsi" w:hAnsiTheme="majorHAnsi"/>
                <w:sz w:val="20"/>
                <w:szCs w:val="22"/>
              </w:rPr>
              <w:t>can be either part of the problem or the</w:t>
            </w:r>
            <w:r w:rsidRPr="002A5C0E">
              <w:rPr>
                <w:rFonts w:asciiTheme="majorHAnsi" w:hAnsiTheme="majorHAnsi"/>
                <w:sz w:val="20"/>
                <w:szCs w:val="22"/>
              </w:rPr>
              <w:t xml:space="preserve"> solution</w:t>
            </w:r>
            <w:r w:rsidR="0064000C" w:rsidRPr="002A5C0E">
              <w:rPr>
                <w:rFonts w:asciiTheme="majorHAnsi" w:hAnsiTheme="majorHAnsi"/>
                <w:sz w:val="20"/>
                <w:szCs w:val="22"/>
              </w:rPr>
              <w:t xml:space="preserve">. CBOs potentially reinforce </w:t>
            </w:r>
            <w:r w:rsidR="00387536" w:rsidRPr="002A5C0E">
              <w:rPr>
                <w:rFonts w:asciiTheme="majorHAnsi" w:hAnsiTheme="majorHAnsi"/>
                <w:sz w:val="20"/>
                <w:szCs w:val="22"/>
              </w:rPr>
              <w:t xml:space="preserve">traditional </w:t>
            </w:r>
            <w:r w:rsidR="0064000C" w:rsidRPr="002A5C0E">
              <w:rPr>
                <w:rFonts w:asciiTheme="majorHAnsi" w:hAnsiTheme="majorHAnsi"/>
                <w:sz w:val="20"/>
                <w:szCs w:val="22"/>
              </w:rPr>
              <w:t xml:space="preserve">power dynamics within a community when not actively engaged or closely monitored. </w:t>
            </w:r>
            <w:r w:rsidR="00387536" w:rsidRPr="002A5C0E">
              <w:rPr>
                <w:rFonts w:asciiTheme="majorHAnsi" w:hAnsiTheme="majorHAnsi"/>
                <w:sz w:val="20"/>
                <w:szCs w:val="22"/>
              </w:rPr>
              <w:t>In other communities, CBOs have acted as profound agents of change opening opportunities for critically important opportunities for women and youth.</w:t>
            </w:r>
          </w:p>
        </w:tc>
      </w:tr>
      <w:tr w:rsidR="00667503" w:rsidRPr="007B0751" w14:paraId="348594D0" w14:textId="77777777" w:rsidTr="00971F7C">
        <w:tc>
          <w:tcPr>
            <w:tcW w:w="1242" w:type="dxa"/>
          </w:tcPr>
          <w:p w14:paraId="134F5F4F" w14:textId="77777777" w:rsidR="00667503" w:rsidRPr="002A5C0E" w:rsidRDefault="00667503" w:rsidP="00894239">
            <w:pPr>
              <w:pStyle w:val="Default"/>
              <w:rPr>
                <w:rFonts w:asciiTheme="majorHAnsi" w:hAnsiTheme="majorHAnsi"/>
                <w:sz w:val="20"/>
                <w:szCs w:val="22"/>
              </w:rPr>
            </w:pPr>
            <w:proofErr w:type="spellStart"/>
            <w:r w:rsidRPr="002A5C0E">
              <w:rPr>
                <w:rFonts w:asciiTheme="majorHAnsi" w:hAnsiTheme="majorHAnsi"/>
                <w:sz w:val="20"/>
                <w:szCs w:val="22"/>
              </w:rPr>
              <w:t>Commun</w:t>
            </w:r>
            <w:r w:rsidR="006C58F5" w:rsidRPr="002A5C0E">
              <w:rPr>
                <w:rFonts w:asciiTheme="majorHAnsi" w:hAnsiTheme="majorHAnsi"/>
                <w:sz w:val="20"/>
                <w:szCs w:val="22"/>
              </w:rPr>
              <w:t>-</w:t>
            </w:r>
            <w:r w:rsidRPr="002A5C0E">
              <w:rPr>
                <w:rFonts w:asciiTheme="majorHAnsi" w:hAnsiTheme="majorHAnsi"/>
                <w:sz w:val="20"/>
                <w:szCs w:val="22"/>
              </w:rPr>
              <w:t>ities</w:t>
            </w:r>
            <w:proofErr w:type="spellEnd"/>
          </w:p>
        </w:tc>
        <w:tc>
          <w:tcPr>
            <w:tcW w:w="3129" w:type="dxa"/>
          </w:tcPr>
          <w:p w14:paraId="670826CC" w14:textId="77777777" w:rsidR="00667503" w:rsidRPr="002A5C0E" w:rsidRDefault="00387536" w:rsidP="00387536">
            <w:pPr>
              <w:pStyle w:val="Default"/>
              <w:rPr>
                <w:rFonts w:asciiTheme="majorHAnsi" w:hAnsiTheme="majorHAnsi"/>
                <w:sz w:val="20"/>
                <w:szCs w:val="22"/>
              </w:rPr>
            </w:pPr>
            <w:r w:rsidRPr="002A5C0E">
              <w:rPr>
                <w:rFonts w:asciiTheme="majorHAnsi" w:hAnsiTheme="majorHAnsi"/>
                <w:sz w:val="20"/>
                <w:szCs w:val="22"/>
              </w:rPr>
              <w:t>It is important to note that CBOs are not communities. Some CBOs are akin to ‘clubs’ or ‘interest groups’ catering to the needs of only a proportion of the community – often the already empowered section with time to</w:t>
            </w:r>
            <w:r w:rsidR="00BF757C" w:rsidRPr="002A5C0E">
              <w:rPr>
                <w:rFonts w:asciiTheme="majorHAnsi" w:hAnsiTheme="majorHAnsi"/>
                <w:sz w:val="20"/>
                <w:szCs w:val="22"/>
              </w:rPr>
              <w:t xml:space="preserve"> spare to be active in a ‘club’</w:t>
            </w:r>
          </w:p>
        </w:tc>
        <w:tc>
          <w:tcPr>
            <w:tcW w:w="3969" w:type="dxa"/>
          </w:tcPr>
          <w:p w14:paraId="3EC55CCA" w14:textId="77777777" w:rsidR="00667503" w:rsidRPr="002A5C0E" w:rsidRDefault="00387536" w:rsidP="00CA4749">
            <w:pPr>
              <w:pStyle w:val="Default"/>
              <w:rPr>
                <w:rFonts w:asciiTheme="majorHAnsi" w:hAnsiTheme="majorHAnsi"/>
                <w:sz w:val="20"/>
                <w:szCs w:val="22"/>
              </w:rPr>
            </w:pPr>
            <w:r w:rsidRPr="002A5C0E">
              <w:rPr>
                <w:rFonts w:asciiTheme="majorHAnsi" w:hAnsiTheme="majorHAnsi"/>
                <w:sz w:val="20"/>
                <w:szCs w:val="22"/>
              </w:rPr>
              <w:t xml:space="preserve">The Program </w:t>
            </w:r>
            <w:r w:rsidR="009B62F7" w:rsidRPr="002A5C0E">
              <w:rPr>
                <w:rFonts w:asciiTheme="majorHAnsi" w:hAnsiTheme="majorHAnsi"/>
                <w:sz w:val="20"/>
                <w:szCs w:val="22"/>
              </w:rPr>
              <w:t>w</w:t>
            </w:r>
            <w:r w:rsidR="00612FF7" w:rsidRPr="002A5C0E">
              <w:rPr>
                <w:rFonts w:asciiTheme="majorHAnsi" w:hAnsiTheme="majorHAnsi"/>
                <w:sz w:val="20"/>
                <w:szCs w:val="22"/>
              </w:rPr>
              <w:t xml:space="preserve">ould benefit from </w:t>
            </w:r>
            <w:r w:rsidR="009B62F7" w:rsidRPr="002A5C0E">
              <w:rPr>
                <w:rFonts w:asciiTheme="majorHAnsi" w:hAnsiTheme="majorHAnsi"/>
                <w:sz w:val="20"/>
                <w:szCs w:val="22"/>
              </w:rPr>
              <w:t xml:space="preserve">ensuring that it is </w:t>
            </w:r>
            <w:r w:rsidR="00CA4749" w:rsidRPr="002A5C0E">
              <w:rPr>
                <w:rFonts w:asciiTheme="majorHAnsi" w:hAnsiTheme="majorHAnsi"/>
                <w:sz w:val="20"/>
                <w:szCs w:val="22"/>
                <w:u w:val="single"/>
              </w:rPr>
              <w:t>genuinely</w:t>
            </w:r>
            <w:r w:rsidR="00CA4749" w:rsidRPr="002A5C0E">
              <w:rPr>
                <w:rFonts w:asciiTheme="majorHAnsi" w:hAnsiTheme="majorHAnsi"/>
                <w:sz w:val="20"/>
                <w:szCs w:val="22"/>
              </w:rPr>
              <w:t xml:space="preserve"> </w:t>
            </w:r>
            <w:r w:rsidRPr="002A5C0E">
              <w:rPr>
                <w:rFonts w:asciiTheme="majorHAnsi" w:hAnsiTheme="majorHAnsi"/>
                <w:sz w:val="20"/>
                <w:szCs w:val="22"/>
              </w:rPr>
              <w:t xml:space="preserve">engaged at ‘whole of community’ level, </w:t>
            </w:r>
            <w:r w:rsidR="00612FF7" w:rsidRPr="002A5C0E">
              <w:rPr>
                <w:rFonts w:asciiTheme="majorHAnsi" w:hAnsiTheme="majorHAnsi"/>
                <w:sz w:val="20"/>
                <w:szCs w:val="22"/>
              </w:rPr>
              <w:t xml:space="preserve">by ensuring it is engaging </w:t>
            </w:r>
            <w:r w:rsidR="003233E1" w:rsidRPr="002A5C0E">
              <w:rPr>
                <w:rFonts w:asciiTheme="majorHAnsi" w:hAnsiTheme="majorHAnsi"/>
                <w:sz w:val="20"/>
                <w:szCs w:val="22"/>
              </w:rPr>
              <w:t>local and</w:t>
            </w:r>
            <w:r w:rsidR="00612FF7" w:rsidRPr="002A5C0E">
              <w:rPr>
                <w:rFonts w:asciiTheme="majorHAnsi" w:hAnsiTheme="majorHAnsi"/>
                <w:sz w:val="20"/>
                <w:szCs w:val="22"/>
              </w:rPr>
              <w:t xml:space="preserve"> community leadership</w:t>
            </w:r>
            <w:r w:rsidR="003233E1" w:rsidRPr="002A5C0E">
              <w:rPr>
                <w:rFonts w:asciiTheme="majorHAnsi" w:hAnsiTheme="majorHAnsi"/>
                <w:sz w:val="20"/>
                <w:szCs w:val="22"/>
              </w:rPr>
              <w:t>,</w:t>
            </w:r>
            <w:r w:rsidR="00612FF7" w:rsidRPr="002A5C0E">
              <w:rPr>
                <w:rFonts w:asciiTheme="majorHAnsi" w:hAnsiTheme="majorHAnsi"/>
                <w:sz w:val="20"/>
                <w:szCs w:val="22"/>
              </w:rPr>
              <w:t xml:space="preserve"> as well as CBO leadership. While these often overlap, it is important that the ‘whole of community’ </w:t>
            </w:r>
            <w:r w:rsidR="003233E1" w:rsidRPr="002A5C0E">
              <w:rPr>
                <w:rFonts w:asciiTheme="majorHAnsi" w:hAnsiTheme="majorHAnsi"/>
                <w:sz w:val="20"/>
                <w:szCs w:val="22"/>
              </w:rPr>
              <w:t xml:space="preserve">understand the Program purpose and the </w:t>
            </w:r>
            <w:r w:rsidR="009B62F7" w:rsidRPr="002A5C0E">
              <w:rPr>
                <w:rFonts w:asciiTheme="majorHAnsi" w:hAnsiTheme="majorHAnsi"/>
                <w:sz w:val="20"/>
                <w:szCs w:val="22"/>
              </w:rPr>
              <w:t xml:space="preserve">opportunities </w:t>
            </w:r>
            <w:r w:rsidR="003233E1" w:rsidRPr="002A5C0E">
              <w:rPr>
                <w:rFonts w:asciiTheme="majorHAnsi" w:hAnsiTheme="majorHAnsi"/>
                <w:sz w:val="20"/>
                <w:szCs w:val="22"/>
              </w:rPr>
              <w:t>on offer through it</w:t>
            </w:r>
            <w:r w:rsidR="009B62F7" w:rsidRPr="002A5C0E">
              <w:rPr>
                <w:rFonts w:asciiTheme="majorHAnsi" w:hAnsiTheme="majorHAnsi"/>
                <w:sz w:val="20"/>
                <w:szCs w:val="22"/>
              </w:rPr>
              <w:t>. Some activities seem o</w:t>
            </w:r>
            <w:r w:rsidRPr="002A5C0E">
              <w:rPr>
                <w:rFonts w:asciiTheme="majorHAnsi" w:hAnsiTheme="majorHAnsi"/>
                <w:sz w:val="20"/>
                <w:szCs w:val="22"/>
              </w:rPr>
              <w:t>verly reliant on the perspectives and decision making of the CBO</w:t>
            </w:r>
            <w:r w:rsidR="003233E1" w:rsidRPr="002A5C0E">
              <w:rPr>
                <w:rFonts w:asciiTheme="majorHAnsi" w:hAnsiTheme="majorHAnsi"/>
                <w:sz w:val="20"/>
                <w:szCs w:val="22"/>
              </w:rPr>
              <w:t xml:space="preserve">, and that </w:t>
            </w:r>
            <w:r w:rsidR="009B62F7" w:rsidRPr="002A5C0E">
              <w:rPr>
                <w:rFonts w:asciiTheme="majorHAnsi" w:hAnsiTheme="majorHAnsi"/>
                <w:sz w:val="20"/>
                <w:szCs w:val="22"/>
              </w:rPr>
              <w:t xml:space="preserve">CBOs </w:t>
            </w:r>
            <w:r w:rsidR="00654D57" w:rsidRPr="002A5C0E">
              <w:rPr>
                <w:rFonts w:asciiTheme="majorHAnsi" w:hAnsiTheme="majorHAnsi"/>
                <w:sz w:val="20"/>
                <w:szCs w:val="22"/>
              </w:rPr>
              <w:t>sometimes</w:t>
            </w:r>
            <w:r w:rsidR="008A0726" w:rsidRPr="002A5C0E">
              <w:rPr>
                <w:rFonts w:asciiTheme="majorHAnsi" w:hAnsiTheme="majorHAnsi"/>
                <w:sz w:val="20"/>
                <w:szCs w:val="22"/>
              </w:rPr>
              <w:t xml:space="preserve"> take self-interested decisions. A more diverse engagement approach can facilitate richer understanding </w:t>
            </w:r>
            <w:r w:rsidR="009A36B5" w:rsidRPr="002A5C0E">
              <w:rPr>
                <w:rFonts w:asciiTheme="majorHAnsi" w:hAnsiTheme="majorHAnsi"/>
                <w:sz w:val="20"/>
                <w:szCs w:val="22"/>
              </w:rPr>
              <w:t>of community needs and power dynamics, OR confirm and validate that the CBO IS working in the interests of ‘whole of community</w:t>
            </w:r>
            <w:r w:rsidR="00654D57" w:rsidRPr="002A5C0E">
              <w:rPr>
                <w:rFonts w:asciiTheme="majorHAnsi" w:hAnsiTheme="majorHAnsi"/>
                <w:sz w:val="20"/>
                <w:szCs w:val="22"/>
              </w:rPr>
              <w:t>’</w:t>
            </w:r>
            <w:r w:rsidR="009A36B5" w:rsidRPr="002A5C0E">
              <w:rPr>
                <w:rFonts w:asciiTheme="majorHAnsi" w:hAnsiTheme="majorHAnsi"/>
                <w:sz w:val="20"/>
                <w:szCs w:val="22"/>
              </w:rPr>
              <w:t>.</w:t>
            </w:r>
          </w:p>
        </w:tc>
      </w:tr>
      <w:tr w:rsidR="00667503" w:rsidRPr="007B0751" w14:paraId="686A9676" w14:textId="77777777" w:rsidTr="00971F7C">
        <w:tc>
          <w:tcPr>
            <w:tcW w:w="1242" w:type="dxa"/>
          </w:tcPr>
          <w:p w14:paraId="03AACAD4" w14:textId="77777777" w:rsidR="00667503" w:rsidRPr="002A5C0E" w:rsidRDefault="00667503" w:rsidP="00894239">
            <w:pPr>
              <w:pStyle w:val="Default"/>
              <w:rPr>
                <w:rFonts w:asciiTheme="majorHAnsi" w:hAnsiTheme="majorHAnsi"/>
                <w:sz w:val="20"/>
                <w:szCs w:val="22"/>
              </w:rPr>
            </w:pPr>
            <w:r w:rsidRPr="002A5C0E">
              <w:rPr>
                <w:rFonts w:asciiTheme="majorHAnsi" w:hAnsiTheme="majorHAnsi"/>
                <w:sz w:val="20"/>
                <w:szCs w:val="22"/>
              </w:rPr>
              <w:t>Benefic</w:t>
            </w:r>
            <w:r w:rsidR="00246187" w:rsidRPr="002A5C0E">
              <w:rPr>
                <w:rFonts w:asciiTheme="majorHAnsi" w:hAnsiTheme="majorHAnsi"/>
                <w:sz w:val="20"/>
                <w:szCs w:val="22"/>
              </w:rPr>
              <w:t>-</w:t>
            </w:r>
            <w:proofErr w:type="spellStart"/>
            <w:r w:rsidRPr="002A5C0E">
              <w:rPr>
                <w:rFonts w:asciiTheme="majorHAnsi" w:hAnsiTheme="majorHAnsi"/>
                <w:sz w:val="20"/>
                <w:szCs w:val="22"/>
              </w:rPr>
              <w:t>iaries</w:t>
            </w:r>
            <w:proofErr w:type="spellEnd"/>
          </w:p>
        </w:tc>
        <w:tc>
          <w:tcPr>
            <w:tcW w:w="3129" w:type="dxa"/>
          </w:tcPr>
          <w:p w14:paraId="4A33E3A2" w14:textId="77777777" w:rsidR="00667503" w:rsidRPr="002A5C0E" w:rsidRDefault="009A36B5" w:rsidP="009A36B5">
            <w:pPr>
              <w:pStyle w:val="Default"/>
              <w:rPr>
                <w:rFonts w:asciiTheme="majorHAnsi" w:hAnsiTheme="majorHAnsi"/>
                <w:sz w:val="20"/>
                <w:szCs w:val="22"/>
              </w:rPr>
            </w:pPr>
            <w:r w:rsidRPr="002A5C0E">
              <w:rPr>
                <w:rFonts w:asciiTheme="majorHAnsi" w:hAnsiTheme="majorHAnsi"/>
                <w:sz w:val="20"/>
                <w:szCs w:val="22"/>
              </w:rPr>
              <w:t>Put simply, the Program’s two pronged approach facilitates two (often overlapping) beneficiary types – 1/ poor families identified because of their vulnerability, 2/ farmers capable of increasing quality and quantity of their agricultural production to ensure availability of food at market</w:t>
            </w:r>
          </w:p>
        </w:tc>
        <w:tc>
          <w:tcPr>
            <w:tcW w:w="3969" w:type="dxa"/>
          </w:tcPr>
          <w:p w14:paraId="43B095AB" w14:textId="77777777" w:rsidR="00667503" w:rsidRPr="002A5C0E" w:rsidRDefault="009A36B5" w:rsidP="00246187">
            <w:pPr>
              <w:pStyle w:val="Default"/>
              <w:rPr>
                <w:rFonts w:asciiTheme="majorHAnsi" w:hAnsiTheme="majorHAnsi"/>
                <w:sz w:val="20"/>
                <w:szCs w:val="22"/>
              </w:rPr>
            </w:pPr>
            <w:r w:rsidRPr="002A5C0E">
              <w:rPr>
                <w:rFonts w:asciiTheme="majorHAnsi" w:hAnsiTheme="majorHAnsi"/>
                <w:sz w:val="20"/>
                <w:szCs w:val="22"/>
              </w:rPr>
              <w:t>On the s</w:t>
            </w:r>
            <w:r w:rsidR="00246187" w:rsidRPr="002A5C0E">
              <w:rPr>
                <w:rFonts w:asciiTheme="majorHAnsi" w:hAnsiTheme="majorHAnsi"/>
                <w:sz w:val="20"/>
                <w:szCs w:val="22"/>
              </w:rPr>
              <w:t xml:space="preserve">urface it appears that this two-pronged approach </w:t>
            </w:r>
            <w:r w:rsidRPr="002A5C0E">
              <w:rPr>
                <w:rFonts w:asciiTheme="majorHAnsi" w:hAnsiTheme="majorHAnsi"/>
                <w:sz w:val="20"/>
                <w:szCs w:val="22"/>
              </w:rPr>
              <w:t>work</w:t>
            </w:r>
            <w:r w:rsidR="00246187" w:rsidRPr="002A5C0E">
              <w:rPr>
                <w:rFonts w:asciiTheme="majorHAnsi" w:hAnsiTheme="majorHAnsi"/>
                <w:sz w:val="20"/>
                <w:szCs w:val="22"/>
              </w:rPr>
              <w:t>s</w:t>
            </w:r>
            <w:r w:rsidRPr="002A5C0E">
              <w:rPr>
                <w:rFonts w:asciiTheme="majorHAnsi" w:hAnsiTheme="majorHAnsi"/>
                <w:sz w:val="20"/>
                <w:szCs w:val="22"/>
              </w:rPr>
              <w:t>, though it is not possible to extrapolate from data</w:t>
            </w:r>
            <w:r w:rsidR="006C58F5" w:rsidRPr="002A5C0E">
              <w:rPr>
                <w:rFonts w:asciiTheme="majorHAnsi" w:hAnsiTheme="majorHAnsi"/>
                <w:sz w:val="20"/>
                <w:szCs w:val="22"/>
              </w:rPr>
              <w:t xml:space="preserve"> the Program’s perf</w:t>
            </w:r>
            <w:r w:rsidR="00246187" w:rsidRPr="002A5C0E">
              <w:rPr>
                <w:rFonts w:asciiTheme="majorHAnsi" w:hAnsiTheme="majorHAnsi"/>
                <w:sz w:val="20"/>
                <w:szCs w:val="22"/>
              </w:rPr>
              <w:t>ormance in relation to the two</w:t>
            </w:r>
            <w:r w:rsidR="006C58F5" w:rsidRPr="002A5C0E">
              <w:rPr>
                <w:rFonts w:asciiTheme="majorHAnsi" w:hAnsiTheme="majorHAnsi"/>
                <w:sz w:val="20"/>
                <w:szCs w:val="22"/>
              </w:rPr>
              <w:t xml:space="preserve"> beneficiary types. Effort should be made during the remaining Program period to disaggregate data in relation to the ‘two pronged strategy’</w:t>
            </w:r>
            <w:r w:rsidR="00246187" w:rsidRPr="002A5C0E">
              <w:rPr>
                <w:rFonts w:asciiTheme="majorHAnsi" w:hAnsiTheme="majorHAnsi"/>
                <w:sz w:val="20"/>
                <w:szCs w:val="22"/>
              </w:rPr>
              <w:t xml:space="preserve"> to facilitate learning ahead of future planning</w:t>
            </w:r>
            <w:r w:rsidR="006C58F5" w:rsidRPr="002A5C0E">
              <w:rPr>
                <w:rFonts w:asciiTheme="majorHAnsi" w:hAnsiTheme="majorHAnsi"/>
                <w:sz w:val="20"/>
                <w:szCs w:val="22"/>
              </w:rPr>
              <w:t xml:space="preserve">. </w:t>
            </w:r>
          </w:p>
        </w:tc>
      </w:tr>
    </w:tbl>
    <w:p w14:paraId="5C1B28CC" w14:textId="77777777" w:rsidR="00667503" w:rsidRPr="007B0751" w:rsidRDefault="00667503" w:rsidP="00894239">
      <w:pPr>
        <w:pStyle w:val="Default"/>
        <w:rPr>
          <w:rFonts w:asciiTheme="majorHAnsi" w:hAnsiTheme="majorHAnsi"/>
          <w:sz w:val="22"/>
          <w:szCs w:val="22"/>
        </w:rPr>
      </w:pPr>
    </w:p>
    <w:p w14:paraId="18F90496" w14:textId="5D819BC1" w:rsidR="006542D0" w:rsidRPr="007B0751" w:rsidRDefault="00246187" w:rsidP="00894239">
      <w:pPr>
        <w:pStyle w:val="Default"/>
        <w:rPr>
          <w:rFonts w:asciiTheme="majorHAnsi" w:hAnsiTheme="majorHAnsi"/>
          <w:sz w:val="22"/>
          <w:szCs w:val="22"/>
        </w:rPr>
      </w:pPr>
      <w:r w:rsidRPr="007B0751">
        <w:rPr>
          <w:rFonts w:asciiTheme="majorHAnsi" w:hAnsiTheme="majorHAnsi"/>
          <w:sz w:val="22"/>
          <w:szCs w:val="22"/>
        </w:rPr>
        <w:t xml:space="preserve">While the above describes a </w:t>
      </w:r>
      <w:r w:rsidR="002335EC" w:rsidRPr="007B0751">
        <w:rPr>
          <w:rFonts w:asciiTheme="majorHAnsi" w:hAnsiTheme="majorHAnsi"/>
          <w:sz w:val="22"/>
          <w:szCs w:val="22"/>
        </w:rPr>
        <w:t xml:space="preserve">seemingly </w:t>
      </w:r>
      <w:r w:rsidRPr="007B0751">
        <w:rPr>
          <w:rFonts w:asciiTheme="majorHAnsi" w:hAnsiTheme="majorHAnsi"/>
          <w:sz w:val="22"/>
          <w:szCs w:val="22"/>
        </w:rPr>
        <w:t xml:space="preserve">complex implementation and partnership model, </w:t>
      </w:r>
      <w:r w:rsidR="00F64558">
        <w:rPr>
          <w:rFonts w:asciiTheme="majorHAnsi" w:hAnsiTheme="majorHAnsi"/>
          <w:sz w:val="22"/>
          <w:szCs w:val="22"/>
        </w:rPr>
        <w:t xml:space="preserve">it is important to note that </w:t>
      </w:r>
      <w:r w:rsidRPr="007B0751">
        <w:rPr>
          <w:rFonts w:asciiTheme="majorHAnsi" w:hAnsiTheme="majorHAnsi"/>
          <w:sz w:val="22"/>
          <w:szCs w:val="22"/>
        </w:rPr>
        <w:t xml:space="preserve">each </w:t>
      </w:r>
      <w:r w:rsidR="0022352B" w:rsidRPr="007B0751">
        <w:rPr>
          <w:rFonts w:asciiTheme="majorHAnsi" w:hAnsiTheme="majorHAnsi"/>
          <w:sz w:val="22"/>
          <w:szCs w:val="22"/>
        </w:rPr>
        <w:t>‘</w:t>
      </w:r>
      <w:r w:rsidRPr="007B0751">
        <w:rPr>
          <w:rFonts w:asciiTheme="majorHAnsi" w:hAnsiTheme="majorHAnsi"/>
          <w:sz w:val="22"/>
          <w:szCs w:val="22"/>
        </w:rPr>
        <w:t>level</w:t>
      </w:r>
      <w:r w:rsidR="0022352B" w:rsidRPr="007B0751">
        <w:rPr>
          <w:rFonts w:asciiTheme="majorHAnsi" w:hAnsiTheme="majorHAnsi"/>
          <w:sz w:val="22"/>
          <w:szCs w:val="22"/>
        </w:rPr>
        <w:t xml:space="preserve">’ </w:t>
      </w:r>
      <w:r w:rsidRPr="007B0751">
        <w:rPr>
          <w:rFonts w:asciiTheme="majorHAnsi" w:hAnsiTheme="majorHAnsi"/>
          <w:sz w:val="22"/>
          <w:szCs w:val="22"/>
        </w:rPr>
        <w:t>ma</w:t>
      </w:r>
      <w:r w:rsidR="00CC04B8">
        <w:rPr>
          <w:rFonts w:asciiTheme="majorHAnsi" w:hAnsiTheme="majorHAnsi"/>
          <w:sz w:val="22"/>
          <w:szCs w:val="22"/>
        </w:rPr>
        <w:t>kes</w:t>
      </w:r>
      <w:r w:rsidRPr="007B0751">
        <w:rPr>
          <w:rFonts w:asciiTheme="majorHAnsi" w:hAnsiTheme="majorHAnsi"/>
          <w:sz w:val="22"/>
          <w:szCs w:val="22"/>
        </w:rPr>
        <w:t xml:space="preserve"> an important contribution to the overall success of the Program</w:t>
      </w:r>
      <w:r w:rsidR="00F64558">
        <w:rPr>
          <w:rFonts w:asciiTheme="majorHAnsi" w:hAnsiTheme="majorHAnsi"/>
          <w:sz w:val="22"/>
          <w:szCs w:val="22"/>
        </w:rPr>
        <w:t>, especially given the highly complex environment that the Program operates within</w:t>
      </w:r>
      <w:r w:rsidRPr="007B0751">
        <w:rPr>
          <w:rFonts w:asciiTheme="majorHAnsi" w:hAnsiTheme="majorHAnsi"/>
          <w:sz w:val="22"/>
          <w:szCs w:val="22"/>
        </w:rPr>
        <w:t xml:space="preserve">. </w:t>
      </w:r>
      <w:r w:rsidR="001B3AD2" w:rsidRPr="007B0751">
        <w:rPr>
          <w:rFonts w:asciiTheme="majorHAnsi" w:hAnsiTheme="majorHAnsi"/>
          <w:sz w:val="22"/>
          <w:szCs w:val="22"/>
        </w:rPr>
        <w:t xml:space="preserve">It was clear during field work that consortia </w:t>
      </w:r>
      <w:r w:rsidR="00654D57" w:rsidRPr="007B0751">
        <w:rPr>
          <w:rFonts w:asciiTheme="majorHAnsi" w:hAnsiTheme="majorHAnsi"/>
          <w:sz w:val="22"/>
          <w:szCs w:val="22"/>
        </w:rPr>
        <w:t xml:space="preserve">mostly </w:t>
      </w:r>
      <w:r w:rsidR="001B3AD2" w:rsidRPr="007B0751">
        <w:rPr>
          <w:rFonts w:asciiTheme="majorHAnsi" w:hAnsiTheme="majorHAnsi"/>
          <w:sz w:val="22"/>
          <w:szCs w:val="22"/>
        </w:rPr>
        <w:t>maintain close</w:t>
      </w:r>
      <w:r w:rsidR="00CC04B8">
        <w:rPr>
          <w:rFonts w:asciiTheme="majorHAnsi" w:hAnsiTheme="majorHAnsi"/>
          <w:sz w:val="22"/>
          <w:szCs w:val="22"/>
        </w:rPr>
        <w:t>,</w:t>
      </w:r>
      <w:r w:rsidR="001B3AD2" w:rsidRPr="007B0751">
        <w:rPr>
          <w:rFonts w:asciiTheme="majorHAnsi" w:hAnsiTheme="majorHAnsi"/>
          <w:sz w:val="22"/>
          <w:szCs w:val="22"/>
        </w:rPr>
        <w:t xml:space="preserve"> effective </w:t>
      </w:r>
      <w:r w:rsidR="00CC04B8">
        <w:rPr>
          <w:rFonts w:asciiTheme="majorHAnsi" w:hAnsiTheme="majorHAnsi"/>
          <w:sz w:val="22"/>
          <w:szCs w:val="22"/>
        </w:rPr>
        <w:t xml:space="preserve">and complementary </w:t>
      </w:r>
      <w:r w:rsidR="001B3AD2" w:rsidRPr="007B0751">
        <w:rPr>
          <w:rFonts w:asciiTheme="majorHAnsi" w:hAnsiTheme="majorHAnsi"/>
          <w:sz w:val="22"/>
          <w:szCs w:val="22"/>
        </w:rPr>
        <w:t xml:space="preserve">relationships, </w:t>
      </w:r>
      <w:r w:rsidR="00CC04B8">
        <w:rPr>
          <w:rFonts w:asciiTheme="majorHAnsi" w:hAnsiTheme="majorHAnsi"/>
          <w:sz w:val="22"/>
          <w:szCs w:val="22"/>
        </w:rPr>
        <w:t xml:space="preserve">with PNGOs having space to play a lead role in strategic planning and direction setting. </w:t>
      </w:r>
    </w:p>
    <w:p w14:paraId="2431A63E" w14:textId="77777777" w:rsidR="006542D0" w:rsidRPr="007B0751" w:rsidRDefault="006542D0" w:rsidP="00894239">
      <w:pPr>
        <w:pStyle w:val="Default"/>
        <w:rPr>
          <w:rFonts w:asciiTheme="majorHAnsi" w:hAnsiTheme="majorHAnsi"/>
          <w:sz w:val="22"/>
          <w:szCs w:val="22"/>
        </w:rPr>
      </w:pPr>
    </w:p>
    <w:p w14:paraId="1FC35165" w14:textId="38FDDFB4" w:rsidR="0022352B" w:rsidRPr="007B0751" w:rsidRDefault="008E23AC" w:rsidP="00894239">
      <w:pPr>
        <w:pStyle w:val="Default"/>
        <w:rPr>
          <w:rFonts w:asciiTheme="majorHAnsi" w:hAnsiTheme="majorHAnsi"/>
          <w:sz w:val="22"/>
          <w:szCs w:val="22"/>
        </w:rPr>
      </w:pPr>
      <w:r>
        <w:rPr>
          <w:rFonts w:asciiTheme="majorHAnsi" w:hAnsiTheme="majorHAnsi"/>
          <w:sz w:val="22"/>
          <w:szCs w:val="22"/>
        </w:rPr>
        <w:t>Contributing to th</w:t>
      </w:r>
      <w:r w:rsidR="0022352B" w:rsidRPr="007B0751">
        <w:rPr>
          <w:rFonts w:asciiTheme="majorHAnsi" w:hAnsiTheme="majorHAnsi"/>
          <w:sz w:val="22"/>
          <w:szCs w:val="22"/>
        </w:rPr>
        <w:t>e</w:t>
      </w:r>
      <w:r w:rsidR="006542D0" w:rsidRPr="007B0751">
        <w:rPr>
          <w:rFonts w:asciiTheme="majorHAnsi" w:hAnsiTheme="majorHAnsi"/>
          <w:sz w:val="22"/>
          <w:szCs w:val="22"/>
        </w:rPr>
        <w:t xml:space="preserve"> layers of current partnership</w:t>
      </w:r>
      <w:r w:rsidR="004D53EE">
        <w:rPr>
          <w:rFonts w:asciiTheme="majorHAnsi" w:hAnsiTheme="majorHAnsi"/>
          <w:sz w:val="22"/>
          <w:szCs w:val="22"/>
        </w:rPr>
        <w:t xml:space="preserve"> </w:t>
      </w:r>
      <w:r w:rsidR="00DF4543" w:rsidRPr="007B0751">
        <w:rPr>
          <w:rFonts w:asciiTheme="majorHAnsi" w:hAnsiTheme="majorHAnsi"/>
          <w:sz w:val="22"/>
          <w:szCs w:val="22"/>
        </w:rPr>
        <w:t xml:space="preserve">arrangements </w:t>
      </w:r>
      <w:r>
        <w:rPr>
          <w:rFonts w:asciiTheme="majorHAnsi" w:hAnsiTheme="majorHAnsi"/>
          <w:sz w:val="22"/>
          <w:szCs w:val="22"/>
        </w:rPr>
        <w:t>was</w:t>
      </w:r>
      <w:r w:rsidR="00DF4543" w:rsidRPr="007B0751">
        <w:rPr>
          <w:rFonts w:asciiTheme="majorHAnsi" w:hAnsiTheme="majorHAnsi"/>
          <w:sz w:val="22"/>
          <w:szCs w:val="22"/>
        </w:rPr>
        <w:t xml:space="preserve"> the somewhat vague, all embracing goal of the original AMENCA2 Program design </w:t>
      </w:r>
      <w:r w:rsidR="002335EC" w:rsidRPr="007B0751">
        <w:rPr>
          <w:rFonts w:asciiTheme="majorHAnsi" w:hAnsiTheme="majorHAnsi"/>
          <w:sz w:val="22"/>
          <w:szCs w:val="22"/>
        </w:rPr>
        <w:t>goal</w:t>
      </w:r>
      <w:r w:rsidR="00DF4543" w:rsidRPr="007B0751">
        <w:rPr>
          <w:rFonts w:asciiTheme="majorHAnsi" w:hAnsiTheme="majorHAnsi"/>
          <w:sz w:val="22"/>
          <w:szCs w:val="22"/>
        </w:rPr>
        <w:t>, which aimed ‘to contribute to the reduction of vulnerability of Palestinians by improving livelihoods, access to basic services, and the capacities of Palestinian NGOs’. This led to implementing partners submitting designs that were significantly varied in focus (geographical coverage, different sectors covered)</w:t>
      </w:r>
      <w:r w:rsidR="002335EC" w:rsidRPr="007B0751">
        <w:rPr>
          <w:rFonts w:asciiTheme="majorHAnsi" w:hAnsiTheme="majorHAnsi"/>
          <w:sz w:val="22"/>
          <w:szCs w:val="22"/>
        </w:rPr>
        <w:t xml:space="preserve"> and approach</w:t>
      </w:r>
      <w:r w:rsidR="00DF4543" w:rsidRPr="007B0751">
        <w:rPr>
          <w:rFonts w:asciiTheme="majorHAnsi" w:hAnsiTheme="majorHAnsi"/>
          <w:sz w:val="22"/>
          <w:szCs w:val="22"/>
        </w:rPr>
        <w:t xml:space="preserve">, requiring </w:t>
      </w:r>
      <w:r w:rsidR="00654D57" w:rsidRPr="007B0751">
        <w:rPr>
          <w:rFonts w:asciiTheme="majorHAnsi" w:hAnsiTheme="majorHAnsi"/>
          <w:sz w:val="22"/>
          <w:szCs w:val="22"/>
        </w:rPr>
        <w:t xml:space="preserve">the participation of </w:t>
      </w:r>
      <w:r w:rsidR="00DF4543" w:rsidRPr="007B0751">
        <w:rPr>
          <w:rFonts w:asciiTheme="majorHAnsi" w:hAnsiTheme="majorHAnsi"/>
          <w:sz w:val="22"/>
          <w:szCs w:val="22"/>
        </w:rPr>
        <w:t xml:space="preserve">a large range of actors. </w:t>
      </w:r>
    </w:p>
    <w:p w14:paraId="2316645D" w14:textId="77777777" w:rsidR="00FB2DCD" w:rsidRPr="007B0751" w:rsidRDefault="00FB2DCD" w:rsidP="00894239">
      <w:pPr>
        <w:pStyle w:val="Default"/>
        <w:rPr>
          <w:rFonts w:asciiTheme="majorHAnsi" w:hAnsiTheme="majorHAnsi"/>
          <w:sz w:val="22"/>
          <w:szCs w:val="22"/>
        </w:rPr>
      </w:pPr>
    </w:p>
    <w:p w14:paraId="2D150101" w14:textId="205209F2" w:rsidR="00FB2DCD" w:rsidRPr="007B0751" w:rsidRDefault="00FB2DCD" w:rsidP="00894239">
      <w:pPr>
        <w:pStyle w:val="Default"/>
        <w:rPr>
          <w:rFonts w:asciiTheme="majorHAnsi" w:hAnsiTheme="majorHAnsi"/>
          <w:sz w:val="22"/>
          <w:szCs w:val="22"/>
        </w:rPr>
      </w:pPr>
      <w:r w:rsidRPr="007B0751">
        <w:rPr>
          <w:rFonts w:asciiTheme="majorHAnsi" w:hAnsiTheme="majorHAnsi"/>
          <w:sz w:val="22"/>
          <w:szCs w:val="22"/>
        </w:rPr>
        <w:t xml:space="preserve">Similarly, little guidance (or </w:t>
      </w:r>
      <w:proofErr w:type="spellStart"/>
      <w:r w:rsidRPr="007B0751">
        <w:rPr>
          <w:rFonts w:asciiTheme="majorHAnsi" w:hAnsiTheme="majorHAnsi"/>
          <w:sz w:val="22"/>
          <w:szCs w:val="22"/>
        </w:rPr>
        <w:t>rigour</w:t>
      </w:r>
      <w:proofErr w:type="spellEnd"/>
      <w:r w:rsidRPr="007B0751">
        <w:rPr>
          <w:rFonts w:asciiTheme="majorHAnsi" w:hAnsiTheme="majorHAnsi"/>
          <w:sz w:val="22"/>
          <w:szCs w:val="22"/>
        </w:rPr>
        <w:t xml:space="preserve">) seems to have been provided at Program startup regarding management and in-Australia costs able to be charged to the Projects. This has led to some confusion and resentment amongst </w:t>
      </w:r>
      <w:r w:rsidR="00B67209">
        <w:rPr>
          <w:rFonts w:asciiTheme="majorHAnsi" w:hAnsiTheme="majorHAnsi"/>
          <w:sz w:val="22"/>
          <w:szCs w:val="22"/>
        </w:rPr>
        <w:t xml:space="preserve">and between </w:t>
      </w:r>
      <w:r w:rsidRPr="007B0751">
        <w:rPr>
          <w:rFonts w:asciiTheme="majorHAnsi" w:hAnsiTheme="majorHAnsi"/>
          <w:sz w:val="22"/>
          <w:szCs w:val="22"/>
        </w:rPr>
        <w:t xml:space="preserve">partners, even though the costs applied were agreed to by </w:t>
      </w:r>
      <w:proofErr w:type="spellStart"/>
      <w:r w:rsidRPr="007B0751">
        <w:rPr>
          <w:rFonts w:asciiTheme="majorHAnsi" w:hAnsiTheme="majorHAnsi"/>
          <w:sz w:val="22"/>
          <w:szCs w:val="22"/>
        </w:rPr>
        <w:t>AusAID</w:t>
      </w:r>
      <w:proofErr w:type="spellEnd"/>
      <w:r w:rsidRPr="007B0751">
        <w:rPr>
          <w:rFonts w:asciiTheme="majorHAnsi" w:hAnsiTheme="majorHAnsi"/>
          <w:sz w:val="22"/>
          <w:szCs w:val="22"/>
        </w:rPr>
        <w:t xml:space="preserve"> at the time of contract signing. This should be avoided in any future AMENCA type program.</w:t>
      </w:r>
      <w:r w:rsidR="00B67209">
        <w:rPr>
          <w:rFonts w:asciiTheme="majorHAnsi" w:hAnsiTheme="majorHAnsi"/>
          <w:sz w:val="22"/>
          <w:szCs w:val="22"/>
        </w:rPr>
        <w:t xml:space="preserve"> Clear definition of </w:t>
      </w:r>
      <w:r w:rsidR="00E52325">
        <w:rPr>
          <w:rFonts w:asciiTheme="majorHAnsi" w:hAnsiTheme="majorHAnsi"/>
          <w:sz w:val="22"/>
          <w:szCs w:val="22"/>
        </w:rPr>
        <w:t xml:space="preserve">how the Program views </w:t>
      </w:r>
      <w:r w:rsidR="00B67209">
        <w:rPr>
          <w:rFonts w:asciiTheme="majorHAnsi" w:hAnsiTheme="majorHAnsi"/>
          <w:sz w:val="22"/>
          <w:szCs w:val="22"/>
        </w:rPr>
        <w:t xml:space="preserve">‘value for money’ should also be achieved </w:t>
      </w:r>
      <w:r w:rsidR="00E52325">
        <w:rPr>
          <w:rFonts w:asciiTheme="majorHAnsi" w:hAnsiTheme="majorHAnsi"/>
          <w:sz w:val="22"/>
          <w:szCs w:val="22"/>
        </w:rPr>
        <w:t xml:space="preserve">ahead of any new phase, since currently different </w:t>
      </w:r>
      <w:proofErr w:type="spellStart"/>
      <w:r w:rsidR="00E52325">
        <w:rPr>
          <w:rFonts w:asciiTheme="majorHAnsi" w:hAnsiTheme="majorHAnsi"/>
          <w:sz w:val="22"/>
          <w:szCs w:val="22"/>
        </w:rPr>
        <w:t>organisations</w:t>
      </w:r>
      <w:proofErr w:type="spellEnd"/>
      <w:r w:rsidR="00E52325">
        <w:rPr>
          <w:rFonts w:asciiTheme="majorHAnsi" w:hAnsiTheme="majorHAnsi"/>
          <w:sz w:val="22"/>
          <w:szCs w:val="22"/>
        </w:rPr>
        <w:t xml:space="preserve"> have different understandings</w:t>
      </w:r>
      <w:r w:rsidR="00AE7985">
        <w:rPr>
          <w:rFonts w:asciiTheme="majorHAnsi" w:hAnsiTheme="majorHAnsi"/>
          <w:sz w:val="22"/>
          <w:szCs w:val="22"/>
        </w:rPr>
        <w:t>, with some viewing it in terms of their ‘in-kind contribution’, others in terms of low overheads, and others in terms of sustainability.</w:t>
      </w:r>
    </w:p>
    <w:p w14:paraId="19D44634" w14:textId="77777777" w:rsidR="0022352B" w:rsidRPr="007B0751" w:rsidRDefault="0022352B" w:rsidP="00894239">
      <w:pPr>
        <w:pStyle w:val="Default"/>
        <w:rPr>
          <w:rFonts w:asciiTheme="majorHAnsi" w:hAnsiTheme="majorHAnsi"/>
          <w:sz w:val="22"/>
          <w:szCs w:val="22"/>
        </w:rPr>
      </w:pPr>
    </w:p>
    <w:p w14:paraId="63FED0B6" w14:textId="74E940F3" w:rsidR="00A2432C" w:rsidRDefault="0022352B" w:rsidP="00894239">
      <w:pPr>
        <w:pStyle w:val="Default"/>
        <w:rPr>
          <w:rFonts w:asciiTheme="majorHAnsi" w:hAnsiTheme="majorHAnsi"/>
          <w:sz w:val="22"/>
          <w:szCs w:val="22"/>
        </w:rPr>
      </w:pPr>
      <w:r w:rsidRPr="00F42CAA">
        <w:rPr>
          <w:rFonts w:asciiTheme="majorHAnsi" w:hAnsiTheme="majorHAnsi"/>
          <w:sz w:val="22"/>
          <w:szCs w:val="22"/>
        </w:rPr>
        <w:t>E</w:t>
      </w:r>
      <w:r w:rsidR="00246187" w:rsidRPr="00393E74">
        <w:rPr>
          <w:rFonts w:asciiTheme="majorHAnsi" w:hAnsiTheme="majorHAnsi"/>
          <w:sz w:val="22"/>
          <w:szCs w:val="22"/>
        </w:rPr>
        <w:t>fficiency</w:t>
      </w:r>
      <w:r w:rsidRPr="00393E74">
        <w:rPr>
          <w:rFonts w:asciiTheme="majorHAnsi" w:hAnsiTheme="majorHAnsi"/>
          <w:sz w:val="22"/>
          <w:szCs w:val="22"/>
        </w:rPr>
        <w:t xml:space="preserve"> can be enhanced by ensuring that</w:t>
      </w:r>
      <w:r w:rsidR="002335EC" w:rsidRPr="00393E74">
        <w:rPr>
          <w:rFonts w:asciiTheme="majorHAnsi" w:hAnsiTheme="majorHAnsi"/>
          <w:sz w:val="22"/>
          <w:szCs w:val="22"/>
        </w:rPr>
        <w:t xml:space="preserve"> the contribution (value add) of</w:t>
      </w:r>
      <w:r w:rsidRPr="000F5258">
        <w:rPr>
          <w:rFonts w:asciiTheme="majorHAnsi" w:hAnsiTheme="majorHAnsi"/>
          <w:sz w:val="22"/>
          <w:szCs w:val="22"/>
        </w:rPr>
        <w:t xml:space="preserve"> each level</w:t>
      </w:r>
      <w:r w:rsidR="002335EC" w:rsidRPr="000F5258">
        <w:rPr>
          <w:rFonts w:asciiTheme="majorHAnsi" w:hAnsiTheme="majorHAnsi"/>
          <w:sz w:val="22"/>
          <w:szCs w:val="22"/>
        </w:rPr>
        <w:t xml:space="preserve"> is clearly justified, clearly articulated and measurable. </w:t>
      </w:r>
      <w:r w:rsidR="00A2432C" w:rsidRPr="00DB7A23">
        <w:rPr>
          <w:rFonts w:asciiTheme="majorHAnsi" w:hAnsiTheme="majorHAnsi"/>
          <w:sz w:val="22"/>
          <w:szCs w:val="22"/>
        </w:rPr>
        <w:t xml:space="preserve">APHEDA’s successful </w:t>
      </w:r>
      <w:proofErr w:type="gramStart"/>
      <w:r w:rsidR="00A2432C" w:rsidRPr="00DB7A23">
        <w:rPr>
          <w:rFonts w:asciiTheme="majorHAnsi" w:hAnsiTheme="majorHAnsi"/>
          <w:sz w:val="22"/>
          <w:szCs w:val="22"/>
        </w:rPr>
        <w:t>program while having only a very light touch staffing complement is noteworthy, and suggests opportunities exist</w:t>
      </w:r>
      <w:proofErr w:type="gramEnd"/>
      <w:r w:rsidR="00A2432C" w:rsidRPr="00DB7A23">
        <w:rPr>
          <w:rFonts w:asciiTheme="majorHAnsi" w:hAnsiTheme="majorHAnsi"/>
          <w:sz w:val="22"/>
          <w:szCs w:val="22"/>
        </w:rPr>
        <w:t xml:space="preserve"> in the future for even greater level</w:t>
      </w:r>
      <w:r w:rsidR="00221833" w:rsidRPr="00DB7A23">
        <w:rPr>
          <w:rFonts w:asciiTheme="majorHAnsi" w:hAnsiTheme="majorHAnsi"/>
          <w:sz w:val="22"/>
          <w:szCs w:val="22"/>
        </w:rPr>
        <w:t>s of responsibi</w:t>
      </w:r>
      <w:r w:rsidR="00221833" w:rsidRPr="0001233D">
        <w:rPr>
          <w:rFonts w:asciiTheme="majorHAnsi" w:hAnsiTheme="majorHAnsi"/>
          <w:sz w:val="22"/>
          <w:szCs w:val="22"/>
        </w:rPr>
        <w:t>l</w:t>
      </w:r>
      <w:r w:rsidR="00A2432C" w:rsidRPr="0001233D">
        <w:rPr>
          <w:rFonts w:asciiTheme="majorHAnsi" w:hAnsiTheme="majorHAnsi"/>
          <w:sz w:val="22"/>
          <w:szCs w:val="22"/>
        </w:rPr>
        <w:t>ity be</w:t>
      </w:r>
      <w:r w:rsidR="00221833" w:rsidRPr="0001233D">
        <w:rPr>
          <w:rFonts w:asciiTheme="majorHAnsi" w:hAnsiTheme="majorHAnsi"/>
          <w:sz w:val="22"/>
          <w:szCs w:val="22"/>
        </w:rPr>
        <w:t>ing</w:t>
      </w:r>
      <w:r w:rsidR="00A2432C" w:rsidRPr="0001233D">
        <w:rPr>
          <w:rFonts w:asciiTheme="majorHAnsi" w:hAnsiTheme="majorHAnsi"/>
          <w:sz w:val="22"/>
          <w:szCs w:val="22"/>
        </w:rPr>
        <w:t xml:space="preserve"> assumed by PNGO partners.</w:t>
      </w:r>
    </w:p>
    <w:p w14:paraId="428C9E52" w14:textId="77777777" w:rsidR="00A2432C" w:rsidRDefault="00A2432C" w:rsidP="00894239">
      <w:pPr>
        <w:pStyle w:val="Default"/>
        <w:rPr>
          <w:rFonts w:asciiTheme="majorHAnsi" w:hAnsiTheme="majorHAnsi"/>
          <w:sz w:val="22"/>
          <w:szCs w:val="22"/>
        </w:rPr>
      </w:pPr>
    </w:p>
    <w:p w14:paraId="7F95ED43" w14:textId="7E7BC3A5" w:rsidR="00246187" w:rsidRPr="007B0751" w:rsidRDefault="002335EC" w:rsidP="00894239">
      <w:pPr>
        <w:pStyle w:val="Default"/>
        <w:rPr>
          <w:rFonts w:asciiTheme="majorHAnsi" w:hAnsiTheme="majorHAnsi"/>
          <w:sz w:val="22"/>
          <w:szCs w:val="22"/>
        </w:rPr>
      </w:pPr>
      <w:r w:rsidRPr="007B0751">
        <w:rPr>
          <w:rFonts w:asciiTheme="majorHAnsi" w:hAnsiTheme="majorHAnsi"/>
          <w:sz w:val="22"/>
          <w:szCs w:val="22"/>
        </w:rPr>
        <w:t>Whil</w:t>
      </w:r>
      <w:r w:rsidR="00792D86" w:rsidRPr="007B0751">
        <w:rPr>
          <w:rFonts w:asciiTheme="majorHAnsi" w:hAnsiTheme="majorHAnsi"/>
          <w:sz w:val="22"/>
          <w:szCs w:val="22"/>
        </w:rPr>
        <w:t>e it is impossible and inapprop</w:t>
      </w:r>
      <w:r w:rsidRPr="007B0751">
        <w:rPr>
          <w:rFonts w:asciiTheme="majorHAnsi" w:hAnsiTheme="majorHAnsi"/>
          <w:sz w:val="22"/>
          <w:szCs w:val="22"/>
        </w:rPr>
        <w:t xml:space="preserve">riate to totally avoid some </w:t>
      </w:r>
      <w:r w:rsidR="00A2432C">
        <w:rPr>
          <w:rFonts w:asciiTheme="majorHAnsi" w:hAnsiTheme="majorHAnsi"/>
          <w:sz w:val="22"/>
          <w:szCs w:val="22"/>
        </w:rPr>
        <w:t>degree</w:t>
      </w:r>
      <w:r w:rsidR="00A2432C" w:rsidRPr="007B0751">
        <w:rPr>
          <w:rFonts w:asciiTheme="majorHAnsi" w:hAnsiTheme="majorHAnsi"/>
          <w:sz w:val="22"/>
          <w:szCs w:val="22"/>
        </w:rPr>
        <w:t xml:space="preserve"> </w:t>
      </w:r>
      <w:r w:rsidRPr="007B0751">
        <w:rPr>
          <w:rFonts w:asciiTheme="majorHAnsi" w:hAnsiTheme="majorHAnsi"/>
          <w:sz w:val="22"/>
          <w:szCs w:val="22"/>
        </w:rPr>
        <w:t>of duplication</w:t>
      </w:r>
      <w:r w:rsidR="00A2432C">
        <w:rPr>
          <w:rFonts w:asciiTheme="majorHAnsi" w:hAnsiTheme="majorHAnsi"/>
          <w:sz w:val="22"/>
          <w:szCs w:val="22"/>
        </w:rPr>
        <w:t xml:space="preserve"> between levels</w:t>
      </w:r>
      <w:r w:rsidR="00654D57" w:rsidRPr="007B0751">
        <w:rPr>
          <w:rFonts w:asciiTheme="majorHAnsi" w:hAnsiTheme="majorHAnsi"/>
          <w:sz w:val="22"/>
          <w:szCs w:val="22"/>
        </w:rPr>
        <w:t xml:space="preserve"> (the aim should be to dovetail)</w:t>
      </w:r>
      <w:r w:rsidRPr="007B0751">
        <w:rPr>
          <w:rFonts w:asciiTheme="majorHAnsi" w:hAnsiTheme="majorHAnsi"/>
          <w:sz w:val="22"/>
          <w:szCs w:val="22"/>
        </w:rPr>
        <w:t>, this should be minimized as much as practicable. Specific attention should be paid to streamlining arrangements between consortia members</w:t>
      </w:r>
      <w:r w:rsidR="00654D57" w:rsidRPr="007B0751">
        <w:rPr>
          <w:rFonts w:asciiTheme="majorHAnsi" w:hAnsiTheme="majorHAnsi"/>
          <w:sz w:val="22"/>
          <w:szCs w:val="22"/>
        </w:rPr>
        <w:t xml:space="preserve"> to ensure all </w:t>
      </w:r>
      <w:proofErr w:type="gramStart"/>
      <w:r w:rsidR="00654D57" w:rsidRPr="007B0751">
        <w:rPr>
          <w:rFonts w:asciiTheme="majorHAnsi" w:hAnsiTheme="majorHAnsi"/>
          <w:sz w:val="22"/>
          <w:szCs w:val="22"/>
        </w:rPr>
        <w:t>member</w:t>
      </w:r>
      <w:r w:rsidR="0022352B" w:rsidRPr="007B0751">
        <w:rPr>
          <w:rFonts w:asciiTheme="majorHAnsi" w:hAnsiTheme="majorHAnsi"/>
          <w:sz w:val="22"/>
          <w:szCs w:val="22"/>
        </w:rPr>
        <w:t>s</w:t>
      </w:r>
      <w:proofErr w:type="gramEnd"/>
      <w:r w:rsidR="0022352B" w:rsidRPr="007B0751">
        <w:rPr>
          <w:rFonts w:asciiTheme="majorHAnsi" w:hAnsiTheme="majorHAnsi"/>
          <w:sz w:val="22"/>
          <w:szCs w:val="22"/>
        </w:rPr>
        <w:t xml:space="preserve"> contribution is maximized and consistently contributing towards achievement of Program objectives. For example, a conservative CBO that is token in its efforts to provide opportunities for vulnerable women and youth </w:t>
      </w:r>
      <w:r w:rsidR="00654D57" w:rsidRPr="007B0751">
        <w:rPr>
          <w:rFonts w:asciiTheme="majorHAnsi" w:hAnsiTheme="majorHAnsi"/>
          <w:sz w:val="22"/>
          <w:szCs w:val="22"/>
        </w:rPr>
        <w:t xml:space="preserve">is not contributing to Program objectives and </w:t>
      </w:r>
      <w:r w:rsidR="0022352B" w:rsidRPr="007B0751">
        <w:rPr>
          <w:rFonts w:asciiTheme="majorHAnsi" w:hAnsiTheme="majorHAnsi"/>
          <w:sz w:val="22"/>
          <w:szCs w:val="22"/>
        </w:rPr>
        <w:t xml:space="preserve">should </w:t>
      </w:r>
      <w:r w:rsidR="008F543F" w:rsidRPr="007B0751">
        <w:rPr>
          <w:rFonts w:asciiTheme="majorHAnsi" w:hAnsiTheme="majorHAnsi"/>
          <w:sz w:val="22"/>
          <w:szCs w:val="22"/>
        </w:rPr>
        <w:t xml:space="preserve">therefore </w:t>
      </w:r>
      <w:r w:rsidR="0022352B" w:rsidRPr="007B0751">
        <w:rPr>
          <w:rFonts w:asciiTheme="majorHAnsi" w:hAnsiTheme="majorHAnsi"/>
          <w:sz w:val="22"/>
          <w:szCs w:val="22"/>
        </w:rPr>
        <w:t xml:space="preserve">be </w:t>
      </w:r>
      <w:r w:rsidR="008F543F" w:rsidRPr="007B0751">
        <w:rPr>
          <w:rFonts w:asciiTheme="majorHAnsi" w:hAnsiTheme="majorHAnsi"/>
          <w:sz w:val="22"/>
          <w:szCs w:val="22"/>
        </w:rPr>
        <w:t xml:space="preserve">challenged to adapt or be </w:t>
      </w:r>
      <w:r w:rsidR="0022352B" w:rsidRPr="007B0751">
        <w:rPr>
          <w:rFonts w:asciiTheme="majorHAnsi" w:hAnsiTheme="majorHAnsi"/>
          <w:sz w:val="22"/>
          <w:szCs w:val="22"/>
        </w:rPr>
        <w:t>bypassed in future pro</w:t>
      </w:r>
      <w:r w:rsidR="00654D57" w:rsidRPr="007B0751">
        <w:rPr>
          <w:rFonts w:asciiTheme="majorHAnsi" w:hAnsiTheme="majorHAnsi"/>
          <w:sz w:val="22"/>
          <w:szCs w:val="22"/>
        </w:rPr>
        <w:t>gramming.</w:t>
      </w:r>
    </w:p>
    <w:p w14:paraId="35BC2245" w14:textId="77777777" w:rsidR="00246187" w:rsidRPr="007B0751" w:rsidRDefault="00246187" w:rsidP="00894239">
      <w:pPr>
        <w:pStyle w:val="Default"/>
        <w:rPr>
          <w:rFonts w:asciiTheme="majorHAnsi" w:hAnsiTheme="majorHAnsi"/>
          <w:sz w:val="22"/>
          <w:szCs w:val="22"/>
        </w:rPr>
      </w:pPr>
    </w:p>
    <w:p w14:paraId="0D7B7F85" w14:textId="77777777" w:rsidR="00415D55" w:rsidRPr="007B0751" w:rsidRDefault="006542D0" w:rsidP="00894239">
      <w:pPr>
        <w:pStyle w:val="Default"/>
        <w:rPr>
          <w:rFonts w:asciiTheme="majorHAnsi" w:hAnsiTheme="majorHAnsi"/>
          <w:sz w:val="22"/>
          <w:szCs w:val="22"/>
        </w:rPr>
      </w:pPr>
      <w:r w:rsidRPr="007B0751">
        <w:rPr>
          <w:rFonts w:asciiTheme="majorHAnsi" w:hAnsiTheme="majorHAnsi"/>
          <w:sz w:val="22"/>
          <w:szCs w:val="22"/>
        </w:rPr>
        <w:t>The Program’s</w:t>
      </w:r>
      <w:r w:rsidR="00DB6D11" w:rsidRPr="007B0751">
        <w:rPr>
          <w:rFonts w:asciiTheme="majorHAnsi" w:hAnsiTheme="majorHAnsi"/>
          <w:sz w:val="22"/>
          <w:szCs w:val="22"/>
        </w:rPr>
        <w:t xml:space="preserve"> current</w:t>
      </w:r>
      <w:r w:rsidRPr="007B0751">
        <w:rPr>
          <w:rFonts w:asciiTheme="majorHAnsi" w:hAnsiTheme="majorHAnsi"/>
          <w:sz w:val="22"/>
          <w:szCs w:val="22"/>
        </w:rPr>
        <w:t xml:space="preserve"> approach to</w:t>
      </w:r>
      <w:r w:rsidR="00DB6D11" w:rsidRPr="007B0751">
        <w:rPr>
          <w:rFonts w:asciiTheme="majorHAnsi" w:hAnsiTheme="majorHAnsi"/>
          <w:sz w:val="22"/>
          <w:szCs w:val="22"/>
        </w:rPr>
        <w:t xml:space="preserve"> assessing ‘value for money’ is highly quantitative, and based primarily on </w:t>
      </w:r>
      <w:r w:rsidR="002A6F2F" w:rsidRPr="007B0751">
        <w:rPr>
          <w:rFonts w:asciiTheme="majorHAnsi" w:hAnsiTheme="majorHAnsi"/>
          <w:sz w:val="22"/>
          <w:szCs w:val="22"/>
        </w:rPr>
        <w:t xml:space="preserve">the </w:t>
      </w:r>
      <w:r w:rsidR="00DB6D11" w:rsidRPr="007B0751">
        <w:rPr>
          <w:rFonts w:asciiTheme="majorHAnsi" w:hAnsiTheme="majorHAnsi"/>
          <w:sz w:val="22"/>
          <w:szCs w:val="22"/>
        </w:rPr>
        <w:t>calculati</w:t>
      </w:r>
      <w:r w:rsidR="002A6F2F" w:rsidRPr="007B0751">
        <w:rPr>
          <w:rFonts w:asciiTheme="majorHAnsi" w:hAnsiTheme="majorHAnsi"/>
          <w:sz w:val="22"/>
          <w:szCs w:val="22"/>
        </w:rPr>
        <w:t>on of measuring</w:t>
      </w:r>
      <w:r w:rsidR="00DB6D11" w:rsidRPr="007B0751">
        <w:rPr>
          <w:rFonts w:asciiTheme="majorHAnsi" w:hAnsiTheme="majorHAnsi"/>
          <w:sz w:val="22"/>
          <w:szCs w:val="22"/>
        </w:rPr>
        <w:t xml:space="preserve"> the productive value of Program activities then considering them against the cost </w:t>
      </w:r>
      <w:r w:rsidR="008F543F" w:rsidRPr="007B0751">
        <w:rPr>
          <w:rFonts w:asciiTheme="majorHAnsi" w:hAnsiTheme="majorHAnsi"/>
          <w:sz w:val="22"/>
          <w:szCs w:val="22"/>
        </w:rPr>
        <w:t xml:space="preserve">to the Program </w:t>
      </w:r>
      <w:r w:rsidR="00DB6D11" w:rsidRPr="007B0751">
        <w:rPr>
          <w:rFonts w:asciiTheme="majorHAnsi" w:hAnsiTheme="majorHAnsi"/>
          <w:sz w:val="22"/>
          <w:szCs w:val="22"/>
        </w:rPr>
        <w:t xml:space="preserve">of those activities. </w:t>
      </w:r>
      <w:r w:rsidR="002A6F2F" w:rsidRPr="007B0751">
        <w:rPr>
          <w:rFonts w:asciiTheme="majorHAnsi" w:hAnsiTheme="majorHAnsi"/>
          <w:sz w:val="22"/>
          <w:szCs w:val="22"/>
        </w:rPr>
        <w:t xml:space="preserve">It is also the case that the two larger partners – WV and CARE – complement their AMENCA activities with their own resources (financial and human). </w:t>
      </w:r>
    </w:p>
    <w:p w14:paraId="55D7CB9C" w14:textId="77777777" w:rsidR="00415D55" w:rsidRPr="007B0751" w:rsidRDefault="00415D55" w:rsidP="00894239">
      <w:pPr>
        <w:pStyle w:val="Default"/>
        <w:rPr>
          <w:rFonts w:asciiTheme="majorHAnsi" w:hAnsiTheme="majorHAnsi"/>
          <w:sz w:val="22"/>
          <w:szCs w:val="22"/>
        </w:rPr>
      </w:pPr>
    </w:p>
    <w:p w14:paraId="52AB05A6" w14:textId="6A7FACC1" w:rsidR="00AC71E7" w:rsidRPr="007B0751" w:rsidRDefault="002A6F2F" w:rsidP="00712477">
      <w:pPr>
        <w:pStyle w:val="Default"/>
        <w:rPr>
          <w:rFonts w:asciiTheme="majorHAnsi" w:hAnsiTheme="majorHAnsi"/>
          <w:sz w:val="22"/>
          <w:szCs w:val="22"/>
        </w:rPr>
      </w:pPr>
      <w:r w:rsidRPr="007B0751">
        <w:rPr>
          <w:rFonts w:asciiTheme="majorHAnsi" w:hAnsiTheme="majorHAnsi"/>
          <w:sz w:val="22"/>
          <w:szCs w:val="22"/>
        </w:rPr>
        <w:t xml:space="preserve">While both these measurements carry some validity, it would be beneficial for the Program to dig deeper into the </w:t>
      </w:r>
      <w:r w:rsidR="00415D55" w:rsidRPr="007B0751">
        <w:rPr>
          <w:rFonts w:asciiTheme="majorHAnsi" w:hAnsiTheme="majorHAnsi"/>
          <w:sz w:val="22"/>
          <w:szCs w:val="22"/>
        </w:rPr>
        <w:t xml:space="preserve">specific </w:t>
      </w:r>
      <w:r w:rsidRPr="007B0751">
        <w:rPr>
          <w:rFonts w:asciiTheme="majorHAnsi" w:hAnsiTheme="majorHAnsi"/>
          <w:sz w:val="22"/>
          <w:szCs w:val="22"/>
        </w:rPr>
        <w:t>causal factors underpinning Program achievements,</w:t>
      </w:r>
      <w:r w:rsidR="00EF4108" w:rsidRPr="007B0751">
        <w:rPr>
          <w:rFonts w:asciiTheme="majorHAnsi" w:hAnsiTheme="majorHAnsi"/>
          <w:sz w:val="22"/>
          <w:szCs w:val="22"/>
        </w:rPr>
        <w:t xml:space="preserve"> in order to better understand attribution. For example, investments by APHEDA and WV in Gaza have achieved very good results in terms of food production and increased incomes, yet</w:t>
      </w:r>
      <w:r w:rsidR="00AC71E7" w:rsidRPr="007B0751">
        <w:rPr>
          <w:rFonts w:asciiTheme="majorHAnsi" w:hAnsiTheme="majorHAnsi"/>
          <w:sz w:val="22"/>
          <w:szCs w:val="22"/>
        </w:rPr>
        <w:t xml:space="preserve"> these </w:t>
      </w:r>
      <w:r w:rsidR="00AE7985">
        <w:rPr>
          <w:rFonts w:asciiTheme="majorHAnsi" w:hAnsiTheme="majorHAnsi"/>
          <w:sz w:val="22"/>
          <w:szCs w:val="22"/>
        </w:rPr>
        <w:t xml:space="preserve">impressive </w:t>
      </w:r>
      <w:r w:rsidR="00AC71E7" w:rsidRPr="007B0751">
        <w:rPr>
          <w:rFonts w:asciiTheme="majorHAnsi" w:hAnsiTheme="majorHAnsi"/>
          <w:sz w:val="22"/>
          <w:szCs w:val="22"/>
        </w:rPr>
        <w:t xml:space="preserve">results </w:t>
      </w:r>
      <w:r w:rsidR="00AE7985">
        <w:rPr>
          <w:rFonts w:asciiTheme="majorHAnsi" w:hAnsiTheme="majorHAnsi"/>
          <w:sz w:val="22"/>
          <w:szCs w:val="22"/>
        </w:rPr>
        <w:t>come</w:t>
      </w:r>
      <w:r w:rsidR="00AC71E7" w:rsidRPr="007B0751">
        <w:rPr>
          <w:rFonts w:asciiTheme="majorHAnsi" w:hAnsiTheme="majorHAnsi"/>
          <w:sz w:val="22"/>
          <w:szCs w:val="22"/>
        </w:rPr>
        <w:t xml:space="preserve"> from multiple interventions</w:t>
      </w:r>
      <w:r w:rsidR="00AE7985">
        <w:rPr>
          <w:rFonts w:asciiTheme="majorHAnsi" w:hAnsiTheme="majorHAnsi"/>
          <w:sz w:val="22"/>
          <w:szCs w:val="22"/>
        </w:rPr>
        <w:t xml:space="preserve"> of capital, training, follow up technical support, and </w:t>
      </w:r>
      <w:r w:rsidR="0013512A">
        <w:rPr>
          <w:rFonts w:asciiTheme="majorHAnsi" w:hAnsiTheme="majorHAnsi"/>
          <w:sz w:val="22"/>
          <w:szCs w:val="22"/>
        </w:rPr>
        <w:t>activities related to improving psychosocial health</w:t>
      </w:r>
      <w:r w:rsidR="00AC71E7" w:rsidRPr="007B0751">
        <w:rPr>
          <w:rFonts w:asciiTheme="majorHAnsi" w:hAnsiTheme="majorHAnsi"/>
          <w:sz w:val="22"/>
          <w:szCs w:val="22"/>
        </w:rPr>
        <w:t xml:space="preserve">. </w:t>
      </w:r>
      <w:r w:rsidR="00EF4108" w:rsidRPr="007B0751">
        <w:rPr>
          <w:rFonts w:asciiTheme="majorHAnsi" w:hAnsiTheme="majorHAnsi"/>
          <w:sz w:val="22"/>
          <w:szCs w:val="22"/>
        </w:rPr>
        <w:t>What would be interesting for all interested parties would be to</w:t>
      </w:r>
      <w:r w:rsidR="00AC71E7" w:rsidRPr="007B0751">
        <w:rPr>
          <w:rFonts w:asciiTheme="majorHAnsi" w:hAnsiTheme="majorHAnsi"/>
          <w:sz w:val="22"/>
          <w:szCs w:val="22"/>
        </w:rPr>
        <w:t xml:space="preserve"> dig deeper in order to</w:t>
      </w:r>
      <w:r w:rsidR="00EF4108" w:rsidRPr="007B0751">
        <w:rPr>
          <w:rFonts w:asciiTheme="majorHAnsi" w:hAnsiTheme="majorHAnsi"/>
          <w:sz w:val="22"/>
          <w:szCs w:val="22"/>
        </w:rPr>
        <w:t xml:space="preserve"> understand the</w:t>
      </w:r>
      <w:r w:rsidR="00AC71E7" w:rsidRPr="007B0751">
        <w:rPr>
          <w:rFonts w:asciiTheme="majorHAnsi" w:hAnsiTheme="majorHAnsi"/>
          <w:sz w:val="22"/>
          <w:szCs w:val="22"/>
        </w:rPr>
        <w:t xml:space="preserve"> relative</w:t>
      </w:r>
      <w:r w:rsidR="00EF4108" w:rsidRPr="007B0751">
        <w:rPr>
          <w:rFonts w:asciiTheme="majorHAnsi" w:hAnsiTheme="majorHAnsi"/>
          <w:sz w:val="22"/>
          <w:szCs w:val="22"/>
        </w:rPr>
        <w:t xml:space="preserve"> contributions made by different inputs.  </w:t>
      </w:r>
    </w:p>
    <w:p w14:paraId="06049351" w14:textId="77777777" w:rsidR="00AC71E7" w:rsidRPr="007B0751" w:rsidRDefault="00AC71E7" w:rsidP="00894239">
      <w:pPr>
        <w:pStyle w:val="Default"/>
        <w:rPr>
          <w:rFonts w:asciiTheme="majorHAnsi" w:hAnsiTheme="majorHAnsi"/>
          <w:sz w:val="22"/>
          <w:szCs w:val="22"/>
        </w:rPr>
      </w:pPr>
    </w:p>
    <w:p w14:paraId="78942E03" w14:textId="77777777" w:rsidR="00AC71E7" w:rsidRPr="007B0751" w:rsidRDefault="00AC71E7" w:rsidP="00894239">
      <w:pPr>
        <w:pStyle w:val="Default"/>
        <w:rPr>
          <w:rFonts w:asciiTheme="majorHAnsi" w:hAnsiTheme="majorHAnsi"/>
          <w:sz w:val="22"/>
          <w:szCs w:val="22"/>
        </w:rPr>
      </w:pPr>
      <w:r w:rsidRPr="007B0751">
        <w:rPr>
          <w:rFonts w:asciiTheme="majorHAnsi" w:hAnsiTheme="majorHAnsi"/>
          <w:sz w:val="22"/>
          <w:szCs w:val="22"/>
        </w:rPr>
        <w:t>Attribution and consideration of ‘value for money’ becomes even more challenging when considering ‘soft outcomes’ such as empowerment and psychosocial health. However these are major achievements of the Program, and require deeper investigation given that</w:t>
      </w:r>
      <w:r w:rsidR="00F4647A">
        <w:rPr>
          <w:rFonts w:asciiTheme="majorHAnsi" w:hAnsiTheme="majorHAnsi"/>
          <w:sz w:val="22"/>
          <w:szCs w:val="22"/>
        </w:rPr>
        <w:t xml:space="preserve"> </w:t>
      </w:r>
      <w:r w:rsidRPr="007B0751">
        <w:rPr>
          <w:rFonts w:asciiTheme="majorHAnsi" w:hAnsiTheme="majorHAnsi"/>
          <w:sz w:val="22"/>
          <w:szCs w:val="22"/>
        </w:rPr>
        <w:t>resilience sits</w:t>
      </w:r>
      <w:r w:rsidR="00741735" w:rsidRPr="007B0751">
        <w:rPr>
          <w:rFonts w:asciiTheme="majorHAnsi" w:hAnsiTheme="majorHAnsi"/>
          <w:sz w:val="22"/>
          <w:szCs w:val="22"/>
        </w:rPr>
        <w:t xml:space="preserve"> at the heart of the Program</w:t>
      </w:r>
      <w:r w:rsidRPr="007B0751">
        <w:rPr>
          <w:rFonts w:asciiTheme="majorHAnsi" w:hAnsiTheme="majorHAnsi"/>
          <w:sz w:val="22"/>
          <w:szCs w:val="22"/>
        </w:rPr>
        <w:t>.</w:t>
      </w:r>
    </w:p>
    <w:p w14:paraId="67B63401" w14:textId="77777777" w:rsidR="00757030" w:rsidRPr="007B0751" w:rsidRDefault="00757030" w:rsidP="00894239">
      <w:pPr>
        <w:pStyle w:val="Default"/>
        <w:rPr>
          <w:rFonts w:asciiTheme="majorHAnsi" w:hAnsiTheme="majorHAnsi"/>
          <w:sz w:val="22"/>
          <w:szCs w:val="22"/>
        </w:rPr>
      </w:pPr>
    </w:p>
    <w:p w14:paraId="53F60193" w14:textId="77777777" w:rsidR="00757030" w:rsidRPr="007B0751" w:rsidRDefault="00757030" w:rsidP="00894239">
      <w:pPr>
        <w:pStyle w:val="Default"/>
        <w:rPr>
          <w:rFonts w:asciiTheme="majorHAnsi" w:hAnsiTheme="majorHAnsi"/>
          <w:sz w:val="22"/>
          <w:szCs w:val="22"/>
        </w:rPr>
      </w:pPr>
      <w:r w:rsidRPr="007B0751">
        <w:rPr>
          <w:rFonts w:asciiTheme="majorHAnsi" w:hAnsiTheme="majorHAnsi"/>
          <w:sz w:val="22"/>
          <w:szCs w:val="22"/>
        </w:rPr>
        <w:t xml:space="preserve">Overall, project reporting is of a high quality (and significantly improved over the life of the Program). However it is </w:t>
      </w:r>
      <w:r w:rsidR="00CA4749">
        <w:rPr>
          <w:rFonts w:asciiTheme="majorHAnsi" w:hAnsiTheme="majorHAnsi"/>
          <w:sz w:val="22"/>
          <w:szCs w:val="22"/>
        </w:rPr>
        <w:t xml:space="preserve">somewhat complicated, with a variety of styles and approaches used to meet different project and program reporting requirements. While this ensures a vast array of information, it is not particularly user friendly. </w:t>
      </w:r>
      <w:r w:rsidRPr="007B0751">
        <w:rPr>
          <w:rFonts w:asciiTheme="majorHAnsi" w:hAnsiTheme="majorHAnsi"/>
          <w:sz w:val="22"/>
          <w:szCs w:val="22"/>
        </w:rPr>
        <w:t>Deeper analysis of causal factors contributing to (what are undoubtedly impressive) results would allow greater appreciation and understanding of ‘value for money’, and greatly inform future planning.</w:t>
      </w:r>
    </w:p>
    <w:p w14:paraId="1FA73DDE" w14:textId="77777777" w:rsidR="00FB2DCD" w:rsidRPr="007B0751" w:rsidRDefault="00FB2DCD" w:rsidP="00894239">
      <w:pPr>
        <w:pStyle w:val="Default"/>
        <w:rPr>
          <w:rFonts w:asciiTheme="majorHAnsi" w:hAnsiTheme="majorHAnsi"/>
          <w:sz w:val="22"/>
          <w:szCs w:val="22"/>
        </w:rPr>
      </w:pPr>
    </w:p>
    <w:p w14:paraId="6DFD42D7" w14:textId="77777777" w:rsidR="00FB2DCD" w:rsidRPr="007B0751" w:rsidRDefault="00FB2DCD" w:rsidP="00894239">
      <w:pPr>
        <w:pStyle w:val="Default"/>
        <w:rPr>
          <w:rFonts w:asciiTheme="majorHAnsi" w:hAnsiTheme="majorHAnsi"/>
          <w:i/>
          <w:sz w:val="22"/>
          <w:szCs w:val="22"/>
        </w:rPr>
      </w:pPr>
      <w:r w:rsidRPr="007B0751">
        <w:rPr>
          <w:rFonts w:asciiTheme="majorHAnsi" w:hAnsiTheme="majorHAnsi"/>
          <w:i/>
          <w:sz w:val="22"/>
          <w:szCs w:val="22"/>
        </w:rPr>
        <w:t>5.2.4</w:t>
      </w:r>
      <w:r w:rsidRPr="007B0751">
        <w:rPr>
          <w:rFonts w:asciiTheme="majorHAnsi" w:hAnsiTheme="majorHAnsi"/>
          <w:i/>
          <w:sz w:val="22"/>
          <w:szCs w:val="22"/>
        </w:rPr>
        <w:tab/>
        <w:t>Program Sustainability</w:t>
      </w:r>
    </w:p>
    <w:p w14:paraId="27FA201A" w14:textId="77777777" w:rsidR="00F528E5" w:rsidRPr="007B0751" w:rsidRDefault="00F528E5" w:rsidP="00894239">
      <w:pPr>
        <w:pStyle w:val="Default"/>
        <w:rPr>
          <w:rFonts w:asciiTheme="majorHAnsi" w:hAnsiTheme="majorHAnsi"/>
          <w:i/>
          <w:sz w:val="22"/>
          <w:szCs w:val="22"/>
        </w:rPr>
      </w:pPr>
    </w:p>
    <w:p w14:paraId="41AE51CC" w14:textId="77777777" w:rsidR="00F528E5" w:rsidRPr="007B0751" w:rsidRDefault="00F528E5" w:rsidP="00F528E5">
      <w:pPr>
        <w:pStyle w:val="Default"/>
        <w:ind w:left="720"/>
        <w:rPr>
          <w:rFonts w:asciiTheme="majorHAnsi" w:hAnsiTheme="majorHAnsi"/>
          <w:i/>
          <w:sz w:val="22"/>
          <w:szCs w:val="22"/>
        </w:rPr>
      </w:pPr>
      <w:r w:rsidRPr="007B0751">
        <w:rPr>
          <w:rFonts w:asciiTheme="majorHAnsi" w:hAnsiTheme="majorHAnsi"/>
          <w:i/>
          <w:sz w:val="22"/>
          <w:szCs w:val="22"/>
        </w:rPr>
        <w:t xml:space="preserve">“When </w:t>
      </w:r>
      <w:r w:rsidR="008F543F" w:rsidRPr="007B0751">
        <w:rPr>
          <w:rFonts w:asciiTheme="majorHAnsi" w:hAnsiTheme="majorHAnsi"/>
          <w:i/>
          <w:sz w:val="22"/>
          <w:szCs w:val="22"/>
        </w:rPr>
        <w:t>holistical</w:t>
      </w:r>
      <w:r w:rsidRPr="007B0751">
        <w:rPr>
          <w:rFonts w:asciiTheme="majorHAnsi" w:hAnsiTheme="majorHAnsi"/>
          <w:i/>
          <w:sz w:val="22"/>
          <w:szCs w:val="22"/>
        </w:rPr>
        <w:t xml:space="preserve">ly and effectively applied, the Program’s multi-pronged strategy for </w:t>
      </w:r>
      <w:r w:rsidR="008F543F" w:rsidRPr="007B0751">
        <w:rPr>
          <w:rFonts w:asciiTheme="majorHAnsi" w:hAnsiTheme="majorHAnsi"/>
          <w:i/>
          <w:sz w:val="22"/>
          <w:szCs w:val="22"/>
        </w:rPr>
        <w:t>build</w:t>
      </w:r>
      <w:r w:rsidRPr="007B0751">
        <w:rPr>
          <w:rFonts w:asciiTheme="majorHAnsi" w:hAnsiTheme="majorHAnsi"/>
          <w:i/>
          <w:sz w:val="22"/>
          <w:szCs w:val="22"/>
        </w:rPr>
        <w:t xml:space="preserve">ing community resilience appears largely sustainable owing to the </w:t>
      </w:r>
      <w:r w:rsidR="008F543F" w:rsidRPr="007B0751">
        <w:rPr>
          <w:rFonts w:asciiTheme="majorHAnsi" w:hAnsiTheme="majorHAnsi"/>
          <w:i/>
          <w:sz w:val="22"/>
          <w:szCs w:val="22"/>
        </w:rPr>
        <w:t>collective</w:t>
      </w:r>
      <w:r w:rsidRPr="007B0751">
        <w:rPr>
          <w:rFonts w:asciiTheme="majorHAnsi" w:hAnsiTheme="majorHAnsi"/>
          <w:i/>
          <w:sz w:val="22"/>
          <w:szCs w:val="22"/>
        </w:rPr>
        <w:t xml:space="preserve"> impact of advances in strengthened community structures and CBOs; enhanced opportunities for women and youth; strategic and largely sustainable livelihood investments, and increased stores of social capital.”</w:t>
      </w:r>
    </w:p>
    <w:p w14:paraId="5784DC78" w14:textId="77777777" w:rsidR="00F528E5" w:rsidRPr="007B0751" w:rsidRDefault="00F528E5" w:rsidP="00894239">
      <w:pPr>
        <w:pStyle w:val="Default"/>
        <w:rPr>
          <w:rFonts w:asciiTheme="majorHAnsi" w:hAnsiTheme="majorHAnsi"/>
          <w:sz w:val="22"/>
          <w:szCs w:val="22"/>
        </w:rPr>
      </w:pPr>
    </w:p>
    <w:p w14:paraId="5657817A" w14:textId="77777777" w:rsidR="00A2432C" w:rsidRDefault="00676C5A" w:rsidP="00894239">
      <w:pPr>
        <w:pStyle w:val="Default"/>
        <w:rPr>
          <w:rFonts w:asciiTheme="majorHAnsi" w:hAnsiTheme="majorHAnsi"/>
          <w:sz w:val="22"/>
          <w:szCs w:val="22"/>
        </w:rPr>
      </w:pPr>
      <w:r w:rsidRPr="007B0751">
        <w:rPr>
          <w:rFonts w:asciiTheme="majorHAnsi" w:hAnsiTheme="majorHAnsi"/>
          <w:sz w:val="22"/>
          <w:szCs w:val="22"/>
        </w:rPr>
        <w:t xml:space="preserve">The Review observed </w:t>
      </w:r>
      <w:r w:rsidR="004573D3" w:rsidRPr="007B0751">
        <w:rPr>
          <w:rFonts w:asciiTheme="majorHAnsi" w:hAnsiTheme="majorHAnsi"/>
          <w:sz w:val="22"/>
          <w:szCs w:val="22"/>
        </w:rPr>
        <w:t>generally</w:t>
      </w:r>
      <w:r w:rsidRPr="007B0751">
        <w:rPr>
          <w:rFonts w:asciiTheme="majorHAnsi" w:hAnsiTheme="majorHAnsi"/>
          <w:sz w:val="22"/>
          <w:szCs w:val="22"/>
        </w:rPr>
        <w:t xml:space="preserve"> consistent performance across the Program in relation to sustainability planning for </w:t>
      </w:r>
      <w:r w:rsidR="00C15AEB" w:rsidRPr="007B0751">
        <w:rPr>
          <w:rFonts w:asciiTheme="majorHAnsi" w:hAnsiTheme="majorHAnsi"/>
          <w:sz w:val="22"/>
          <w:szCs w:val="22"/>
        </w:rPr>
        <w:t xml:space="preserve">its investments and </w:t>
      </w:r>
      <w:r w:rsidRPr="007B0751">
        <w:rPr>
          <w:rFonts w:asciiTheme="majorHAnsi" w:hAnsiTheme="majorHAnsi"/>
          <w:sz w:val="22"/>
          <w:szCs w:val="22"/>
        </w:rPr>
        <w:t>beneficiaries.</w:t>
      </w:r>
      <w:r w:rsidR="006E475B">
        <w:rPr>
          <w:rFonts w:asciiTheme="majorHAnsi" w:hAnsiTheme="majorHAnsi"/>
          <w:sz w:val="22"/>
          <w:szCs w:val="22"/>
        </w:rPr>
        <w:t xml:space="preserve"> </w:t>
      </w:r>
      <w:r w:rsidR="00A2432C">
        <w:rPr>
          <w:rFonts w:asciiTheme="majorHAnsi" w:hAnsiTheme="majorHAnsi"/>
          <w:sz w:val="22"/>
          <w:szCs w:val="22"/>
        </w:rPr>
        <w:t>APHEDA and CARE initiated independent sustainability analysis of their interventions in Year Three of the Program.</w:t>
      </w:r>
    </w:p>
    <w:p w14:paraId="3C7BAA3C" w14:textId="77777777" w:rsidR="00A2432C" w:rsidRDefault="00A2432C" w:rsidP="00894239">
      <w:pPr>
        <w:pStyle w:val="Default"/>
        <w:rPr>
          <w:rFonts w:asciiTheme="majorHAnsi" w:hAnsiTheme="majorHAnsi"/>
          <w:sz w:val="22"/>
          <w:szCs w:val="22"/>
        </w:rPr>
      </w:pPr>
    </w:p>
    <w:p w14:paraId="1F0ACDE0" w14:textId="503CD720" w:rsidR="00894239" w:rsidRPr="007B0751" w:rsidRDefault="00A2432C" w:rsidP="00894239">
      <w:pPr>
        <w:pStyle w:val="Default"/>
        <w:rPr>
          <w:rFonts w:asciiTheme="majorHAnsi" w:hAnsiTheme="majorHAnsi"/>
          <w:sz w:val="22"/>
          <w:szCs w:val="22"/>
        </w:rPr>
      </w:pPr>
      <w:r>
        <w:rPr>
          <w:rFonts w:asciiTheme="majorHAnsi" w:hAnsiTheme="majorHAnsi"/>
          <w:sz w:val="22"/>
          <w:szCs w:val="22"/>
        </w:rPr>
        <w:t xml:space="preserve">Observations of strong progress towards sustainability are </w:t>
      </w:r>
      <w:r w:rsidR="00357B76" w:rsidRPr="007B0751">
        <w:rPr>
          <w:rFonts w:asciiTheme="majorHAnsi" w:hAnsiTheme="majorHAnsi"/>
          <w:sz w:val="22"/>
          <w:szCs w:val="22"/>
        </w:rPr>
        <w:t xml:space="preserve">backed up by ‘sustainability assessments’ initiated by the M&amp;E Advisor, and through exit or transition strategies prepared by partners. </w:t>
      </w:r>
      <w:r w:rsidR="00493110" w:rsidRPr="007B0751">
        <w:rPr>
          <w:rFonts w:asciiTheme="majorHAnsi" w:hAnsiTheme="majorHAnsi"/>
          <w:sz w:val="22"/>
          <w:szCs w:val="22"/>
        </w:rPr>
        <w:t xml:space="preserve">The definition applied within the Program to measure sustainability is </w:t>
      </w:r>
      <w:r w:rsidRPr="002A5C0E">
        <w:rPr>
          <w:rFonts w:asciiTheme="majorHAnsi" w:hAnsiTheme="majorHAnsi"/>
          <w:i/>
          <w:sz w:val="22"/>
          <w:szCs w:val="22"/>
        </w:rPr>
        <w:t>“</w:t>
      </w:r>
      <w:r w:rsidR="00493110" w:rsidRPr="002A5C0E">
        <w:rPr>
          <w:rFonts w:asciiTheme="majorHAnsi" w:hAnsiTheme="majorHAnsi"/>
          <w:i/>
          <w:sz w:val="22"/>
          <w:szCs w:val="22"/>
        </w:rPr>
        <w:t>the capacity to cope with and recover from stress and shocks, maintain and enhance its capabilities and assets, and provide sustainable livelihood opportunities</w:t>
      </w:r>
      <w:r w:rsidR="006B63D8" w:rsidRPr="002A5C0E">
        <w:rPr>
          <w:rFonts w:asciiTheme="majorHAnsi" w:hAnsiTheme="majorHAnsi"/>
          <w:i/>
          <w:sz w:val="22"/>
          <w:szCs w:val="22"/>
        </w:rPr>
        <w:t>.</w:t>
      </w:r>
      <w:r w:rsidRPr="002A5C0E">
        <w:rPr>
          <w:rFonts w:asciiTheme="majorHAnsi" w:hAnsiTheme="majorHAnsi"/>
          <w:i/>
          <w:sz w:val="22"/>
          <w:szCs w:val="22"/>
        </w:rPr>
        <w:t>”</w:t>
      </w:r>
    </w:p>
    <w:p w14:paraId="7C88BB86" w14:textId="77777777" w:rsidR="00C15AEB" w:rsidRPr="007B0751" w:rsidRDefault="00C15AEB" w:rsidP="00894239">
      <w:pPr>
        <w:pStyle w:val="Default"/>
        <w:rPr>
          <w:rFonts w:asciiTheme="majorHAnsi" w:hAnsiTheme="majorHAnsi"/>
          <w:sz w:val="22"/>
          <w:szCs w:val="22"/>
        </w:rPr>
      </w:pPr>
    </w:p>
    <w:p w14:paraId="248F09E1" w14:textId="77777777" w:rsidR="00C15AEB" w:rsidRPr="007B0751" w:rsidRDefault="00C15AEB" w:rsidP="00894239">
      <w:pPr>
        <w:pStyle w:val="Default"/>
        <w:rPr>
          <w:rFonts w:asciiTheme="majorHAnsi" w:hAnsiTheme="majorHAnsi"/>
          <w:sz w:val="22"/>
          <w:szCs w:val="22"/>
        </w:rPr>
      </w:pPr>
      <w:r w:rsidRPr="007B0751">
        <w:rPr>
          <w:rFonts w:asciiTheme="majorHAnsi" w:hAnsiTheme="majorHAnsi"/>
          <w:sz w:val="22"/>
          <w:szCs w:val="22"/>
        </w:rPr>
        <w:t xml:space="preserve">Some larger Program investments - such as CARE’s Nursery and Seed Banks and </w:t>
      </w:r>
      <w:proofErr w:type="spellStart"/>
      <w:r w:rsidRPr="007B0751">
        <w:rPr>
          <w:rFonts w:asciiTheme="majorHAnsi" w:hAnsiTheme="majorHAnsi"/>
          <w:sz w:val="22"/>
          <w:szCs w:val="22"/>
        </w:rPr>
        <w:t>ActionAid’s</w:t>
      </w:r>
      <w:proofErr w:type="spellEnd"/>
      <w:r w:rsidRPr="007B0751">
        <w:rPr>
          <w:rFonts w:asciiTheme="majorHAnsi" w:hAnsiTheme="majorHAnsi"/>
          <w:sz w:val="22"/>
          <w:szCs w:val="22"/>
        </w:rPr>
        <w:t xml:space="preserve"> support to CBO infrastructure - were conceived with sustainability plans in mind. Participants are able to clearly articulate recurrent costs and strategies in place to ensure sufficient income to cover such costs. </w:t>
      </w:r>
      <w:r w:rsidR="00087932" w:rsidRPr="007B0751">
        <w:rPr>
          <w:rFonts w:asciiTheme="majorHAnsi" w:hAnsiTheme="majorHAnsi"/>
          <w:sz w:val="22"/>
          <w:szCs w:val="22"/>
        </w:rPr>
        <w:t>CARE’s</w:t>
      </w:r>
      <w:r w:rsidR="005D5FF9" w:rsidRPr="007B0751">
        <w:rPr>
          <w:rFonts w:asciiTheme="majorHAnsi" w:hAnsiTheme="majorHAnsi"/>
          <w:sz w:val="22"/>
          <w:szCs w:val="22"/>
        </w:rPr>
        <w:t xml:space="preserve"> Nursery and Seed Banks are now best viewed as </w:t>
      </w:r>
      <w:r w:rsidR="008F543F" w:rsidRPr="007B0751">
        <w:rPr>
          <w:rFonts w:asciiTheme="majorHAnsi" w:hAnsiTheme="majorHAnsi"/>
          <w:sz w:val="22"/>
          <w:szCs w:val="22"/>
        </w:rPr>
        <w:t>medium size</w:t>
      </w:r>
      <w:r w:rsidR="006E475B">
        <w:rPr>
          <w:rFonts w:asciiTheme="majorHAnsi" w:hAnsiTheme="majorHAnsi"/>
          <w:sz w:val="22"/>
          <w:szCs w:val="22"/>
        </w:rPr>
        <w:t xml:space="preserve"> </w:t>
      </w:r>
      <w:r w:rsidR="005D5FF9" w:rsidRPr="007B0751">
        <w:rPr>
          <w:rFonts w:asciiTheme="majorHAnsi" w:hAnsiTheme="majorHAnsi"/>
          <w:sz w:val="22"/>
          <w:szCs w:val="22"/>
        </w:rPr>
        <w:t xml:space="preserve">enterprises, requiring substantial business plans to ensure their </w:t>
      </w:r>
      <w:r w:rsidR="008F543F" w:rsidRPr="007B0751">
        <w:rPr>
          <w:rFonts w:asciiTheme="majorHAnsi" w:hAnsiTheme="majorHAnsi"/>
          <w:sz w:val="22"/>
          <w:szCs w:val="22"/>
        </w:rPr>
        <w:t>continued success</w:t>
      </w:r>
      <w:r w:rsidR="005D5FF9" w:rsidRPr="007B0751">
        <w:rPr>
          <w:rFonts w:asciiTheme="majorHAnsi" w:hAnsiTheme="majorHAnsi"/>
          <w:sz w:val="22"/>
          <w:szCs w:val="22"/>
        </w:rPr>
        <w:t xml:space="preserve">. </w:t>
      </w:r>
      <w:r w:rsidR="00087932" w:rsidRPr="007B0751">
        <w:rPr>
          <w:rFonts w:asciiTheme="majorHAnsi" w:hAnsiTheme="majorHAnsi"/>
          <w:sz w:val="22"/>
          <w:szCs w:val="22"/>
        </w:rPr>
        <w:t xml:space="preserve">They are currently viable and </w:t>
      </w:r>
      <w:proofErr w:type="spellStart"/>
      <w:r w:rsidR="00087932" w:rsidRPr="007B0751">
        <w:rPr>
          <w:rFonts w:asciiTheme="majorHAnsi" w:hAnsiTheme="majorHAnsi"/>
          <w:sz w:val="22"/>
          <w:szCs w:val="22"/>
        </w:rPr>
        <w:t>self sustaining</w:t>
      </w:r>
      <w:proofErr w:type="spellEnd"/>
      <w:r w:rsidR="00087932" w:rsidRPr="007B0751">
        <w:rPr>
          <w:rFonts w:asciiTheme="majorHAnsi" w:hAnsiTheme="majorHAnsi"/>
          <w:sz w:val="22"/>
          <w:szCs w:val="22"/>
        </w:rPr>
        <w:t xml:space="preserve">, and looking at opportunities for expansion. </w:t>
      </w:r>
      <w:proofErr w:type="spellStart"/>
      <w:r w:rsidR="00087932" w:rsidRPr="007B0751">
        <w:rPr>
          <w:rFonts w:asciiTheme="majorHAnsi" w:hAnsiTheme="majorHAnsi"/>
          <w:sz w:val="22"/>
          <w:szCs w:val="22"/>
        </w:rPr>
        <w:t>ActionAid’s</w:t>
      </w:r>
      <w:proofErr w:type="spellEnd"/>
      <w:r w:rsidR="006E475B">
        <w:rPr>
          <w:rFonts w:asciiTheme="majorHAnsi" w:hAnsiTheme="majorHAnsi"/>
          <w:sz w:val="22"/>
          <w:szCs w:val="22"/>
        </w:rPr>
        <w:t xml:space="preserve"> </w:t>
      </w:r>
      <w:r w:rsidR="00724207" w:rsidRPr="007B0751">
        <w:rPr>
          <w:rFonts w:asciiTheme="majorHAnsi" w:hAnsiTheme="majorHAnsi"/>
          <w:sz w:val="22"/>
          <w:szCs w:val="22"/>
        </w:rPr>
        <w:t xml:space="preserve">CBO infrastructure </w:t>
      </w:r>
      <w:r w:rsidR="00087932" w:rsidRPr="007B0751">
        <w:rPr>
          <w:rFonts w:asciiTheme="majorHAnsi" w:hAnsiTheme="majorHAnsi"/>
          <w:sz w:val="22"/>
          <w:szCs w:val="22"/>
        </w:rPr>
        <w:t xml:space="preserve">investments </w:t>
      </w:r>
      <w:r w:rsidR="00724207" w:rsidRPr="007B0751">
        <w:rPr>
          <w:rFonts w:asciiTheme="majorHAnsi" w:hAnsiTheme="majorHAnsi"/>
          <w:sz w:val="22"/>
          <w:szCs w:val="22"/>
        </w:rPr>
        <w:t>are more straightforward give</w:t>
      </w:r>
      <w:r w:rsidR="008F543F" w:rsidRPr="007B0751">
        <w:rPr>
          <w:rFonts w:asciiTheme="majorHAnsi" w:hAnsiTheme="majorHAnsi"/>
          <w:sz w:val="22"/>
          <w:szCs w:val="22"/>
        </w:rPr>
        <w:t>n that the bricks and mortar have now</w:t>
      </w:r>
      <w:r w:rsidR="00724207" w:rsidRPr="007B0751">
        <w:rPr>
          <w:rFonts w:asciiTheme="majorHAnsi" w:hAnsiTheme="majorHAnsi"/>
          <w:sz w:val="22"/>
          <w:szCs w:val="22"/>
        </w:rPr>
        <w:t xml:space="preserve"> been paid for by the Program, </w:t>
      </w:r>
      <w:r w:rsidR="008F543F" w:rsidRPr="007B0751">
        <w:rPr>
          <w:rFonts w:asciiTheme="majorHAnsi" w:hAnsiTheme="majorHAnsi"/>
          <w:sz w:val="22"/>
          <w:szCs w:val="22"/>
        </w:rPr>
        <w:t xml:space="preserve">and income is only required </w:t>
      </w:r>
      <w:r w:rsidR="00724207" w:rsidRPr="007B0751">
        <w:rPr>
          <w:rFonts w:asciiTheme="majorHAnsi" w:hAnsiTheme="majorHAnsi"/>
          <w:sz w:val="22"/>
          <w:szCs w:val="22"/>
        </w:rPr>
        <w:t>to cover recurrent costs such as electricity, internet connections, and water.</w:t>
      </w:r>
    </w:p>
    <w:p w14:paraId="1E7ABC81" w14:textId="77777777" w:rsidR="00C15AEB" w:rsidRPr="007B0751" w:rsidRDefault="00C15AEB" w:rsidP="00894239">
      <w:pPr>
        <w:pStyle w:val="Default"/>
        <w:rPr>
          <w:rFonts w:asciiTheme="majorHAnsi" w:hAnsiTheme="majorHAnsi"/>
          <w:sz w:val="22"/>
          <w:szCs w:val="22"/>
        </w:rPr>
      </w:pPr>
    </w:p>
    <w:p w14:paraId="659E6A71" w14:textId="3F84C672" w:rsidR="00973BFB" w:rsidRPr="007B0751" w:rsidRDefault="002E5818" w:rsidP="00894239">
      <w:pPr>
        <w:pStyle w:val="Default"/>
        <w:rPr>
          <w:rFonts w:asciiTheme="majorHAnsi" w:hAnsiTheme="majorHAnsi"/>
          <w:sz w:val="22"/>
          <w:szCs w:val="22"/>
        </w:rPr>
      </w:pPr>
      <w:r>
        <w:rPr>
          <w:rFonts w:asciiTheme="majorHAnsi" w:hAnsiTheme="majorHAnsi"/>
          <w:sz w:val="22"/>
          <w:szCs w:val="22"/>
        </w:rPr>
        <w:t>L</w:t>
      </w:r>
      <w:r w:rsidRPr="007B0751">
        <w:rPr>
          <w:rFonts w:asciiTheme="majorHAnsi" w:hAnsiTheme="majorHAnsi"/>
          <w:sz w:val="22"/>
          <w:szCs w:val="22"/>
        </w:rPr>
        <w:t xml:space="preserve">arger </w:t>
      </w:r>
      <w:r>
        <w:rPr>
          <w:rFonts w:asciiTheme="majorHAnsi" w:hAnsiTheme="majorHAnsi"/>
          <w:sz w:val="22"/>
          <w:szCs w:val="22"/>
        </w:rPr>
        <w:t xml:space="preserve">scale </w:t>
      </w:r>
      <w:r w:rsidRPr="007B0751">
        <w:rPr>
          <w:rFonts w:asciiTheme="majorHAnsi" w:hAnsiTheme="majorHAnsi"/>
          <w:sz w:val="22"/>
          <w:szCs w:val="22"/>
        </w:rPr>
        <w:t xml:space="preserve">agricultural infrastructure investments </w:t>
      </w:r>
      <w:r>
        <w:rPr>
          <w:rFonts w:asciiTheme="majorHAnsi" w:hAnsiTheme="majorHAnsi"/>
          <w:sz w:val="22"/>
          <w:szCs w:val="22"/>
        </w:rPr>
        <w:t xml:space="preserve">are generally low risk, since they are mostly grant based. </w:t>
      </w:r>
      <w:r w:rsidR="00C15AEB" w:rsidRPr="007B0751">
        <w:rPr>
          <w:rFonts w:asciiTheme="majorHAnsi" w:hAnsiTheme="majorHAnsi"/>
          <w:sz w:val="22"/>
          <w:szCs w:val="22"/>
        </w:rPr>
        <w:t>Ongoing sustainability of larger agricultural infrastructure investments</w:t>
      </w:r>
      <w:r w:rsidR="005D5FF9" w:rsidRPr="007B0751">
        <w:rPr>
          <w:rFonts w:asciiTheme="majorHAnsi" w:hAnsiTheme="majorHAnsi"/>
          <w:sz w:val="22"/>
          <w:szCs w:val="22"/>
        </w:rPr>
        <w:t xml:space="preserve"> such as greenhouses</w:t>
      </w:r>
      <w:r w:rsidR="00C15AEB" w:rsidRPr="007B0751">
        <w:rPr>
          <w:rFonts w:asciiTheme="majorHAnsi" w:hAnsiTheme="majorHAnsi"/>
          <w:sz w:val="22"/>
          <w:szCs w:val="22"/>
        </w:rPr>
        <w:t xml:space="preserve"> is primarily </w:t>
      </w:r>
      <w:r w:rsidR="00357B76" w:rsidRPr="007B0751">
        <w:rPr>
          <w:rFonts w:asciiTheme="majorHAnsi" w:hAnsiTheme="majorHAnsi"/>
          <w:sz w:val="22"/>
          <w:szCs w:val="22"/>
        </w:rPr>
        <w:t>based on a</w:t>
      </w:r>
      <w:r w:rsidR="005D5FF9" w:rsidRPr="007B0751">
        <w:rPr>
          <w:rFonts w:asciiTheme="majorHAnsi" w:hAnsiTheme="majorHAnsi"/>
          <w:sz w:val="22"/>
          <w:szCs w:val="22"/>
        </w:rPr>
        <w:t>n</w:t>
      </w:r>
      <w:r w:rsidR="00357B76" w:rsidRPr="007B0751">
        <w:rPr>
          <w:rFonts w:asciiTheme="majorHAnsi" w:hAnsiTheme="majorHAnsi"/>
          <w:sz w:val="22"/>
          <w:szCs w:val="22"/>
        </w:rPr>
        <w:t xml:space="preserve"> expectation of </w:t>
      </w:r>
      <w:r w:rsidR="00C15AEB" w:rsidRPr="007B0751">
        <w:rPr>
          <w:rFonts w:asciiTheme="majorHAnsi" w:hAnsiTheme="majorHAnsi"/>
          <w:sz w:val="22"/>
          <w:szCs w:val="22"/>
        </w:rPr>
        <w:t xml:space="preserve">their ongoing profitability. </w:t>
      </w:r>
      <w:r w:rsidR="00724207" w:rsidRPr="007B0751">
        <w:rPr>
          <w:rFonts w:asciiTheme="majorHAnsi" w:hAnsiTheme="majorHAnsi"/>
          <w:sz w:val="22"/>
          <w:szCs w:val="22"/>
        </w:rPr>
        <w:t xml:space="preserve">This is realistic </w:t>
      </w:r>
      <w:r w:rsidR="00724207" w:rsidRPr="007B0751">
        <w:rPr>
          <w:rFonts w:asciiTheme="majorHAnsi" w:hAnsiTheme="majorHAnsi"/>
          <w:i/>
          <w:sz w:val="22"/>
          <w:szCs w:val="22"/>
        </w:rPr>
        <w:t xml:space="preserve">assuming there are no unexpected shocks </w:t>
      </w:r>
      <w:r w:rsidR="00724207" w:rsidRPr="007B0751">
        <w:rPr>
          <w:rFonts w:asciiTheme="majorHAnsi" w:hAnsiTheme="majorHAnsi"/>
          <w:sz w:val="22"/>
          <w:szCs w:val="22"/>
        </w:rPr>
        <w:t xml:space="preserve">– something of a gamble in the </w:t>
      </w:r>
      <w:proofErr w:type="spellStart"/>
      <w:r w:rsidR="00724207" w:rsidRPr="007B0751">
        <w:rPr>
          <w:rFonts w:asciiTheme="majorHAnsi" w:hAnsiTheme="majorHAnsi"/>
          <w:sz w:val="22"/>
          <w:szCs w:val="22"/>
        </w:rPr>
        <w:t>PTs.</w:t>
      </w:r>
      <w:proofErr w:type="spellEnd"/>
    </w:p>
    <w:p w14:paraId="09665921" w14:textId="77777777" w:rsidR="00973BFB" w:rsidRPr="007B0751" w:rsidRDefault="00973BFB" w:rsidP="00894239">
      <w:pPr>
        <w:pStyle w:val="Default"/>
        <w:rPr>
          <w:rFonts w:asciiTheme="majorHAnsi" w:hAnsiTheme="majorHAnsi"/>
          <w:sz w:val="22"/>
          <w:szCs w:val="22"/>
        </w:rPr>
      </w:pPr>
    </w:p>
    <w:p w14:paraId="367605EE" w14:textId="4915BCA4" w:rsidR="00724207" w:rsidRPr="007B0751" w:rsidRDefault="00202985" w:rsidP="00894239">
      <w:pPr>
        <w:pStyle w:val="Default"/>
        <w:rPr>
          <w:rFonts w:asciiTheme="majorHAnsi" w:hAnsiTheme="majorHAnsi"/>
          <w:sz w:val="22"/>
          <w:szCs w:val="22"/>
        </w:rPr>
      </w:pPr>
      <w:r w:rsidRPr="007B0751">
        <w:rPr>
          <w:rFonts w:asciiTheme="majorHAnsi" w:hAnsiTheme="majorHAnsi"/>
          <w:sz w:val="22"/>
          <w:szCs w:val="22"/>
        </w:rPr>
        <w:t xml:space="preserve">Home gardens </w:t>
      </w:r>
      <w:r w:rsidR="002E5818">
        <w:rPr>
          <w:rFonts w:asciiTheme="majorHAnsi" w:hAnsiTheme="majorHAnsi"/>
          <w:sz w:val="22"/>
          <w:szCs w:val="22"/>
        </w:rPr>
        <w:t xml:space="preserve">have proven highly effective in enhancing food security and incomes for very poor Palestinian households. </w:t>
      </w:r>
      <w:r w:rsidR="005D4883">
        <w:rPr>
          <w:rFonts w:asciiTheme="majorHAnsi" w:hAnsiTheme="majorHAnsi"/>
          <w:sz w:val="22"/>
          <w:szCs w:val="22"/>
        </w:rPr>
        <w:t xml:space="preserve">While these interventions have a high success rate, </w:t>
      </w:r>
      <w:proofErr w:type="gramStart"/>
      <w:r w:rsidR="005D4883">
        <w:rPr>
          <w:rFonts w:asciiTheme="majorHAnsi" w:hAnsiTheme="majorHAnsi"/>
          <w:sz w:val="22"/>
          <w:szCs w:val="22"/>
        </w:rPr>
        <w:t xml:space="preserve">their  </w:t>
      </w:r>
      <w:r w:rsidR="002E5818">
        <w:rPr>
          <w:rFonts w:asciiTheme="majorHAnsi" w:hAnsiTheme="majorHAnsi"/>
          <w:sz w:val="22"/>
          <w:szCs w:val="22"/>
        </w:rPr>
        <w:t>sustainability</w:t>
      </w:r>
      <w:proofErr w:type="gramEnd"/>
      <w:r w:rsidR="002E5818">
        <w:rPr>
          <w:rFonts w:asciiTheme="majorHAnsi" w:hAnsiTheme="majorHAnsi"/>
          <w:sz w:val="22"/>
          <w:szCs w:val="22"/>
        </w:rPr>
        <w:t xml:space="preserve"> is</w:t>
      </w:r>
      <w:r w:rsidR="005D4883">
        <w:rPr>
          <w:rFonts w:asciiTheme="majorHAnsi" w:hAnsiTheme="majorHAnsi"/>
          <w:sz w:val="22"/>
          <w:szCs w:val="22"/>
        </w:rPr>
        <w:t xml:space="preserve"> dependent upon them </w:t>
      </w:r>
      <w:r w:rsidR="00C67E7B">
        <w:rPr>
          <w:rFonts w:asciiTheme="majorHAnsi" w:hAnsiTheme="majorHAnsi"/>
          <w:sz w:val="22"/>
          <w:szCs w:val="22"/>
        </w:rPr>
        <w:t>apply</w:t>
      </w:r>
      <w:r w:rsidR="005D4883">
        <w:rPr>
          <w:rFonts w:asciiTheme="majorHAnsi" w:hAnsiTheme="majorHAnsi"/>
          <w:sz w:val="22"/>
          <w:szCs w:val="22"/>
        </w:rPr>
        <w:t xml:space="preserve">ing sound business principles </w:t>
      </w:r>
      <w:r w:rsidR="00C67E7B">
        <w:rPr>
          <w:rFonts w:asciiTheme="majorHAnsi" w:hAnsiTheme="majorHAnsi"/>
          <w:sz w:val="22"/>
          <w:szCs w:val="22"/>
        </w:rPr>
        <w:t>to their work</w:t>
      </w:r>
      <w:r w:rsidR="005D4883">
        <w:rPr>
          <w:rFonts w:asciiTheme="majorHAnsi" w:hAnsiTheme="majorHAnsi"/>
          <w:sz w:val="22"/>
          <w:szCs w:val="22"/>
        </w:rPr>
        <w:t xml:space="preserve">, such as savings for maintenance and </w:t>
      </w:r>
      <w:r w:rsidR="00C67E7B">
        <w:rPr>
          <w:rFonts w:asciiTheme="majorHAnsi" w:hAnsiTheme="majorHAnsi"/>
          <w:sz w:val="22"/>
          <w:szCs w:val="22"/>
        </w:rPr>
        <w:t xml:space="preserve">inputs, and </w:t>
      </w:r>
      <w:r w:rsidR="005D4883">
        <w:rPr>
          <w:rFonts w:asciiTheme="majorHAnsi" w:hAnsiTheme="majorHAnsi"/>
          <w:sz w:val="22"/>
          <w:szCs w:val="22"/>
        </w:rPr>
        <w:t>to cover shocks. Partners have worked to ensure these skills, though it was observed in Hebron that some</w:t>
      </w:r>
      <w:r w:rsidR="00B06949" w:rsidRPr="007B0751">
        <w:rPr>
          <w:rFonts w:asciiTheme="majorHAnsi" w:hAnsiTheme="majorHAnsi"/>
          <w:sz w:val="22"/>
          <w:szCs w:val="22"/>
        </w:rPr>
        <w:t xml:space="preserve"> women beneficiaries of loans or grants for agriculture </w:t>
      </w:r>
      <w:r w:rsidR="005D4883">
        <w:rPr>
          <w:rFonts w:asciiTheme="majorHAnsi" w:hAnsiTheme="majorHAnsi"/>
          <w:sz w:val="22"/>
          <w:szCs w:val="22"/>
        </w:rPr>
        <w:t>were</w:t>
      </w:r>
      <w:r w:rsidR="00B06949" w:rsidRPr="007B0751">
        <w:rPr>
          <w:rFonts w:asciiTheme="majorHAnsi" w:hAnsiTheme="majorHAnsi"/>
          <w:sz w:val="22"/>
          <w:szCs w:val="22"/>
        </w:rPr>
        <w:t xml:space="preserve"> unable to articulate their ’business case’ even in the simplest of terms. In one instance, a loan recipient </w:t>
      </w:r>
      <w:r w:rsidR="00973BFB" w:rsidRPr="007B0751">
        <w:rPr>
          <w:rFonts w:asciiTheme="majorHAnsi" w:hAnsiTheme="majorHAnsi"/>
          <w:sz w:val="22"/>
          <w:szCs w:val="22"/>
        </w:rPr>
        <w:t xml:space="preserve">could not see the flaw in a business where she </w:t>
      </w:r>
      <w:r w:rsidR="002E5818">
        <w:rPr>
          <w:rFonts w:asciiTheme="majorHAnsi" w:hAnsiTheme="majorHAnsi"/>
          <w:sz w:val="22"/>
          <w:szCs w:val="22"/>
        </w:rPr>
        <w:t xml:space="preserve">was </w:t>
      </w:r>
      <w:r w:rsidR="002E5818" w:rsidRPr="007B0751">
        <w:rPr>
          <w:rFonts w:asciiTheme="majorHAnsi" w:hAnsiTheme="majorHAnsi"/>
          <w:sz w:val="22"/>
          <w:szCs w:val="22"/>
        </w:rPr>
        <w:t>spen</w:t>
      </w:r>
      <w:r w:rsidR="002E5818">
        <w:rPr>
          <w:rFonts w:asciiTheme="majorHAnsi" w:hAnsiTheme="majorHAnsi"/>
          <w:sz w:val="22"/>
          <w:szCs w:val="22"/>
        </w:rPr>
        <w:t>ding</w:t>
      </w:r>
      <w:r w:rsidR="002E5818" w:rsidRPr="007B0751">
        <w:rPr>
          <w:rFonts w:asciiTheme="majorHAnsi" w:hAnsiTheme="majorHAnsi"/>
          <w:sz w:val="22"/>
          <w:szCs w:val="22"/>
        </w:rPr>
        <w:t xml:space="preserve"> </w:t>
      </w:r>
      <w:r w:rsidR="00973BFB" w:rsidRPr="007B0751">
        <w:rPr>
          <w:rFonts w:asciiTheme="majorHAnsi" w:hAnsiTheme="majorHAnsi"/>
          <w:sz w:val="22"/>
          <w:szCs w:val="22"/>
        </w:rPr>
        <w:t xml:space="preserve">more on fodder than she earned from </w:t>
      </w:r>
      <w:r w:rsidR="008F543F" w:rsidRPr="007B0751">
        <w:rPr>
          <w:rFonts w:asciiTheme="majorHAnsi" w:hAnsiTheme="majorHAnsi"/>
          <w:sz w:val="22"/>
          <w:szCs w:val="22"/>
        </w:rPr>
        <w:t>livestock</w:t>
      </w:r>
      <w:r w:rsidR="00973BFB" w:rsidRPr="007B0751">
        <w:rPr>
          <w:rFonts w:asciiTheme="majorHAnsi" w:hAnsiTheme="majorHAnsi"/>
          <w:sz w:val="22"/>
          <w:szCs w:val="22"/>
        </w:rPr>
        <w:t xml:space="preserve"> sales. </w:t>
      </w:r>
      <w:r w:rsidR="00C67E7B">
        <w:rPr>
          <w:rFonts w:asciiTheme="majorHAnsi" w:hAnsiTheme="majorHAnsi"/>
          <w:sz w:val="22"/>
          <w:szCs w:val="22"/>
        </w:rPr>
        <w:t>Her ongoing enthusiasm for the enterprise</w:t>
      </w:r>
      <w:r w:rsidR="00C67E7B" w:rsidRPr="007B0751">
        <w:rPr>
          <w:rFonts w:asciiTheme="majorHAnsi" w:hAnsiTheme="majorHAnsi"/>
          <w:sz w:val="22"/>
          <w:szCs w:val="22"/>
        </w:rPr>
        <w:t xml:space="preserve"> </w:t>
      </w:r>
      <w:r w:rsidR="00973BFB" w:rsidRPr="007B0751">
        <w:rPr>
          <w:rFonts w:asciiTheme="majorHAnsi" w:hAnsiTheme="majorHAnsi"/>
          <w:sz w:val="22"/>
          <w:szCs w:val="22"/>
        </w:rPr>
        <w:t>is likely explained through her feelings of empowerment at having her own economic productive capacity. However, a</w:t>
      </w:r>
      <w:r w:rsidR="008F543F" w:rsidRPr="007B0751">
        <w:rPr>
          <w:rFonts w:asciiTheme="majorHAnsi" w:hAnsiTheme="majorHAnsi"/>
          <w:sz w:val="22"/>
          <w:szCs w:val="22"/>
        </w:rPr>
        <w:t xml:space="preserve"> failing</w:t>
      </w:r>
      <w:r w:rsidR="00973BFB" w:rsidRPr="007B0751">
        <w:rPr>
          <w:rFonts w:asciiTheme="majorHAnsi" w:hAnsiTheme="majorHAnsi"/>
          <w:sz w:val="22"/>
          <w:szCs w:val="22"/>
        </w:rPr>
        <w:t xml:space="preserve"> business </w:t>
      </w:r>
      <w:r w:rsidR="008F543F" w:rsidRPr="007B0751">
        <w:rPr>
          <w:rFonts w:asciiTheme="majorHAnsi" w:hAnsiTheme="majorHAnsi"/>
          <w:sz w:val="22"/>
          <w:szCs w:val="22"/>
        </w:rPr>
        <w:t xml:space="preserve">is a failing business and </w:t>
      </w:r>
      <w:r w:rsidR="00973BFB" w:rsidRPr="007B0751">
        <w:rPr>
          <w:rFonts w:asciiTheme="majorHAnsi" w:hAnsiTheme="majorHAnsi"/>
          <w:sz w:val="22"/>
          <w:szCs w:val="22"/>
        </w:rPr>
        <w:t>will not be sustainable in the long run.</w:t>
      </w:r>
    </w:p>
    <w:p w14:paraId="68CE451D" w14:textId="77777777" w:rsidR="00984C57" w:rsidRPr="007B0751" w:rsidRDefault="00984C57" w:rsidP="00894239">
      <w:pPr>
        <w:pStyle w:val="Default"/>
        <w:rPr>
          <w:rFonts w:asciiTheme="majorHAnsi" w:hAnsiTheme="majorHAnsi"/>
          <w:sz w:val="22"/>
          <w:szCs w:val="22"/>
        </w:rPr>
      </w:pPr>
    </w:p>
    <w:p w14:paraId="4C3E5894" w14:textId="77777777" w:rsidR="00493110" w:rsidRPr="007B0751" w:rsidRDefault="00BA2CF6" w:rsidP="00003989">
      <w:pPr>
        <w:pStyle w:val="Default"/>
        <w:rPr>
          <w:rFonts w:asciiTheme="majorHAnsi" w:hAnsiTheme="majorHAnsi"/>
          <w:sz w:val="22"/>
          <w:szCs w:val="22"/>
        </w:rPr>
      </w:pPr>
      <w:r w:rsidRPr="007B0751">
        <w:rPr>
          <w:rFonts w:asciiTheme="majorHAnsi" w:hAnsiTheme="majorHAnsi"/>
          <w:sz w:val="22"/>
          <w:szCs w:val="22"/>
        </w:rPr>
        <w:t>From the experience of the Review</w:t>
      </w:r>
      <w:r w:rsidR="00984C57" w:rsidRPr="007B0751">
        <w:rPr>
          <w:rFonts w:asciiTheme="majorHAnsi" w:hAnsiTheme="majorHAnsi"/>
          <w:sz w:val="22"/>
          <w:szCs w:val="22"/>
        </w:rPr>
        <w:t>, grant and loan recipients would benefit from further ‘business management</w:t>
      </w:r>
      <w:r w:rsidRPr="007B0751">
        <w:rPr>
          <w:rFonts w:asciiTheme="majorHAnsi" w:hAnsiTheme="majorHAnsi"/>
          <w:sz w:val="22"/>
          <w:szCs w:val="22"/>
        </w:rPr>
        <w:t>’</w:t>
      </w:r>
      <w:r w:rsidR="00973BFB" w:rsidRPr="007B0751">
        <w:rPr>
          <w:rFonts w:asciiTheme="majorHAnsi" w:hAnsiTheme="majorHAnsi"/>
          <w:sz w:val="22"/>
          <w:szCs w:val="22"/>
        </w:rPr>
        <w:t xml:space="preserve"> training </w:t>
      </w:r>
      <w:r w:rsidRPr="007B0751">
        <w:rPr>
          <w:rFonts w:asciiTheme="majorHAnsi" w:hAnsiTheme="majorHAnsi"/>
          <w:sz w:val="22"/>
          <w:szCs w:val="22"/>
        </w:rPr>
        <w:t xml:space="preserve">that ensures the various skills relevant to successful </w:t>
      </w:r>
      <w:r w:rsidR="00003989" w:rsidRPr="007B0751">
        <w:rPr>
          <w:rFonts w:asciiTheme="majorHAnsi" w:hAnsiTheme="majorHAnsi"/>
          <w:sz w:val="22"/>
          <w:szCs w:val="22"/>
        </w:rPr>
        <w:t xml:space="preserve">micro </w:t>
      </w:r>
      <w:r w:rsidRPr="007B0751">
        <w:rPr>
          <w:rFonts w:asciiTheme="majorHAnsi" w:hAnsiTheme="majorHAnsi"/>
          <w:sz w:val="22"/>
          <w:szCs w:val="22"/>
        </w:rPr>
        <w:t xml:space="preserve">business, such as </w:t>
      </w:r>
      <w:r w:rsidR="00003989" w:rsidRPr="007B0751">
        <w:rPr>
          <w:rFonts w:asciiTheme="majorHAnsi" w:hAnsiTheme="majorHAnsi"/>
          <w:sz w:val="22"/>
          <w:szCs w:val="22"/>
        </w:rPr>
        <w:t>basic record keeping</w:t>
      </w:r>
      <w:r w:rsidR="008F543F" w:rsidRPr="007B0751">
        <w:rPr>
          <w:rFonts w:asciiTheme="majorHAnsi" w:hAnsiTheme="majorHAnsi"/>
          <w:sz w:val="22"/>
          <w:szCs w:val="22"/>
        </w:rPr>
        <w:t>;</w:t>
      </w:r>
      <w:r w:rsidR="00003989" w:rsidRPr="007B0751">
        <w:rPr>
          <w:rFonts w:asciiTheme="majorHAnsi" w:hAnsiTheme="majorHAnsi"/>
          <w:sz w:val="22"/>
          <w:szCs w:val="22"/>
        </w:rPr>
        <w:t xml:space="preserve"> plans to set aside </w:t>
      </w:r>
      <w:r w:rsidRPr="007B0751">
        <w:rPr>
          <w:rFonts w:asciiTheme="majorHAnsi" w:hAnsiTheme="majorHAnsi"/>
          <w:sz w:val="22"/>
          <w:szCs w:val="22"/>
        </w:rPr>
        <w:t xml:space="preserve">savings for future capital investments or to respond to </w:t>
      </w:r>
      <w:r w:rsidR="008F543F" w:rsidRPr="007B0751">
        <w:rPr>
          <w:rFonts w:asciiTheme="majorHAnsi" w:hAnsiTheme="majorHAnsi"/>
          <w:sz w:val="22"/>
          <w:szCs w:val="22"/>
        </w:rPr>
        <w:t>emergencies</w:t>
      </w:r>
      <w:r w:rsidR="00003989" w:rsidRPr="007B0751">
        <w:rPr>
          <w:rFonts w:asciiTheme="majorHAnsi" w:hAnsiTheme="majorHAnsi"/>
          <w:sz w:val="22"/>
          <w:szCs w:val="22"/>
        </w:rPr>
        <w:t>, and the ability to do basic market analysis.</w:t>
      </w:r>
    </w:p>
    <w:p w14:paraId="0ED906F3" w14:textId="77777777" w:rsidR="00003989" w:rsidRPr="007B0751" w:rsidRDefault="00003989" w:rsidP="00003989">
      <w:pPr>
        <w:pStyle w:val="Default"/>
        <w:rPr>
          <w:rFonts w:asciiTheme="majorHAnsi" w:hAnsiTheme="majorHAnsi"/>
          <w:sz w:val="22"/>
          <w:szCs w:val="22"/>
        </w:rPr>
      </w:pPr>
    </w:p>
    <w:p w14:paraId="36EC624F" w14:textId="77777777" w:rsidR="00003989" w:rsidRPr="007B0751" w:rsidRDefault="008F543F" w:rsidP="00003989">
      <w:pPr>
        <w:pStyle w:val="Default"/>
        <w:rPr>
          <w:rFonts w:asciiTheme="majorHAnsi" w:hAnsiTheme="majorHAnsi"/>
          <w:sz w:val="22"/>
          <w:szCs w:val="22"/>
        </w:rPr>
      </w:pPr>
      <w:r w:rsidRPr="007B0751">
        <w:rPr>
          <w:rFonts w:asciiTheme="majorHAnsi" w:hAnsiTheme="majorHAnsi"/>
          <w:sz w:val="22"/>
          <w:szCs w:val="22"/>
        </w:rPr>
        <w:t>It was also observed that it c</w:t>
      </w:r>
      <w:r w:rsidR="00003989" w:rsidRPr="007B0751">
        <w:rPr>
          <w:rFonts w:asciiTheme="majorHAnsi" w:hAnsiTheme="majorHAnsi"/>
          <w:sz w:val="22"/>
          <w:szCs w:val="22"/>
        </w:rPr>
        <w:t>urrently</w:t>
      </w:r>
      <w:r w:rsidRPr="007B0751">
        <w:rPr>
          <w:rFonts w:asciiTheme="majorHAnsi" w:hAnsiTheme="majorHAnsi"/>
          <w:sz w:val="22"/>
          <w:szCs w:val="22"/>
        </w:rPr>
        <w:t xml:space="preserve"> seem</w:t>
      </w:r>
      <w:r w:rsidR="00003989" w:rsidRPr="007B0751">
        <w:rPr>
          <w:rFonts w:asciiTheme="majorHAnsi" w:hAnsiTheme="majorHAnsi"/>
          <w:sz w:val="22"/>
          <w:szCs w:val="22"/>
        </w:rPr>
        <w:t xml:space="preserve">s common for beneficiaries to return to </w:t>
      </w:r>
      <w:r w:rsidRPr="007B0751">
        <w:rPr>
          <w:rFonts w:asciiTheme="majorHAnsi" w:hAnsiTheme="majorHAnsi"/>
          <w:sz w:val="22"/>
          <w:szCs w:val="22"/>
        </w:rPr>
        <w:t>‘</w:t>
      </w:r>
      <w:r w:rsidR="00003989" w:rsidRPr="007B0751">
        <w:rPr>
          <w:rFonts w:asciiTheme="majorHAnsi" w:hAnsiTheme="majorHAnsi"/>
          <w:sz w:val="22"/>
          <w:szCs w:val="22"/>
        </w:rPr>
        <w:t>the donor</w:t>
      </w:r>
      <w:r w:rsidRPr="007B0751">
        <w:rPr>
          <w:rFonts w:asciiTheme="majorHAnsi" w:hAnsiTheme="majorHAnsi"/>
          <w:sz w:val="22"/>
          <w:szCs w:val="22"/>
        </w:rPr>
        <w:t>’</w:t>
      </w:r>
      <w:r w:rsidR="00003989" w:rsidRPr="007B0751">
        <w:rPr>
          <w:rFonts w:asciiTheme="majorHAnsi" w:hAnsiTheme="majorHAnsi"/>
          <w:sz w:val="22"/>
          <w:szCs w:val="22"/>
        </w:rPr>
        <w:t xml:space="preserve"> to seek further assistance when trouble strikes, even in instances where it appears that the</w:t>
      </w:r>
      <w:r w:rsidR="008A104B" w:rsidRPr="007B0751">
        <w:rPr>
          <w:rFonts w:asciiTheme="majorHAnsi" w:hAnsiTheme="majorHAnsi"/>
          <w:sz w:val="22"/>
          <w:szCs w:val="22"/>
        </w:rPr>
        <w:t>ir</w:t>
      </w:r>
      <w:r w:rsidR="00003989" w:rsidRPr="007B0751">
        <w:rPr>
          <w:rFonts w:asciiTheme="majorHAnsi" w:hAnsiTheme="majorHAnsi"/>
          <w:sz w:val="22"/>
          <w:szCs w:val="22"/>
        </w:rPr>
        <w:t xml:space="preserve"> business should </w:t>
      </w:r>
      <w:r w:rsidR="008A104B" w:rsidRPr="007B0751">
        <w:rPr>
          <w:rFonts w:asciiTheme="majorHAnsi" w:hAnsiTheme="majorHAnsi"/>
          <w:sz w:val="22"/>
          <w:szCs w:val="22"/>
        </w:rPr>
        <w:t>have the capacity to resolve the issue directly</w:t>
      </w:r>
      <w:r w:rsidR="00003989" w:rsidRPr="007B0751">
        <w:rPr>
          <w:rFonts w:asciiTheme="majorHAnsi" w:hAnsiTheme="majorHAnsi"/>
          <w:sz w:val="22"/>
          <w:szCs w:val="22"/>
        </w:rPr>
        <w:t>. This reflects elements of a p</w:t>
      </w:r>
      <w:r w:rsidR="008A104B" w:rsidRPr="007B0751">
        <w:rPr>
          <w:rFonts w:asciiTheme="majorHAnsi" w:hAnsiTheme="majorHAnsi"/>
          <w:sz w:val="22"/>
          <w:szCs w:val="22"/>
        </w:rPr>
        <w:t>atron-client relationship that</w:t>
      </w:r>
      <w:r w:rsidR="00003989" w:rsidRPr="007B0751">
        <w:rPr>
          <w:rFonts w:asciiTheme="majorHAnsi" w:hAnsiTheme="majorHAnsi"/>
          <w:sz w:val="22"/>
          <w:szCs w:val="22"/>
        </w:rPr>
        <w:t xml:space="preserve"> partners seem willing to indulge</w:t>
      </w:r>
      <w:r w:rsidR="008A104B" w:rsidRPr="007B0751">
        <w:rPr>
          <w:rFonts w:asciiTheme="majorHAnsi" w:hAnsiTheme="majorHAnsi"/>
          <w:sz w:val="22"/>
          <w:szCs w:val="22"/>
        </w:rPr>
        <w:t>, but which in the long run denies opportunities for additional beneficiaries to be involved in the Program</w:t>
      </w:r>
      <w:r w:rsidR="00003989" w:rsidRPr="007B0751">
        <w:rPr>
          <w:rFonts w:asciiTheme="majorHAnsi" w:hAnsiTheme="majorHAnsi"/>
          <w:sz w:val="22"/>
          <w:szCs w:val="22"/>
        </w:rPr>
        <w:t xml:space="preserve">. </w:t>
      </w:r>
    </w:p>
    <w:p w14:paraId="258435DC" w14:textId="77777777" w:rsidR="00003989" w:rsidRPr="007B0751" w:rsidRDefault="00003989" w:rsidP="00003989">
      <w:pPr>
        <w:pStyle w:val="Default"/>
        <w:rPr>
          <w:rFonts w:asciiTheme="majorHAnsi" w:hAnsiTheme="majorHAnsi"/>
          <w:sz w:val="22"/>
          <w:szCs w:val="22"/>
        </w:rPr>
      </w:pPr>
    </w:p>
    <w:p w14:paraId="5C13057F" w14:textId="77777777" w:rsidR="00B65AB0" w:rsidRPr="007B0751" w:rsidRDefault="00003989" w:rsidP="00003989">
      <w:pPr>
        <w:pStyle w:val="Default"/>
        <w:rPr>
          <w:rFonts w:asciiTheme="majorHAnsi" w:hAnsiTheme="majorHAnsi"/>
          <w:sz w:val="22"/>
          <w:szCs w:val="22"/>
        </w:rPr>
      </w:pPr>
      <w:r w:rsidRPr="007B0751">
        <w:rPr>
          <w:rFonts w:asciiTheme="majorHAnsi" w:hAnsiTheme="majorHAnsi"/>
          <w:sz w:val="22"/>
          <w:szCs w:val="22"/>
        </w:rPr>
        <w:t>Assessing sustainability of community structures and social change is more complex. Across all projects, the Review was fortunate to be able to meet with women for whom the Program has been profoundly liberating. These women had commonly moved from being silent members of their community to active, analytical decision-makers. It would be overstating the Program’s performance to suggest that gender equality has been achieved, but it would seem likely from the experience of the Review that progress on gender is in many respects irreversible</w:t>
      </w:r>
      <w:r w:rsidR="00B65AB0" w:rsidRPr="007B0751">
        <w:rPr>
          <w:rFonts w:asciiTheme="majorHAnsi" w:hAnsiTheme="majorHAnsi"/>
          <w:sz w:val="22"/>
          <w:szCs w:val="22"/>
        </w:rPr>
        <w:t xml:space="preserve"> since both men and women have witnessed the positive impact of an enhanced role for women in their communities. </w:t>
      </w:r>
    </w:p>
    <w:p w14:paraId="60C6CB67" w14:textId="77777777" w:rsidR="00B65AB0" w:rsidRPr="007B0751" w:rsidRDefault="00B65AB0" w:rsidP="00003989">
      <w:pPr>
        <w:pStyle w:val="Default"/>
        <w:rPr>
          <w:rFonts w:asciiTheme="majorHAnsi" w:hAnsiTheme="majorHAnsi"/>
          <w:sz w:val="22"/>
          <w:szCs w:val="22"/>
        </w:rPr>
      </w:pPr>
    </w:p>
    <w:p w14:paraId="45760855" w14:textId="4FD7FB95" w:rsidR="00DB0DB4" w:rsidRPr="007B0751" w:rsidRDefault="008B6791" w:rsidP="00894239">
      <w:pPr>
        <w:pStyle w:val="Default"/>
        <w:rPr>
          <w:rFonts w:asciiTheme="majorHAnsi" w:hAnsiTheme="majorHAnsi"/>
          <w:sz w:val="22"/>
          <w:szCs w:val="22"/>
        </w:rPr>
      </w:pPr>
      <w:r w:rsidRPr="007B0751">
        <w:rPr>
          <w:rFonts w:asciiTheme="majorHAnsi" w:hAnsiTheme="majorHAnsi"/>
          <w:sz w:val="22"/>
          <w:szCs w:val="22"/>
        </w:rPr>
        <w:t xml:space="preserve">When holistically and effectively applied, the Program’s multi-pronged strategy for building community resilience appears largely sustainable owing to </w:t>
      </w:r>
      <w:r w:rsidR="00206F06">
        <w:rPr>
          <w:rFonts w:asciiTheme="majorHAnsi" w:hAnsiTheme="majorHAnsi"/>
          <w:sz w:val="22"/>
          <w:szCs w:val="22"/>
        </w:rPr>
        <w:t xml:space="preserve">a </w:t>
      </w:r>
      <w:r w:rsidR="00C67E7B">
        <w:rPr>
          <w:rFonts w:asciiTheme="majorHAnsi" w:hAnsiTheme="majorHAnsi"/>
          <w:sz w:val="22"/>
          <w:szCs w:val="22"/>
        </w:rPr>
        <w:t>considered</w:t>
      </w:r>
      <w:r w:rsidR="00206F06">
        <w:rPr>
          <w:rFonts w:asciiTheme="majorHAnsi" w:hAnsiTheme="majorHAnsi"/>
          <w:sz w:val="22"/>
          <w:szCs w:val="22"/>
        </w:rPr>
        <w:t xml:space="preserve"> </w:t>
      </w:r>
      <w:r w:rsidR="00665626">
        <w:rPr>
          <w:rFonts w:asciiTheme="majorHAnsi" w:hAnsiTheme="majorHAnsi"/>
          <w:sz w:val="22"/>
          <w:szCs w:val="22"/>
        </w:rPr>
        <w:t xml:space="preserve">mix of </w:t>
      </w:r>
      <w:r w:rsidR="00206F06">
        <w:rPr>
          <w:rFonts w:asciiTheme="majorHAnsi" w:hAnsiTheme="majorHAnsi"/>
          <w:sz w:val="22"/>
          <w:szCs w:val="22"/>
        </w:rPr>
        <w:t>approach</w:t>
      </w:r>
      <w:r w:rsidR="00665626">
        <w:rPr>
          <w:rFonts w:asciiTheme="majorHAnsi" w:hAnsiTheme="majorHAnsi"/>
          <w:sz w:val="22"/>
          <w:szCs w:val="22"/>
        </w:rPr>
        <w:t>es that aim to build resilience, develop productive capacity, foster innovation and reduce</w:t>
      </w:r>
      <w:r w:rsidR="00206F06">
        <w:rPr>
          <w:rFonts w:asciiTheme="majorHAnsi" w:hAnsiTheme="majorHAnsi"/>
          <w:sz w:val="22"/>
          <w:szCs w:val="22"/>
        </w:rPr>
        <w:t xml:space="preserve"> risk</w:t>
      </w:r>
      <w:r w:rsidR="00665626">
        <w:rPr>
          <w:rFonts w:asciiTheme="majorHAnsi" w:hAnsiTheme="majorHAnsi"/>
          <w:sz w:val="22"/>
          <w:szCs w:val="22"/>
        </w:rPr>
        <w:t xml:space="preserve">s faced by beneficiaries in their day to day lives. This </w:t>
      </w:r>
      <w:r w:rsidR="00221833">
        <w:rPr>
          <w:rFonts w:asciiTheme="majorHAnsi" w:hAnsiTheme="majorHAnsi"/>
          <w:sz w:val="22"/>
          <w:szCs w:val="22"/>
        </w:rPr>
        <w:t xml:space="preserve">household focused </w:t>
      </w:r>
      <w:r w:rsidR="00665626">
        <w:rPr>
          <w:rFonts w:asciiTheme="majorHAnsi" w:hAnsiTheme="majorHAnsi"/>
          <w:sz w:val="22"/>
          <w:szCs w:val="22"/>
        </w:rPr>
        <w:t xml:space="preserve">approach is complemented by efforts to </w:t>
      </w:r>
      <w:r w:rsidRPr="007B0751">
        <w:rPr>
          <w:rFonts w:asciiTheme="majorHAnsi" w:hAnsiTheme="majorHAnsi"/>
          <w:sz w:val="22"/>
          <w:szCs w:val="22"/>
        </w:rPr>
        <w:t>strengthen community structures and CBOs</w:t>
      </w:r>
      <w:r w:rsidR="00665626">
        <w:rPr>
          <w:rFonts w:asciiTheme="majorHAnsi" w:hAnsiTheme="majorHAnsi"/>
          <w:sz w:val="22"/>
          <w:szCs w:val="22"/>
        </w:rPr>
        <w:t>; enhance</w:t>
      </w:r>
      <w:r w:rsidRPr="007B0751">
        <w:rPr>
          <w:rFonts w:asciiTheme="majorHAnsi" w:hAnsiTheme="majorHAnsi"/>
          <w:sz w:val="22"/>
          <w:szCs w:val="22"/>
        </w:rPr>
        <w:t xml:space="preserve"> opportunities for women and youth; </w:t>
      </w:r>
      <w:r w:rsidR="00665626">
        <w:rPr>
          <w:rFonts w:asciiTheme="majorHAnsi" w:hAnsiTheme="majorHAnsi"/>
          <w:sz w:val="22"/>
          <w:szCs w:val="22"/>
        </w:rPr>
        <w:t xml:space="preserve">and generally build social capital. </w:t>
      </w:r>
      <w:r w:rsidR="007B0B40" w:rsidRPr="007B0751">
        <w:rPr>
          <w:rFonts w:asciiTheme="majorHAnsi" w:hAnsiTheme="majorHAnsi"/>
          <w:sz w:val="22"/>
          <w:szCs w:val="22"/>
        </w:rPr>
        <w:t xml:space="preserve">In </w:t>
      </w:r>
      <w:r w:rsidR="00665626">
        <w:rPr>
          <w:rFonts w:asciiTheme="majorHAnsi" w:hAnsiTheme="majorHAnsi"/>
          <w:sz w:val="22"/>
          <w:szCs w:val="22"/>
        </w:rPr>
        <w:t xml:space="preserve">WV’s </w:t>
      </w:r>
      <w:r w:rsidR="007B0B40" w:rsidRPr="007B0751">
        <w:rPr>
          <w:rFonts w:asciiTheme="majorHAnsi" w:hAnsiTheme="majorHAnsi"/>
          <w:sz w:val="22"/>
          <w:szCs w:val="22"/>
        </w:rPr>
        <w:t>Gaza</w:t>
      </w:r>
      <w:r w:rsidR="00665626">
        <w:rPr>
          <w:rFonts w:asciiTheme="majorHAnsi" w:hAnsiTheme="majorHAnsi"/>
          <w:sz w:val="22"/>
          <w:szCs w:val="22"/>
        </w:rPr>
        <w:t xml:space="preserve"> work</w:t>
      </w:r>
      <w:r w:rsidR="007B0B40" w:rsidRPr="007B0751">
        <w:rPr>
          <w:rFonts w:asciiTheme="majorHAnsi" w:hAnsiTheme="majorHAnsi"/>
          <w:sz w:val="22"/>
          <w:szCs w:val="22"/>
        </w:rPr>
        <w:t xml:space="preserve">, </w:t>
      </w:r>
      <w:r w:rsidRPr="007B0751">
        <w:rPr>
          <w:rFonts w:asciiTheme="majorHAnsi" w:hAnsiTheme="majorHAnsi"/>
          <w:sz w:val="22"/>
          <w:szCs w:val="22"/>
        </w:rPr>
        <w:t>resilience</w:t>
      </w:r>
      <w:r w:rsidR="007B0B40" w:rsidRPr="007B0751">
        <w:rPr>
          <w:rFonts w:asciiTheme="majorHAnsi" w:hAnsiTheme="majorHAnsi"/>
          <w:sz w:val="22"/>
          <w:szCs w:val="22"/>
        </w:rPr>
        <w:t xml:space="preserve"> has been further enhanced through </w:t>
      </w:r>
      <w:r w:rsidR="00DB0DB4" w:rsidRPr="007B0751">
        <w:rPr>
          <w:rFonts w:asciiTheme="majorHAnsi" w:hAnsiTheme="majorHAnsi"/>
          <w:sz w:val="22"/>
          <w:szCs w:val="22"/>
        </w:rPr>
        <w:t xml:space="preserve">the </w:t>
      </w:r>
      <w:r w:rsidR="00665626">
        <w:rPr>
          <w:rFonts w:asciiTheme="majorHAnsi" w:hAnsiTheme="majorHAnsi"/>
          <w:sz w:val="22"/>
          <w:szCs w:val="22"/>
        </w:rPr>
        <w:t xml:space="preserve">mainstreaming </w:t>
      </w:r>
      <w:r w:rsidR="00DB0DB4" w:rsidRPr="007B0751">
        <w:rPr>
          <w:rFonts w:asciiTheme="majorHAnsi" w:hAnsiTheme="majorHAnsi"/>
          <w:sz w:val="22"/>
          <w:szCs w:val="22"/>
        </w:rPr>
        <w:t>of awareness and</w:t>
      </w:r>
      <w:r w:rsidR="006E475B">
        <w:rPr>
          <w:rFonts w:asciiTheme="majorHAnsi" w:hAnsiTheme="majorHAnsi"/>
          <w:sz w:val="22"/>
          <w:szCs w:val="22"/>
        </w:rPr>
        <w:t xml:space="preserve"> </w:t>
      </w:r>
      <w:r w:rsidR="00B65AB0" w:rsidRPr="007B0751">
        <w:rPr>
          <w:rFonts w:asciiTheme="majorHAnsi" w:hAnsiTheme="majorHAnsi"/>
          <w:sz w:val="22"/>
          <w:szCs w:val="22"/>
        </w:rPr>
        <w:t xml:space="preserve">skills related to better understanding </w:t>
      </w:r>
      <w:r w:rsidR="007B0B40" w:rsidRPr="007B0751">
        <w:rPr>
          <w:rFonts w:asciiTheme="majorHAnsi" w:hAnsiTheme="majorHAnsi"/>
          <w:sz w:val="22"/>
          <w:szCs w:val="22"/>
        </w:rPr>
        <w:t xml:space="preserve">and management of </w:t>
      </w:r>
      <w:r w:rsidR="00B65AB0" w:rsidRPr="007B0751">
        <w:rPr>
          <w:rFonts w:asciiTheme="majorHAnsi" w:hAnsiTheme="majorHAnsi"/>
          <w:sz w:val="22"/>
          <w:szCs w:val="22"/>
        </w:rPr>
        <w:t>psychosocial</w:t>
      </w:r>
      <w:r w:rsidR="006E475B">
        <w:rPr>
          <w:rFonts w:asciiTheme="majorHAnsi" w:hAnsiTheme="majorHAnsi"/>
          <w:sz w:val="22"/>
          <w:szCs w:val="22"/>
        </w:rPr>
        <w:t xml:space="preserve"> </w:t>
      </w:r>
      <w:r w:rsidR="00B65AB0" w:rsidRPr="007B0751">
        <w:rPr>
          <w:rFonts w:asciiTheme="majorHAnsi" w:hAnsiTheme="majorHAnsi"/>
          <w:sz w:val="22"/>
          <w:szCs w:val="22"/>
        </w:rPr>
        <w:t xml:space="preserve">health </w:t>
      </w:r>
      <w:r w:rsidR="00DB0DB4" w:rsidRPr="007B0751">
        <w:rPr>
          <w:rFonts w:asciiTheme="majorHAnsi" w:hAnsiTheme="majorHAnsi"/>
          <w:sz w:val="22"/>
          <w:szCs w:val="22"/>
        </w:rPr>
        <w:t>issues</w:t>
      </w:r>
      <w:r w:rsidR="00665626">
        <w:rPr>
          <w:rFonts w:asciiTheme="majorHAnsi" w:hAnsiTheme="majorHAnsi"/>
          <w:sz w:val="22"/>
          <w:szCs w:val="22"/>
        </w:rPr>
        <w:t xml:space="preserve"> into livelihoods programming</w:t>
      </w:r>
      <w:r w:rsidR="00DB0DB4" w:rsidRPr="007B0751">
        <w:rPr>
          <w:rFonts w:asciiTheme="majorHAnsi" w:hAnsiTheme="majorHAnsi"/>
          <w:sz w:val="22"/>
          <w:szCs w:val="22"/>
        </w:rPr>
        <w:t xml:space="preserve">. </w:t>
      </w:r>
      <w:r w:rsidR="00221833">
        <w:rPr>
          <w:rFonts w:asciiTheme="majorHAnsi" w:hAnsiTheme="majorHAnsi"/>
          <w:sz w:val="22"/>
          <w:szCs w:val="22"/>
        </w:rPr>
        <w:t>Programs in West Bank would benefit from deliberate consideration of psychosocial issues in their target area, with a view to integrating responses within their livelihoods programming – as modeled by WV</w:t>
      </w:r>
      <w:r w:rsidR="009538E9">
        <w:rPr>
          <w:rFonts w:asciiTheme="majorHAnsi" w:hAnsiTheme="majorHAnsi"/>
          <w:sz w:val="22"/>
          <w:szCs w:val="22"/>
        </w:rPr>
        <w:t xml:space="preserve"> </w:t>
      </w:r>
      <w:r w:rsidR="00221833">
        <w:rPr>
          <w:rFonts w:asciiTheme="majorHAnsi" w:hAnsiTheme="majorHAnsi"/>
          <w:sz w:val="22"/>
          <w:szCs w:val="22"/>
        </w:rPr>
        <w:t>.</w:t>
      </w:r>
    </w:p>
    <w:p w14:paraId="5C2A7D85" w14:textId="77777777" w:rsidR="00DB0DB4" w:rsidRPr="007B0751" w:rsidRDefault="00DB0DB4" w:rsidP="00894239">
      <w:pPr>
        <w:pStyle w:val="Default"/>
        <w:rPr>
          <w:rFonts w:asciiTheme="majorHAnsi" w:hAnsiTheme="majorHAnsi"/>
          <w:sz w:val="22"/>
          <w:szCs w:val="22"/>
        </w:rPr>
      </w:pPr>
    </w:p>
    <w:p w14:paraId="5568D1B0" w14:textId="2BDB6908" w:rsidR="009538E9" w:rsidRPr="002A5C0E" w:rsidRDefault="00DB0DB4" w:rsidP="00F528E5">
      <w:pPr>
        <w:pStyle w:val="Default"/>
        <w:rPr>
          <w:rFonts w:asciiTheme="majorHAnsi" w:hAnsiTheme="majorHAnsi"/>
          <w:sz w:val="22"/>
          <w:szCs w:val="22"/>
        </w:rPr>
      </w:pPr>
      <w:r w:rsidRPr="00393E74">
        <w:rPr>
          <w:rFonts w:asciiTheme="majorHAnsi" w:hAnsiTheme="majorHAnsi"/>
          <w:sz w:val="22"/>
          <w:szCs w:val="22"/>
        </w:rPr>
        <w:t xml:space="preserve">While the overall assessment of Program sustainability is positive, it is important to note that the most </w:t>
      </w:r>
      <w:r w:rsidR="008B6791" w:rsidRPr="000F5258">
        <w:rPr>
          <w:rFonts w:asciiTheme="majorHAnsi" w:hAnsiTheme="majorHAnsi"/>
          <w:sz w:val="22"/>
          <w:szCs w:val="22"/>
        </w:rPr>
        <w:t>sustainable investments can</w:t>
      </w:r>
      <w:r w:rsidRPr="000F5258">
        <w:rPr>
          <w:rFonts w:asciiTheme="majorHAnsi" w:hAnsiTheme="majorHAnsi"/>
          <w:sz w:val="22"/>
          <w:szCs w:val="22"/>
        </w:rPr>
        <w:t xml:space="preserve"> very quickly</w:t>
      </w:r>
      <w:r w:rsidR="008B6791" w:rsidRPr="000F5258">
        <w:rPr>
          <w:rFonts w:asciiTheme="majorHAnsi" w:hAnsiTheme="majorHAnsi"/>
          <w:sz w:val="22"/>
          <w:szCs w:val="22"/>
        </w:rPr>
        <w:t xml:space="preserve"> be</w:t>
      </w:r>
      <w:r w:rsidRPr="000F5258">
        <w:rPr>
          <w:rFonts w:asciiTheme="majorHAnsi" w:hAnsiTheme="majorHAnsi"/>
          <w:sz w:val="22"/>
          <w:szCs w:val="22"/>
        </w:rPr>
        <w:t xml:space="preserve"> made unsustainable through </w:t>
      </w:r>
      <w:r w:rsidRPr="00DB7A23">
        <w:rPr>
          <w:rFonts w:asciiTheme="majorHAnsi" w:hAnsiTheme="majorHAnsi"/>
          <w:sz w:val="22"/>
          <w:szCs w:val="22"/>
        </w:rPr>
        <w:t>restrictions on movement of people or goods</w:t>
      </w:r>
      <w:r w:rsidR="00665626" w:rsidRPr="0001233D">
        <w:rPr>
          <w:rFonts w:asciiTheme="majorHAnsi" w:hAnsiTheme="majorHAnsi"/>
          <w:sz w:val="22"/>
          <w:szCs w:val="22"/>
        </w:rPr>
        <w:t>, conflict</w:t>
      </w:r>
      <w:r w:rsidR="00F528E5" w:rsidRPr="0001233D">
        <w:rPr>
          <w:rFonts w:asciiTheme="majorHAnsi" w:hAnsiTheme="majorHAnsi"/>
          <w:sz w:val="22"/>
          <w:szCs w:val="22"/>
        </w:rPr>
        <w:t xml:space="preserve"> or other unexpected events. </w:t>
      </w:r>
    </w:p>
    <w:p w14:paraId="2E1A13B4" w14:textId="77777777" w:rsidR="009538E9" w:rsidRPr="002A5C0E" w:rsidRDefault="009538E9" w:rsidP="00F528E5">
      <w:pPr>
        <w:pStyle w:val="Default"/>
        <w:rPr>
          <w:rFonts w:asciiTheme="majorHAnsi" w:hAnsiTheme="majorHAnsi"/>
          <w:sz w:val="22"/>
          <w:szCs w:val="22"/>
        </w:rPr>
      </w:pPr>
    </w:p>
    <w:p w14:paraId="651E2C95" w14:textId="7DFDDAE4" w:rsidR="00F528E5" w:rsidRPr="007B0751" w:rsidRDefault="00665626" w:rsidP="00F528E5">
      <w:pPr>
        <w:pStyle w:val="Default"/>
        <w:rPr>
          <w:rFonts w:asciiTheme="majorHAnsi" w:hAnsiTheme="majorHAnsi"/>
          <w:sz w:val="22"/>
          <w:szCs w:val="22"/>
        </w:rPr>
      </w:pPr>
      <w:r w:rsidRPr="00393E74">
        <w:rPr>
          <w:rFonts w:asciiTheme="majorHAnsi" w:hAnsiTheme="majorHAnsi"/>
          <w:sz w:val="22"/>
          <w:szCs w:val="22"/>
        </w:rPr>
        <w:t xml:space="preserve">The strong progress of AMENCA partners </w:t>
      </w:r>
      <w:r w:rsidRPr="000F5258">
        <w:rPr>
          <w:rFonts w:asciiTheme="majorHAnsi" w:hAnsiTheme="majorHAnsi"/>
          <w:sz w:val="22"/>
          <w:szCs w:val="22"/>
        </w:rPr>
        <w:t xml:space="preserve">would benefit from macro level support of the broader donor community to advocate and help resolve </w:t>
      </w:r>
      <w:r w:rsidR="009538E9" w:rsidRPr="002A5C0E">
        <w:rPr>
          <w:rFonts w:asciiTheme="majorHAnsi" w:hAnsiTheme="majorHAnsi"/>
          <w:sz w:val="22"/>
          <w:szCs w:val="22"/>
        </w:rPr>
        <w:t xml:space="preserve">the many fundamental </w:t>
      </w:r>
      <w:r w:rsidRPr="00393E74">
        <w:rPr>
          <w:rFonts w:asciiTheme="majorHAnsi" w:hAnsiTheme="majorHAnsi"/>
          <w:sz w:val="22"/>
          <w:szCs w:val="22"/>
        </w:rPr>
        <w:t>obstacles t</w:t>
      </w:r>
      <w:r w:rsidR="009538E9" w:rsidRPr="002A5C0E">
        <w:rPr>
          <w:rFonts w:asciiTheme="majorHAnsi" w:hAnsiTheme="majorHAnsi"/>
          <w:sz w:val="22"/>
          <w:szCs w:val="22"/>
        </w:rPr>
        <w:t xml:space="preserve">hat currently retard Palestinian development. </w:t>
      </w:r>
      <w:r w:rsidR="009538E9" w:rsidRPr="00393E74">
        <w:rPr>
          <w:rFonts w:asciiTheme="majorHAnsi" w:hAnsiTheme="majorHAnsi"/>
          <w:sz w:val="22"/>
          <w:szCs w:val="22"/>
        </w:rPr>
        <w:t>Improved</w:t>
      </w:r>
      <w:r w:rsidR="009538E9">
        <w:rPr>
          <w:rFonts w:asciiTheme="majorHAnsi" w:hAnsiTheme="majorHAnsi"/>
          <w:sz w:val="22"/>
          <w:szCs w:val="22"/>
        </w:rPr>
        <w:t xml:space="preserve"> mobility and access, improved importing and exporting </w:t>
      </w:r>
      <w:proofErr w:type="gramStart"/>
      <w:r w:rsidR="009538E9">
        <w:rPr>
          <w:rFonts w:asciiTheme="majorHAnsi" w:hAnsiTheme="majorHAnsi"/>
          <w:sz w:val="22"/>
          <w:szCs w:val="22"/>
        </w:rPr>
        <w:t>opportunities,</w:t>
      </w:r>
      <w:proofErr w:type="gramEnd"/>
      <w:r w:rsidR="009538E9">
        <w:rPr>
          <w:rFonts w:asciiTheme="majorHAnsi" w:hAnsiTheme="majorHAnsi"/>
          <w:sz w:val="22"/>
          <w:szCs w:val="22"/>
        </w:rPr>
        <w:t xml:space="preserve"> and improved access to water would all profoundly progress AMENCA’s ambitions.</w:t>
      </w:r>
    </w:p>
    <w:p w14:paraId="51A14517" w14:textId="77777777" w:rsidR="00F04445" w:rsidRPr="007B0751" w:rsidRDefault="00F04445" w:rsidP="00F04445">
      <w:pPr>
        <w:rPr>
          <w:rFonts w:asciiTheme="majorHAnsi" w:eastAsia="Times New Roman" w:hAnsiTheme="majorHAnsi" w:cs="Gill Sans MT"/>
          <w:color w:val="000000"/>
          <w:szCs w:val="22"/>
        </w:rPr>
      </w:pPr>
    </w:p>
    <w:p w14:paraId="32E471F3" w14:textId="77777777" w:rsidR="006462EA" w:rsidRPr="007B0751" w:rsidRDefault="008B6791" w:rsidP="006462EA">
      <w:pPr>
        <w:ind w:left="720" w:hanging="720"/>
        <w:rPr>
          <w:rFonts w:asciiTheme="majorHAnsi" w:eastAsia="Times New Roman" w:hAnsiTheme="majorHAnsi" w:cs="Gill Sans MT"/>
          <w:i/>
          <w:color w:val="000000"/>
          <w:szCs w:val="22"/>
        </w:rPr>
      </w:pPr>
      <w:r w:rsidRPr="007B0751">
        <w:rPr>
          <w:rFonts w:asciiTheme="majorHAnsi" w:eastAsia="Times New Roman" w:hAnsiTheme="majorHAnsi" w:cs="Gill Sans MT"/>
          <w:i/>
          <w:color w:val="000000"/>
          <w:szCs w:val="22"/>
        </w:rPr>
        <w:t>5.2.5</w:t>
      </w:r>
      <w:r w:rsidRPr="007B0751">
        <w:rPr>
          <w:rFonts w:asciiTheme="majorHAnsi" w:eastAsia="Times New Roman" w:hAnsiTheme="majorHAnsi" w:cs="Gill Sans MT"/>
          <w:i/>
          <w:color w:val="000000"/>
          <w:szCs w:val="22"/>
        </w:rPr>
        <w:tab/>
        <w:t>Program Gender performance</w:t>
      </w:r>
      <w:r w:rsidR="006462EA" w:rsidRPr="007B0751">
        <w:rPr>
          <w:rFonts w:asciiTheme="majorHAnsi" w:eastAsia="Times New Roman" w:hAnsiTheme="majorHAnsi" w:cs="Gill Sans MT"/>
          <w:i/>
          <w:color w:val="000000"/>
          <w:szCs w:val="22"/>
        </w:rPr>
        <w:t xml:space="preserve"> (refer to the whole document for discussion of Program gender issues and actions)</w:t>
      </w:r>
    </w:p>
    <w:p w14:paraId="00F45504" w14:textId="1B5932F2" w:rsidR="006462EA" w:rsidRPr="007B0751" w:rsidRDefault="008B6791" w:rsidP="00F04445">
      <w:pPr>
        <w:rPr>
          <w:rFonts w:asciiTheme="majorHAnsi" w:eastAsia="Times New Roman" w:hAnsiTheme="majorHAnsi" w:cs="Gill Sans MT"/>
          <w:color w:val="000000"/>
          <w:szCs w:val="22"/>
        </w:rPr>
      </w:pPr>
      <w:r w:rsidRPr="007B0751">
        <w:rPr>
          <w:rFonts w:asciiTheme="majorHAnsi" w:eastAsia="Times New Roman" w:hAnsiTheme="majorHAnsi" w:cs="Gill Sans MT"/>
          <w:color w:val="000000"/>
          <w:szCs w:val="22"/>
        </w:rPr>
        <w:t xml:space="preserve">At design stage, AMENCA2 clearly identified the need for the Program to actively address issues of women and girls’ disadvantage across the </w:t>
      </w:r>
      <w:proofErr w:type="spellStart"/>
      <w:r w:rsidRPr="007B0751">
        <w:rPr>
          <w:rFonts w:asciiTheme="majorHAnsi" w:eastAsia="Times New Roman" w:hAnsiTheme="majorHAnsi" w:cs="Gill Sans MT"/>
          <w:color w:val="000000"/>
          <w:szCs w:val="22"/>
        </w:rPr>
        <w:t>PTs.</w:t>
      </w:r>
      <w:proofErr w:type="spellEnd"/>
      <w:r w:rsidR="006E475B">
        <w:rPr>
          <w:rFonts w:asciiTheme="majorHAnsi" w:eastAsia="Times New Roman" w:hAnsiTheme="majorHAnsi" w:cs="Gill Sans MT"/>
          <w:color w:val="000000"/>
          <w:szCs w:val="22"/>
        </w:rPr>
        <w:t xml:space="preserve"> </w:t>
      </w:r>
      <w:r w:rsidR="00E36441" w:rsidRPr="007B0751">
        <w:rPr>
          <w:rFonts w:asciiTheme="majorHAnsi" w:eastAsia="Times New Roman" w:hAnsiTheme="majorHAnsi" w:cs="Gill Sans MT"/>
          <w:color w:val="000000"/>
          <w:szCs w:val="22"/>
        </w:rPr>
        <w:t xml:space="preserve">Relevant and plausible activities were identified and resourced, and gender disaggregated data collated. </w:t>
      </w:r>
      <w:r w:rsidR="00F7206F">
        <w:rPr>
          <w:rFonts w:asciiTheme="majorHAnsi" w:eastAsia="Times New Roman" w:hAnsiTheme="majorHAnsi" w:cs="Gill Sans MT"/>
          <w:color w:val="000000"/>
          <w:szCs w:val="22"/>
        </w:rPr>
        <w:t xml:space="preserve">The primary gender approach of the Program has been to support women’s economic empowerment, supporting them to take on a productive role in their community or family. </w:t>
      </w:r>
      <w:r w:rsidR="00E36441" w:rsidRPr="007B0751">
        <w:rPr>
          <w:rFonts w:asciiTheme="majorHAnsi" w:eastAsia="Times New Roman" w:hAnsiTheme="majorHAnsi" w:cs="Gill Sans MT"/>
          <w:color w:val="000000"/>
          <w:szCs w:val="22"/>
        </w:rPr>
        <w:t>The Program</w:t>
      </w:r>
      <w:r w:rsidRPr="007B0751">
        <w:rPr>
          <w:rFonts w:asciiTheme="majorHAnsi" w:eastAsia="Times New Roman" w:hAnsiTheme="majorHAnsi" w:cs="Gill Sans MT"/>
          <w:color w:val="000000"/>
          <w:szCs w:val="22"/>
        </w:rPr>
        <w:t xml:space="preserve"> has been active </w:t>
      </w:r>
      <w:r w:rsidR="00E36441" w:rsidRPr="007B0751">
        <w:rPr>
          <w:rFonts w:asciiTheme="majorHAnsi" w:eastAsia="Times New Roman" w:hAnsiTheme="majorHAnsi" w:cs="Gill Sans MT"/>
          <w:color w:val="000000"/>
          <w:szCs w:val="22"/>
        </w:rPr>
        <w:t>on</w:t>
      </w:r>
      <w:r w:rsidRPr="007B0751">
        <w:rPr>
          <w:rFonts w:asciiTheme="majorHAnsi" w:eastAsia="Times New Roman" w:hAnsiTheme="majorHAnsi" w:cs="Gill Sans MT"/>
          <w:color w:val="000000"/>
          <w:szCs w:val="22"/>
        </w:rPr>
        <w:t xml:space="preserve"> many fronts </w:t>
      </w:r>
      <w:r w:rsidR="00E36441" w:rsidRPr="007B0751">
        <w:rPr>
          <w:rFonts w:asciiTheme="majorHAnsi" w:eastAsia="Times New Roman" w:hAnsiTheme="majorHAnsi" w:cs="Gill Sans MT"/>
          <w:color w:val="000000"/>
          <w:szCs w:val="22"/>
        </w:rPr>
        <w:t>in trying to promote women’s social and economic empowerment</w:t>
      </w:r>
      <w:r w:rsidR="00F7206F">
        <w:rPr>
          <w:rFonts w:asciiTheme="majorHAnsi" w:eastAsia="Times New Roman" w:hAnsiTheme="majorHAnsi" w:cs="Gill Sans MT"/>
          <w:color w:val="000000"/>
          <w:szCs w:val="22"/>
        </w:rPr>
        <w:t xml:space="preserve">, tailored to the cultural context that is the </w:t>
      </w:r>
      <w:proofErr w:type="spellStart"/>
      <w:r w:rsidR="00F7206F">
        <w:rPr>
          <w:rFonts w:asciiTheme="majorHAnsi" w:eastAsia="Times New Roman" w:hAnsiTheme="majorHAnsi" w:cs="Gill Sans MT"/>
          <w:color w:val="000000"/>
          <w:szCs w:val="22"/>
        </w:rPr>
        <w:t>PTs.</w:t>
      </w:r>
      <w:proofErr w:type="spellEnd"/>
      <w:r w:rsidR="00E36441" w:rsidRPr="007B0751">
        <w:rPr>
          <w:rFonts w:asciiTheme="majorHAnsi" w:eastAsia="Times New Roman" w:hAnsiTheme="majorHAnsi" w:cs="Gill Sans MT"/>
          <w:color w:val="000000"/>
          <w:szCs w:val="22"/>
        </w:rPr>
        <w:t xml:space="preserve"> It was observed during the Review that</w:t>
      </w:r>
      <w:r w:rsidR="006E475B">
        <w:rPr>
          <w:rFonts w:asciiTheme="majorHAnsi" w:eastAsia="Times New Roman" w:hAnsiTheme="majorHAnsi" w:cs="Gill Sans MT"/>
          <w:color w:val="000000"/>
          <w:szCs w:val="22"/>
        </w:rPr>
        <w:t xml:space="preserve"> </w:t>
      </w:r>
      <w:r w:rsidR="006462EA" w:rsidRPr="007B0751">
        <w:rPr>
          <w:rFonts w:asciiTheme="majorHAnsi" w:eastAsia="Times New Roman" w:hAnsiTheme="majorHAnsi" w:cs="Gill Sans MT"/>
          <w:color w:val="000000"/>
          <w:szCs w:val="22"/>
        </w:rPr>
        <w:t>not all of the women that have ‘participated’ in the Program were</w:t>
      </w:r>
      <w:r w:rsidR="00F7206F">
        <w:rPr>
          <w:rFonts w:asciiTheme="majorHAnsi" w:eastAsia="Times New Roman" w:hAnsiTheme="majorHAnsi" w:cs="Gill Sans MT"/>
          <w:color w:val="000000"/>
          <w:szCs w:val="22"/>
        </w:rPr>
        <w:t xml:space="preserve"> </w:t>
      </w:r>
      <w:proofErr w:type="gramStart"/>
      <w:r w:rsidR="00F7206F">
        <w:rPr>
          <w:rFonts w:asciiTheme="majorHAnsi" w:eastAsia="Times New Roman" w:hAnsiTheme="majorHAnsi" w:cs="Gill Sans MT"/>
          <w:color w:val="000000"/>
          <w:szCs w:val="22"/>
        </w:rPr>
        <w:t xml:space="preserve">necessarily </w:t>
      </w:r>
      <w:r w:rsidR="006462EA" w:rsidRPr="007B0751">
        <w:rPr>
          <w:rFonts w:asciiTheme="majorHAnsi" w:eastAsia="Times New Roman" w:hAnsiTheme="majorHAnsi" w:cs="Gill Sans MT"/>
          <w:color w:val="000000"/>
          <w:szCs w:val="22"/>
        </w:rPr>
        <w:t xml:space="preserve"> ‘empowered’</w:t>
      </w:r>
      <w:proofErr w:type="gramEnd"/>
      <w:r w:rsidR="006462EA" w:rsidRPr="007B0751">
        <w:rPr>
          <w:rFonts w:asciiTheme="majorHAnsi" w:eastAsia="Times New Roman" w:hAnsiTheme="majorHAnsi" w:cs="Gill Sans MT"/>
          <w:color w:val="000000"/>
          <w:szCs w:val="22"/>
        </w:rPr>
        <w:t xml:space="preserve"> by the Program</w:t>
      </w:r>
      <w:r w:rsidR="002F2CCD">
        <w:rPr>
          <w:rFonts w:asciiTheme="majorHAnsi" w:eastAsia="Times New Roman" w:hAnsiTheme="majorHAnsi" w:cs="Gill Sans MT"/>
          <w:color w:val="000000"/>
          <w:szCs w:val="22"/>
        </w:rPr>
        <w:t xml:space="preserve">, with men commonly still guiding decision-making in relation to Program investments </w:t>
      </w:r>
      <w:r w:rsidR="006462EA" w:rsidRPr="007B0751">
        <w:rPr>
          <w:rFonts w:asciiTheme="majorHAnsi" w:eastAsia="Times New Roman" w:hAnsiTheme="majorHAnsi" w:cs="Gill Sans MT"/>
          <w:color w:val="000000"/>
          <w:szCs w:val="22"/>
        </w:rPr>
        <w:t>. This appears to come back to the capacity of some local partners who accept participation as empowerment, whereas genuine empowerment in a conservative country such as Palestine requires consistent and deliberate support over a long period of time.</w:t>
      </w:r>
    </w:p>
    <w:p w14:paraId="386E36D9" w14:textId="77777777" w:rsidR="006462EA" w:rsidRPr="007B0751" w:rsidRDefault="006462EA" w:rsidP="00F04445">
      <w:pPr>
        <w:rPr>
          <w:rFonts w:asciiTheme="majorHAnsi" w:eastAsia="Times New Roman" w:hAnsiTheme="majorHAnsi" w:cs="Gill Sans MT"/>
          <w:color w:val="000000"/>
          <w:szCs w:val="22"/>
        </w:rPr>
      </w:pPr>
    </w:p>
    <w:p w14:paraId="773AE5BE" w14:textId="77777777" w:rsidR="008B6791" w:rsidRPr="007B0751" w:rsidRDefault="006462EA" w:rsidP="00F04445">
      <w:pPr>
        <w:rPr>
          <w:rFonts w:asciiTheme="majorHAnsi" w:eastAsia="Times New Roman" w:hAnsiTheme="majorHAnsi" w:cs="Gill Sans MT"/>
          <w:color w:val="000000"/>
          <w:szCs w:val="22"/>
        </w:rPr>
      </w:pPr>
      <w:r w:rsidRPr="007B0751">
        <w:rPr>
          <w:rFonts w:asciiTheme="majorHAnsi" w:eastAsia="Times New Roman" w:hAnsiTheme="majorHAnsi" w:cs="Gill Sans MT"/>
          <w:color w:val="000000"/>
          <w:szCs w:val="22"/>
        </w:rPr>
        <w:t xml:space="preserve">A notable achievement, already mentioned, was </w:t>
      </w:r>
      <w:proofErr w:type="spellStart"/>
      <w:r w:rsidRPr="007B0751">
        <w:rPr>
          <w:rFonts w:asciiTheme="majorHAnsi" w:eastAsia="Times New Roman" w:hAnsiTheme="majorHAnsi" w:cs="Gill Sans MT"/>
          <w:color w:val="000000"/>
          <w:szCs w:val="22"/>
        </w:rPr>
        <w:t>Asala’s</w:t>
      </w:r>
      <w:proofErr w:type="spellEnd"/>
      <w:r w:rsidRPr="007B0751">
        <w:rPr>
          <w:rFonts w:asciiTheme="majorHAnsi" w:eastAsia="Times New Roman" w:hAnsiTheme="majorHAnsi" w:cs="Gill Sans MT"/>
          <w:color w:val="000000"/>
          <w:szCs w:val="22"/>
        </w:rPr>
        <w:t xml:space="preserve"> success in promoting women’s inheritance rights in Hebron. As with so much of</w:t>
      </w:r>
      <w:r w:rsidR="008807B7" w:rsidRPr="007B0751">
        <w:rPr>
          <w:rFonts w:asciiTheme="majorHAnsi" w:eastAsia="Times New Roman" w:hAnsiTheme="majorHAnsi" w:cs="Gill Sans MT"/>
          <w:color w:val="000000"/>
          <w:szCs w:val="22"/>
        </w:rPr>
        <w:t xml:space="preserve"> the AMENCA Program, it is important that an opportunity or modality is found to ensure that key success strategies are shared with other partners before Program close.</w:t>
      </w:r>
    </w:p>
    <w:p w14:paraId="298C9732" w14:textId="77777777" w:rsidR="008807B7" w:rsidRPr="007B0751" w:rsidRDefault="008807B7" w:rsidP="00F04445">
      <w:pPr>
        <w:rPr>
          <w:rFonts w:asciiTheme="majorHAnsi" w:eastAsia="Times New Roman" w:hAnsiTheme="majorHAnsi" w:cs="Gill Sans MT"/>
          <w:color w:val="000000"/>
          <w:szCs w:val="22"/>
        </w:rPr>
      </w:pPr>
    </w:p>
    <w:p w14:paraId="119125AB" w14:textId="77777777" w:rsidR="008807B7" w:rsidRPr="007B0751" w:rsidRDefault="008807B7" w:rsidP="00F04445">
      <w:pPr>
        <w:rPr>
          <w:rFonts w:asciiTheme="majorHAnsi" w:eastAsia="Times New Roman" w:hAnsiTheme="majorHAnsi" w:cs="Gill Sans MT"/>
          <w:i/>
          <w:color w:val="000000"/>
          <w:szCs w:val="22"/>
        </w:rPr>
      </w:pPr>
      <w:r w:rsidRPr="007B0751">
        <w:rPr>
          <w:rFonts w:asciiTheme="majorHAnsi" w:eastAsia="Times New Roman" w:hAnsiTheme="majorHAnsi" w:cs="Gill Sans MT"/>
          <w:i/>
          <w:color w:val="000000"/>
          <w:szCs w:val="22"/>
        </w:rPr>
        <w:t>5.2.6</w:t>
      </w:r>
      <w:r w:rsidRPr="007B0751">
        <w:rPr>
          <w:rFonts w:asciiTheme="majorHAnsi" w:eastAsia="Times New Roman" w:hAnsiTheme="majorHAnsi" w:cs="Gill Sans MT"/>
          <w:i/>
          <w:color w:val="000000"/>
          <w:szCs w:val="22"/>
        </w:rPr>
        <w:tab/>
        <w:t>Program Disability performance</w:t>
      </w:r>
    </w:p>
    <w:p w14:paraId="085ED60F" w14:textId="5551924F" w:rsidR="008807B7" w:rsidRPr="007B0751" w:rsidRDefault="008807B7" w:rsidP="00F04445">
      <w:pPr>
        <w:rPr>
          <w:rFonts w:asciiTheme="majorHAnsi" w:eastAsia="Times New Roman" w:hAnsiTheme="majorHAnsi" w:cs="Gill Sans MT"/>
          <w:color w:val="000000"/>
          <w:szCs w:val="22"/>
        </w:rPr>
      </w:pPr>
      <w:r w:rsidRPr="007B0751">
        <w:rPr>
          <w:rFonts w:asciiTheme="majorHAnsi" w:eastAsia="Times New Roman" w:hAnsiTheme="majorHAnsi" w:cs="Gill Sans MT"/>
          <w:color w:val="000000"/>
          <w:szCs w:val="22"/>
        </w:rPr>
        <w:t xml:space="preserve">Disability is a significant issue in the PTs requiring concerted </w:t>
      </w:r>
      <w:proofErr w:type="gramStart"/>
      <w:r w:rsidRPr="007B0751">
        <w:rPr>
          <w:rFonts w:asciiTheme="majorHAnsi" w:eastAsia="Times New Roman" w:hAnsiTheme="majorHAnsi" w:cs="Gill Sans MT"/>
          <w:color w:val="000000"/>
          <w:szCs w:val="22"/>
        </w:rPr>
        <w:t>attention</w:t>
      </w:r>
      <w:r w:rsidR="004B2470">
        <w:rPr>
          <w:rFonts w:asciiTheme="majorHAnsi" w:eastAsia="Times New Roman" w:hAnsiTheme="majorHAnsi" w:cs="Gill Sans MT"/>
          <w:color w:val="000000"/>
          <w:szCs w:val="22"/>
        </w:rPr>
        <w:t>,</w:t>
      </w:r>
      <w:proofErr w:type="gramEnd"/>
      <w:r w:rsidR="004B2470">
        <w:rPr>
          <w:rFonts w:asciiTheme="majorHAnsi" w:eastAsia="Times New Roman" w:hAnsiTheme="majorHAnsi" w:cs="Gill Sans MT"/>
          <w:color w:val="000000"/>
          <w:szCs w:val="22"/>
        </w:rPr>
        <w:t xml:space="preserve"> however was not mentioned AT ALL in the initial Program Design, Concept Paper and Guidelines prepared by </w:t>
      </w:r>
      <w:proofErr w:type="spellStart"/>
      <w:r w:rsidR="004B2470">
        <w:rPr>
          <w:rFonts w:asciiTheme="majorHAnsi" w:eastAsia="Times New Roman" w:hAnsiTheme="majorHAnsi" w:cs="Gill Sans MT"/>
          <w:color w:val="000000"/>
          <w:szCs w:val="22"/>
        </w:rPr>
        <w:t>AusAID</w:t>
      </w:r>
      <w:proofErr w:type="spellEnd"/>
      <w:r w:rsidR="004B2470">
        <w:rPr>
          <w:rFonts w:asciiTheme="majorHAnsi" w:eastAsia="Times New Roman" w:hAnsiTheme="majorHAnsi" w:cs="Gill Sans MT"/>
          <w:color w:val="000000"/>
          <w:szCs w:val="22"/>
        </w:rPr>
        <w:t xml:space="preserve"> in 2008. Despite this, all four partners stated objectives to include people with disability in their designs, with WV including a ‘Disability Analysis’ as part of their design. A</w:t>
      </w:r>
      <w:r w:rsidR="004B2470" w:rsidRPr="007B0751">
        <w:rPr>
          <w:rFonts w:asciiTheme="majorHAnsi" w:eastAsia="Times New Roman" w:hAnsiTheme="majorHAnsi" w:cs="Gill Sans MT"/>
          <w:color w:val="000000"/>
          <w:szCs w:val="22"/>
        </w:rPr>
        <w:t xml:space="preserve">ll </w:t>
      </w:r>
      <w:r w:rsidR="004B2470">
        <w:rPr>
          <w:rFonts w:asciiTheme="majorHAnsi" w:eastAsia="Times New Roman" w:hAnsiTheme="majorHAnsi" w:cs="Gill Sans MT"/>
          <w:color w:val="000000"/>
          <w:szCs w:val="22"/>
        </w:rPr>
        <w:t xml:space="preserve">four </w:t>
      </w:r>
      <w:r w:rsidR="004B2470" w:rsidRPr="007B0751">
        <w:rPr>
          <w:rFonts w:asciiTheme="majorHAnsi" w:eastAsia="Times New Roman" w:hAnsiTheme="majorHAnsi" w:cs="Gill Sans MT"/>
          <w:color w:val="000000"/>
          <w:szCs w:val="22"/>
        </w:rPr>
        <w:t>partners worked with people</w:t>
      </w:r>
      <w:r w:rsidR="004B2470">
        <w:rPr>
          <w:rFonts w:asciiTheme="majorHAnsi" w:eastAsia="Times New Roman" w:hAnsiTheme="majorHAnsi" w:cs="Gill Sans MT"/>
          <w:color w:val="000000"/>
          <w:szCs w:val="22"/>
        </w:rPr>
        <w:t xml:space="preserve"> with disability. However, it has been WV that has been most </w:t>
      </w:r>
      <w:r w:rsidR="00F90450">
        <w:rPr>
          <w:rFonts w:asciiTheme="majorHAnsi" w:eastAsia="Times New Roman" w:hAnsiTheme="majorHAnsi" w:cs="Gill Sans MT"/>
          <w:color w:val="000000"/>
          <w:szCs w:val="22"/>
        </w:rPr>
        <w:t xml:space="preserve">active, providing grants to people living with disability while also supporting </w:t>
      </w:r>
      <w:r w:rsidR="004B2470">
        <w:rPr>
          <w:rFonts w:asciiTheme="majorHAnsi" w:eastAsia="Times New Roman" w:hAnsiTheme="majorHAnsi" w:cs="Gill Sans MT"/>
          <w:color w:val="000000"/>
          <w:szCs w:val="22"/>
        </w:rPr>
        <w:t xml:space="preserve">the </w:t>
      </w:r>
      <w:r w:rsidR="00F90450">
        <w:rPr>
          <w:rFonts w:asciiTheme="majorHAnsi" w:eastAsia="Times New Roman" w:hAnsiTheme="majorHAnsi" w:cs="Gill Sans MT"/>
          <w:color w:val="000000"/>
          <w:szCs w:val="22"/>
        </w:rPr>
        <w:t>disability focused CBO</w:t>
      </w:r>
      <w:r w:rsidR="004B2470">
        <w:rPr>
          <w:rFonts w:asciiTheme="majorHAnsi" w:eastAsia="Times New Roman" w:hAnsiTheme="majorHAnsi" w:cs="Gill Sans MT"/>
          <w:color w:val="000000"/>
          <w:szCs w:val="22"/>
        </w:rPr>
        <w:t xml:space="preserve"> </w:t>
      </w:r>
      <w:r w:rsidR="004B2470">
        <w:rPr>
          <w:rFonts w:asciiTheme="majorHAnsi" w:eastAsia="Times New Roman" w:hAnsiTheme="majorHAnsi" w:cs="Gill Sans MT"/>
          <w:i/>
          <w:color w:val="000000"/>
          <w:szCs w:val="22"/>
        </w:rPr>
        <w:t xml:space="preserve">Al </w:t>
      </w:r>
      <w:proofErr w:type="spellStart"/>
      <w:r w:rsidR="004B2470">
        <w:rPr>
          <w:rFonts w:asciiTheme="majorHAnsi" w:eastAsia="Times New Roman" w:hAnsiTheme="majorHAnsi" w:cs="Gill Sans MT"/>
          <w:i/>
          <w:color w:val="000000"/>
          <w:szCs w:val="22"/>
        </w:rPr>
        <w:t>Basma</w:t>
      </w:r>
      <w:proofErr w:type="spellEnd"/>
      <w:r w:rsidR="00F90450">
        <w:rPr>
          <w:rFonts w:asciiTheme="majorHAnsi" w:eastAsia="Times New Roman" w:hAnsiTheme="majorHAnsi" w:cs="Gill Sans MT"/>
          <w:color w:val="000000"/>
          <w:szCs w:val="22"/>
        </w:rPr>
        <w:t xml:space="preserve"> in advocating the rights of disabled people</w:t>
      </w:r>
      <w:r w:rsidR="004B2470">
        <w:rPr>
          <w:rFonts w:asciiTheme="majorHAnsi" w:eastAsia="Times New Roman" w:hAnsiTheme="majorHAnsi" w:cs="Gill Sans MT"/>
          <w:color w:val="000000"/>
          <w:szCs w:val="22"/>
        </w:rPr>
        <w:t xml:space="preserve">. While the Program database reports </w:t>
      </w:r>
      <w:r w:rsidRPr="007B0751">
        <w:rPr>
          <w:rFonts w:asciiTheme="majorHAnsi" w:eastAsia="Times New Roman" w:hAnsiTheme="majorHAnsi" w:cs="Gill Sans MT"/>
          <w:color w:val="000000"/>
          <w:szCs w:val="22"/>
        </w:rPr>
        <w:t xml:space="preserve">1,071 (354 women) </w:t>
      </w:r>
      <w:r w:rsidR="004B2470">
        <w:rPr>
          <w:rFonts w:asciiTheme="majorHAnsi" w:eastAsia="Times New Roman" w:hAnsiTheme="majorHAnsi" w:cs="Gill Sans MT"/>
          <w:color w:val="000000"/>
          <w:szCs w:val="22"/>
        </w:rPr>
        <w:t xml:space="preserve">disabled people </w:t>
      </w:r>
      <w:r w:rsidRPr="007B0751">
        <w:rPr>
          <w:rFonts w:asciiTheme="majorHAnsi" w:eastAsia="Times New Roman" w:hAnsiTheme="majorHAnsi" w:cs="Gill Sans MT"/>
          <w:color w:val="000000"/>
          <w:szCs w:val="22"/>
        </w:rPr>
        <w:t>as being direct beneficiaries of the Program</w:t>
      </w:r>
      <w:r w:rsidR="004B2470">
        <w:rPr>
          <w:rFonts w:asciiTheme="majorHAnsi" w:eastAsia="Times New Roman" w:hAnsiTheme="majorHAnsi" w:cs="Gill Sans MT"/>
          <w:color w:val="000000"/>
          <w:szCs w:val="22"/>
        </w:rPr>
        <w:t>, it is likely that the numbers are significantly higher. For example, disability within a household informed beneficiary selection across all for consortia, but unless the actual beneficiary was disabled, this does not appear in the data.</w:t>
      </w:r>
    </w:p>
    <w:p w14:paraId="3946B51F" w14:textId="77777777" w:rsidR="008807B7" w:rsidRPr="007B0751" w:rsidRDefault="008807B7" w:rsidP="00F04445">
      <w:pPr>
        <w:rPr>
          <w:rFonts w:asciiTheme="majorHAnsi" w:hAnsiTheme="majorHAnsi"/>
        </w:rPr>
      </w:pPr>
    </w:p>
    <w:p w14:paraId="689F3E86" w14:textId="77777777" w:rsidR="00F04445" w:rsidRPr="007B0751" w:rsidRDefault="00C350F7" w:rsidP="00F04445">
      <w:pPr>
        <w:rPr>
          <w:rFonts w:asciiTheme="majorHAnsi" w:hAnsiTheme="majorHAnsi" w:cs="Arial"/>
          <w:b/>
          <w:color w:val="1F497D"/>
          <w:sz w:val="28"/>
          <w:szCs w:val="28"/>
          <w:lang w:val="en-GB"/>
        </w:rPr>
      </w:pPr>
      <w:r w:rsidRPr="007B0751">
        <w:rPr>
          <w:rFonts w:asciiTheme="majorHAnsi" w:hAnsiTheme="majorHAnsi" w:cs="Arial"/>
          <w:b/>
          <w:color w:val="1F497D"/>
          <w:sz w:val="28"/>
          <w:szCs w:val="28"/>
          <w:lang w:val="en-GB"/>
        </w:rPr>
        <w:t>6.</w:t>
      </w:r>
      <w:r w:rsidR="00672BC3" w:rsidRPr="007B0751">
        <w:rPr>
          <w:rFonts w:asciiTheme="majorHAnsi" w:hAnsiTheme="majorHAnsi" w:cs="Arial"/>
          <w:b/>
          <w:color w:val="1F497D"/>
          <w:sz w:val="28"/>
          <w:szCs w:val="28"/>
          <w:lang w:val="en-GB"/>
        </w:rPr>
        <w:tab/>
      </w:r>
      <w:r w:rsidR="00F04445" w:rsidRPr="007B0751">
        <w:rPr>
          <w:rFonts w:asciiTheme="majorHAnsi" w:hAnsiTheme="majorHAnsi" w:cs="Arial"/>
          <w:b/>
          <w:color w:val="1F497D"/>
          <w:sz w:val="28"/>
          <w:szCs w:val="28"/>
          <w:lang w:val="en-GB"/>
        </w:rPr>
        <w:t>Future options</w:t>
      </w:r>
      <w:r w:rsidR="00F04445" w:rsidRPr="007B0751">
        <w:rPr>
          <w:rFonts w:asciiTheme="majorHAnsi" w:hAnsiTheme="majorHAnsi" w:cs="Arial"/>
          <w:b/>
          <w:color w:val="1F497D"/>
          <w:sz w:val="28"/>
          <w:szCs w:val="28"/>
          <w:lang w:val="en-GB"/>
        </w:rPr>
        <w:tab/>
      </w:r>
    </w:p>
    <w:p w14:paraId="402E99D5" w14:textId="7D9B5607" w:rsidR="008807B7" w:rsidRPr="007B0751" w:rsidRDefault="00672BC3" w:rsidP="00F6718B">
      <w:pPr>
        <w:tabs>
          <w:tab w:val="left" w:pos="840"/>
        </w:tabs>
        <w:rPr>
          <w:rFonts w:asciiTheme="majorHAnsi" w:hAnsiTheme="majorHAnsi" w:cs="Arial"/>
          <w:szCs w:val="28"/>
          <w:lang w:val="en-GB"/>
        </w:rPr>
      </w:pPr>
      <w:proofErr w:type="gramStart"/>
      <w:r w:rsidRPr="007B0751">
        <w:rPr>
          <w:rFonts w:asciiTheme="majorHAnsi" w:hAnsiTheme="majorHAnsi" w:cs="Arial"/>
          <w:szCs w:val="28"/>
          <w:lang w:val="en-GB"/>
        </w:rPr>
        <w:t xml:space="preserve">Being one of very few </w:t>
      </w:r>
      <w:proofErr w:type="spellStart"/>
      <w:r w:rsidRPr="007B0751">
        <w:rPr>
          <w:rFonts w:asciiTheme="majorHAnsi" w:hAnsiTheme="majorHAnsi" w:cs="Arial"/>
          <w:szCs w:val="28"/>
          <w:lang w:val="en-GB"/>
        </w:rPr>
        <w:t>multi year</w:t>
      </w:r>
      <w:proofErr w:type="spellEnd"/>
      <w:r w:rsidRPr="007B0751">
        <w:rPr>
          <w:rFonts w:asciiTheme="majorHAnsi" w:hAnsiTheme="majorHAnsi" w:cs="Arial"/>
          <w:szCs w:val="28"/>
          <w:lang w:val="en-GB"/>
        </w:rPr>
        <w:t xml:space="preserve"> development programs operating in the PTs, AMENCA2 form</w:t>
      </w:r>
      <w:r w:rsidR="00F6718B" w:rsidRPr="007B0751">
        <w:rPr>
          <w:rFonts w:asciiTheme="majorHAnsi" w:hAnsiTheme="majorHAnsi" w:cs="Arial"/>
          <w:szCs w:val="28"/>
          <w:lang w:val="en-GB"/>
        </w:rPr>
        <w:t>s</w:t>
      </w:r>
      <w:r w:rsidRPr="007B0751">
        <w:rPr>
          <w:rFonts w:asciiTheme="majorHAnsi" w:hAnsiTheme="majorHAnsi" w:cs="Arial"/>
          <w:szCs w:val="28"/>
          <w:lang w:val="en-GB"/>
        </w:rPr>
        <w:t xml:space="preserve"> a</w:t>
      </w:r>
      <w:r w:rsidR="00F6718B" w:rsidRPr="007B0751">
        <w:rPr>
          <w:rFonts w:asciiTheme="majorHAnsi" w:hAnsiTheme="majorHAnsi" w:cs="Arial"/>
          <w:szCs w:val="28"/>
          <w:lang w:val="en-GB"/>
        </w:rPr>
        <w:t xml:space="preserve"> vitally</w:t>
      </w:r>
      <w:r w:rsidRPr="007B0751">
        <w:rPr>
          <w:rFonts w:asciiTheme="majorHAnsi" w:hAnsiTheme="majorHAnsi" w:cs="Arial"/>
          <w:szCs w:val="28"/>
          <w:lang w:val="en-GB"/>
        </w:rPr>
        <w:t xml:space="preserve"> important knowledge bank of experience in relation to building resilience </w:t>
      </w:r>
      <w:r w:rsidR="00A038BB">
        <w:rPr>
          <w:rFonts w:asciiTheme="majorHAnsi" w:hAnsiTheme="majorHAnsi" w:cs="Arial"/>
          <w:szCs w:val="28"/>
          <w:lang w:val="en-GB"/>
        </w:rPr>
        <w:t xml:space="preserve">at community and household level, including strategies to address </w:t>
      </w:r>
      <w:r w:rsidRPr="007B0751">
        <w:rPr>
          <w:rFonts w:asciiTheme="majorHAnsi" w:hAnsiTheme="majorHAnsi" w:cs="Arial"/>
          <w:szCs w:val="28"/>
          <w:lang w:val="en-GB"/>
        </w:rPr>
        <w:t>vulnerab</w:t>
      </w:r>
      <w:r w:rsidR="00A038BB">
        <w:rPr>
          <w:rFonts w:asciiTheme="majorHAnsi" w:hAnsiTheme="majorHAnsi" w:cs="Arial"/>
          <w:szCs w:val="28"/>
          <w:lang w:val="en-GB"/>
        </w:rPr>
        <w:t>ility</w:t>
      </w:r>
      <w:r w:rsidRPr="007B0751">
        <w:rPr>
          <w:rFonts w:asciiTheme="majorHAnsi" w:hAnsiTheme="majorHAnsi" w:cs="Arial"/>
          <w:szCs w:val="28"/>
          <w:lang w:val="en-GB"/>
        </w:rPr>
        <w:t>.</w:t>
      </w:r>
      <w:proofErr w:type="gramEnd"/>
      <w:r w:rsidRPr="007B0751">
        <w:rPr>
          <w:rFonts w:asciiTheme="majorHAnsi" w:hAnsiTheme="majorHAnsi" w:cs="Arial"/>
          <w:szCs w:val="28"/>
          <w:lang w:val="en-GB"/>
        </w:rPr>
        <w:t xml:space="preserve"> </w:t>
      </w:r>
      <w:r w:rsidR="00A038BB">
        <w:rPr>
          <w:rFonts w:asciiTheme="majorHAnsi" w:hAnsiTheme="majorHAnsi" w:cs="Arial"/>
          <w:szCs w:val="28"/>
          <w:lang w:val="en-GB"/>
        </w:rPr>
        <w:t xml:space="preserve">The </w:t>
      </w:r>
      <w:r w:rsidR="008807B7" w:rsidRPr="007B0751">
        <w:rPr>
          <w:rFonts w:asciiTheme="majorHAnsi" w:hAnsiTheme="majorHAnsi" w:cs="Arial"/>
          <w:szCs w:val="28"/>
          <w:lang w:val="en-GB"/>
        </w:rPr>
        <w:t>AMENCA</w:t>
      </w:r>
      <w:r w:rsidR="00A038BB">
        <w:rPr>
          <w:rFonts w:asciiTheme="majorHAnsi" w:hAnsiTheme="majorHAnsi" w:cs="Arial"/>
          <w:szCs w:val="28"/>
          <w:lang w:val="en-GB"/>
        </w:rPr>
        <w:t xml:space="preserve"> Program</w:t>
      </w:r>
      <w:r w:rsidR="008807B7" w:rsidRPr="007B0751">
        <w:rPr>
          <w:rFonts w:asciiTheme="majorHAnsi" w:hAnsiTheme="majorHAnsi" w:cs="Arial"/>
          <w:szCs w:val="28"/>
          <w:lang w:val="en-GB"/>
        </w:rPr>
        <w:t>’</w:t>
      </w:r>
      <w:r w:rsidR="00560159" w:rsidRPr="007B0751">
        <w:rPr>
          <w:rFonts w:asciiTheme="majorHAnsi" w:hAnsiTheme="majorHAnsi" w:cs="Arial"/>
          <w:szCs w:val="28"/>
          <w:lang w:val="en-GB"/>
        </w:rPr>
        <w:t xml:space="preserve">s </w:t>
      </w:r>
      <w:r w:rsidR="00F6718B" w:rsidRPr="007B0751">
        <w:rPr>
          <w:rFonts w:asciiTheme="majorHAnsi" w:hAnsiTheme="majorHAnsi" w:cs="Arial"/>
          <w:szCs w:val="28"/>
          <w:lang w:val="en-GB"/>
        </w:rPr>
        <w:t xml:space="preserve">importance is enhanced by the fact that it was implemented by four different development organisations </w:t>
      </w:r>
      <w:r w:rsidR="00A038BB">
        <w:rPr>
          <w:rFonts w:asciiTheme="majorHAnsi" w:hAnsiTheme="majorHAnsi" w:cs="Arial"/>
          <w:szCs w:val="28"/>
          <w:lang w:val="en-GB"/>
        </w:rPr>
        <w:t xml:space="preserve">applying </w:t>
      </w:r>
      <w:r w:rsidR="00F6718B" w:rsidRPr="007B0751">
        <w:rPr>
          <w:rFonts w:asciiTheme="majorHAnsi" w:hAnsiTheme="majorHAnsi" w:cs="Arial"/>
          <w:szCs w:val="28"/>
          <w:lang w:val="en-GB"/>
        </w:rPr>
        <w:t xml:space="preserve">different philosophies and theories of change, </w:t>
      </w:r>
      <w:r w:rsidR="00A038BB">
        <w:rPr>
          <w:rFonts w:asciiTheme="majorHAnsi" w:hAnsiTheme="majorHAnsi" w:cs="Arial"/>
          <w:szCs w:val="28"/>
          <w:lang w:val="en-GB"/>
        </w:rPr>
        <w:t xml:space="preserve">while </w:t>
      </w:r>
      <w:r w:rsidR="00F6718B" w:rsidRPr="007B0751">
        <w:rPr>
          <w:rFonts w:asciiTheme="majorHAnsi" w:hAnsiTheme="majorHAnsi" w:cs="Arial"/>
          <w:szCs w:val="28"/>
          <w:lang w:val="en-GB"/>
        </w:rPr>
        <w:t xml:space="preserve">working in different geographic locations with communities </w:t>
      </w:r>
      <w:r w:rsidR="008807B7" w:rsidRPr="007B0751">
        <w:rPr>
          <w:rFonts w:asciiTheme="majorHAnsi" w:hAnsiTheme="majorHAnsi" w:cs="Arial"/>
          <w:szCs w:val="28"/>
          <w:lang w:val="en-GB"/>
        </w:rPr>
        <w:t>that have</w:t>
      </w:r>
      <w:r w:rsidR="00F6718B" w:rsidRPr="007B0751">
        <w:rPr>
          <w:rFonts w:asciiTheme="majorHAnsi" w:hAnsiTheme="majorHAnsi" w:cs="Arial"/>
          <w:szCs w:val="28"/>
          <w:lang w:val="en-GB"/>
        </w:rPr>
        <w:t xml:space="preserve"> a broad cross-section of characteristics. </w:t>
      </w:r>
    </w:p>
    <w:p w14:paraId="56D06395" w14:textId="77777777" w:rsidR="002114F3" w:rsidRPr="007B0751" w:rsidRDefault="002114F3" w:rsidP="00F6718B">
      <w:pPr>
        <w:tabs>
          <w:tab w:val="left" w:pos="840"/>
        </w:tabs>
        <w:rPr>
          <w:rFonts w:asciiTheme="majorHAnsi" w:hAnsiTheme="majorHAnsi" w:cs="Arial"/>
          <w:szCs w:val="28"/>
          <w:lang w:val="en-GB"/>
        </w:rPr>
      </w:pPr>
    </w:p>
    <w:p w14:paraId="79F33B61" w14:textId="0BB74E0C" w:rsidR="001360CE" w:rsidRPr="002A5C0E" w:rsidRDefault="002114F3" w:rsidP="002A5C0E">
      <w:pPr>
        <w:tabs>
          <w:tab w:val="left" w:pos="840"/>
        </w:tabs>
        <w:rPr>
          <w:rFonts w:asciiTheme="majorHAnsi" w:hAnsiTheme="majorHAnsi" w:cs="Arial"/>
          <w:szCs w:val="28"/>
          <w:lang w:val="en-GB"/>
        </w:rPr>
      </w:pPr>
      <w:r w:rsidRPr="007B0751">
        <w:rPr>
          <w:rFonts w:asciiTheme="majorHAnsi" w:hAnsiTheme="majorHAnsi" w:cs="Arial"/>
          <w:szCs w:val="28"/>
          <w:lang w:val="en-GB"/>
        </w:rPr>
        <w:t xml:space="preserve">AMENCA2 performance has been strongest when approaches to achieving resilience for individuals and/or communities have been sophisticated, holistic and integrated, catering for both their economic and social empowerment. </w:t>
      </w:r>
      <w:r w:rsidR="00A038BB">
        <w:rPr>
          <w:rFonts w:asciiTheme="majorHAnsi" w:hAnsiTheme="majorHAnsi" w:cs="Arial"/>
          <w:szCs w:val="28"/>
          <w:lang w:val="en-GB"/>
        </w:rPr>
        <w:t>Th</w:t>
      </w:r>
      <w:r w:rsidR="00991B46">
        <w:rPr>
          <w:rFonts w:asciiTheme="majorHAnsi" w:hAnsiTheme="majorHAnsi" w:cs="Arial"/>
          <w:szCs w:val="28"/>
          <w:lang w:val="en-GB"/>
        </w:rPr>
        <w:t>ese</w:t>
      </w:r>
      <w:r w:rsidR="00A038BB">
        <w:rPr>
          <w:rFonts w:asciiTheme="majorHAnsi" w:hAnsiTheme="majorHAnsi" w:cs="Arial"/>
          <w:szCs w:val="28"/>
          <w:lang w:val="en-GB"/>
        </w:rPr>
        <w:t xml:space="preserve"> learning</w:t>
      </w:r>
      <w:r w:rsidR="00991B46">
        <w:rPr>
          <w:rFonts w:asciiTheme="majorHAnsi" w:hAnsiTheme="majorHAnsi" w:cs="Arial"/>
          <w:szCs w:val="28"/>
          <w:lang w:val="en-GB"/>
        </w:rPr>
        <w:t>s</w:t>
      </w:r>
      <w:r w:rsidR="00A038BB">
        <w:rPr>
          <w:rFonts w:asciiTheme="majorHAnsi" w:hAnsiTheme="majorHAnsi" w:cs="Arial"/>
          <w:szCs w:val="28"/>
          <w:lang w:val="en-GB"/>
        </w:rPr>
        <w:t xml:space="preserve"> should be central to any future phase of the Program. </w:t>
      </w:r>
      <w:r w:rsidR="001360CE" w:rsidRPr="002A5C0E">
        <w:rPr>
          <w:rFonts w:asciiTheme="majorHAnsi" w:hAnsiTheme="majorHAnsi" w:cs="Arial"/>
          <w:szCs w:val="28"/>
          <w:lang w:val="en-GB"/>
        </w:rPr>
        <w:t>Key overarching lessons learnt through AMENCA2</w:t>
      </w:r>
      <w:r w:rsidR="00944EBC" w:rsidRPr="002A5C0E">
        <w:rPr>
          <w:rFonts w:asciiTheme="majorHAnsi" w:hAnsiTheme="majorHAnsi" w:cs="Arial"/>
          <w:szCs w:val="28"/>
          <w:lang w:val="en-GB"/>
        </w:rPr>
        <w:t xml:space="preserve"> includ</w:t>
      </w:r>
      <w:r w:rsidR="001360CE" w:rsidRPr="002A5C0E">
        <w:rPr>
          <w:rFonts w:asciiTheme="majorHAnsi" w:hAnsiTheme="majorHAnsi" w:cs="Arial"/>
          <w:szCs w:val="28"/>
          <w:lang w:val="en-GB"/>
        </w:rPr>
        <w:t>e:</w:t>
      </w:r>
    </w:p>
    <w:p w14:paraId="0339E27E" w14:textId="26EFFDC0" w:rsidR="001360CE" w:rsidRPr="002A5C0E" w:rsidRDefault="00944EBC" w:rsidP="001360CE">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i</w:t>
      </w:r>
      <w:r w:rsidR="001360CE" w:rsidRPr="002A5C0E">
        <w:rPr>
          <w:rFonts w:asciiTheme="majorHAnsi" w:hAnsiTheme="majorHAnsi" w:cs="Arial"/>
          <w:szCs w:val="28"/>
          <w:lang w:val="en-GB"/>
        </w:rPr>
        <w:t>ntegrated approaches that address both eco</w:t>
      </w:r>
      <w:r>
        <w:rPr>
          <w:rFonts w:asciiTheme="majorHAnsi" w:hAnsiTheme="majorHAnsi" w:cs="Arial"/>
          <w:szCs w:val="28"/>
          <w:lang w:val="en-GB"/>
        </w:rPr>
        <w:t>nomic</w:t>
      </w:r>
      <w:r w:rsidR="001360CE" w:rsidRPr="002A5C0E">
        <w:rPr>
          <w:rFonts w:asciiTheme="majorHAnsi" w:hAnsiTheme="majorHAnsi" w:cs="Arial"/>
          <w:szCs w:val="28"/>
          <w:lang w:val="en-GB"/>
        </w:rPr>
        <w:t xml:space="preserve"> and social empowerment make for sustainable outcomes</w:t>
      </w:r>
      <w:r>
        <w:rPr>
          <w:rFonts w:asciiTheme="majorHAnsi" w:hAnsiTheme="majorHAnsi" w:cs="Arial"/>
          <w:szCs w:val="28"/>
          <w:lang w:val="en-GB"/>
        </w:rPr>
        <w:t xml:space="preserve"> and help build social capital</w:t>
      </w:r>
    </w:p>
    <w:p w14:paraId="618B7F6A" w14:textId="71859A82" w:rsidR="00986C4F" w:rsidRDefault="00C41EBC" w:rsidP="001360CE">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by</w:t>
      </w:r>
      <w:r w:rsidR="00986C4F">
        <w:rPr>
          <w:rFonts w:asciiTheme="majorHAnsi" w:hAnsiTheme="majorHAnsi" w:cs="Arial"/>
          <w:szCs w:val="28"/>
          <w:lang w:val="en-GB"/>
        </w:rPr>
        <w:t xml:space="preserve"> flexibl</w:t>
      </w:r>
      <w:r>
        <w:rPr>
          <w:rFonts w:asciiTheme="majorHAnsi" w:hAnsiTheme="majorHAnsi" w:cs="Arial"/>
          <w:szCs w:val="28"/>
          <w:lang w:val="en-GB"/>
        </w:rPr>
        <w:t>y</w:t>
      </w:r>
      <w:r w:rsidR="00986C4F">
        <w:rPr>
          <w:rFonts w:asciiTheme="majorHAnsi" w:hAnsiTheme="majorHAnsi" w:cs="Arial"/>
          <w:szCs w:val="28"/>
          <w:lang w:val="en-GB"/>
        </w:rPr>
        <w:t xml:space="preserve"> defini</w:t>
      </w:r>
      <w:r>
        <w:rPr>
          <w:rFonts w:asciiTheme="majorHAnsi" w:hAnsiTheme="majorHAnsi" w:cs="Arial"/>
          <w:szCs w:val="28"/>
          <w:lang w:val="en-GB"/>
        </w:rPr>
        <w:t>ng</w:t>
      </w:r>
      <w:r w:rsidR="00986C4F">
        <w:rPr>
          <w:rFonts w:asciiTheme="majorHAnsi" w:hAnsiTheme="majorHAnsi" w:cs="Arial"/>
          <w:szCs w:val="28"/>
          <w:lang w:val="en-GB"/>
        </w:rPr>
        <w:t xml:space="preserve"> ‘food security’</w:t>
      </w:r>
      <w:r w:rsidR="00991B46">
        <w:rPr>
          <w:rFonts w:asciiTheme="majorHAnsi" w:hAnsiTheme="majorHAnsi" w:cs="Arial"/>
          <w:szCs w:val="28"/>
          <w:lang w:val="en-GB"/>
        </w:rPr>
        <w:t xml:space="preserve">, </w:t>
      </w:r>
      <w:r>
        <w:rPr>
          <w:rFonts w:asciiTheme="majorHAnsi" w:hAnsiTheme="majorHAnsi" w:cs="Arial"/>
          <w:szCs w:val="28"/>
          <w:lang w:val="en-GB"/>
        </w:rPr>
        <w:t xml:space="preserve">Program </w:t>
      </w:r>
      <w:r w:rsidR="00991B46">
        <w:rPr>
          <w:rFonts w:asciiTheme="majorHAnsi" w:hAnsiTheme="majorHAnsi" w:cs="Arial"/>
          <w:szCs w:val="28"/>
          <w:lang w:val="en-GB"/>
        </w:rPr>
        <w:t>partners have been</w:t>
      </w:r>
      <w:r>
        <w:rPr>
          <w:rFonts w:asciiTheme="majorHAnsi" w:hAnsiTheme="majorHAnsi" w:cs="Arial"/>
          <w:szCs w:val="28"/>
          <w:lang w:val="en-GB"/>
        </w:rPr>
        <w:t xml:space="preserve"> able to tai</w:t>
      </w:r>
      <w:r w:rsidR="00991B46">
        <w:rPr>
          <w:rFonts w:asciiTheme="majorHAnsi" w:hAnsiTheme="majorHAnsi" w:cs="Arial"/>
          <w:szCs w:val="28"/>
          <w:lang w:val="en-GB"/>
        </w:rPr>
        <w:t>lor their</w:t>
      </w:r>
      <w:r>
        <w:rPr>
          <w:rFonts w:asciiTheme="majorHAnsi" w:hAnsiTheme="majorHAnsi" w:cs="Arial"/>
          <w:szCs w:val="28"/>
          <w:lang w:val="en-GB"/>
        </w:rPr>
        <w:t xml:space="preserve"> response</w:t>
      </w:r>
      <w:r w:rsidR="00991B46">
        <w:rPr>
          <w:rFonts w:asciiTheme="majorHAnsi" w:hAnsiTheme="majorHAnsi" w:cs="Arial"/>
          <w:szCs w:val="28"/>
          <w:lang w:val="en-GB"/>
        </w:rPr>
        <w:t>s</w:t>
      </w:r>
      <w:r>
        <w:rPr>
          <w:rFonts w:asciiTheme="majorHAnsi" w:hAnsiTheme="majorHAnsi" w:cs="Arial"/>
          <w:szCs w:val="28"/>
          <w:lang w:val="en-GB"/>
        </w:rPr>
        <w:t xml:space="preserve"> to the nuanced needs of specific contexts, as well as the</w:t>
      </w:r>
      <w:r w:rsidR="00991B46">
        <w:rPr>
          <w:rFonts w:asciiTheme="majorHAnsi" w:hAnsiTheme="majorHAnsi" w:cs="Arial"/>
          <w:szCs w:val="28"/>
          <w:lang w:val="en-GB"/>
        </w:rPr>
        <w:t>ir own organisational strengths (both ANGO and PNGO)</w:t>
      </w:r>
    </w:p>
    <w:p w14:paraId="7CCC6525" w14:textId="2AFA0C37" w:rsidR="00C41EBC" w:rsidRDefault="00C41EBC" w:rsidP="001360CE">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substantive themes such as ‘food security’ can act as a useful vehicle for progressing other resilience factors such as community strengthening, women’s empowerment, opportunities for youth and building capacity for the promotion of psychosocial health</w:t>
      </w:r>
    </w:p>
    <w:p w14:paraId="144436CB" w14:textId="14534668" w:rsidR="007F25CE" w:rsidRDefault="007F25CE" w:rsidP="001360CE">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strong progress on women’s empowerment is achievable in the PTs when supported by clear and sensitive strategy</w:t>
      </w:r>
    </w:p>
    <w:p w14:paraId="05819861" w14:textId="1139F956" w:rsidR="001360CE" w:rsidRPr="002A5C0E" w:rsidRDefault="001360CE" w:rsidP="001360CE">
      <w:pPr>
        <w:pStyle w:val="ListParagraph"/>
        <w:numPr>
          <w:ilvl w:val="1"/>
          <w:numId w:val="41"/>
        </w:numPr>
        <w:rPr>
          <w:rFonts w:asciiTheme="majorHAnsi" w:hAnsiTheme="majorHAnsi" w:cs="Arial"/>
          <w:szCs w:val="28"/>
          <w:lang w:val="en-GB"/>
        </w:rPr>
      </w:pPr>
      <w:r w:rsidRPr="002A5C0E">
        <w:rPr>
          <w:rFonts w:asciiTheme="majorHAnsi" w:hAnsiTheme="majorHAnsi" w:cs="Arial"/>
          <w:szCs w:val="28"/>
          <w:lang w:val="en-GB"/>
        </w:rPr>
        <w:t>strategic infrastructure investments</w:t>
      </w:r>
      <w:r w:rsidR="00C41EBC">
        <w:rPr>
          <w:rFonts w:asciiTheme="majorHAnsi" w:hAnsiTheme="majorHAnsi" w:cs="Arial"/>
          <w:szCs w:val="28"/>
          <w:lang w:val="en-GB"/>
        </w:rPr>
        <w:t xml:space="preserve"> can facilitate significant returns</w:t>
      </w:r>
      <w:r w:rsidR="00991B46">
        <w:rPr>
          <w:rFonts w:asciiTheme="majorHAnsi" w:hAnsiTheme="majorHAnsi" w:cs="Arial"/>
          <w:szCs w:val="28"/>
          <w:lang w:val="en-GB"/>
        </w:rPr>
        <w:t xml:space="preserve"> when evidence based</w:t>
      </w:r>
    </w:p>
    <w:p w14:paraId="0136DF3A" w14:textId="5CE2E30E" w:rsidR="00991B46" w:rsidRDefault="00991B46" w:rsidP="00C41EBC">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t</w:t>
      </w:r>
      <w:r w:rsidR="00C41EBC">
        <w:rPr>
          <w:rFonts w:asciiTheme="majorHAnsi" w:hAnsiTheme="majorHAnsi" w:cs="Arial"/>
          <w:szCs w:val="28"/>
          <w:lang w:val="en-GB"/>
        </w:rPr>
        <w:t xml:space="preserve">he exceptional capacity of many </w:t>
      </w:r>
      <w:r w:rsidR="00C41EBC" w:rsidRPr="00C309C7">
        <w:rPr>
          <w:rFonts w:asciiTheme="majorHAnsi" w:hAnsiTheme="majorHAnsi" w:cs="Arial"/>
          <w:szCs w:val="28"/>
          <w:lang w:val="en-GB"/>
        </w:rPr>
        <w:t>PNGO</w:t>
      </w:r>
      <w:r w:rsidR="00C41EBC">
        <w:rPr>
          <w:rFonts w:asciiTheme="majorHAnsi" w:hAnsiTheme="majorHAnsi" w:cs="Arial"/>
          <w:szCs w:val="28"/>
          <w:lang w:val="en-GB"/>
        </w:rPr>
        <w:t>s positions them as important development partners, capable of assuming even more responsibility in any future phase</w:t>
      </w:r>
    </w:p>
    <w:p w14:paraId="58D047F0" w14:textId="5B38B435" w:rsidR="00C41EBC" w:rsidRPr="00C309C7" w:rsidRDefault="00C41EBC" w:rsidP="00C41EBC">
      <w:pPr>
        <w:pStyle w:val="ListParagraph"/>
        <w:numPr>
          <w:ilvl w:val="1"/>
          <w:numId w:val="41"/>
        </w:numPr>
        <w:rPr>
          <w:rFonts w:asciiTheme="majorHAnsi" w:hAnsiTheme="majorHAnsi" w:cs="Arial"/>
          <w:szCs w:val="28"/>
          <w:lang w:val="en-GB"/>
        </w:rPr>
      </w:pPr>
      <w:r w:rsidRPr="00C309C7">
        <w:rPr>
          <w:rFonts w:asciiTheme="majorHAnsi" w:hAnsiTheme="majorHAnsi" w:cs="Arial"/>
          <w:szCs w:val="28"/>
          <w:lang w:val="en-GB"/>
        </w:rPr>
        <w:t>ANGOs</w:t>
      </w:r>
      <w:r w:rsidR="00991B46">
        <w:rPr>
          <w:rFonts w:asciiTheme="majorHAnsi" w:hAnsiTheme="majorHAnsi" w:cs="Arial"/>
          <w:szCs w:val="28"/>
          <w:lang w:val="en-GB"/>
        </w:rPr>
        <w:t>’</w:t>
      </w:r>
      <w:r w:rsidRPr="00C309C7">
        <w:rPr>
          <w:rFonts w:asciiTheme="majorHAnsi" w:hAnsiTheme="majorHAnsi" w:cs="Arial"/>
          <w:szCs w:val="28"/>
          <w:lang w:val="en-GB"/>
        </w:rPr>
        <w:t xml:space="preserve"> </w:t>
      </w:r>
      <w:r w:rsidR="00991B46">
        <w:rPr>
          <w:rFonts w:asciiTheme="majorHAnsi" w:hAnsiTheme="majorHAnsi" w:cs="Arial"/>
          <w:szCs w:val="28"/>
          <w:lang w:val="en-GB"/>
        </w:rPr>
        <w:t xml:space="preserve">role remains significant in facilitating innovation and knowledge management, but their contribution and value add must be clearly </w:t>
      </w:r>
      <w:r w:rsidRPr="00C309C7">
        <w:rPr>
          <w:rFonts w:asciiTheme="majorHAnsi" w:hAnsiTheme="majorHAnsi" w:cs="Arial"/>
          <w:szCs w:val="28"/>
          <w:lang w:val="en-GB"/>
        </w:rPr>
        <w:t>articulate</w:t>
      </w:r>
      <w:r w:rsidR="00991B46">
        <w:rPr>
          <w:rFonts w:asciiTheme="majorHAnsi" w:hAnsiTheme="majorHAnsi" w:cs="Arial"/>
          <w:szCs w:val="28"/>
          <w:lang w:val="en-GB"/>
        </w:rPr>
        <w:t>d</w:t>
      </w:r>
      <w:r w:rsidRPr="00C309C7">
        <w:rPr>
          <w:rFonts w:asciiTheme="majorHAnsi" w:hAnsiTheme="majorHAnsi" w:cs="Arial"/>
          <w:szCs w:val="28"/>
          <w:lang w:val="en-GB"/>
        </w:rPr>
        <w:t xml:space="preserve"> </w:t>
      </w:r>
      <w:r w:rsidR="00991B46">
        <w:rPr>
          <w:rFonts w:asciiTheme="majorHAnsi" w:hAnsiTheme="majorHAnsi" w:cs="Arial"/>
          <w:szCs w:val="28"/>
          <w:lang w:val="en-GB"/>
        </w:rPr>
        <w:t>alongside that of local partners</w:t>
      </w:r>
    </w:p>
    <w:p w14:paraId="57BF7D2E" w14:textId="54F7C5F8" w:rsidR="001360CE" w:rsidRPr="002A5C0E" w:rsidRDefault="002A5C0E" w:rsidP="001360CE">
      <w:pPr>
        <w:pStyle w:val="ListParagraph"/>
        <w:numPr>
          <w:ilvl w:val="1"/>
          <w:numId w:val="41"/>
        </w:numPr>
        <w:rPr>
          <w:rFonts w:asciiTheme="majorHAnsi" w:hAnsiTheme="majorHAnsi" w:cs="Arial"/>
          <w:szCs w:val="28"/>
          <w:lang w:val="en-GB"/>
        </w:rPr>
      </w:pPr>
      <w:r>
        <w:rPr>
          <w:rFonts w:asciiTheme="majorHAnsi" w:hAnsiTheme="majorHAnsi" w:cs="Arial"/>
          <w:szCs w:val="28"/>
          <w:lang w:val="en-GB"/>
        </w:rPr>
        <w:t xml:space="preserve">While information sharing between partners is important and valued, it has not led to any substantial degree of collaboration between consortia, </w:t>
      </w:r>
      <w:proofErr w:type="gramStart"/>
      <w:r>
        <w:rPr>
          <w:rFonts w:asciiTheme="majorHAnsi" w:hAnsiTheme="majorHAnsi" w:cs="Arial"/>
          <w:szCs w:val="28"/>
          <w:lang w:val="en-GB"/>
        </w:rPr>
        <w:t>nor</w:t>
      </w:r>
      <w:proofErr w:type="gramEnd"/>
      <w:r>
        <w:rPr>
          <w:rFonts w:asciiTheme="majorHAnsi" w:hAnsiTheme="majorHAnsi" w:cs="Arial"/>
          <w:szCs w:val="28"/>
          <w:lang w:val="en-GB"/>
        </w:rPr>
        <w:t xml:space="preserve"> adoption of each ‘other partner’s better practice’.</w:t>
      </w:r>
    </w:p>
    <w:p w14:paraId="68323389" w14:textId="77777777" w:rsidR="001360CE" w:rsidRPr="002A5C0E" w:rsidRDefault="001360CE" w:rsidP="001360CE">
      <w:pPr>
        <w:pStyle w:val="ListParagraph"/>
        <w:numPr>
          <w:ilvl w:val="1"/>
          <w:numId w:val="41"/>
        </w:numPr>
        <w:rPr>
          <w:rFonts w:asciiTheme="majorHAnsi" w:hAnsiTheme="majorHAnsi" w:cs="Arial"/>
          <w:szCs w:val="28"/>
          <w:lang w:val="en-GB"/>
        </w:rPr>
      </w:pPr>
      <w:r w:rsidRPr="002A5C0E">
        <w:rPr>
          <w:rFonts w:asciiTheme="majorHAnsi" w:hAnsiTheme="majorHAnsi" w:cs="Arial"/>
          <w:szCs w:val="28"/>
          <w:lang w:val="en-GB"/>
        </w:rPr>
        <w:t>Ensure gender is central to the program and mainstreamed as far as possible</w:t>
      </w:r>
    </w:p>
    <w:p w14:paraId="12306F2E" w14:textId="77777777" w:rsidR="00206E2D" w:rsidRPr="007B0751" w:rsidRDefault="00206E2D" w:rsidP="00206E2D">
      <w:pPr>
        <w:tabs>
          <w:tab w:val="left" w:pos="840"/>
        </w:tabs>
        <w:rPr>
          <w:rFonts w:asciiTheme="majorHAnsi" w:hAnsiTheme="majorHAnsi" w:cs="Arial"/>
          <w:szCs w:val="28"/>
          <w:lang w:val="en-GB"/>
        </w:rPr>
      </w:pPr>
    </w:p>
    <w:p w14:paraId="6725E80A" w14:textId="14EAA6A8" w:rsidR="00206E2D" w:rsidRDefault="00991B46" w:rsidP="00206E2D">
      <w:pPr>
        <w:tabs>
          <w:tab w:val="left" w:pos="840"/>
        </w:tabs>
        <w:rPr>
          <w:rFonts w:asciiTheme="majorHAnsi" w:hAnsiTheme="majorHAnsi" w:cs="Arial"/>
          <w:szCs w:val="28"/>
          <w:lang w:val="en-GB"/>
        </w:rPr>
      </w:pPr>
      <w:r>
        <w:rPr>
          <w:rFonts w:asciiTheme="majorHAnsi" w:hAnsiTheme="majorHAnsi" w:cs="Arial"/>
          <w:szCs w:val="28"/>
          <w:lang w:val="en-GB"/>
        </w:rPr>
        <w:t>Given the above, i</w:t>
      </w:r>
      <w:r w:rsidR="00206E2D" w:rsidRPr="007B0751">
        <w:rPr>
          <w:rFonts w:asciiTheme="majorHAnsi" w:hAnsiTheme="majorHAnsi" w:cs="Arial"/>
          <w:szCs w:val="28"/>
          <w:lang w:val="en-GB"/>
        </w:rPr>
        <w:t xml:space="preserve">t is recommended that a new five year </w:t>
      </w:r>
      <w:r>
        <w:rPr>
          <w:rFonts w:asciiTheme="majorHAnsi" w:hAnsiTheme="majorHAnsi" w:cs="Arial"/>
          <w:szCs w:val="28"/>
          <w:lang w:val="en-GB"/>
        </w:rPr>
        <w:t xml:space="preserve">AMENCA </w:t>
      </w:r>
      <w:r w:rsidR="00206E2D" w:rsidRPr="007B0751">
        <w:rPr>
          <w:rFonts w:asciiTheme="majorHAnsi" w:hAnsiTheme="majorHAnsi" w:cs="Arial"/>
          <w:szCs w:val="28"/>
          <w:lang w:val="en-GB"/>
        </w:rPr>
        <w:t xml:space="preserve">Program be initiated by DFAT that continues to operate across BOTH West Bank and Gaza, </w:t>
      </w:r>
      <w:r w:rsidR="001360CE">
        <w:rPr>
          <w:rFonts w:asciiTheme="majorHAnsi" w:hAnsiTheme="majorHAnsi" w:cs="Arial"/>
          <w:szCs w:val="28"/>
          <w:lang w:val="en-GB"/>
        </w:rPr>
        <w:t>building on</w:t>
      </w:r>
      <w:r w:rsidR="001360CE">
        <w:t xml:space="preserve"> key lessons learned from AMENCA2 to ensure that Australian assistance continues to evolve and become even more sophisticated in its response to the complex issues of the </w:t>
      </w:r>
      <w:proofErr w:type="spellStart"/>
      <w:r w:rsidR="001360CE">
        <w:t>PTs.</w:t>
      </w:r>
      <w:proofErr w:type="spellEnd"/>
      <w:r w:rsidR="001360CE">
        <w:rPr>
          <w:rFonts w:asciiTheme="majorHAnsi" w:hAnsiTheme="majorHAnsi" w:cs="Arial"/>
          <w:szCs w:val="28"/>
          <w:lang w:val="en-GB"/>
        </w:rPr>
        <w:t xml:space="preserve"> </w:t>
      </w:r>
      <w:r w:rsidR="00A038BB">
        <w:rPr>
          <w:rFonts w:asciiTheme="majorHAnsi" w:hAnsiTheme="majorHAnsi" w:cs="Arial"/>
          <w:szCs w:val="28"/>
          <w:lang w:val="en-GB"/>
        </w:rPr>
        <w:t>This should occur as soon as possible to assure continuity of presence and learning, and also to avoid close-down/start-up costs, and loss of staff.</w:t>
      </w:r>
      <w:r w:rsidR="00186D98">
        <w:rPr>
          <w:rFonts w:asciiTheme="majorHAnsi" w:hAnsiTheme="majorHAnsi" w:cs="Arial"/>
          <w:szCs w:val="28"/>
          <w:lang w:val="en-GB"/>
        </w:rPr>
        <w:t xml:space="preserve"> If this cannot occur, bridge funding should be made available to c</w:t>
      </w:r>
      <w:r w:rsidR="0001233D">
        <w:rPr>
          <w:rFonts w:asciiTheme="majorHAnsi" w:hAnsiTheme="majorHAnsi" w:cs="Arial"/>
          <w:szCs w:val="28"/>
          <w:lang w:val="en-GB"/>
        </w:rPr>
        <w:t xml:space="preserve">urrent partners, based on </w:t>
      </w:r>
      <w:r w:rsidR="00186D98">
        <w:rPr>
          <w:rFonts w:asciiTheme="majorHAnsi" w:hAnsiTheme="majorHAnsi" w:cs="Arial"/>
          <w:szCs w:val="28"/>
          <w:lang w:val="en-GB"/>
        </w:rPr>
        <w:t>submission of a feasible work plan.</w:t>
      </w:r>
    </w:p>
    <w:p w14:paraId="5C13B481" w14:textId="77777777" w:rsidR="00991B46" w:rsidRDefault="00991B46" w:rsidP="001360CE">
      <w:pPr>
        <w:tabs>
          <w:tab w:val="left" w:pos="840"/>
        </w:tabs>
        <w:rPr>
          <w:rFonts w:asciiTheme="majorHAnsi" w:hAnsiTheme="majorHAnsi" w:cs="Arial"/>
          <w:szCs w:val="28"/>
          <w:lang w:val="en-GB"/>
        </w:rPr>
      </w:pPr>
    </w:p>
    <w:p w14:paraId="7A7CFBF3" w14:textId="77777777" w:rsidR="008414DB" w:rsidRDefault="00991B46" w:rsidP="00991B46">
      <w:pPr>
        <w:tabs>
          <w:tab w:val="left" w:pos="840"/>
        </w:tabs>
        <w:rPr>
          <w:rFonts w:asciiTheme="majorHAnsi" w:hAnsiTheme="majorHAnsi" w:cs="Arial"/>
          <w:szCs w:val="28"/>
          <w:lang w:val="en-GB"/>
        </w:rPr>
      </w:pPr>
      <w:r w:rsidRPr="007B0751">
        <w:rPr>
          <w:rFonts w:asciiTheme="majorHAnsi" w:hAnsiTheme="majorHAnsi" w:cs="Arial"/>
          <w:szCs w:val="28"/>
          <w:lang w:val="en-GB"/>
        </w:rPr>
        <w:t>Given Palestinian national development priorities</w:t>
      </w:r>
      <w:r>
        <w:rPr>
          <w:rFonts w:asciiTheme="majorHAnsi" w:hAnsiTheme="majorHAnsi" w:cs="Arial"/>
          <w:szCs w:val="28"/>
          <w:lang w:val="en-GB"/>
        </w:rPr>
        <w:t xml:space="preserve"> </w:t>
      </w:r>
      <w:r w:rsidRPr="007B0751">
        <w:rPr>
          <w:rFonts w:asciiTheme="majorHAnsi" w:hAnsiTheme="majorHAnsi" w:cs="Arial"/>
          <w:szCs w:val="28"/>
          <w:lang w:val="en-GB"/>
        </w:rPr>
        <w:t xml:space="preserve">(and Australian competitive advantage as a leader in dry land agriculture), it is proposed that </w:t>
      </w:r>
      <w:r>
        <w:rPr>
          <w:rFonts w:asciiTheme="majorHAnsi" w:hAnsiTheme="majorHAnsi" w:cs="Arial"/>
          <w:szCs w:val="28"/>
          <w:lang w:val="en-GB"/>
        </w:rPr>
        <w:t>the new Program be rural development</w:t>
      </w:r>
      <w:r w:rsidR="001D7B62">
        <w:rPr>
          <w:rFonts w:asciiTheme="majorHAnsi" w:hAnsiTheme="majorHAnsi" w:cs="Arial"/>
          <w:szCs w:val="28"/>
          <w:lang w:val="en-GB"/>
        </w:rPr>
        <w:t>/agriculture/resilience</w:t>
      </w:r>
      <w:r>
        <w:rPr>
          <w:rFonts w:asciiTheme="majorHAnsi" w:hAnsiTheme="majorHAnsi" w:cs="Arial"/>
          <w:szCs w:val="28"/>
          <w:lang w:val="en-GB"/>
        </w:rPr>
        <w:t xml:space="preserve"> focused and build on the strengths of AMENCA2 by focusing on the promotion of activities that facilitate </w:t>
      </w:r>
      <w:r w:rsidRPr="007B0751">
        <w:rPr>
          <w:rFonts w:asciiTheme="majorHAnsi" w:hAnsiTheme="majorHAnsi" w:cs="Arial"/>
          <w:szCs w:val="28"/>
          <w:lang w:val="en-GB"/>
        </w:rPr>
        <w:t>economic and social empowerment</w:t>
      </w:r>
      <w:r w:rsidR="001D7B62">
        <w:rPr>
          <w:rFonts w:asciiTheme="majorHAnsi" w:hAnsiTheme="majorHAnsi" w:cs="Arial"/>
          <w:szCs w:val="28"/>
          <w:lang w:val="en-GB"/>
        </w:rPr>
        <w:t xml:space="preserve">. The Program parameters should NOT be overly prescriptive, leaving room for different organisations to articulate their own program logic and theory of change in order to allow them to bring their consortia’s strategic advantage to the selection table. In this model, emphasis would be placed on consortia presenting a coherent, persuasive and compelling logic that their approach is relevant to the context they describe, and reflective of lessons learned through AMENCA 2. Particular emphasis should be given to strategies for ‘adding value’ to </w:t>
      </w:r>
      <w:r w:rsidR="002422B6">
        <w:rPr>
          <w:rFonts w:asciiTheme="majorHAnsi" w:hAnsiTheme="majorHAnsi" w:cs="Arial"/>
          <w:szCs w:val="28"/>
          <w:lang w:val="en-GB"/>
        </w:rPr>
        <w:t xml:space="preserve">Program efforts, be that through marketing, </w:t>
      </w:r>
      <w:proofErr w:type="gramStart"/>
      <w:r w:rsidR="002422B6">
        <w:rPr>
          <w:rFonts w:asciiTheme="majorHAnsi" w:hAnsiTheme="majorHAnsi" w:cs="Arial"/>
          <w:szCs w:val="28"/>
          <w:lang w:val="en-GB"/>
        </w:rPr>
        <w:t>value</w:t>
      </w:r>
      <w:proofErr w:type="gramEnd"/>
      <w:r w:rsidR="002422B6">
        <w:rPr>
          <w:rFonts w:asciiTheme="majorHAnsi" w:hAnsiTheme="majorHAnsi" w:cs="Arial"/>
          <w:szCs w:val="28"/>
          <w:lang w:val="en-GB"/>
        </w:rPr>
        <w:t xml:space="preserve"> chain modelling, cooperation or synergies between consortia. Bids should also include </w:t>
      </w:r>
      <w:r w:rsidRPr="007B0751">
        <w:rPr>
          <w:rFonts w:asciiTheme="majorHAnsi" w:hAnsiTheme="majorHAnsi" w:cs="Arial"/>
          <w:szCs w:val="28"/>
          <w:lang w:val="en-GB"/>
        </w:rPr>
        <w:t>clear strategies for inclusion of the vulnerable</w:t>
      </w:r>
      <w:r>
        <w:rPr>
          <w:rFonts w:asciiTheme="majorHAnsi" w:hAnsiTheme="majorHAnsi" w:cs="Arial"/>
          <w:szCs w:val="28"/>
          <w:lang w:val="en-GB"/>
        </w:rPr>
        <w:t xml:space="preserve"> </w:t>
      </w:r>
      <w:r w:rsidRPr="007B0751">
        <w:rPr>
          <w:rFonts w:asciiTheme="majorHAnsi" w:hAnsiTheme="majorHAnsi" w:cs="Arial"/>
          <w:szCs w:val="28"/>
          <w:lang w:val="en-GB"/>
        </w:rPr>
        <w:t>and women in th</w:t>
      </w:r>
      <w:r w:rsidR="002422B6">
        <w:rPr>
          <w:rFonts w:asciiTheme="majorHAnsi" w:hAnsiTheme="majorHAnsi" w:cs="Arial"/>
          <w:szCs w:val="28"/>
          <w:lang w:val="en-GB"/>
        </w:rPr>
        <w:t>eir activities.</w:t>
      </w:r>
      <w:r w:rsidRPr="007B0751">
        <w:rPr>
          <w:rFonts w:asciiTheme="majorHAnsi" w:hAnsiTheme="majorHAnsi" w:cs="Arial"/>
          <w:szCs w:val="28"/>
          <w:lang w:val="en-GB"/>
        </w:rPr>
        <w:t xml:space="preserve"> While such a program should not exclude strategies that promote export agriculture, its primary focus should be on expanding domestic production with the aim of greater levels of self-sufficiency given restrictions posed by the blockade. </w:t>
      </w:r>
    </w:p>
    <w:p w14:paraId="22F45999" w14:textId="77777777" w:rsidR="00991B46" w:rsidRPr="007B0751" w:rsidRDefault="00991B46" w:rsidP="00991B46">
      <w:pPr>
        <w:tabs>
          <w:tab w:val="left" w:pos="840"/>
        </w:tabs>
        <w:rPr>
          <w:rFonts w:asciiTheme="majorHAnsi" w:hAnsiTheme="majorHAnsi" w:cs="Arial"/>
          <w:szCs w:val="28"/>
          <w:lang w:val="en-GB"/>
        </w:rPr>
      </w:pPr>
    </w:p>
    <w:p w14:paraId="0CD4CCFE" w14:textId="4072A99D" w:rsidR="001360CE" w:rsidRPr="007B0751" w:rsidRDefault="00991B46" w:rsidP="001360CE">
      <w:pPr>
        <w:tabs>
          <w:tab w:val="left" w:pos="840"/>
        </w:tabs>
        <w:rPr>
          <w:rFonts w:asciiTheme="majorHAnsi" w:hAnsiTheme="majorHAnsi" w:cs="Arial"/>
          <w:szCs w:val="28"/>
          <w:lang w:val="en-GB"/>
        </w:rPr>
      </w:pPr>
      <w:r w:rsidRPr="007B0751">
        <w:rPr>
          <w:rFonts w:asciiTheme="majorHAnsi" w:hAnsiTheme="majorHAnsi" w:cs="Arial"/>
          <w:szCs w:val="28"/>
          <w:lang w:val="en-GB"/>
        </w:rPr>
        <w:t xml:space="preserve">A clear role should exist in any new Program for PNGOs, who have demonstrated in AMENCA2 </w:t>
      </w:r>
      <w:r w:rsidR="008414DB">
        <w:rPr>
          <w:rFonts w:asciiTheme="majorHAnsi" w:hAnsiTheme="majorHAnsi" w:cs="Arial"/>
          <w:szCs w:val="28"/>
          <w:lang w:val="en-GB"/>
        </w:rPr>
        <w:t xml:space="preserve">the value of </w:t>
      </w:r>
      <w:r w:rsidRPr="007B0751">
        <w:rPr>
          <w:rFonts w:asciiTheme="majorHAnsi" w:hAnsiTheme="majorHAnsi" w:cs="Arial"/>
          <w:szCs w:val="28"/>
          <w:lang w:val="en-GB"/>
        </w:rPr>
        <w:t xml:space="preserve">their technical skills, astute local understanding, and generally highly developed capacity. Australian NGOs should be pressed to clearly define their value add. Consortia must be more than just relationships of convenience, and must demonstrate their complementarity and collective alignment towards an agreed goal. </w:t>
      </w:r>
      <w:r w:rsidR="001360CE" w:rsidRPr="007B0751">
        <w:rPr>
          <w:rFonts w:asciiTheme="majorHAnsi" w:hAnsiTheme="majorHAnsi" w:cs="Arial"/>
          <w:szCs w:val="28"/>
          <w:lang w:val="en-GB"/>
        </w:rPr>
        <w:t>Such a Program would leave space for both innovation and inclusion of any of the successful components of AMENCA2, putting the onus on applicants to the Program to provide a compelling and persuasive argument that their approach is holistic and would effectively navigate the value chain.</w:t>
      </w:r>
      <w:r w:rsidR="008414DB">
        <w:rPr>
          <w:rFonts w:asciiTheme="majorHAnsi" w:hAnsiTheme="majorHAnsi" w:cs="Arial"/>
          <w:szCs w:val="28"/>
          <w:lang w:val="en-GB"/>
        </w:rPr>
        <w:t xml:space="preserve"> It also leaves the door open for the participation of new partners, given that decision making would be directly aligned to the relevance of the theory of change and approach being put forward. </w:t>
      </w:r>
    </w:p>
    <w:p w14:paraId="69B14DA3" w14:textId="77777777" w:rsidR="00A038BB" w:rsidRDefault="00A038BB" w:rsidP="00206E2D">
      <w:pPr>
        <w:tabs>
          <w:tab w:val="left" w:pos="840"/>
        </w:tabs>
        <w:rPr>
          <w:rFonts w:asciiTheme="majorHAnsi" w:hAnsiTheme="majorHAnsi" w:cs="Arial"/>
          <w:szCs w:val="28"/>
          <w:lang w:val="en-GB"/>
        </w:rPr>
      </w:pPr>
    </w:p>
    <w:p w14:paraId="51FC5B07" w14:textId="5ABE6605" w:rsidR="00A038BB" w:rsidRDefault="00A038BB" w:rsidP="00206E2D">
      <w:pPr>
        <w:tabs>
          <w:tab w:val="left" w:pos="840"/>
        </w:tabs>
        <w:rPr>
          <w:rFonts w:asciiTheme="majorHAnsi" w:hAnsiTheme="majorHAnsi" w:cs="Arial"/>
          <w:szCs w:val="28"/>
          <w:lang w:val="en-GB"/>
        </w:rPr>
      </w:pPr>
      <w:r>
        <w:rPr>
          <w:rFonts w:asciiTheme="majorHAnsi" w:hAnsiTheme="majorHAnsi" w:cs="Arial"/>
          <w:szCs w:val="28"/>
          <w:lang w:val="en-GB"/>
        </w:rPr>
        <w:t xml:space="preserve">Over the course of AMENCA2, there has been considerable shift in the Palestinian political environment, with a strong focus emerging on the concept of ‘state building’. This is reflected in the Australian Government strategy for the PTs, which aims to progress state building. While limited engagement of the PA has occurred during AMENCA2, </w:t>
      </w:r>
      <w:r w:rsidR="00EC4C31">
        <w:rPr>
          <w:rFonts w:asciiTheme="majorHAnsi" w:hAnsiTheme="majorHAnsi" w:cs="Arial"/>
          <w:szCs w:val="28"/>
          <w:lang w:val="en-GB"/>
        </w:rPr>
        <w:t xml:space="preserve">opportunities exist for further evolution in a new phase. While it is premature to rely on the PA as an implementing partner, it is important that a new AMENCA Program phase reflect, align and be supportive of PA development planning – notably the National Development Plan for </w:t>
      </w:r>
      <w:r w:rsidR="00B20651">
        <w:rPr>
          <w:rFonts w:asciiTheme="majorHAnsi" w:hAnsiTheme="majorHAnsi" w:cs="Arial"/>
          <w:szCs w:val="28"/>
          <w:lang w:val="en-GB"/>
        </w:rPr>
        <w:t>2</w:t>
      </w:r>
      <w:r w:rsidR="0001233D">
        <w:rPr>
          <w:rFonts w:asciiTheme="majorHAnsi" w:hAnsiTheme="majorHAnsi" w:cs="Arial"/>
          <w:szCs w:val="28"/>
          <w:lang w:val="en-GB"/>
        </w:rPr>
        <w:t>0</w:t>
      </w:r>
      <w:r w:rsidR="00B20651">
        <w:rPr>
          <w:rFonts w:asciiTheme="majorHAnsi" w:hAnsiTheme="majorHAnsi" w:cs="Arial"/>
          <w:szCs w:val="28"/>
          <w:lang w:val="en-GB"/>
        </w:rPr>
        <w:t xml:space="preserve">14-16 and the National Agriculture Sector Strategy. A Program Steering Committee should be developed to support Program implementation, with representation of relevant PA officials. This will ensure increasing levels of ownership and synergies between government and non-government entities. </w:t>
      </w:r>
    </w:p>
    <w:p w14:paraId="70876DA3" w14:textId="77777777" w:rsidR="00F7206F" w:rsidRPr="007B0751" w:rsidRDefault="00F7206F" w:rsidP="00206E2D">
      <w:pPr>
        <w:tabs>
          <w:tab w:val="left" w:pos="840"/>
        </w:tabs>
        <w:rPr>
          <w:rFonts w:asciiTheme="majorHAnsi" w:hAnsiTheme="majorHAnsi" w:cs="Arial"/>
          <w:szCs w:val="28"/>
          <w:lang w:val="en-GB"/>
        </w:rPr>
      </w:pPr>
    </w:p>
    <w:p w14:paraId="5FC67A1A" w14:textId="442F8462" w:rsidR="000850B9" w:rsidRPr="002A5C0E" w:rsidRDefault="008414DB" w:rsidP="002A5C0E">
      <w:pPr>
        <w:rPr>
          <w:rFonts w:asciiTheme="majorHAnsi" w:hAnsiTheme="majorHAnsi" w:cs="Arial"/>
          <w:szCs w:val="22"/>
          <w:lang w:val="en-GB"/>
        </w:rPr>
      </w:pPr>
      <w:r w:rsidRPr="002A5C0E">
        <w:rPr>
          <w:rFonts w:asciiTheme="majorHAnsi" w:hAnsiTheme="majorHAnsi" w:cs="Arial"/>
          <w:szCs w:val="28"/>
          <w:lang w:val="en-GB"/>
        </w:rPr>
        <w:t>DFAT’s contribution to the success of AMENCA2 has been significant, and is highly appreciated by partners for its hands on, flexible and informed approach</w:t>
      </w:r>
      <w:r w:rsidR="005D25BF" w:rsidRPr="002A5C0E">
        <w:rPr>
          <w:rFonts w:asciiTheme="majorHAnsi" w:hAnsiTheme="majorHAnsi" w:cs="Arial"/>
          <w:szCs w:val="28"/>
          <w:lang w:val="en-GB"/>
        </w:rPr>
        <w:t xml:space="preserve"> to complex issues</w:t>
      </w:r>
      <w:r w:rsidRPr="002A5C0E">
        <w:rPr>
          <w:rFonts w:asciiTheme="majorHAnsi" w:hAnsiTheme="majorHAnsi" w:cs="Arial"/>
          <w:szCs w:val="28"/>
          <w:lang w:val="en-GB"/>
        </w:rPr>
        <w:t xml:space="preserve">. </w:t>
      </w:r>
      <w:r w:rsidR="003A282E" w:rsidRPr="002A5C0E">
        <w:rPr>
          <w:rFonts w:asciiTheme="majorHAnsi" w:hAnsiTheme="majorHAnsi" w:cs="Arial"/>
          <w:szCs w:val="28"/>
          <w:lang w:val="en-GB"/>
        </w:rPr>
        <w:t>Central to this success has been the strong relationship that has existed between the Program</w:t>
      </w:r>
      <w:r w:rsidR="005D25BF" w:rsidRPr="002A5C0E">
        <w:rPr>
          <w:rFonts w:asciiTheme="majorHAnsi" w:hAnsiTheme="majorHAnsi" w:cs="Arial"/>
          <w:szCs w:val="28"/>
          <w:lang w:val="en-GB"/>
        </w:rPr>
        <w:t xml:space="preserve"> Manager and the M&amp;E Advisor.</w:t>
      </w:r>
      <w:r w:rsidR="003A282E" w:rsidRPr="002A5C0E">
        <w:rPr>
          <w:rFonts w:asciiTheme="majorHAnsi" w:hAnsiTheme="majorHAnsi" w:cs="Arial"/>
          <w:szCs w:val="28"/>
          <w:lang w:val="en-GB"/>
        </w:rPr>
        <w:t xml:space="preserve"> </w:t>
      </w:r>
      <w:r w:rsidR="00A16D20" w:rsidRPr="002A5C0E">
        <w:rPr>
          <w:rFonts w:asciiTheme="majorHAnsi" w:hAnsiTheme="majorHAnsi" w:cs="Arial"/>
          <w:szCs w:val="28"/>
          <w:lang w:val="en-GB"/>
        </w:rPr>
        <w:t xml:space="preserve">Given the symbiotic relationship that exists between politics and development in the PTs, it is proposed that Program Management </w:t>
      </w:r>
      <w:r w:rsidR="005D25BF" w:rsidRPr="002A5C0E">
        <w:rPr>
          <w:rFonts w:asciiTheme="majorHAnsi" w:hAnsiTheme="majorHAnsi" w:cs="Arial"/>
          <w:szCs w:val="28"/>
          <w:lang w:val="en-GB"/>
        </w:rPr>
        <w:t xml:space="preserve">continue to </w:t>
      </w:r>
      <w:r w:rsidR="00186D98" w:rsidRPr="002A5C0E">
        <w:rPr>
          <w:rFonts w:asciiTheme="majorHAnsi" w:hAnsiTheme="majorHAnsi" w:cs="Arial"/>
          <w:szCs w:val="28"/>
          <w:lang w:val="en-GB"/>
        </w:rPr>
        <w:t xml:space="preserve">be undertaken from within </w:t>
      </w:r>
      <w:r w:rsidR="00A16D20" w:rsidRPr="002A5C0E">
        <w:rPr>
          <w:rFonts w:asciiTheme="majorHAnsi" w:hAnsiTheme="majorHAnsi" w:cs="Arial"/>
          <w:szCs w:val="28"/>
          <w:lang w:val="en-GB"/>
        </w:rPr>
        <w:t xml:space="preserve">the Australian Representative Office in Ramallah. It is further proposed that </w:t>
      </w:r>
      <w:r w:rsidR="00186D98" w:rsidRPr="002A5C0E">
        <w:rPr>
          <w:rFonts w:asciiTheme="majorHAnsi" w:hAnsiTheme="majorHAnsi" w:cs="Arial"/>
          <w:szCs w:val="28"/>
          <w:lang w:val="en-GB"/>
        </w:rPr>
        <w:t xml:space="preserve">consideration be given to appointment of a Program Advisor </w:t>
      </w:r>
      <w:r w:rsidR="00961565" w:rsidRPr="002A5C0E">
        <w:rPr>
          <w:rFonts w:asciiTheme="majorHAnsi" w:hAnsiTheme="majorHAnsi" w:cs="Arial"/>
          <w:szCs w:val="28"/>
          <w:lang w:val="en-GB"/>
        </w:rPr>
        <w:t xml:space="preserve">with extensive experience in rural development, </w:t>
      </w:r>
      <w:r w:rsidR="000850B9" w:rsidRPr="002A5C0E">
        <w:rPr>
          <w:rFonts w:asciiTheme="majorHAnsi" w:hAnsiTheme="majorHAnsi" w:cs="Arial"/>
          <w:szCs w:val="28"/>
          <w:lang w:val="en-GB"/>
        </w:rPr>
        <w:t xml:space="preserve">community </w:t>
      </w:r>
      <w:r w:rsidR="005D25BF" w:rsidRPr="002A5C0E">
        <w:rPr>
          <w:rFonts w:asciiTheme="majorHAnsi" w:hAnsiTheme="majorHAnsi" w:cs="Arial"/>
          <w:szCs w:val="28"/>
          <w:lang w:val="en-GB"/>
        </w:rPr>
        <w:t xml:space="preserve">strengthening, agriculture </w:t>
      </w:r>
      <w:r w:rsidR="00961565" w:rsidRPr="002A5C0E">
        <w:rPr>
          <w:rFonts w:asciiTheme="majorHAnsi" w:hAnsiTheme="majorHAnsi" w:cs="Arial"/>
          <w:szCs w:val="28"/>
          <w:lang w:val="en-GB"/>
        </w:rPr>
        <w:t xml:space="preserve">and M&amp;E </w:t>
      </w:r>
      <w:r w:rsidR="00320AD7" w:rsidRPr="002A5C0E">
        <w:rPr>
          <w:rFonts w:asciiTheme="majorHAnsi" w:hAnsiTheme="majorHAnsi" w:cs="Arial"/>
          <w:szCs w:val="28"/>
          <w:lang w:val="en-GB"/>
        </w:rPr>
        <w:t>to represent the Program, support coordination and information sharing, and identify opportunities for potential innovations</w:t>
      </w:r>
      <w:r w:rsidR="005D25BF" w:rsidRPr="002A5C0E">
        <w:rPr>
          <w:rFonts w:asciiTheme="majorHAnsi" w:hAnsiTheme="majorHAnsi" w:cs="Arial"/>
          <w:szCs w:val="28"/>
          <w:lang w:val="en-GB"/>
        </w:rPr>
        <w:t xml:space="preserve">. This is in many respects recognition of, formalisation and expansion of the role of the </w:t>
      </w:r>
      <w:r w:rsidR="005D25BF" w:rsidRPr="002A5C0E">
        <w:rPr>
          <w:rFonts w:asciiTheme="majorHAnsi" w:hAnsiTheme="majorHAnsi" w:cs="Arial"/>
          <w:szCs w:val="22"/>
          <w:lang w:val="en-GB"/>
        </w:rPr>
        <w:t xml:space="preserve">current M&amp;E Advisor, whose work has been of critical importance to the Program’s achievements. </w:t>
      </w:r>
    </w:p>
    <w:p w14:paraId="1B12711C" w14:textId="77777777" w:rsidR="001624E5" w:rsidRPr="002A5C0E" w:rsidRDefault="001624E5" w:rsidP="002A5C0E">
      <w:pPr>
        <w:rPr>
          <w:rFonts w:asciiTheme="majorHAnsi" w:hAnsiTheme="majorHAnsi" w:cs="Arial"/>
          <w:szCs w:val="22"/>
          <w:lang w:val="en-GB"/>
        </w:rPr>
      </w:pPr>
    </w:p>
    <w:p w14:paraId="3303F3DB" w14:textId="2566A547" w:rsidR="00961565" w:rsidRPr="0001233D" w:rsidRDefault="001624E5" w:rsidP="002A5C0E">
      <w:pPr>
        <w:rPr>
          <w:rFonts w:asciiTheme="majorHAnsi" w:hAnsiTheme="majorHAnsi" w:cs="Arial"/>
          <w:szCs w:val="22"/>
          <w:lang w:val="en-GB"/>
        </w:rPr>
      </w:pPr>
      <w:r w:rsidRPr="002A5C0E">
        <w:rPr>
          <w:rFonts w:asciiTheme="majorHAnsi" w:hAnsiTheme="majorHAnsi"/>
          <w:szCs w:val="22"/>
          <w:lang w:val="en-GB"/>
        </w:rPr>
        <w:t>Finally, any future Program needs a further strengthened capacity to advocate around issues relevant to the achievement of its outcomes, since such advocacy is often beyond the capacity of partners.</w:t>
      </w:r>
      <w:r w:rsidRPr="002A5C0E" w:rsidDel="001624E5">
        <w:rPr>
          <w:rFonts w:asciiTheme="majorHAnsi" w:hAnsiTheme="majorHAnsi"/>
          <w:szCs w:val="22"/>
          <w:lang w:val="en-GB"/>
        </w:rPr>
        <w:t xml:space="preserve"> </w:t>
      </w:r>
    </w:p>
    <w:p w14:paraId="39AEDFBE" w14:textId="77777777" w:rsidR="00961565" w:rsidRPr="0001233D" w:rsidRDefault="00961565" w:rsidP="00961565">
      <w:pPr>
        <w:tabs>
          <w:tab w:val="left" w:pos="840"/>
        </w:tabs>
        <w:rPr>
          <w:rFonts w:asciiTheme="majorHAnsi" w:hAnsiTheme="majorHAnsi" w:cs="Arial"/>
          <w:szCs w:val="22"/>
          <w:lang w:val="en-GB"/>
        </w:rPr>
      </w:pPr>
    </w:p>
    <w:p w14:paraId="04CA44EF" w14:textId="77777777" w:rsidR="00F6718B" w:rsidRPr="007B0751" w:rsidRDefault="00F6718B" w:rsidP="00961565">
      <w:pPr>
        <w:tabs>
          <w:tab w:val="left" w:pos="840"/>
        </w:tabs>
        <w:rPr>
          <w:rFonts w:asciiTheme="majorHAnsi" w:hAnsiTheme="majorHAnsi" w:cs="Arial"/>
          <w:szCs w:val="28"/>
          <w:lang w:val="en-GB"/>
        </w:rPr>
      </w:pPr>
    </w:p>
    <w:p w14:paraId="5EC32E2F" w14:textId="77777777" w:rsidR="00F6718B" w:rsidRPr="007B0751" w:rsidRDefault="00F6718B" w:rsidP="00F6718B">
      <w:pPr>
        <w:tabs>
          <w:tab w:val="left" w:pos="840"/>
        </w:tabs>
        <w:rPr>
          <w:rFonts w:asciiTheme="majorHAnsi" w:hAnsiTheme="majorHAnsi" w:cs="Arial"/>
          <w:b/>
          <w:color w:val="1F497D"/>
          <w:szCs w:val="28"/>
          <w:lang w:val="en-GB"/>
        </w:rPr>
      </w:pPr>
    </w:p>
    <w:p w14:paraId="00CFA51C" w14:textId="77777777" w:rsidR="00F04445" w:rsidRPr="007B0751" w:rsidRDefault="00F04445" w:rsidP="00F04445">
      <w:pPr>
        <w:spacing w:line="266" w:lineRule="auto"/>
        <w:ind w:hanging="6840"/>
        <w:rPr>
          <w:rFonts w:asciiTheme="majorHAnsi" w:hAnsiTheme="majorHAnsi"/>
          <w:color w:val="FFFFFF"/>
          <w:spacing w:val="-7"/>
          <w:szCs w:val="22"/>
        </w:rPr>
      </w:pPr>
      <w:r w:rsidRPr="007B0751">
        <w:rPr>
          <w:rFonts w:asciiTheme="majorHAnsi" w:hAnsiTheme="majorHAnsi"/>
          <w:color w:val="FFFFFF"/>
          <w:spacing w:val="-7"/>
          <w:szCs w:val="22"/>
        </w:rPr>
        <w:t xml:space="preserve">The </w:t>
      </w:r>
    </w:p>
    <w:p w14:paraId="38FDC318" w14:textId="77777777" w:rsidR="00320AD7" w:rsidRPr="007B0751" w:rsidRDefault="00320AD7" w:rsidP="00994713">
      <w:pPr>
        <w:rPr>
          <w:rFonts w:asciiTheme="majorHAnsi" w:hAnsiTheme="majorHAnsi"/>
          <w:b/>
        </w:rPr>
      </w:pPr>
    </w:p>
    <w:p w14:paraId="7A3231BB" w14:textId="77777777" w:rsidR="00320AD7" w:rsidRPr="007B0751" w:rsidRDefault="00320AD7" w:rsidP="00994713">
      <w:pPr>
        <w:rPr>
          <w:rFonts w:asciiTheme="majorHAnsi" w:hAnsiTheme="majorHAnsi"/>
          <w:b/>
        </w:rPr>
      </w:pPr>
    </w:p>
    <w:p w14:paraId="72AAB935" w14:textId="77777777" w:rsidR="00994713" w:rsidRPr="007B0751" w:rsidRDefault="00994713" w:rsidP="00994713">
      <w:pPr>
        <w:rPr>
          <w:rFonts w:asciiTheme="majorHAnsi" w:hAnsiTheme="majorHAnsi"/>
          <w:b/>
        </w:rPr>
      </w:pPr>
      <w:r w:rsidRPr="007B0751">
        <w:rPr>
          <w:rFonts w:asciiTheme="majorHAnsi" w:hAnsiTheme="majorHAnsi"/>
          <w:b/>
        </w:rPr>
        <w:t>ANNEX</w:t>
      </w:r>
    </w:p>
    <w:p w14:paraId="1A902436" w14:textId="77777777" w:rsidR="00994713" w:rsidRPr="007B0751" w:rsidRDefault="00994713" w:rsidP="00994713">
      <w:pPr>
        <w:rPr>
          <w:rFonts w:asciiTheme="majorHAnsi" w:hAnsiTheme="majorHAnsi"/>
        </w:rPr>
      </w:pPr>
    </w:p>
    <w:p w14:paraId="26C9EC22" w14:textId="27EE40C4" w:rsidR="00994713" w:rsidRPr="002A5C0E" w:rsidRDefault="0001233D" w:rsidP="002A5C0E">
      <w:pPr>
        <w:ind w:left="360"/>
        <w:rPr>
          <w:rFonts w:asciiTheme="majorHAnsi" w:hAnsiTheme="majorHAnsi"/>
        </w:rPr>
      </w:pPr>
      <w:r>
        <w:rPr>
          <w:rFonts w:asciiTheme="majorHAnsi" w:hAnsiTheme="majorHAnsi"/>
        </w:rPr>
        <w:t>1.</w:t>
      </w:r>
      <w:r>
        <w:rPr>
          <w:rFonts w:asciiTheme="majorHAnsi" w:hAnsiTheme="majorHAnsi"/>
        </w:rPr>
        <w:tab/>
      </w:r>
      <w:r w:rsidR="00517DE0" w:rsidRPr="002A5C0E">
        <w:rPr>
          <w:rFonts w:asciiTheme="majorHAnsi" w:hAnsiTheme="majorHAnsi"/>
        </w:rPr>
        <w:t>AMENCA2 Review Terms of Reference</w:t>
      </w:r>
    </w:p>
    <w:p w14:paraId="2B7496E4" w14:textId="0C9C2236" w:rsidR="00994713" w:rsidRPr="002A5C0E" w:rsidRDefault="00517DE0" w:rsidP="002A5C0E">
      <w:pPr>
        <w:pStyle w:val="ListParagraph"/>
        <w:numPr>
          <w:ilvl w:val="0"/>
          <w:numId w:val="43"/>
        </w:numPr>
        <w:rPr>
          <w:rFonts w:asciiTheme="majorHAnsi" w:hAnsiTheme="majorHAnsi"/>
        </w:rPr>
      </w:pPr>
      <w:r w:rsidRPr="002A5C0E">
        <w:rPr>
          <w:rFonts w:asciiTheme="majorHAnsi" w:hAnsiTheme="majorHAnsi"/>
        </w:rPr>
        <w:t xml:space="preserve">AMENCA2 </w:t>
      </w:r>
      <w:r w:rsidR="00994713" w:rsidRPr="002A5C0E">
        <w:rPr>
          <w:rFonts w:asciiTheme="majorHAnsi" w:hAnsiTheme="majorHAnsi"/>
        </w:rPr>
        <w:t>Evaluation Plan</w:t>
      </w:r>
    </w:p>
    <w:p w14:paraId="32CD67B2" w14:textId="152E1DF0" w:rsidR="00994713" w:rsidRPr="002A5C0E" w:rsidRDefault="00994713" w:rsidP="002A5C0E">
      <w:pPr>
        <w:pStyle w:val="ListParagraph"/>
        <w:numPr>
          <w:ilvl w:val="0"/>
          <w:numId w:val="43"/>
        </w:numPr>
        <w:rPr>
          <w:rFonts w:asciiTheme="majorHAnsi" w:hAnsiTheme="majorHAnsi"/>
        </w:rPr>
      </w:pPr>
      <w:r w:rsidRPr="002A5C0E">
        <w:rPr>
          <w:rFonts w:asciiTheme="majorHAnsi" w:hAnsiTheme="majorHAnsi"/>
        </w:rPr>
        <w:t>Map</w:t>
      </w:r>
      <w:r w:rsidR="00517DE0" w:rsidRPr="002A5C0E">
        <w:rPr>
          <w:rFonts w:asciiTheme="majorHAnsi" w:hAnsiTheme="majorHAnsi"/>
        </w:rPr>
        <w:t xml:space="preserve"> of AMENCA2 Project sites</w:t>
      </w:r>
    </w:p>
    <w:p w14:paraId="0D0FDA5B" w14:textId="5B425500" w:rsidR="006C7809" w:rsidRPr="002A5C0E" w:rsidRDefault="00517DE0" w:rsidP="002A5C0E">
      <w:pPr>
        <w:pStyle w:val="ListParagraph"/>
        <w:numPr>
          <w:ilvl w:val="0"/>
          <w:numId w:val="43"/>
        </w:numPr>
        <w:rPr>
          <w:rFonts w:asciiTheme="majorHAnsi" w:hAnsiTheme="majorHAnsi"/>
        </w:rPr>
      </w:pPr>
      <w:r w:rsidRPr="002A5C0E">
        <w:rPr>
          <w:rFonts w:asciiTheme="majorHAnsi" w:hAnsiTheme="majorHAnsi"/>
        </w:rPr>
        <w:t xml:space="preserve">List of </w:t>
      </w:r>
      <w:r w:rsidR="006C7809" w:rsidRPr="002A5C0E">
        <w:rPr>
          <w:rFonts w:asciiTheme="majorHAnsi" w:hAnsiTheme="majorHAnsi"/>
        </w:rPr>
        <w:t>Outcome Themes</w:t>
      </w:r>
    </w:p>
    <w:p w14:paraId="34387B7F" w14:textId="083D8689" w:rsidR="0050509E" w:rsidRPr="002A5C0E" w:rsidRDefault="00517DE0" w:rsidP="002A5C0E">
      <w:pPr>
        <w:pStyle w:val="ListParagraph"/>
        <w:numPr>
          <w:ilvl w:val="0"/>
          <w:numId w:val="43"/>
        </w:numPr>
        <w:rPr>
          <w:rFonts w:asciiTheme="majorHAnsi" w:hAnsiTheme="majorHAnsi"/>
        </w:rPr>
      </w:pPr>
      <w:r w:rsidRPr="002A5C0E">
        <w:rPr>
          <w:rFonts w:asciiTheme="majorHAnsi" w:hAnsiTheme="majorHAnsi"/>
        </w:rPr>
        <w:t xml:space="preserve">AMENCA2 </w:t>
      </w:r>
      <w:r w:rsidR="0050509E" w:rsidRPr="002A5C0E">
        <w:rPr>
          <w:rFonts w:asciiTheme="majorHAnsi" w:hAnsiTheme="majorHAnsi"/>
        </w:rPr>
        <w:t xml:space="preserve">Review Schedule </w:t>
      </w:r>
    </w:p>
    <w:p w14:paraId="75E697F1" w14:textId="77777777" w:rsidR="003B0A0A" w:rsidRPr="00507649" w:rsidRDefault="003B0A0A">
      <w:pPr>
        <w:rPr>
          <w:rFonts w:asciiTheme="majorHAnsi" w:hAnsiTheme="majorHAnsi"/>
          <w:sz w:val="24"/>
        </w:rPr>
      </w:pPr>
    </w:p>
    <w:sectPr w:rsidR="003B0A0A" w:rsidRPr="00507649" w:rsidSect="00B67C2B">
      <w:pgSz w:w="11901" w:h="16817"/>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FF9CC" w14:textId="77777777" w:rsidR="00CE424F" w:rsidRDefault="00CE424F">
      <w:r>
        <w:separator/>
      </w:r>
    </w:p>
  </w:endnote>
  <w:endnote w:type="continuationSeparator" w:id="0">
    <w:p w14:paraId="6D0B0597" w14:textId="77777777" w:rsidR="00CE424F" w:rsidRDefault="00CE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ulder">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ill Sans MT Extra Bold">
    <w:altName w:val="Gill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ˇø’'70›">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BoldItalic">
    <w:altName w:val="Time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F08F0" w14:textId="77777777" w:rsidR="00CE424F" w:rsidRDefault="00CE424F">
    <w:pPr>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D939" w14:textId="77777777" w:rsidR="00CE424F" w:rsidRDefault="00CE424F">
    <w:pPr>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99BB" w14:textId="77777777" w:rsidR="00CE424F" w:rsidRDefault="00CE424F" w:rsidP="0075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34EB7" w14:textId="77777777" w:rsidR="00CE424F" w:rsidRDefault="00CE42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49E1" w14:textId="77777777" w:rsidR="00CE424F" w:rsidRDefault="00CE424F" w:rsidP="00751C6C">
    <w:pPr>
      <w:pStyle w:val="Footer"/>
      <w:framePr w:wrap="around" w:vAnchor="text" w:hAnchor="margin" w:xAlign="center" w:y="1"/>
      <w:rPr>
        <w:rStyle w:val="PageNumber"/>
      </w:rPr>
    </w:pPr>
  </w:p>
  <w:p w14:paraId="0B7C17F8" w14:textId="77777777" w:rsidR="00CE424F" w:rsidRDefault="00CE42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1B1C1" w14:textId="77777777" w:rsidR="00CE424F" w:rsidRDefault="00CE42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3E1B" w14:textId="77777777" w:rsidR="00CE424F" w:rsidRDefault="00CE424F" w:rsidP="0075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1F7C">
      <w:rPr>
        <w:rStyle w:val="PageNumber"/>
        <w:noProof/>
      </w:rPr>
      <w:t>13</w:t>
    </w:r>
    <w:r>
      <w:rPr>
        <w:rStyle w:val="PageNumber"/>
      </w:rPr>
      <w:fldChar w:fldCharType="end"/>
    </w:r>
  </w:p>
  <w:p w14:paraId="032D528D" w14:textId="77777777" w:rsidR="00CE424F" w:rsidRPr="003A46D6" w:rsidRDefault="00CE424F" w:rsidP="003A46D6">
    <w:pPr>
      <w:pStyle w:val="Footer"/>
      <w:jc w:val="right"/>
      <w:rPr>
        <w:i/>
      </w:rPr>
    </w:pPr>
    <w:r w:rsidRPr="003A46D6">
      <w:rPr>
        <w:i/>
      </w:rPr>
      <w:t xml:space="preserve">AMENCA2 Program </w:t>
    </w:r>
    <w:r>
      <w:rPr>
        <w:i/>
      </w:rPr>
      <w:t>Review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4458F" w14:textId="77777777" w:rsidR="00CE424F" w:rsidRDefault="00CE424F">
      <w:r>
        <w:separator/>
      </w:r>
    </w:p>
  </w:footnote>
  <w:footnote w:type="continuationSeparator" w:id="0">
    <w:p w14:paraId="64F6C36A" w14:textId="77777777" w:rsidR="00CE424F" w:rsidRDefault="00CE424F">
      <w:r>
        <w:continuationSeparator/>
      </w:r>
    </w:p>
  </w:footnote>
  <w:footnote w:id="1">
    <w:p w14:paraId="131F28FF" w14:textId="77777777" w:rsidR="00CE424F" w:rsidRPr="00917D0D" w:rsidRDefault="00CE424F" w:rsidP="00F04445">
      <w:pPr>
        <w:pStyle w:val="FootnoteText"/>
        <w:rPr>
          <w:rFonts w:asciiTheme="majorHAnsi" w:hAnsiTheme="majorHAnsi"/>
          <w:sz w:val="18"/>
          <w:szCs w:val="18"/>
        </w:rPr>
      </w:pPr>
      <w:r w:rsidRPr="00917D0D">
        <w:rPr>
          <w:rStyle w:val="FootnoteReference"/>
          <w:rFonts w:asciiTheme="majorHAnsi" w:hAnsiTheme="majorHAnsi"/>
          <w:sz w:val="18"/>
          <w:szCs w:val="18"/>
        </w:rPr>
        <w:footnoteRef/>
      </w:r>
      <w:r w:rsidRPr="00917D0D">
        <w:rPr>
          <w:rFonts w:asciiTheme="majorHAnsi" w:hAnsiTheme="majorHAnsi"/>
          <w:sz w:val="18"/>
          <w:szCs w:val="18"/>
        </w:rPr>
        <w:t xml:space="preserve"> http://hdr.undp.org/sites/all/themes/hdr_theme/country-notes/PSE.pdf</w:t>
      </w:r>
    </w:p>
  </w:footnote>
  <w:footnote w:id="2">
    <w:p w14:paraId="2D747EC7" w14:textId="77777777" w:rsidR="00CE424F" w:rsidRPr="00917D0D" w:rsidRDefault="00CE424F" w:rsidP="00F04445">
      <w:pPr>
        <w:pStyle w:val="FootnoteText"/>
        <w:rPr>
          <w:rFonts w:asciiTheme="majorHAnsi" w:hAnsiTheme="majorHAnsi"/>
          <w:sz w:val="18"/>
          <w:szCs w:val="18"/>
        </w:rPr>
      </w:pPr>
      <w:r w:rsidRPr="00A338BD">
        <w:rPr>
          <w:rStyle w:val="FootnoteReference"/>
          <w:rFonts w:asciiTheme="majorHAnsi" w:hAnsiTheme="majorHAnsi"/>
          <w:sz w:val="18"/>
          <w:szCs w:val="18"/>
        </w:rPr>
        <w:footnoteRef/>
      </w:r>
      <w:r w:rsidRPr="00A338BD">
        <w:rPr>
          <w:rFonts w:asciiTheme="majorHAnsi" w:hAnsiTheme="majorHAnsi"/>
          <w:sz w:val="18"/>
          <w:szCs w:val="18"/>
        </w:rPr>
        <w:t xml:space="preserve"> State of Palestine, National </w:t>
      </w:r>
      <w:r w:rsidRPr="00917D0D">
        <w:rPr>
          <w:rFonts w:asciiTheme="majorHAnsi" w:hAnsiTheme="majorHAnsi"/>
          <w:sz w:val="18"/>
          <w:szCs w:val="18"/>
        </w:rPr>
        <w:t>Development Plan 2014-16, p.32</w:t>
      </w:r>
    </w:p>
  </w:footnote>
  <w:footnote w:id="3">
    <w:p w14:paraId="69305E59" w14:textId="77777777" w:rsidR="00CE424F" w:rsidRPr="003B0FB8" w:rsidRDefault="00CE424F" w:rsidP="00F04445">
      <w:pPr>
        <w:pStyle w:val="FootnoteText"/>
        <w:rPr>
          <w:rFonts w:asciiTheme="majorHAnsi" w:hAnsiTheme="majorHAnsi"/>
        </w:rPr>
      </w:pPr>
      <w:r w:rsidRPr="003B0FB8">
        <w:rPr>
          <w:rStyle w:val="FootnoteReference"/>
          <w:rFonts w:asciiTheme="majorHAnsi" w:hAnsiTheme="majorHAnsi"/>
          <w:sz w:val="18"/>
        </w:rPr>
        <w:footnoteRef/>
      </w:r>
      <w:r w:rsidRPr="003B0FB8">
        <w:rPr>
          <w:rFonts w:asciiTheme="majorHAnsi" w:hAnsiTheme="majorHAnsi"/>
          <w:sz w:val="18"/>
        </w:rPr>
        <w:t xml:space="preserve"> The World Bank 2013 </w:t>
      </w:r>
      <w:r w:rsidRPr="003B0FB8">
        <w:rPr>
          <w:rFonts w:asciiTheme="majorHAnsi" w:hAnsiTheme="majorHAnsi"/>
          <w:i/>
          <w:sz w:val="18"/>
        </w:rPr>
        <w:t>Fiscal Ch</w:t>
      </w:r>
      <w:r>
        <w:rPr>
          <w:rFonts w:asciiTheme="majorHAnsi" w:hAnsiTheme="majorHAnsi"/>
          <w:i/>
          <w:sz w:val="18"/>
        </w:rPr>
        <w:t>allenge</w:t>
      </w:r>
      <w:r w:rsidRPr="003B0FB8">
        <w:rPr>
          <w:rFonts w:asciiTheme="majorHAnsi" w:hAnsiTheme="majorHAnsi"/>
          <w:i/>
          <w:sz w:val="18"/>
        </w:rPr>
        <w:t>s and Long Term Eco</w:t>
      </w:r>
      <w:r>
        <w:rPr>
          <w:rFonts w:asciiTheme="majorHAnsi" w:hAnsiTheme="majorHAnsi"/>
          <w:i/>
          <w:sz w:val="18"/>
        </w:rPr>
        <w:t>nomic Co</w:t>
      </w:r>
      <w:r w:rsidRPr="003B0FB8">
        <w:rPr>
          <w:rFonts w:asciiTheme="majorHAnsi" w:hAnsiTheme="majorHAnsi"/>
          <w:i/>
          <w:sz w:val="18"/>
        </w:rPr>
        <w:t xml:space="preserve">sts – Economic Reporting to the Ad Hoc Liaison Committee, </w:t>
      </w:r>
      <w:r w:rsidRPr="003B0FB8">
        <w:rPr>
          <w:rFonts w:asciiTheme="majorHAnsi" w:hAnsiTheme="majorHAnsi"/>
          <w:sz w:val="18"/>
        </w:rPr>
        <w:t>Washington DC. USA</w:t>
      </w:r>
    </w:p>
  </w:footnote>
  <w:footnote w:id="4">
    <w:p w14:paraId="7FA07629" w14:textId="77777777" w:rsidR="00CE424F" w:rsidRDefault="00CE424F" w:rsidP="00F04445">
      <w:pPr>
        <w:pStyle w:val="FootnoteText"/>
      </w:pPr>
      <w:r w:rsidRPr="00917D0D">
        <w:rPr>
          <w:rStyle w:val="FootnoteReference"/>
          <w:rFonts w:asciiTheme="majorHAnsi" w:hAnsiTheme="majorHAnsi"/>
          <w:sz w:val="18"/>
          <w:szCs w:val="18"/>
        </w:rPr>
        <w:footnoteRef/>
      </w:r>
      <w:r w:rsidRPr="00917D0D">
        <w:rPr>
          <w:rFonts w:asciiTheme="majorHAnsi" w:hAnsiTheme="majorHAnsi"/>
          <w:sz w:val="18"/>
          <w:szCs w:val="18"/>
        </w:rPr>
        <w:t xml:space="preserve"> FA</w:t>
      </w:r>
      <w:r>
        <w:rPr>
          <w:rFonts w:asciiTheme="majorHAnsi" w:hAnsiTheme="majorHAnsi"/>
          <w:sz w:val="18"/>
          <w:szCs w:val="18"/>
        </w:rPr>
        <w:t>O</w:t>
      </w:r>
      <w:r w:rsidRPr="00917D0D">
        <w:rPr>
          <w:rFonts w:asciiTheme="majorHAnsi" w:hAnsiTheme="majorHAnsi"/>
          <w:sz w:val="18"/>
          <w:szCs w:val="18"/>
        </w:rPr>
        <w:t xml:space="preserve"> 2014-16 </w:t>
      </w:r>
      <w:proofErr w:type="spellStart"/>
      <w:r w:rsidRPr="00917D0D">
        <w:rPr>
          <w:rFonts w:asciiTheme="majorHAnsi" w:hAnsiTheme="majorHAnsi"/>
          <w:sz w:val="18"/>
          <w:szCs w:val="18"/>
        </w:rPr>
        <w:t>Programme</w:t>
      </w:r>
      <w:proofErr w:type="spellEnd"/>
      <w:r w:rsidRPr="00917D0D">
        <w:rPr>
          <w:rFonts w:asciiTheme="majorHAnsi" w:hAnsiTheme="majorHAnsi"/>
          <w:sz w:val="18"/>
          <w:szCs w:val="18"/>
        </w:rPr>
        <w:t xml:space="preserve"> Fr</w:t>
      </w:r>
      <w:r>
        <w:rPr>
          <w:rFonts w:asciiTheme="majorHAnsi" w:hAnsiTheme="majorHAnsi"/>
          <w:sz w:val="18"/>
          <w:szCs w:val="18"/>
        </w:rPr>
        <w:t>a</w:t>
      </w:r>
      <w:r w:rsidRPr="00917D0D">
        <w:rPr>
          <w:rFonts w:asciiTheme="majorHAnsi" w:hAnsiTheme="majorHAnsi"/>
          <w:sz w:val="18"/>
          <w:szCs w:val="18"/>
        </w:rPr>
        <w:t>mework – West Bank and Gaza, p. 10</w:t>
      </w:r>
    </w:p>
  </w:footnote>
  <w:footnote w:id="5">
    <w:p w14:paraId="49E2106F" w14:textId="77777777" w:rsidR="00CE424F" w:rsidRPr="007D6ECA" w:rsidRDefault="00CE424F" w:rsidP="00F04445">
      <w:pPr>
        <w:pStyle w:val="FootnoteText"/>
        <w:rPr>
          <w:rFonts w:asciiTheme="majorHAnsi" w:hAnsiTheme="majorHAnsi"/>
          <w:sz w:val="18"/>
          <w:szCs w:val="18"/>
        </w:rPr>
      </w:pPr>
      <w:r w:rsidRPr="007D6ECA">
        <w:rPr>
          <w:rStyle w:val="FootnoteReference"/>
          <w:rFonts w:asciiTheme="majorHAnsi" w:hAnsiTheme="majorHAnsi"/>
          <w:sz w:val="18"/>
          <w:szCs w:val="18"/>
        </w:rPr>
        <w:footnoteRef/>
      </w:r>
      <w:r w:rsidRPr="007D6ECA">
        <w:rPr>
          <w:rFonts w:asciiTheme="majorHAnsi" w:hAnsiTheme="majorHAnsi"/>
          <w:sz w:val="18"/>
          <w:szCs w:val="18"/>
        </w:rPr>
        <w:t xml:space="preserve"> Ibid.</w:t>
      </w:r>
    </w:p>
  </w:footnote>
  <w:footnote w:id="6">
    <w:p w14:paraId="009D50D0" w14:textId="77777777" w:rsidR="00CE424F" w:rsidRPr="00F07BF7" w:rsidRDefault="00CE424F" w:rsidP="00F04445">
      <w:pPr>
        <w:pStyle w:val="FootnoteText"/>
        <w:rPr>
          <w:rFonts w:asciiTheme="majorHAnsi" w:hAnsiTheme="majorHAnsi"/>
          <w:sz w:val="18"/>
          <w:szCs w:val="18"/>
        </w:rPr>
      </w:pPr>
      <w:r w:rsidRPr="00F07BF7">
        <w:rPr>
          <w:rStyle w:val="FootnoteReference"/>
          <w:rFonts w:asciiTheme="majorHAnsi" w:hAnsiTheme="majorHAnsi"/>
          <w:sz w:val="18"/>
          <w:szCs w:val="18"/>
        </w:rPr>
        <w:footnoteRef/>
      </w:r>
      <w:r w:rsidRPr="00F07BF7">
        <w:rPr>
          <w:rFonts w:asciiTheme="majorHAnsi" w:hAnsiTheme="majorHAnsi"/>
          <w:sz w:val="18"/>
          <w:szCs w:val="18"/>
        </w:rPr>
        <w:t xml:space="preserve"> The current Australian strategy </w:t>
      </w:r>
      <w:r>
        <w:rPr>
          <w:rFonts w:asciiTheme="majorHAnsi" w:hAnsiTheme="majorHAnsi"/>
          <w:sz w:val="18"/>
          <w:szCs w:val="18"/>
        </w:rPr>
        <w:t xml:space="preserve">- </w:t>
      </w:r>
      <w:r w:rsidRPr="00F07BF7">
        <w:rPr>
          <w:rFonts w:asciiTheme="majorHAnsi" w:hAnsiTheme="majorHAnsi"/>
          <w:sz w:val="18"/>
          <w:szCs w:val="18"/>
        </w:rPr>
        <w:t>“Australia’s strategic approach to aid in the Palestinian Territories</w:t>
      </w:r>
      <w:r>
        <w:rPr>
          <w:rFonts w:asciiTheme="majorHAnsi" w:hAnsiTheme="majorHAnsi"/>
          <w:sz w:val="18"/>
          <w:szCs w:val="18"/>
        </w:rPr>
        <w:t>”</w:t>
      </w:r>
      <w:r w:rsidRPr="00F07BF7">
        <w:rPr>
          <w:rFonts w:asciiTheme="majorHAnsi" w:hAnsiTheme="majorHAnsi"/>
          <w:sz w:val="18"/>
          <w:szCs w:val="18"/>
        </w:rPr>
        <w:t xml:space="preserve"> – </w:t>
      </w:r>
      <w:r>
        <w:rPr>
          <w:rFonts w:asciiTheme="majorHAnsi" w:hAnsiTheme="majorHAnsi"/>
          <w:sz w:val="18"/>
          <w:szCs w:val="18"/>
        </w:rPr>
        <w:t xml:space="preserve">was prepared in </w:t>
      </w:r>
      <w:r w:rsidRPr="00F07BF7">
        <w:rPr>
          <w:rFonts w:asciiTheme="majorHAnsi" w:hAnsiTheme="majorHAnsi"/>
          <w:sz w:val="18"/>
          <w:szCs w:val="18"/>
        </w:rPr>
        <w:t>December 2010. A new strategy is currently under development but is expected in principle to maintain a similar multi-pronged approach, albeit with a stronger focus on development of Palestine’s agriculture sector.</w:t>
      </w:r>
    </w:p>
  </w:footnote>
  <w:footnote w:id="7">
    <w:p w14:paraId="2E31F0EA" w14:textId="77777777" w:rsidR="00CE424F" w:rsidRPr="008E3EBA" w:rsidRDefault="00CE424F" w:rsidP="008E3EBA">
      <w:pPr>
        <w:pStyle w:val="GMOCONSBodyText"/>
        <w:spacing w:before="0" w:after="0" w:line="240" w:lineRule="auto"/>
        <w:rPr>
          <w:rFonts w:asciiTheme="majorHAnsi" w:hAnsiTheme="majorHAnsi"/>
          <w:sz w:val="18"/>
          <w:szCs w:val="18"/>
        </w:rPr>
      </w:pPr>
      <w:r w:rsidRPr="008E3EBA">
        <w:rPr>
          <w:rStyle w:val="FootnoteReference"/>
          <w:rFonts w:asciiTheme="majorHAnsi" w:hAnsiTheme="majorHAnsi"/>
          <w:sz w:val="18"/>
          <w:szCs w:val="18"/>
        </w:rPr>
        <w:footnoteRef/>
      </w:r>
      <w:r w:rsidRPr="008E3EBA">
        <w:rPr>
          <w:rFonts w:asciiTheme="majorHAnsi" w:hAnsiTheme="majorHAnsi"/>
          <w:sz w:val="18"/>
          <w:szCs w:val="18"/>
        </w:rPr>
        <w:t xml:space="preserve"> The term ‘Outcome Themes’ was changed in April 2012 to Program-Level Key Results, </w:t>
      </w:r>
      <w:r>
        <w:rPr>
          <w:rFonts w:asciiTheme="majorHAnsi" w:hAnsiTheme="majorHAnsi"/>
          <w:sz w:val="18"/>
          <w:szCs w:val="18"/>
        </w:rPr>
        <w:t>which are now more commonly referred to as Key Result Areas</w:t>
      </w:r>
    </w:p>
    <w:p w14:paraId="4CF40112" w14:textId="77777777" w:rsidR="00CE424F" w:rsidRDefault="00CE424F">
      <w:pPr>
        <w:pStyle w:val="FootnoteText"/>
      </w:pPr>
    </w:p>
  </w:footnote>
  <w:footnote w:id="8">
    <w:p w14:paraId="47DA007E" w14:textId="77777777" w:rsidR="00CE424F" w:rsidRPr="007E7CC8" w:rsidRDefault="00CE424F" w:rsidP="003A46D6">
      <w:pPr>
        <w:pStyle w:val="FootnoteText"/>
        <w:rPr>
          <w:rFonts w:asciiTheme="majorHAnsi" w:hAnsiTheme="majorHAnsi"/>
          <w:sz w:val="18"/>
          <w:szCs w:val="18"/>
        </w:rPr>
      </w:pPr>
      <w:r w:rsidRPr="007E7CC8">
        <w:rPr>
          <w:rStyle w:val="FootnoteReference"/>
          <w:rFonts w:asciiTheme="majorHAnsi" w:hAnsiTheme="majorHAnsi"/>
          <w:sz w:val="18"/>
          <w:szCs w:val="18"/>
        </w:rPr>
        <w:footnoteRef/>
      </w:r>
      <w:r w:rsidRPr="007E7CC8">
        <w:rPr>
          <w:rFonts w:asciiTheme="majorHAnsi" w:hAnsiTheme="majorHAnsi"/>
          <w:sz w:val="18"/>
          <w:szCs w:val="18"/>
        </w:rPr>
        <w:t xml:space="preserve"> State of Palestine, National Development Plan 2014-16, p64</w:t>
      </w:r>
    </w:p>
  </w:footnote>
  <w:footnote w:id="9">
    <w:p w14:paraId="1151C7FB" w14:textId="77777777" w:rsidR="00CE424F" w:rsidRPr="000E333E" w:rsidRDefault="00CE424F" w:rsidP="003A46D6">
      <w:pPr>
        <w:pStyle w:val="FootnoteText"/>
        <w:rPr>
          <w:rFonts w:asciiTheme="minorHAnsi" w:hAnsiTheme="minorHAnsi"/>
          <w:sz w:val="18"/>
          <w:szCs w:val="18"/>
        </w:rPr>
      </w:pPr>
      <w:r w:rsidRPr="007E7CC8">
        <w:rPr>
          <w:rStyle w:val="FootnoteReference"/>
          <w:rFonts w:asciiTheme="majorHAnsi" w:hAnsiTheme="majorHAnsi"/>
          <w:sz w:val="18"/>
          <w:szCs w:val="18"/>
        </w:rPr>
        <w:footnoteRef/>
      </w:r>
      <w:r w:rsidRPr="007E7CC8">
        <w:rPr>
          <w:rFonts w:asciiTheme="majorHAnsi" w:hAnsiTheme="majorHAnsi"/>
          <w:sz w:val="18"/>
          <w:szCs w:val="18"/>
        </w:rPr>
        <w:t xml:space="preserve"> State of Palestine, National Agriculture Sector Strategy, p. 11</w:t>
      </w:r>
    </w:p>
  </w:footnote>
  <w:footnote w:id="10">
    <w:p w14:paraId="0971925F" w14:textId="77777777" w:rsidR="00CE424F" w:rsidRPr="007E7CC8" w:rsidRDefault="00CE424F" w:rsidP="003A46D6">
      <w:pPr>
        <w:pStyle w:val="FootnoteText"/>
        <w:rPr>
          <w:rFonts w:asciiTheme="majorHAnsi" w:hAnsiTheme="majorHAnsi"/>
          <w:sz w:val="18"/>
          <w:szCs w:val="18"/>
        </w:rPr>
      </w:pPr>
      <w:r w:rsidRPr="007E7CC8">
        <w:rPr>
          <w:rStyle w:val="FootnoteReference"/>
          <w:rFonts w:asciiTheme="majorHAnsi" w:hAnsiTheme="majorHAnsi"/>
          <w:sz w:val="18"/>
        </w:rPr>
        <w:footnoteRef/>
      </w:r>
      <w:r w:rsidRPr="007E7CC8">
        <w:rPr>
          <w:rFonts w:asciiTheme="majorHAnsi" w:hAnsiTheme="majorHAnsi"/>
          <w:sz w:val="18"/>
        </w:rPr>
        <w:t xml:space="preserve"> The World Bank 2013 </w:t>
      </w:r>
      <w:r w:rsidRPr="007E7CC8">
        <w:rPr>
          <w:rFonts w:asciiTheme="majorHAnsi" w:hAnsiTheme="majorHAnsi"/>
          <w:i/>
          <w:sz w:val="18"/>
        </w:rPr>
        <w:t xml:space="preserve">Fiscal Challenges </w:t>
      </w:r>
      <w:r w:rsidRPr="007E7CC8">
        <w:rPr>
          <w:rFonts w:asciiTheme="majorHAnsi" w:hAnsiTheme="majorHAnsi"/>
          <w:i/>
          <w:sz w:val="18"/>
          <w:szCs w:val="18"/>
        </w:rPr>
        <w:t xml:space="preserve">and Long Term Economic Costs – Economic Reporting to the Ad Hoc Liaison Committee, </w:t>
      </w:r>
      <w:r w:rsidRPr="007E7CC8">
        <w:rPr>
          <w:rFonts w:asciiTheme="majorHAnsi" w:hAnsiTheme="majorHAnsi"/>
          <w:sz w:val="18"/>
          <w:szCs w:val="18"/>
        </w:rPr>
        <w:t>Washington DC. USA</w:t>
      </w:r>
    </w:p>
  </w:footnote>
  <w:footnote w:id="11">
    <w:p w14:paraId="6509041A" w14:textId="77777777" w:rsidR="00CE424F" w:rsidRPr="008F7DC7" w:rsidRDefault="00CE424F" w:rsidP="003A46D6">
      <w:pPr>
        <w:pStyle w:val="FootnoteText"/>
      </w:pPr>
      <w:r w:rsidRPr="007E7CC8">
        <w:rPr>
          <w:rStyle w:val="FootnoteReference"/>
          <w:rFonts w:asciiTheme="majorHAnsi" w:hAnsiTheme="majorHAnsi"/>
          <w:sz w:val="18"/>
          <w:szCs w:val="18"/>
        </w:rPr>
        <w:footnoteRef/>
      </w:r>
      <w:r w:rsidRPr="007E7CC8">
        <w:rPr>
          <w:rFonts w:asciiTheme="majorHAnsi" w:hAnsiTheme="majorHAnsi"/>
          <w:sz w:val="18"/>
          <w:szCs w:val="18"/>
        </w:rPr>
        <w:t xml:space="preserve"> State of Palestine, National Development Plan 2014-16, p69</w:t>
      </w:r>
    </w:p>
  </w:footnote>
  <w:footnote w:id="12">
    <w:p w14:paraId="25EF3F20" w14:textId="77777777" w:rsidR="00CE424F" w:rsidRPr="007E7CC8" w:rsidRDefault="00CE424F" w:rsidP="003A46D6">
      <w:pPr>
        <w:pStyle w:val="FootnoteText"/>
        <w:rPr>
          <w:rFonts w:asciiTheme="majorHAnsi" w:hAnsiTheme="majorHAnsi"/>
          <w:sz w:val="18"/>
          <w:szCs w:val="18"/>
        </w:rPr>
      </w:pPr>
      <w:r w:rsidRPr="007E7CC8">
        <w:rPr>
          <w:rStyle w:val="FootnoteReference"/>
          <w:rFonts w:asciiTheme="majorHAnsi" w:hAnsiTheme="majorHAnsi"/>
          <w:sz w:val="18"/>
          <w:szCs w:val="18"/>
        </w:rPr>
        <w:footnoteRef/>
      </w:r>
      <w:r w:rsidRPr="007E7CC8">
        <w:rPr>
          <w:rFonts w:asciiTheme="majorHAnsi" w:hAnsiTheme="majorHAnsi"/>
          <w:sz w:val="18"/>
          <w:szCs w:val="18"/>
        </w:rPr>
        <w:t xml:space="preserve"> Ibid, p. 135</w:t>
      </w:r>
    </w:p>
  </w:footnote>
  <w:footnote w:id="13">
    <w:p w14:paraId="665574C2" w14:textId="77777777" w:rsidR="00CE424F" w:rsidRPr="007E7CC8" w:rsidRDefault="00CE424F" w:rsidP="003A46D6">
      <w:pPr>
        <w:pStyle w:val="FootnoteText"/>
        <w:rPr>
          <w:rFonts w:asciiTheme="majorHAnsi" w:hAnsiTheme="majorHAnsi"/>
          <w:sz w:val="18"/>
          <w:szCs w:val="18"/>
        </w:rPr>
      </w:pPr>
      <w:r w:rsidRPr="007E7CC8">
        <w:rPr>
          <w:rStyle w:val="FootnoteReference"/>
          <w:rFonts w:asciiTheme="majorHAnsi" w:hAnsiTheme="majorHAnsi"/>
          <w:sz w:val="18"/>
          <w:szCs w:val="18"/>
        </w:rPr>
        <w:footnoteRef/>
      </w:r>
      <w:r w:rsidRPr="007E7CC8">
        <w:rPr>
          <w:rFonts w:asciiTheme="majorHAnsi" w:hAnsiTheme="majorHAnsi"/>
          <w:sz w:val="18"/>
          <w:szCs w:val="18"/>
        </w:rPr>
        <w:t xml:space="preserve"> Ibid. p.97</w:t>
      </w:r>
    </w:p>
  </w:footnote>
  <w:footnote w:id="14">
    <w:p w14:paraId="776D10E9" w14:textId="77777777" w:rsidR="00CE424F" w:rsidRPr="00257E4A" w:rsidRDefault="00CE424F">
      <w:pPr>
        <w:pStyle w:val="FootnoteText"/>
        <w:rPr>
          <w:rFonts w:asciiTheme="majorHAnsi" w:hAnsiTheme="majorHAnsi"/>
          <w:sz w:val="18"/>
          <w:szCs w:val="18"/>
        </w:rPr>
      </w:pPr>
      <w:r w:rsidRPr="00257E4A">
        <w:rPr>
          <w:rStyle w:val="FootnoteReference"/>
          <w:rFonts w:asciiTheme="majorHAnsi" w:hAnsiTheme="majorHAnsi"/>
          <w:sz w:val="18"/>
          <w:szCs w:val="18"/>
        </w:rPr>
        <w:footnoteRef/>
      </w:r>
      <w:r w:rsidRPr="00257E4A">
        <w:rPr>
          <w:rFonts w:asciiTheme="majorHAnsi" w:hAnsiTheme="majorHAnsi"/>
          <w:sz w:val="18"/>
          <w:szCs w:val="18"/>
        </w:rPr>
        <w:t xml:space="preserve"> All figures drawn from latest summary of Key Results, provided by M&amp;E Advisor on 27</w:t>
      </w:r>
      <w:r w:rsidRPr="00257E4A">
        <w:rPr>
          <w:rFonts w:asciiTheme="majorHAnsi" w:hAnsiTheme="majorHAnsi"/>
          <w:sz w:val="18"/>
          <w:szCs w:val="18"/>
          <w:vertAlign w:val="superscript"/>
        </w:rPr>
        <w:t>th</w:t>
      </w:r>
      <w:r w:rsidRPr="00257E4A">
        <w:rPr>
          <w:rFonts w:asciiTheme="majorHAnsi" w:hAnsiTheme="majorHAnsi"/>
          <w:sz w:val="18"/>
          <w:szCs w:val="18"/>
        </w:rPr>
        <w:t xml:space="preserve"> October 2014</w:t>
      </w:r>
    </w:p>
  </w:footnote>
  <w:footnote w:id="15">
    <w:p w14:paraId="2E2EC410" w14:textId="77777777" w:rsidR="00CE424F" w:rsidRPr="001B0068" w:rsidRDefault="00CE424F">
      <w:pPr>
        <w:pStyle w:val="FootnoteText"/>
        <w:rPr>
          <w:rFonts w:asciiTheme="majorHAnsi" w:hAnsiTheme="majorHAnsi"/>
          <w:sz w:val="18"/>
          <w:szCs w:val="18"/>
        </w:rPr>
      </w:pPr>
      <w:r w:rsidRPr="001B0068">
        <w:rPr>
          <w:rStyle w:val="FootnoteReference"/>
          <w:rFonts w:asciiTheme="majorHAnsi" w:hAnsiTheme="majorHAnsi"/>
          <w:sz w:val="18"/>
          <w:szCs w:val="18"/>
        </w:rPr>
        <w:footnoteRef/>
      </w:r>
      <w:r w:rsidRPr="001B0068">
        <w:rPr>
          <w:rFonts w:asciiTheme="majorHAnsi" w:hAnsiTheme="majorHAnsi"/>
          <w:sz w:val="18"/>
          <w:szCs w:val="18"/>
        </w:rPr>
        <w:t xml:space="preserve"> Based on data provided by Ministry of Agriculture </w:t>
      </w:r>
      <w:r>
        <w:rPr>
          <w:rFonts w:asciiTheme="majorHAnsi" w:hAnsiTheme="majorHAnsi"/>
          <w:sz w:val="18"/>
          <w:szCs w:val="18"/>
        </w:rPr>
        <w:t>statistical data, 2013-14</w:t>
      </w:r>
    </w:p>
  </w:footnote>
  <w:footnote w:id="16">
    <w:p w14:paraId="532478BF" w14:textId="77777777" w:rsidR="00CE424F" w:rsidRPr="00EA5371" w:rsidRDefault="00CE424F">
      <w:pPr>
        <w:pStyle w:val="FootnoteText"/>
        <w:rPr>
          <w:rFonts w:asciiTheme="majorHAnsi" w:hAnsiTheme="majorHAnsi"/>
        </w:rPr>
      </w:pPr>
      <w:r w:rsidRPr="00EA5371">
        <w:rPr>
          <w:rStyle w:val="FootnoteReference"/>
          <w:rFonts w:asciiTheme="majorHAnsi" w:hAnsiTheme="majorHAnsi"/>
          <w:sz w:val="18"/>
        </w:rPr>
        <w:footnoteRef/>
      </w:r>
      <w:r w:rsidRPr="00EA5371">
        <w:rPr>
          <w:rFonts w:asciiTheme="majorHAnsi" w:hAnsiTheme="majorHAnsi"/>
          <w:sz w:val="18"/>
        </w:rPr>
        <w:t xml:space="preserve"> On various occasions, mention was made of “AMENCA” being a </w:t>
      </w:r>
      <w:proofErr w:type="spellStart"/>
      <w:r w:rsidRPr="00EA5371">
        <w:rPr>
          <w:rFonts w:asciiTheme="majorHAnsi" w:hAnsiTheme="majorHAnsi"/>
          <w:sz w:val="18"/>
        </w:rPr>
        <w:t>well known</w:t>
      </w:r>
      <w:proofErr w:type="spellEnd"/>
      <w:r w:rsidRPr="00EA5371">
        <w:rPr>
          <w:rFonts w:asciiTheme="majorHAnsi" w:hAnsiTheme="majorHAnsi"/>
          <w:sz w:val="18"/>
        </w:rPr>
        <w:t xml:space="preserve"> brand, associated with quality programming and innovation. However, AMENCA is not understood by all to be an Australian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B81F3" w14:textId="77777777" w:rsidR="00CE424F" w:rsidRDefault="00CE424F">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41BFD" w14:textId="77777777" w:rsidR="00CE424F" w:rsidRDefault="00CE424F">
    <w:pPr>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497E" w14:textId="77777777" w:rsidR="00CE424F" w:rsidRDefault="00CE42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CC8D" w14:textId="77777777" w:rsidR="00CE424F" w:rsidRDefault="00CE42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EC21F" w14:textId="77777777" w:rsidR="00CE424F" w:rsidRDefault="00CE4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D0C222"/>
    <w:lvl w:ilvl="0">
      <w:start w:val="1"/>
      <w:numFmt w:val="bullet"/>
      <w:pStyle w:val="NormalIndent"/>
      <w:lvlText w:val=""/>
      <w:lvlJc w:val="left"/>
      <w:pPr>
        <w:tabs>
          <w:tab w:val="num" w:pos="720"/>
        </w:tabs>
        <w:ind w:left="720" w:hanging="360"/>
      </w:pPr>
      <w:rPr>
        <w:rFonts w:ascii="Symbol" w:hAnsi="Symbol" w:hint="default"/>
      </w:rPr>
    </w:lvl>
  </w:abstractNum>
  <w:abstractNum w:abstractNumId="1">
    <w:nsid w:val="FFFFFF88"/>
    <w:multiLevelType w:val="singleLevel"/>
    <w:tmpl w:val="FF6A4F22"/>
    <w:lvl w:ilvl="0">
      <w:start w:val="1"/>
      <w:numFmt w:val="decimal"/>
      <w:pStyle w:val="ListNumber"/>
      <w:lvlText w:val="%1."/>
      <w:lvlJc w:val="left"/>
      <w:pPr>
        <w:tabs>
          <w:tab w:val="num" w:pos="360"/>
        </w:tabs>
        <w:ind w:left="360" w:hanging="360"/>
      </w:pPr>
    </w:lvl>
  </w:abstractNum>
  <w:abstractNum w:abstractNumId="2">
    <w:nsid w:val="FFFFFF89"/>
    <w:multiLevelType w:val="singleLevel"/>
    <w:tmpl w:val="4AC2619E"/>
    <w:lvl w:ilvl="0">
      <w:start w:val="1"/>
      <w:numFmt w:val="bullet"/>
      <w:lvlText w:val=""/>
      <w:lvlJc w:val="left"/>
      <w:pPr>
        <w:tabs>
          <w:tab w:val="num" w:pos="360"/>
        </w:tabs>
        <w:ind w:left="360" w:hanging="360"/>
      </w:pPr>
      <w:rPr>
        <w:rFonts w:ascii="Symbol" w:hAnsi="Symbol" w:hint="default"/>
      </w:rPr>
    </w:lvl>
  </w:abstractNum>
  <w:abstractNum w:abstractNumId="3">
    <w:nsid w:val="01B95055"/>
    <w:multiLevelType w:val="hybridMultilevel"/>
    <w:tmpl w:val="43A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31938"/>
    <w:multiLevelType w:val="hybridMultilevel"/>
    <w:tmpl w:val="62A85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D6245C"/>
    <w:multiLevelType w:val="hybridMultilevel"/>
    <w:tmpl w:val="389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A1AC4"/>
    <w:multiLevelType w:val="hybridMultilevel"/>
    <w:tmpl w:val="EEDAC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5E3F76"/>
    <w:multiLevelType w:val="hybridMultilevel"/>
    <w:tmpl w:val="80D6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2776A"/>
    <w:multiLevelType w:val="hybridMultilevel"/>
    <w:tmpl w:val="E624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8730D"/>
    <w:multiLevelType w:val="hybridMultilevel"/>
    <w:tmpl w:val="F89072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920C98"/>
    <w:multiLevelType w:val="hybridMultilevel"/>
    <w:tmpl w:val="C334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D71E70"/>
    <w:multiLevelType w:val="hybridMultilevel"/>
    <w:tmpl w:val="02107218"/>
    <w:lvl w:ilvl="0" w:tplc="62DADF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45262B"/>
    <w:multiLevelType w:val="hybridMultilevel"/>
    <w:tmpl w:val="954C2E9E"/>
    <w:lvl w:ilvl="0" w:tplc="B8808C6C">
      <w:start w:val="1"/>
      <w:numFmt w:val="decimal"/>
      <w:pStyle w:val="ListNum"/>
      <w:lvlText w:val="%1."/>
      <w:lvlJc w:val="left"/>
      <w:pPr>
        <w:tabs>
          <w:tab w:val="num" w:pos="757"/>
        </w:tabs>
        <w:ind w:left="757" w:hanging="397"/>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E5954"/>
    <w:multiLevelType w:val="hybridMultilevel"/>
    <w:tmpl w:val="FFD8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F24CC"/>
    <w:multiLevelType w:val="hybridMultilevel"/>
    <w:tmpl w:val="0548E270"/>
    <w:lvl w:ilvl="0" w:tplc="0FDCAFAC">
      <w:start w:val="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EDA2630"/>
    <w:multiLevelType w:val="hybridMultilevel"/>
    <w:tmpl w:val="7CDA15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34513588"/>
    <w:multiLevelType w:val="hybridMultilevel"/>
    <w:tmpl w:val="2EA6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51216"/>
    <w:multiLevelType w:val="hybridMultilevel"/>
    <w:tmpl w:val="1B747B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8D6D76"/>
    <w:multiLevelType w:val="hybridMultilevel"/>
    <w:tmpl w:val="4F9E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E13C6"/>
    <w:multiLevelType w:val="hybridMultilevel"/>
    <w:tmpl w:val="7D50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2773E"/>
    <w:multiLevelType w:val="hybridMultilevel"/>
    <w:tmpl w:val="C19E78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542C2F"/>
    <w:multiLevelType w:val="hybridMultilevel"/>
    <w:tmpl w:val="9CFE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066567"/>
    <w:multiLevelType w:val="hybridMultilevel"/>
    <w:tmpl w:val="C0B0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E1C37"/>
    <w:multiLevelType w:val="hybridMultilevel"/>
    <w:tmpl w:val="8160C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748CA"/>
    <w:multiLevelType w:val="multilevel"/>
    <w:tmpl w:val="4B7AD5FC"/>
    <w:lvl w:ilvl="0">
      <w:start w:val="1"/>
      <w:numFmt w:val="decimal"/>
      <w:pStyle w:val="Heading1"/>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5585080F"/>
    <w:multiLevelType w:val="hybridMultilevel"/>
    <w:tmpl w:val="CA36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EF46C3"/>
    <w:multiLevelType w:val="hybridMultilevel"/>
    <w:tmpl w:val="B22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8145E"/>
    <w:multiLevelType w:val="hybridMultilevel"/>
    <w:tmpl w:val="F904D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D0BFE"/>
    <w:multiLevelType w:val="hybridMultilevel"/>
    <w:tmpl w:val="5FFA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856FC6"/>
    <w:multiLevelType w:val="hybridMultilevel"/>
    <w:tmpl w:val="BE7A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49308E"/>
    <w:multiLevelType w:val="hybridMultilevel"/>
    <w:tmpl w:val="F1E8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F6356"/>
    <w:multiLevelType w:val="hybridMultilevel"/>
    <w:tmpl w:val="AC62A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0B15B1"/>
    <w:multiLevelType w:val="hybridMultilevel"/>
    <w:tmpl w:val="D7989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A352F"/>
    <w:multiLevelType w:val="hybridMultilevel"/>
    <w:tmpl w:val="F3B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C7AD6"/>
    <w:multiLevelType w:val="hybridMultilevel"/>
    <w:tmpl w:val="6AEE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068EE"/>
    <w:multiLevelType w:val="hybridMultilevel"/>
    <w:tmpl w:val="6B4491FC"/>
    <w:lvl w:ilvl="0" w:tplc="6BF89F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Bould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uld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uld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BF7CCD"/>
    <w:multiLevelType w:val="hybridMultilevel"/>
    <w:tmpl w:val="2A46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03415"/>
    <w:multiLevelType w:val="multilevel"/>
    <w:tmpl w:val="3B50D084"/>
    <w:lvl w:ilvl="0">
      <w:start w:val="1"/>
      <w:numFmt w:val="upperLetter"/>
      <w:pStyle w:val="Heading1numbered"/>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510"/>
        </w:tabs>
        <w:ind w:left="510" w:hanging="51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8">
    <w:nsid w:val="78D31A78"/>
    <w:multiLevelType w:val="hybridMultilevel"/>
    <w:tmpl w:val="5802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1136B"/>
    <w:multiLevelType w:val="hybridMultilevel"/>
    <w:tmpl w:val="BED459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66074"/>
    <w:multiLevelType w:val="hybridMultilevel"/>
    <w:tmpl w:val="045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AE7C00"/>
    <w:multiLevelType w:val="hybridMultilevel"/>
    <w:tmpl w:val="EF8EA326"/>
    <w:lvl w:ilvl="0" w:tplc="12B89ECE">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073A37"/>
    <w:multiLevelType w:val="hybridMultilevel"/>
    <w:tmpl w:val="1F148F9E"/>
    <w:lvl w:ilvl="0" w:tplc="322C4A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Boulder"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Boulder"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Boulder"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1"/>
  </w:num>
  <w:num w:numId="2">
    <w:abstractNumId w:val="31"/>
  </w:num>
  <w:num w:numId="3">
    <w:abstractNumId w:val="25"/>
  </w:num>
  <w:num w:numId="4">
    <w:abstractNumId w:val="42"/>
  </w:num>
  <w:num w:numId="5">
    <w:abstractNumId w:val="35"/>
  </w:num>
  <w:num w:numId="6">
    <w:abstractNumId w:val="23"/>
  </w:num>
  <w:num w:numId="7">
    <w:abstractNumId w:val="9"/>
  </w:num>
  <w:num w:numId="8">
    <w:abstractNumId w:val="6"/>
  </w:num>
  <w:num w:numId="9">
    <w:abstractNumId w:val="4"/>
  </w:num>
  <w:num w:numId="10">
    <w:abstractNumId w:val="21"/>
  </w:num>
  <w:num w:numId="11">
    <w:abstractNumId w:val="10"/>
  </w:num>
  <w:num w:numId="12">
    <w:abstractNumId w:val="18"/>
  </w:num>
  <w:num w:numId="13">
    <w:abstractNumId w:val="38"/>
  </w:num>
  <w:num w:numId="14">
    <w:abstractNumId w:val="1"/>
  </w:num>
  <w:num w:numId="15">
    <w:abstractNumId w:val="2"/>
  </w:num>
  <w:num w:numId="16">
    <w:abstractNumId w:val="0"/>
  </w:num>
  <w:num w:numId="17">
    <w:abstractNumId w:val="24"/>
  </w:num>
  <w:num w:numId="18">
    <w:abstractNumId w:val="5"/>
  </w:num>
  <w:num w:numId="19">
    <w:abstractNumId w:val="29"/>
  </w:num>
  <w:num w:numId="20">
    <w:abstractNumId w:val="16"/>
  </w:num>
  <w:num w:numId="21">
    <w:abstractNumId w:val="40"/>
  </w:num>
  <w:num w:numId="22">
    <w:abstractNumId w:val="15"/>
  </w:num>
  <w:num w:numId="23">
    <w:abstractNumId w:val="30"/>
  </w:num>
  <w:num w:numId="24">
    <w:abstractNumId w:val="37"/>
  </w:num>
  <w:num w:numId="25">
    <w:abstractNumId w:val="20"/>
  </w:num>
  <w:num w:numId="26">
    <w:abstractNumId w:val="26"/>
  </w:num>
  <w:num w:numId="27">
    <w:abstractNumId w:val="19"/>
  </w:num>
  <w:num w:numId="28">
    <w:abstractNumId w:val="28"/>
  </w:num>
  <w:num w:numId="29">
    <w:abstractNumId w:val="13"/>
  </w:num>
  <w:num w:numId="30">
    <w:abstractNumId w:val="8"/>
  </w:num>
  <w:num w:numId="31">
    <w:abstractNumId w:val="17"/>
  </w:num>
  <w:num w:numId="32">
    <w:abstractNumId w:val="14"/>
  </w:num>
  <w:num w:numId="33">
    <w:abstractNumId w:val="12"/>
  </w:num>
  <w:num w:numId="34">
    <w:abstractNumId w:val="7"/>
  </w:num>
  <w:num w:numId="35">
    <w:abstractNumId w:val="34"/>
  </w:num>
  <w:num w:numId="36">
    <w:abstractNumId w:val="32"/>
  </w:num>
  <w:num w:numId="37">
    <w:abstractNumId w:val="41"/>
  </w:num>
  <w:num w:numId="38">
    <w:abstractNumId w:val="22"/>
  </w:num>
  <w:num w:numId="39">
    <w:abstractNumId w:val="33"/>
  </w:num>
  <w:num w:numId="40">
    <w:abstractNumId w:val="36"/>
  </w:num>
  <w:num w:numId="41">
    <w:abstractNumId w:val="39"/>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00"/>
    <w:rsid w:val="00003989"/>
    <w:rsid w:val="00007589"/>
    <w:rsid w:val="0001233D"/>
    <w:rsid w:val="00013B96"/>
    <w:rsid w:val="0001781D"/>
    <w:rsid w:val="00024A2E"/>
    <w:rsid w:val="00032C81"/>
    <w:rsid w:val="00041B08"/>
    <w:rsid w:val="00046A99"/>
    <w:rsid w:val="0005602F"/>
    <w:rsid w:val="000652C9"/>
    <w:rsid w:val="000676FA"/>
    <w:rsid w:val="00074BBB"/>
    <w:rsid w:val="0007605F"/>
    <w:rsid w:val="00080753"/>
    <w:rsid w:val="000850B9"/>
    <w:rsid w:val="00087932"/>
    <w:rsid w:val="0009113A"/>
    <w:rsid w:val="000A1C09"/>
    <w:rsid w:val="000A378F"/>
    <w:rsid w:val="000B082A"/>
    <w:rsid w:val="000B4CCE"/>
    <w:rsid w:val="000C3336"/>
    <w:rsid w:val="000C3380"/>
    <w:rsid w:val="000C4620"/>
    <w:rsid w:val="000C6226"/>
    <w:rsid w:val="000E641B"/>
    <w:rsid w:val="000E72AB"/>
    <w:rsid w:val="000F3576"/>
    <w:rsid w:val="000F5258"/>
    <w:rsid w:val="00102D6B"/>
    <w:rsid w:val="00103D55"/>
    <w:rsid w:val="00104281"/>
    <w:rsid w:val="00115205"/>
    <w:rsid w:val="0013512A"/>
    <w:rsid w:val="001360CE"/>
    <w:rsid w:val="00142797"/>
    <w:rsid w:val="00144229"/>
    <w:rsid w:val="0015420F"/>
    <w:rsid w:val="001624E5"/>
    <w:rsid w:val="00163D0A"/>
    <w:rsid w:val="001652B1"/>
    <w:rsid w:val="0018505C"/>
    <w:rsid w:val="00186208"/>
    <w:rsid w:val="00186D98"/>
    <w:rsid w:val="00196F5B"/>
    <w:rsid w:val="001A0BA2"/>
    <w:rsid w:val="001B0068"/>
    <w:rsid w:val="001B3AD2"/>
    <w:rsid w:val="001C4E05"/>
    <w:rsid w:val="001C5710"/>
    <w:rsid w:val="001D417A"/>
    <w:rsid w:val="001D4405"/>
    <w:rsid w:val="001D7B5E"/>
    <w:rsid w:val="001D7B62"/>
    <w:rsid w:val="001E182B"/>
    <w:rsid w:val="001E7509"/>
    <w:rsid w:val="001F50FB"/>
    <w:rsid w:val="00202119"/>
    <w:rsid w:val="00202985"/>
    <w:rsid w:val="002051F6"/>
    <w:rsid w:val="00206E2D"/>
    <w:rsid w:val="00206F06"/>
    <w:rsid w:val="002114F3"/>
    <w:rsid w:val="00215695"/>
    <w:rsid w:val="00221833"/>
    <w:rsid w:val="0022352B"/>
    <w:rsid w:val="002315E5"/>
    <w:rsid w:val="002335EC"/>
    <w:rsid w:val="00233F96"/>
    <w:rsid w:val="0023709C"/>
    <w:rsid w:val="002422B6"/>
    <w:rsid w:val="00243CA7"/>
    <w:rsid w:val="00244ED6"/>
    <w:rsid w:val="00246187"/>
    <w:rsid w:val="00246400"/>
    <w:rsid w:val="002475C7"/>
    <w:rsid w:val="00257679"/>
    <w:rsid w:val="00257E4A"/>
    <w:rsid w:val="00267BC8"/>
    <w:rsid w:val="002703C1"/>
    <w:rsid w:val="00270496"/>
    <w:rsid w:val="00273C73"/>
    <w:rsid w:val="00277F89"/>
    <w:rsid w:val="00280EA4"/>
    <w:rsid w:val="00283C19"/>
    <w:rsid w:val="00295577"/>
    <w:rsid w:val="00295D10"/>
    <w:rsid w:val="002A5C0E"/>
    <w:rsid w:val="002A614F"/>
    <w:rsid w:val="002A6F2F"/>
    <w:rsid w:val="002A71CE"/>
    <w:rsid w:val="002B0C9F"/>
    <w:rsid w:val="002B2AA6"/>
    <w:rsid w:val="002B40BE"/>
    <w:rsid w:val="002B50DB"/>
    <w:rsid w:val="002C47BD"/>
    <w:rsid w:val="002E1B32"/>
    <w:rsid w:val="002E5818"/>
    <w:rsid w:val="002F2CCD"/>
    <w:rsid w:val="00302E45"/>
    <w:rsid w:val="00320AD7"/>
    <w:rsid w:val="003233E1"/>
    <w:rsid w:val="00324422"/>
    <w:rsid w:val="003264D6"/>
    <w:rsid w:val="00331756"/>
    <w:rsid w:val="00333F10"/>
    <w:rsid w:val="00336252"/>
    <w:rsid w:val="003362D6"/>
    <w:rsid w:val="003379D9"/>
    <w:rsid w:val="003475C1"/>
    <w:rsid w:val="00347D69"/>
    <w:rsid w:val="00353D7A"/>
    <w:rsid w:val="00357B76"/>
    <w:rsid w:val="00362F35"/>
    <w:rsid w:val="00371710"/>
    <w:rsid w:val="00371D10"/>
    <w:rsid w:val="0038592B"/>
    <w:rsid w:val="00387536"/>
    <w:rsid w:val="00393E74"/>
    <w:rsid w:val="003A0F41"/>
    <w:rsid w:val="003A282E"/>
    <w:rsid w:val="003A46D6"/>
    <w:rsid w:val="003B0A0A"/>
    <w:rsid w:val="003B3286"/>
    <w:rsid w:val="003B3319"/>
    <w:rsid w:val="003C7489"/>
    <w:rsid w:val="003C7BC7"/>
    <w:rsid w:val="003D0A87"/>
    <w:rsid w:val="003D1184"/>
    <w:rsid w:val="003D23B7"/>
    <w:rsid w:val="003D7AB3"/>
    <w:rsid w:val="003F2274"/>
    <w:rsid w:val="0040555B"/>
    <w:rsid w:val="00415D55"/>
    <w:rsid w:val="004249B5"/>
    <w:rsid w:val="00441645"/>
    <w:rsid w:val="00442406"/>
    <w:rsid w:val="00452E76"/>
    <w:rsid w:val="00455FBF"/>
    <w:rsid w:val="004573D3"/>
    <w:rsid w:val="00457B17"/>
    <w:rsid w:val="0046294C"/>
    <w:rsid w:val="00464FF5"/>
    <w:rsid w:val="00465D94"/>
    <w:rsid w:val="00466A50"/>
    <w:rsid w:val="00474BA8"/>
    <w:rsid w:val="00484D73"/>
    <w:rsid w:val="00487D98"/>
    <w:rsid w:val="00491FF3"/>
    <w:rsid w:val="00492416"/>
    <w:rsid w:val="00493110"/>
    <w:rsid w:val="004958BE"/>
    <w:rsid w:val="00497EEC"/>
    <w:rsid w:val="004B2470"/>
    <w:rsid w:val="004B2826"/>
    <w:rsid w:val="004B4BB4"/>
    <w:rsid w:val="004B52FD"/>
    <w:rsid w:val="004B59AA"/>
    <w:rsid w:val="004C534B"/>
    <w:rsid w:val="004D53EE"/>
    <w:rsid w:val="004F2228"/>
    <w:rsid w:val="004F6778"/>
    <w:rsid w:val="00500A9C"/>
    <w:rsid w:val="0050509E"/>
    <w:rsid w:val="00507649"/>
    <w:rsid w:val="00512ABC"/>
    <w:rsid w:val="00517DE0"/>
    <w:rsid w:val="00521D30"/>
    <w:rsid w:val="00527EBF"/>
    <w:rsid w:val="005334BF"/>
    <w:rsid w:val="005359EC"/>
    <w:rsid w:val="00537319"/>
    <w:rsid w:val="005446F2"/>
    <w:rsid w:val="00557A32"/>
    <w:rsid w:val="00560159"/>
    <w:rsid w:val="00560211"/>
    <w:rsid w:val="00567B42"/>
    <w:rsid w:val="00587A4C"/>
    <w:rsid w:val="00592621"/>
    <w:rsid w:val="005939AE"/>
    <w:rsid w:val="005A4BA1"/>
    <w:rsid w:val="005B069A"/>
    <w:rsid w:val="005B30F2"/>
    <w:rsid w:val="005C7190"/>
    <w:rsid w:val="005D25BF"/>
    <w:rsid w:val="005D337A"/>
    <w:rsid w:val="005D3451"/>
    <w:rsid w:val="005D3C90"/>
    <w:rsid w:val="005D4883"/>
    <w:rsid w:val="005D5FF9"/>
    <w:rsid w:val="005E3A3C"/>
    <w:rsid w:val="005E51C0"/>
    <w:rsid w:val="005E673B"/>
    <w:rsid w:val="00601609"/>
    <w:rsid w:val="00605E01"/>
    <w:rsid w:val="00610BE8"/>
    <w:rsid w:val="00612FF7"/>
    <w:rsid w:val="00626CBA"/>
    <w:rsid w:val="00627B8C"/>
    <w:rsid w:val="0064000C"/>
    <w:rsid w:val="0064530A"/>
    <w:rsid w:val="006462EA"/>
    <w:rsid w:val="00647F8A"/>
    <w:rsid w:val="00650DA3"/>
    <w:rsid w:val="00650FE1"/>
    <w:rsid w:val="00651743"/>
    <w:rsid w:val="00651CBC"/>
    <w:rsid w:val="00652F52"/>
    <w:rsid w:val="006542D0"/>
    <w:rsid w:val="00654D57"/>
    <w:rsid w:val="006568F6"/>
    <w:rsid w:val="006616EB"/>
    <w:rsid w:val="006634A1"/>
    <w:rsid w:val="00665626"/>
    <w:rsid w:val="00667503"/>
    <w:rsid w:val="00672BC3"/>
    <w:rsid w:val="00674CB4"/>
    <w:rsid w:val="00676C5A"/>
    <w:rsid w:val="006829AE"/>
    <w:rsid w:val="00692649"/>
    <w:rsid w:val="006B0AC6"/>
    <w:rsid w:val="006B6060"/>
    <w:rsid w:val="006B63D8"/>
    <w:rsid w:val="006B720F"/>
    <w:rsid w:val="006C58F5"/>
    <w:rsid w:val="006C7809"/>
    <w:rsid w:val="006C7A2E"/>
    <w:rsid w:val="006E436B"/>
    <w:rsid w:val="006E475B"/>
    <w:rsid w:val="006E523C"/>
    <w:rsid w:val="006E544C"/>
    <w:rsid w:val="006F6DD8"/>
    <w:rsid w:val="006F74F9"/>
    <w:rsid w:val="007051F0"/>
    <w:rsid w:val="00712477"/>
    <w:rsid w:val="00715D42"/>
    <w:rsid w:val="00717FC6"/>
    <w:rsid w:val="00724207"/>
    <w:rsid w:val="00730427"/>
    <w:rsid w:val="00731F54"/>
    <w:rsid w:val="00734C9F"/>
    <w:rsid w:val="00740640"/>
    <w:rsid w:val="00741735"/>
    <w:rsid w:val="007514E6"/>
    <w:rsid w:val="00751C6C"/>
    <w:rsid w:val="007533A7"/>
    <w:rsid w:val="00757030"/>
    <w:rsid w:val="00764CC6"/>
    <w:rsid w:val="00770FCC"/>
    <w:rsid w:val="00771DA5"/>
    <w:rsid w:val="00775D2C"/>
    <w:rsid w:val="00792D86"/>
    <w:rsid w:val="007A3A6C"/>
    <w:rsid w:val="007B0751"/>
    <w:rsid w:val="007B0B40"/>
    <w:rsid w:val="007B123D"/>
    <w:rsid w:val="007B1E76"/>
    <w:rsid w:val="007B335E"/>
    <w:rsid w:val="007C31DC"/>
    <w:rsid w:val="007C52D9"/>
    <w:rsid w:val="007D1C2C"/>
    <w:rsid w:val="007D4A6C"/>
    <w:rsid w:val="007E5E61"/>
    <w:rsid w:val="007E7CC8"/>
    <w:rsid w:val="007F0619"/>
    <w:rsid w:val="007F0CBF"/>
    <w:rsid w:val="007F25CE"/>
    <w:rsid w:val="007F2B04"/>
    <w:rsid w:val="007F78E5"/>
    <w:rsid w:val="00803C8C"/>
    <w:rsid w:val="00806057"/>
    <w:rsid w:val="008129C2"/>
    <w:rsid w:val="00817ECE"/>
    <w:rsid w:val="00825541"/>
    <w:rsid w:val="00831049"/>
    <w:rsid w:val="008350ED"/>
    <w:rsid w:val="008414DB"/>
    <w:rsid w:val="00852252"/>
    <w:rsid w:val="00864986"/>
    <w:rsid w:val="00867736"/>
    <w:rsid w:val="008807B7"/>
    <w:rsid w:val="00886318"/>
    <w:rsid w:val="00886471"/>
    <w:rsid w:val="00890598"/>
    <w:rsid w:val="00894239"/>
    <w:rsid w:val="008A0726"/>
    <w:rsid w:val="008A104B"/>
    <w:rsid w:val="008A412A"/>
    <w:rsid w:val="008B47A1"/>
    <w:rsid w:val="008B6791"/>
    <w:rsid w:val="008B6E03"/>
    <w:rsid w:val="008C3088"/>
    <w:rsid w:val="008C620C"/>
    <w:rsid w:val="008D326A"/>
    <w:rsid w:val="008E23AC"/>
    <w:rsid w:val="008E3EBA"/>
    <w:rsid w:val="008E47E4"/>
    <w:rsid w:val="008F3EED"/>
    <w:rsid w:val="008F543F"/>
    <w:rsid w:val="008F59ED"/>
    <w:rsid w:val="008F68D0"/>
    <w:rsid w:val="00901130"/>
    <w:rsid w:val="009107E9"/>
    <w:rsid w:val="0092412C"/>
    <w:rsid w:val="0093101B"/>
    <w:rsid w:val="00935947"/>
    <w:rsid w:val="009379B0"/>
    <w:rsid w:val="009379B2"/>
    <w:rsid w:val="00944EBC"/>
    <w:rsid w:val="009457DE"/>
    <w:rsid w:val="009518AC"/>
    <w:rsid w:val="009538E9"/>
    <w:rsid w:val="00956A52"/>
    <w:rsid w:val="00956CA1"/>
    <w:rsid w:val="00961565"/>
    <w:rsid w:val="00966743"/>
    <w:rsid w:val="00971F6A"/>
    <w:rsid w:val="00971F7C"/>
    <w:rsid w:val="0097390F"/>
    <w:rsid w:val="00973BFB"/>
    <w:rsid w:val="00976CA3"/>
    <w:rsid w:val="00984C57"/>
    <w:rsid w:val="00986C4F"/>
    <w:rsid w:val="00991B46"/>
    <w:rsid w:val="0099305E"/>
    <w:rsid w:val="00994713"/>
    <w:rsid w:val="009948D5"/>
    <w:rsid w:val="009A36B5"/>
    <w:rsid w:val="009B62F7"/>
    <w:rsid w:val="009B69DC"/>
    <w:rsid w:val="009B6C51"/>
    <w:rsid w:val="009C0641"/>
    <w:rsid w:val="009C1469"/>
    <w:rsid w:val="009C55BC"/>
    <w:rsid w:val="009D70A9"/>
    <w:rsid w:val="009E11A0"/>
    <w:rsid w:val="009E67A2"/>
    <w:rsid w:val="00A02767"/>
    <w:rsid w:val="00A038BB"/>
    <w:rsid w:val="00A06280"/>
    <w:rsid w:val="00A06914"/>
    <w:rsid w:val="00A16D20"/>
    <w:rsid w:val="00A22A92"/>
    <w:rsid w:val="00A2432C"/>
    <w:rsid w:val="00A41DF4"/>
    <w:rsid w:val="00A4254C"/>
    <w:rsid w:val="00A57575"/>
    <w:rsid w:val="00A64F35"/>
    <w:rsid w:val="00AB1659"/>
    <w:rsid w:val="00AB2243"/>
    <w:rsid w:val="00AB27A1"/>
    <w:rsid w:val="00AB58CD"/>
    <w:rsid w:val="00AC3B00"/>
    <w:rsid w:val="00AC71E7"/>
    <w:rsid w:val="00AC7669"/>
    <w:rsid w:val="00AD20AD"/>
    <w:rsid w:val="00AD2F27"/>
    <w:rsid w:val="00AD538E"/>
    <w:rsid w:val="00AE492F"/>
    <w:rsid w:val="00AE763A"/>
    <w:rsid w:val="00AE7985"/>
    <w:rsid w:val="00AF2B8E"/>
    <w:rsid w:val="00B05A0C"/>
    <w:rsid w:val="00B05D64"/>
    <w:rsid w:val="00B06949"/>
    <w:rsid w:val="00B123BB"/>
    <w:rsid w:val="00B1259C"/>
    <w:rsid w:val="00B165B1"/>
    <w:rsid w:val="00B20651"/>
    <w:rsid w:val="00B22F00"/>
    <w:rsid w:val="00B23F93"/>
    <w:rsid w:val="00B370FF"/>
    <w:rsid w:val="00B464F5"/>
    <w:rsid w:val="00B5267C"/>
    <w:rsid w:val="00B65AB0"/>
    <w:rsid w:val="00B67209"/>
    <w:rsid w:val="00B67C2B"/>
    <w:rsid w:val="00B974D0"/>
    <w:rsid w:val="00BA2CF6"/>
    <w:rsid w:val="00BA3553"/>
    <w:rsid w:val="00BA4D26"/>
    <w:rsid w:val="00BA75BD"/>
    <w:rsid w:val="00BA7BB8"/>
    <w:rsid w:val="00BB0E37"/>
    <w:rsid w:val="00BC5071"/>
    <w:rsid w:val="00BC6806"/>
    <w:rsid w:val="00BC71C8"/>
    <w:rsid w:val="00BC7916"/>
    <w:rsid w:val="00BD3C70"/>
    <w:rsid w:val="00BE0167"/>
    <w:rsid w:val="00BE3254"/>
    <w:rsid w:val="00BE3267"/>
    <w:rsid w:val="00BF757C"/>
    <w:rsid w:val="00C01E0B"/>
    <w:rsid w:val="00C11244"/>
    <w:rsid w:val="00C15AEB"/>
    <w:rsid w:val="00C172AF"/>
    <w:rsid w:val="00C273B6"/>
    <w:rsid w:val="00C318AD"/>
    <w:rsid w:val="00C350F7"/>
    <w:rsid w:val="00C41EBC"/>
    <w:rsid w:val="00C42B8F"/>
    <w:rsid w:val="00C44C1E"/>
    <w:rsid w:val="00C51737"/>
    <w:rsid w:val="00C5278B"/>
    <w:rsid w:val="00C65156"/>
    <w:rsid w:val="00C664D9"/>
    <w:rsid w:val="00C67E7B"/>
    <w:rsid w:val="00C76B2A"/>
    <w:rsid w:val="00C84837"/>
    <w:rsid w:val="00C879A0"/>
    <w:rsid w:val="00C93C24"/>
    <w:rsid w:val="00CA1097"/>
    <w:rsid w:val="00CA4749"/>
    <w:rsid w:val="00CB0704"/>
    <w:rsid w:val="00CB3D9D"/>
    <w:rsid w:val="00CC04B8"/>
    <w:rsid w:val="00CC683C"/>
    <w:rsid w:val="00CE424F"/>
    <w:rsid w:val="00CF6D30"/>
    <w:rsid w:val="00D1318F"/>
    <w:rsid w:val="00D1406D"/>
    <w:rsid w:val="00D215A3"/>
    <w:rsid w:val="00D21C47"/>
    <w:rsid w:val="00D22441"/>
    <w:rsid w:val="00D229FA"/>
    <w:rsid w:val="00D3106F"/>
    <w:rsid w:val="00D4761E"/>
    <w:rsid w:val="00D52400"/>
    <w:rsid w:val="00D52AB9"/>
    <w:rsid w:val="00D568A9"/>
    <w:rsid w:val="00D572E2"/>
    <w:rsid w:val="00D601E7"/>
    <w:rsid w:val="00D70D39"/>
    <w:rsid w:val="00D74CD1"/>
    <w:rsid w:val="00D80E37"/>
    <w:rsid w:val="00D932E9"/>
    <w:rsid w:val="00DA27EC"/>
    <w:rsid w:val="00DB0DB4"/>
    <w:rsid w:val="00DB37D1"/>
    <w:rsid w:val="00DB6D11"/>
    <w:rsid w:val="00DB74D8"/>
    <w:rsid w:val="00DB7A23"/>
    <w:rsid w:val="00DC4A42"/>
    <w:rsid w:val="00DC705E"/>
    <w:rsid w:val="00DE133D"/>
    <w:rsid w:val="00DE49B0"/>
    <w:rsid w:val="00DE5698"/>
    <w:rsid w:val="00DF4543"/>
    <w:rsid w:val="00DF524D"/>
    <w:rsid w:val="00DF7FD4"/>
    <w:rsid w:val="00E027CF"/>
    <w:rsid w:val="00E1798B"/>
    <w:rsid w:val="00E20630"/>
    <w:rsid w:val="00E24485"/>
    <w:rsid w:val="00E2648A"/>
    <w:rsid w:val="00E36441"/>
    <w:rsid w:val="00E4625E"/>
    <w:rsid w:val="00E52325"/>
    <w:rsid w:val="00E6053D"/>
    <w:rsid w:val="00E607A2"/>
    <w:rsid w:val="00E64757"/>
    <w:rsid w:val="00E661C5"/>
    <w:rsid w:val="00E72C36"/>
    <w:rsid w:val="00E87402"/>
    <w:rsid w:val="00E93F3D"/>
    <w:rsid w:val="00E959E5"/>
    <w:rsid w:val="00E97E9F"/>
    <w:rsid w:val="00EA1AD2"/>
    <w:rsid w:val="00EA5371"/>
    <w:rsid w:val="00EB190C"/>
    <w:rsid w:val="00EB5EC3"/>
    <w:rsid w:val="00EC0982"/>
    <w:rsid w:val="00EC43E5"/>
    <w:rsid w:val="00EC4C31"/>
    <w:rsid w:val="00EC7374"/>
    <w:rsid w:val="00EF2C9E"/>
    <w:rsid w:val="00EF4108"/>
    <w:rsid w:val="00F02094"/>
    <w:rsid w:val="00F04445"/>
    <w:rsid w:val="00F054E6"/>
    <w:rsid w:val="00F21F37"/>
    <w:rsid w:val="00F22745"/>
    <w:rsid w:val="00F30493"/>
    <w:rsid w:val="00F30872"/>
    <w:rsid w:val="00F402E3"/>
    <w:rsid w:val="00F4270E"/>
    <w:rsid w:val="00F42CAA"/>
    <w:rsid w:val="00F4647A"/>
    <w:rsid w:val="00F51246"/>
    <w:rsid w:val="00F528E5"/>
    <w:rsid w:val="00F62620"/>
    <w:rsid w:val="00F64558"/>
    <w:rsid w:val="00F6718B"/>
    <w:rsid w:val="00F71EB9"/>
    <w:rsid w:val="00F7206F"/>
    <w:rsid w:val="00F86EC7"/>
    <w:rsid w:val="00F90450"/>
    <w:rsid w:val="00F92E27"/>
    <w:rsid w:val="00F96732"/>
    <w:rsid w:val="00FB2DCD"/>
    <w:rsid w:val="00FB4029"/>
    <w:rsid w:val="00FC0803"/>
    <w:rsid w:val="00FC21BF"/>
    <w:rsid w:val="00FC7534"/>
    <w:rsid w:val="00FD1373"/>
    <w:rsid w:val="00FD3262"/>
    <w:rsid w:val="00FD5F49"/>
    <w:rsid w:val="00FD7885"/>
    <w:rsid w:val="00FD7A48"/>
    <w:rsid w:val="00FE120A"/>
    <w:rsid w:val="00FE2BE8"/>
    <w:rsid w:val="00FE5B68"/>
    <w:rsid w:val="00FF1979"/>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1546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ypewriter"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53"/>
    <w:rPr>
      <w:rFonts w:ascii="Helvetica" w:hAnsi="Helvetica"/>
      <w:sz w:val="22"/>
    </w:rPr>
  </w:style>
  <w:style w:type="paragraph" w:styleId="Heading1">
    <w:name w:val="heading 1"/>
    <w:basedOn w:val="Normal"/>
    <w:next w:val="Normal"/>
    <w:link w:val="Heading1Char"/>
    <w:qFormat/>
    <w:rsid w:val="003A0F41"/>
    <w:pPr>
      <w:keepNext/>
      <w:numPr>
        <w:numId w:val="17"/>
      </w:numPr>
      <w:tabs>
        <w:tab w:val="left" w:pos="360"/>
      </w:tabs>
      <w:spacing w:before="240" w:after="60"/>
      <w:outlineLvl w:val="0"/>
    </w:pPr>
    <w:rPr>
      <w:rFonts w:ascii="Gill Sans MT" w:eastAsia="Times New Roman" w:hAnsi="Gill Sans MT" w:cs="Arial"/>
      <w:b/>
      <w:bCs/>
      <w:color w:val="FF6600"/>
      <w:kern w:val="32"/>
    </w:rPr>
  </w:style>
  <w:style w:type="paragraph" w:styleId="Heading2">
    <w:name w:val="heading 2"/>
    <w:basedOn w:val="Normal"/>
    <w:next w:val="Normal"/>
    <w:link w:val="Heading2Char"/>
    <w:qFormat/>
    <w:rsid w:val="003A0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F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0F41"/>
    <w:pPr>
      <w:keepNext/>
      <w:outlineLvl w:val="3"/>
    </w:pPr>
    <w:rPr>
      <w:rFonts w:ascii="Gill Sans MT" w:eastAsia="Times New Roman" w:hAnsi="Gill Sans MT" w:cs="Times New Roman"/>
      <w:b/>
      <w:bCs/>
      <w:sz w:val="24"/>
      <w:szCs w:val="32"/>
      <w:lang w:val="en-GB"/>
    </w:rPr>
  </w:style>
  <w:style w:type="paragraph" w:styleId="Heading8">
    <w:name w:val="heading 8"/>
    <w:basedOn w:val="Normal"/>
    <w:next w:val="Normal"/>
    <w:link w:val="Heading8Char"/>
    <w:qFormat/>
    <w:rsid w:val="003A0F41"/>
    <w:pPr>
      <w:tabs>
        <w:tab w:val="left" w:pos="360"/>
      </w:tabs>
      <w:spacing w:before="240" w:after="60"/>
      <w:outlineLvl w:val="7"/>
    </w:pPr>
    <w:rPr>
      <w:rFonts w:ascii="Gill Sans MT" w:eastAsia="Times New Roman" w:hAnsi="Gill Sans MT" w:cs="Times New Roman"/>
      <w:b/>
      <w:iCs/>
      <w:color w:val="FF66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283C19"/>
    <w:rPr>
      <w:rFonts w:ascii="Lucida Grande" w:hAnsi="Lucida Grande"/>
      <w:sz w:val="18"/>
      <w:szCs w:val="18"/>
    </w:rPr>
  </w:style>
  <w:style w:type="character" w:customStyle="1" w:styleId="BalloonTextChar">
    <w:name w:val="Balloon Text Char"/>
    <w:basedOn w:val="DefaultParagraphFont"/>
    <w:uiPriority w:val="99"/>
    <w:rsid w:val="008472F4"/>
    <w:rPr>
      <w:rFonts w:ascii="Lucida Grande" w:hAnsi="Lucida Grande"/>
      <w:sz w:val="18"/>
      <w:szCs w:val="18"/>
    </w:rPr>
  </w:style>
  <w:style w:type="character" w:customStyle="1" w:styleId="BalloonTextChar0">
    <w:name w:val="Balloon Text Char"/>
    <w:basedOn w:val="DefaultParagraphFont"/>
    <w:uiPriority w:val="99"/>
    <w:semiHidden/>
    <w:rsid w:val="00C671B0"/>
    <w:rPr>
      <w:rFonts w:ascii="Lucida Grande" w:hAnsi="Lucida Grande"/>
      <w:sz w:val="18"/>
      <w:szCs w:val="18"/>
    </w:rPr>
  </w:style>
  <w:style w:type="character" w:styleId="Hyperlink">
    <w:name w:val="Hyperlink"/>
    <w:basedOn w:val="DefaultParagraphFont"/>
    <w:unhideWhenUsed/>
    <w:rsid w:val="00AC3B00"/>
    <w:rPr>
      <w:color w:val="0000FF" w:themeColor="hyperlink"/>
      <w:u w:val="single"/>
    </w:rPr>
  </w:style>
  <w:style w:type="paragraph" w:styleId="ListParagraph">
    <w:name w:val="List Paragraph"/>
    <w:basedOn w:val="Normal"/>
    <w:uiPriority w:val="34"/>
    <w:qFormat/>
    <w:rsid w:val="00650DA3"/>
    <w:pPr>
      <w:ind w:left="720"/>
      <w:contextualSpacing/>
    </w:pPr>
  </w:style>
  <w:style w:type="paragraph" w:styleId="FootnoteText">
    <w:name w:val="footnote text"/>
    <w:basedOn w:val="Normal"/>
    <w:link w:val="FootnoteTextChar"/>
    <w:uiPriority w:val="99"/>
    <w:unhideWhenUsed/>
    <w:rsid w:val="00F92E27"/>
    <w:rPr>
      <w:sz w:val="24"/>
    </w:rPr>
  </w:style>
  <w:style w:type="character" w:customStyle="1" w:styleId="FootnoteTextChar">
    <w:name w:val="Footnote Text Char"/>
    <w:basedOn w:val="DefaultParagraphFont"/>
    <w:link w:val="FootnoteText"/>
    <w:uiPriority w:val="99"/>
    <w:rsid w:val="00F92E27"/>
    <w:rPr>
      <w:rFonts w:ascii="Helvetica" w:hAnsi="Helvetica"/>
      <w:sz w:val="24"/>
      <w:szCs w:val="24"/>
    </w:rPr>
  </w:style>
  <w:style w:type="character" w:styleId="FootnoteReference">
    <w:name w:val="footnote reference"/>
    <w:basedOn w:val="DefaultParagraphFont"/>
    <w:uiPriority w:val="99"/>
    <w:unhideWhenUsed/>
    <w:rsid w:val="00F92E27"/>
    <w:rPr>
      <w:vertAlign w:val="superscript"/>
    </w:rPr>
  </w:style>
  <w:style w:type="character" w:styleId="CommentReference">
    <w:name w:val="annotation reference"/>
    <w:basedOn w:val="DefaultParagraphFont"/>
    <w:unhideWhenUsed/>
    <w:rsid w:val="00283C19"/>
    <w:rPr>
      <w:sz w:val="18"/>
      <w:szCs w:val="18"/>
    </w:rPr>
  </w:style>
  <w:style w:type="paragraph" w:styleId="CommentText">
    <w:name w:val="annotation text"/>
    <w:basedOn w:val="Normal"/>
    <w:link w:val="CommentTextChar"/>
    <w:unhideWhenUsed/>
    <w:rsid w:val="00283C19"/>
    <w:rPr>
      <w:sz w:val="24"/>
    </w:rPr>
  </w:style>
  <w:style w:type="character" w:customStyle="1" w:styleId="CommentTextChar">
    <w:name w:val="Comment Text Char"/>
    <w:basedOn w:val="DefaultParagraphFont"/>
    <w:link w:val="CommentText"/>
    <w:rsid w:val="00283C19"/>
    <w:rPr>
      <w:rFonts w:ascii="Helvetica" w:hAnsi="Helvetica"/>
      <w:sz w:val="24"/>
      <w:szCs w:val="24"/>
    </w:rPr>
  </w:style>
  <w:style w:type="paragraph" w:styleId="CommentSubject">
    <w:name w:val="annotation subject"/>
    <w:basedOn w:val="CommentText"/>
    <w:next w:val="CommentText"/>
    <w:link w:val="CommentSubjectChar"/>
    <w:unhideWhenUsed/>
    <w:rsid w:val="00283C19"/>
    <w:rPr>
      <w:b/>
      <w:bCs/>
      <w:sz w:val="20"/>
      <w:szCs w:val="20"/>
    </w:rPr>
  </w:style>
  <w:style w:type="character" w:customStyle="1" w:styleId="CommentSubjectChar">
    <w:name w:val="Comment Subject Char"/>
    <w:basedOn w:val="CommentTextChar"/>
    <w:link w:val="CommentSubject"/>
    <w:rsid w:val="00283C19"/>
    <w:rPr>
      <w:rFonts w:ascii="Helvetica" w:hAnsi="Helvetica"/>
      <w:b/>
      <w:bCs/>
      <w:sz w:val="24"/>
      <w:szCs w:val="24"/>
    </w:rPr>
  </w:style>
  <w:style w:type="character" w:customStyle="1" w:styleId="BalloonTextChar1">
    <w:name w:val="Balloon Text Char1"/>
    <w:basedOn w:val="DefaultParagraphFont"/>
    <w:link w:val="BalloonText"/>
    <w:rsid w:val="00283C19"/>
    <w:rPr>
      <w:rFonts w:ascii="Lucida Grande" w:hAnsi="Lucida Grande"/>
      <w:sz w:val="18"/>
      <w:szCs w:val="18"/>
    </w:rPr>
  </w:style>
  <w:style w:type="paragraph" w:styleId="Footer">
    <w:name w:val="footer"/>
    <w:basedOn w:val="Normal"/>
    <w:link w:val="FooterChar"/>
    <w:unhideWhenUsed/>
    <w:rsid w:val="00775D2C"/>
    <w:pPr>
      <w:tabs>
        <w:tab w:val="center" w:pos="4320"/>
        <w:tab w:val="right" w:pos="8640"/>
      </w:tabs>
    </w:pPr>
  </w:style>
  <w:style w:type="character" w:customStyle="1" w:styleId="FooterChar">
    <w:name w:val="Footer Char"/>
    <w:basedOn w:val="DefaultParagraphFont"/>
    <w:link w:val="Footer"/>
    <w:rsid w:val="00775D2C"/>
    <w:rPr>
      <w:rFonts w:ascii="Helvetica" w:hAnsi="Helvetica"/>
      <w:sz w:val="22"/>
      <w:szCs w:val="24"/>
    </w:rPr>
  </w:style>
  <w:style w:type="character" w:styleId="PageNumber">
    <w:name w:val="page number"/>
    <w:basedOn w:val="DefaultParagraphFont"/>
    <w:unhideWhenUsed/>
    <w:rsid w:val="00775D2C"/>
  </w:style>
  <w:style w:type="paragraph" w:styleId="Header">
    <w:name w:val="header"/>
    <w:basedOn w:val="Normal"/>
    <w:link w:val="HeaderChar"/>
    <w:unhideWhenUsed/>
    <w:rsid w:val="00775D2C"/>
    <w:pPr>
      <w:tabs>
        <w:tab w:val="center" w:pos="4320"/>
        <w:tab w:val="right" w:pos="8640"/>
      </w:tabs>
    </w:pPr>
  </w:style>
  <w:style w:type="character" w:customStyle="1" w:styleId="HeaderChar">
    <w:name w:val="Header Char"/>
    <w:basedOn w:val="DefaultParagraphFont"/>
    <w:link w:val="Header"/>
    <w:rsid w:val="00775D2C"/>
    <w:rPr>
      <w:rFonts w:ascii="Helvetica" w:hAnsi="Helvetica"/>
      <w:sz w:val="22"/>
      <w:szCs w:val="24"/>
    </w:rPr>
  </w:style>
  <w:style w:type="character" w:customStyle="1" w:styleId="Heading1Char">
    <w:name w:val="Heading 1 Char"/>
    <w:basedOn w:val="DefaultParagraphFont"/>
    <w:link w:val="Heading1"/>
    <w:rsid w:val="003A0F41"/>
    <w:rPr>
      <w:rFonts w:ascii="Gill Sans MT" w:eastAsia="Times New Roman" w:hAnsi="Gill Sans MT" w:cs="Arial"/>
      <w:b/>
      <w:bCs/>
      <w:color w:val="FF6600"/>
      <w:kern w:val="32"/>
      <w:sz w:val="22"/>
      <w:szCs w:val="24"/>
    </w:rPr>
  </w:style>
  <w:style w:type="character" w:customStyle="1" w:styleId="Heading2Char">
    <w:name w:val="Heading 2 Char"/>
    <w:basedOn w:val="DefaultParagraphFont"/>
    <w:link w:val="Heading2"/>
    <w:rsid w:val="003A0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A0F41"/>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rsid w:val="003A0F41"/>
    <w:rPr>
      <w:rFonts w:ascii="Gill Sans MT" w:eastAsia="Times New Roman" w:hAnsi="Gill Sans MT" w:cs="Times New Roman"/>
      <w:b/>
      <w:bCs/>
      <w:sz w:val="24"/>
      <w:szCs w:val="32"/>
      <w:lang w:val="en-GB"/>
    </w:rPr>
  </w:style>
  <w:style w:type="character" w:customStyle="1" w:styleId="Heading8Char">
    <w:name w:val="Heading 8 Char"/>
    <w:basedOn w:val="DefaultParagraphFont"/>
    <w:link w:val="Heading8"/>
    <w:rsid w:val="003A0F41"/>
    <w:rPr>
      <w:rFonts w:ascii="Gill Sans MT" w:eastAsia="Times New Roman" w:hAnsi="Gill Sans MT" w:cs="Times New Roman"/>
      <w:b/>
      <w:iCs/>
      <w:color w:val="FF6600"/>
      <w:sz w:val="22"/>
      <w:szCs w:val="22"/>
    </w:rPr>
  </w:style>
  <w:style w:type="paragraph" w:styleId="BodyText">
    <w:name w:val="Body Text"/>
    <w:basedOn w:val="Normal"/>
    <w:link w:val="BodyTextChar"/>
    <w:rsid w:val="003A0F41"/>
    <w:pPr>
      <w:spacing w:after="120"/>
      <w:jc w:val="lowKashida"/>
    </w:pPr>
    <w:rPr>
      <w:rFonts w:ascii="Gill Sans MT" w:eastAsia="Times New Roman" w:hAnsi="Gill Sans MT" w:cs="Gill Sans MT"/>
      <w:sz w:val="24"/>
    </w:rPr>
  </w:style>
  <w:style w:type="character" w:customStyle="1" w:styleId="BodyTextChar">
    <w:name w:val="Body Text Char"/>
    <w:basedOn w:val="DefaultParagraphFont"/>
    <w:link w:val="BodyText"/>
    <w:rsid w:val="003A0F41"/>
    <w:rPr>
      <w:rFonts w:ascii="Gill Sans MT" w:eastAsia="Times New Roman" w:hAnsi="Gill Sans MT" w:cs="Gill Sans MT"/>
      <w:sz w:val="24"/>
      <w:szCs w:val="24"/>
    </w:rPr>
  </w:style>
  <w:style w:type="paragraph" w:customStyle="1" w:styleId="COVERPAGE1">
    <w:name w:val="COVER PAGE 1"/>
    <w:basedOn w:val="Normal"/>
    <w:rsid w:val="003A0F41"/>
    <w:pPr>
      <w:spacing w:after="120"/>
      <w:jc w:val="center"/>
    </w:pPr>
    <w:rPr>
      <w:rFonts w:ascii="Gill Sans MT Extra Bold" w:eastAsia="Times New Roman" w:hAnsi="Gill Sans MT Extra Bold" w:cs="Times New Roman"/>
      <w:color w:val="FF6600"/>
      <w:sz w:val="72"/>
      <w:lang w:val="en-GB" w:eastAsia="de-DE"/>
    </w:rPr>
  </w:style>
  <w:style w:type="paragraph" w:customStyle="1" w:styleId="COVERPAGE2">
    <w:name w:val="COVER PAGE 2"/>
    <w:basedOn w:val="Normal"/>
    <w:rsid w:val="003A0F41"/>
    <w:pPr>
      <w:spacing w:after="120"/>
      <w:jc w:val="center"/>
    </w:pPr>
    <w:rPr>
      <w:rFonts w:ascii="Gill Sans MT Extra Bold" w:eastAsia="Times New Roman" w:hAnsi="Gill Sans MT Extra Bold" w:cs="Times New Roman"/>
      <w:color w:val="FF6600"/>
      <w:sz w:val="48"/>
      <w:lang w:val="en-GB" w:eastAsia="de-DE"/>
    </w:rPr>
  </w:style>
  <w:style w:type="paragraph" w:customStyle="1" w:styleId="Default">
    <w:name w:val="Default"/>
    <w:rsid w:val="003A0F41"/>
    <w:pPr>
      <w:widowControl w:val="0"/>
      <w:autoSpaceDE w:val="0"/>
      <w:autoSpaceDN w:val="0"/>
      <w:adjustRightInd w:val="0"/>
    </w:pPr>
    <w:rPr>
      <w:rFonts w:ascii="Gill Sans MT" w:eastAsia="Times New Roman" w:hAnsi="Gill Sans MT" w:cs="Gill Sans MT"/>
      <w:color w:val="000000"/>
    </w:rPr>
  </w:style>
  <w:style w:type="paragraph" w:styleId="ListNumber">
    <w:name w:val="List Number"/>
    <w:rsid w:val="003A0F41"/>
    <w:pPr>
      <w:numPr>
        <w:numId w:val="14"/>
      </w:numPr>
    </w:pPr>
    <w:rPr>
      <w:rFonts w:ascii="Gill Sans MT" w:eastAsia="Times New Roman" w:hAnsi="Gill Sans MT" w:cs="Times New Roman"/>
      <w:sz w:val="22"/>
    </w:rPr>
  </w:style>
  <w:style w:type="paragraph" w:customStyle="1" w:styleId="TABLE">
    <w:name w:val="TABLE"/>
    <w:basedOn w:val="Normal"/>
    <w:rsid w:val="003A0F41"/>
    <w:pPr>
      <w:spacing w:before="60" w:after="60"/>
      <w:jc w:val="both"/>
    </w:pPr>
    <w:rPr>
      <w:rFonts w:ascii="Arial" w:eastAsia="Times New Roman" w:hAnsi="Arial" w:cs="Times New Roman"/>
      <w:sz w:val="20"/>
      <w:lang w:val="en-GB" w:eastAsia="de-DE"/>
    </w:rPr>
  </w:style>
  <w:style w:type="paragraph" w:styleId="BodyText2">
    <w:name w:val="Body Text 2"/>
    <w:aliases w:val="Body Text 22,Body Text 2 Char1,Body Text 2 Char Char Char Char7,Body Text 2 Char Char Ch Char Char1,Body Text 2 Char Char Ch Char Char2"/>
    <w:basedOn w:val="Normal"/>
    <w:link w:val="BodyText2Char"/>
    <w:rsid w:val="003A0F41"/>
    <w:rPr>
      <w:rFonts w:ascii="Times New Roman" w:eastAsia="Times New Roman" w:hAnsi="Times New Roman" w:cs="Times New Roman"/>
      <w:b/>
      <w:color w:val="C0C0C0"/>
      <w:sz w:val="28"/>
      <w:szCs w:val="28"/>
      <w:lang w:val="en-GB"/>
    </w:rPr>
  </w:style>
  <w:style w:type="character" w:customStyle="1" w:styleId="BodyText2Char">
    <w:name w:val="Body Text 2 Char"/>
    <w:aliases w:val="Body Text 22 Char,Body Text 2 Char1 Char,Body Text 2 Char Char Char Char7 Char,Body Text 2 Char Char Ch Char Char1 Char,Body Text 2 Char Char Ch Char Char2 Char1"/>
    <w:basedOn w:val="DefaultParagraphFont"/>
    <w:link w:val="BodyText2"/>
    <w:rsid w:val="003A0F41"/>
    <w:rPr>
      <w:rFonts w:ascii="Times New Roman" w:eastAsia="Times New Roman" w:hAnsi="Times New Roman" w:cs="Times New Roman"/>
      <w:b/>
      <w:color w:val="C0C0C0"/>
      <w:sz w:val="28"/>
      <w:szCs w:val="28"/>
      <w:lang w:val="en-GB"/>
    </w:rPr>
  </w:style>
  <w:style w:type="paragraph" w:styleId="ListBullet">
    <w:name w:val="List Bullet"/>
    <w:basedOn w:val="Normal"/>
    <w:rsid w:val="003A0F41"/>
    <w:pPr>
      <w:ind w:left="1440" w:hanging="360"/>
    </w:pPr>
    <w:rPr>
      <w:rFonts w:ascii="Gill Sans MT" w:eastAsia="Times New Roman" w:hAnsi="Gill Sans MT" w:cs="Times New Roman"/>
    </w:rPr>
  </w:style>
  <w:style w:type="character" w:styleId="HTMLTypewriter">
    <w:name w:val="HTML Typewriter"/>
    <w:basedOn w:val="DefaultParagraphFont"/>
    <w:rsid w:val="003A0F41"/>
    <w:rPr>
      <w:rFonts w:ascii="Courier New" w:hAnsi="Courier New" w:cs="Courier New"/>
      <w:sz w:val="20"/>
      <w:szCs w:val="20"/>
    </w:rPr>
  </w:style>
  <w:style w:type="paragraph" w:styleId="ListBullet2">
    <w:name w:val="List Bullet 2"/>
    <w:basedOn w:val="ListBullet"/>
    <w:rsid w:val="003A0F41"/>
  </w:style>
  <w:style w:type="paragraph" w:styleId="NormalIndent">
    <w:name w:val="Normal Indent"/>
    <w:basedOn w:val="Normal"/>
    <w:rsid w:val="003A0F41"/>
    <w:pPr>
      <w:numPr>
        <w:numId w:val="16"/>
      </w:numPr>
      <w:tabs>
        <w:tab w:val="clear" w:pos="720"/>
      </w:tabs>
      <w:ind w:firstLine="0"/>
    </w:pPr>
    <w:rPr>
      <w:rFonts w:ascii="Times New Roman" w:eastAsia="Times New Roman" w:hAnsi="Times New Roman" w:cs="Times New Roman"/>
      <w:sz w:val="24"/>
    </w:rPr>
  </w:style>
  <w:style w:type="paragraph" w:styleId="TOC1">
    <w:name w:val="toc 1"/>
    <w:basedOn w:val="Normal"/>
    <w:next w:val="Normal"/>
    <w:autoRedefine/>
    <w:rsid w:val="003A0F41"/>
    <w:rPr>
      <w:rFonts w:ascii="Gill Sans MT" w:eastAsia="Times New Roman" w:hAnsi="Gill Sans MT" w:cs="Times New Roman"/>
      <w:sz w:val="20"/>
    </w:rPr>
  </w:style>
  <w:style w:type="paragraph" w:styleId="TOC2">
    <w:name w:val="toc 2"/>
    <w:basedOn w:val="Normal"/>
    <w:next w:val="Normal"/>
    <w:autoRedefine/>
    <w:rsid w:val="003A0F41"/>
    <w:pPr>
      <w:ind w:left="240"/>
    </w:pPr>
    <w:rPr>
      <w:rFonts w:ascii="Times New Roman" w:eastAsia="Times New Roman" w:hAnsi="Times New Roman" w:cs="Times New Roman"/>
      <w:sz w:val="24"/>
    </w:rPr>
  </w:style>
  <w:style w:type="paragraph" w:customStyle="1" w:styleId="TOC">
    <w:name w:val="TOC"/>
    <w:rsid w:val="003A0F41"/>
    <w:rPr>
      <w:rFonts w:ascii="Gill Sans MT" w:eastAsia="Times New Roman" w:hAnsi="Gill Sans MT" w:cs="Times New Roman"/>
      <w:lang w:val="en-GB"/>
    </w:rPr>
  </w:style>
  <w:style w:type="character" w:customStyle="1" w:styleId="st">
    <w:name w:val="st"/>
    <w:basedOn w:val="DefaultParagraphFont"/>
    <w:rsid w:val="003A0F41"/>
  </w:style>
  <w:style w:type="character" w:styleId="Emphasis">
    <w:name w:val="Emphasis"/>
    <w:basedOn w:val="DefaultParagraphFont"/>
    <w:qFormat/>
    <w:rsid w:val="003A0F41"/>
    <w:rPr>
      <w:i/>
    </w:rPr>
  </w:style>
  <w:style w:type="paragraph" w:customStyle="1" w:styleId="hn-byline">
    <w:name w:val="hn-byline"/>
    <w:basedOn w:val="Normal"/>
    <w:rsid w:val="003A0F41"/>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rsid w:val="003A0F41"/>
    <w:pPr>
      <w:spacing w:before="100" w:beforeAutospacing="1" w:after="100" w:afterAutospacing="1"/>
    </w:pPr>
    <w:rPr>
      <w:rFonts w:ascii="Arial Unicode MS" w:eastAsia="Arial Unicode MS" w:hAnsi="Arial Unicode MS" w:cs="Arial Unicode MS"/>
      <w:color w:val="000000"/>
      <w:sz w:val="24"/>
    </w:rPr>
  </w:style>
  <w:style w:type="character" w:customStyle="1" w:styleId="bodytext1">
    <w:name w:val="bodytext1"/>
    <w:rsid w:val="003A0F41"/>
    <w:rPr>
      <w:rFonts w:ascii="Arial" w:hAnsi="Arial" w:cs="Arial" w:hint="default"/>
      <w:color w:val="333333"/>
      <w:sz w:val="18"/>
      <w:szCs w:val="18"/>
    </w:rPr>
  </w:style>
  <w:style w:type="character" w:customStyle="1" w:styleId="BodyText2CharCharChCharChar2Char">
    <w:name w:val="Body Text 2 Char Char Ch Char Char2 Char"/>
    <w:rsid w:val="003A0F41"/>
    <w:rPr>
      <w:b/>
      <w:bCs/>
      <w:sz w:val="24"/>
      <w:szCs w:val="24"/>
      <w:lang w:val="en-AU" w:eastAsia="en-US" w:bidi="ar-SA"/>
    </w:rPr>
  </w:style>
  <w:style w:type="character" w:customStyle="1" w:styleId="BodyText2CharCharChar">
    <w:name w:val="Body Text 2 Char Char Char"/>
    <w:rsid w:val="003A0F41"/>
    <w:rPr>
      <w:b/>
      <w:bCs/>
      <w:sz w:val="24"/>
      <w:szCs w:val="24"/>
      <w:lang w:val="en-AU" w:eastAsia="en-US" w:bidi="ar-SA"/>
    </w:rPr>
  </w:style>
  <w:style w:type="paragraph" w:styleId="BodyText3">
    <w:name w:val="Body Text 3"/>
    <w:basedOn w:val="Normal"/>
    <w:link w:val="BodyText3Char"/>
    <w:rsid w:val="003A0F41"/>
    <w:pPr>
      <w:autoSpaceDE w:val="0"/>
      <w:autoSpaceDN w:val="0"/>
      <w:adjustRightInd w:val="0"/>
      <w:jc w:val="both"/>
    </w:pPr>
    <w:rPr>
      <w:rFonts w:ascii="Arial Narrow" w:eastAsia="Times New Roman" w:hAnsi="Arial Narrow" w:cs="Times New Roman"/>
      <w:lang w:val="en-AU"/>
    </w:rPr>
  </w:style>
  <w:style w:type="character" w:customStyle="1" w:styleId="BodyText3Char">
    <w:name w:val="Body Text 3 Char"/>
    <w:basedOn w:val="DefaultParagraphFont"/>
    <w:link w:val="BodyText3"/>
    <w:rsid w:val="003A0F41"/>
    <w:rPr>
      <w:rFonts w:ascii="Arial Narrow" w:eastAsia="Times New Roman" w:hAnsi="Arial Narrow" w:cs="Times New Roman"/>
      <w:sz w:val="22"/>
      <w:szCs w:val="24"/>
      <w:lang w:val="en-AU"/>
    </w:rPr>
  </w:style>
  <w:style w:type="character" w:styleId="Strong">
    <w:name w:val="Strong"/>
    <w:qFormat/>
    <w:rsid w:val="003A0F41"/>
    <w:rPr>
      <w:b/>
      <w:bCs/>
    </w:rPr>
  </w:style>
  <w:style w:type="character" w:customStyle="1" w:styleId="reportbody1">
    <w:name w:val="reportbody1"/>
    <w:rsid w:val="003A0F41"/>
    <w:rPr>
      <w:rFonts w:ascii="Tahoma" w:hAnsi="Tahoma" w:cs="Tahoma" w:hint="default"/>
      <w:color w:val="000000"/>
      <w:sz w:val="17"/>
      <w:szCs w:val="17"/>
    </w:rPr>
  </w:style>
  <w:style w:type="character" w:customStyle="1" w:styleId="hn-date">
    <w:name w:val="hn-date"/>
    <w:basedOn w:val="DefaultParagraphFont"/>
    <w:rsid w:val="003A0F41"/>
  </w:style>
  <w:style w:type="paragraph" w:customStyle="1" w:styleId="Pa41">
    <w:name w:val="Pa4+1"/>
    <w:basedOn w:val="Default"/>
    <w:next w:val="Default"/>
    <w:rsid w:val="003A0F41"/>
    <w:pPr>
      <w:widowControl/>
      <w:spacing w:line="221" w:lineRule="atLeast"/>
    </w:pPr>
    <w:rPr>
      <w:rFonts w:ascii="Times New Roman" w:hAnsi="Times New Roman" w:cs="Times New Roman"/>
      <w:color w:val="auto"/>
    </w:rPr>
  </w:style>
  <w:style w:type="paragraph" w:customStyle="1" w:styleId="Pa6">
    <w:name w:val="Pa6"/>
    <w:basedOn w:val="Default"/>
    <w:next w:val="Default"/>
    <w:rsid w:val="003A0F41"/>
    <w:pPr>
      <w:widowControl/>
      <w:spacing w:line="221" w:lineRule="atLeast"/>
    </w:pPr>
    <w:rPr>
      <w:rFonts w:ascii="Times New Roman" w:hAnsi="Times New Roman" w:cs="Times New Roman"/>
      <w:color w:val="auto"/>
    </w:rPr>
  </w:style>
  <w:style w:type="paragraph" w:customStyle="1" w:styleId="Pa21">
    <w:name w:val="Pa21"/>
    <w:basedOn w:val="Default"/>
    <w:next w:val="Default"/>
    <w:rsid w:val="003A0F41"/>
    <w:pPr>
      <w:widowControl/>
      <w:spacing w:after="40" w:line="211" w:lineRule="atLeast"/>
    </w:pPr>
    <w:rPr>
      <w:rFonts w:ascii="Times New Roman" w:hAnsi="Times New Roman" w:cs="Times New Roman"/>
      <w:color w:val="auto"/>
    </w:rPr>
  </w:style>
  <w:style w:type="paragraph" w:customStyle="1" w:styleId="Pa8">
    <w:name w:val="Pa8"/>
    <w:basedOn w:val="Default"/>
    <w:next w:val="Default"/>
    <w:rsid w:val="003A0F41"/>
    <w:pPr>
      <w:widowControl/>
      <w:spacing w:after="160" w:line="211" w:lineRule="atLeast"/>
    </w:pPr>
    <w:rPr>
      <w:rFonts w:ascii="Arial" w:hAnsi="Arial" w:cs="Times New Roman"/>
      <w:color w:val="auto"/>
    </w:rPr>
  </w:style>
  <w:style w:type="paragraph" w:customStyle="1" w:styleId="Pa30">
    <w:name w:val="Pa30"/>
    <w:basedOn w:val="Default"/>
    <w:next w:val="Default"/>
    <w:rsid w:val="003A0F41"/>
    <w:pPr>
      <w:widowControl/>
      <w:spacing w:before="80" w:after="80" w:line="241" w:lineRule="atLeast"/>
    </w:pPr>
    <w:rPr>
      <w:rFonts w:ascii="Arial" w:hAnsi="Arial" w:cs="Times New Roman"/>
      <w:color w:val="auto"/>
    </w:rPr>
  </w:style>
  <w:style w:type="character" w:customStyle="1" w:styleId="A9">
    <w:name w:val="A9"/>
    <w:rsid w:val="003A0F41"/>
    <w:rPr>
      <w:rFonts w:cs="Arial"/>
      <w:b/>
      <w:bCs/>
      <w:color w:val="000000"/>
      <w:sz w:val="19"/>
      <w:szCs w:val="19"/>
    </w:rPr>
  </w:style>
  <w:style w:type="paragraph" w:customStyle="1" w:styleId="Pa31">
    <w:name w:val="Pa31"/>
    <w:basedOn w:val="Default"/>
    <w:next w:val="Default"/>
    <w:rsid w:val="003A0F41"/>
    <w:pPr>
      <w:widowControl/>
      <w:spacing w:before="40" w:line="241" w:lineRule="atLeast"/>
    </w:pPr>
    <w:rPr>
      <w:rFonts w:ascii="Arial" w:hAnsi="Arial" w:cs="Times New Roman"/>
      <w:color w:val="auto"/>
    </w:rPr>
  </w:style>
  <w:style w:type="character" w:customStyle="1" w:styleId="A8">
    <w:name w:val="A8"/>
    <w:rsid w:val="003A0F41"/>
    <w:rPr>
      <w:rFonts w:cs="Arial"/>
      <w:color w:val="000000"/>
      <w:sz w:val="16"/>
      <w:szCs w:val="16"/>
    </w:rPr>
  </w:style>
  <w:style w:type="paragraph" w:customStyle="1" w:styleId="Pa32">
    <w:name w:val="Pa32"/>
    <w:basedOn w:val="Default"/>
    <w:next w:val="Default"/>
    <w:rsid w:val="003A0F41"/>
    <w:pPr>
      <w:widowControl/>
      <w:spacing w:before="40" w:line="241" w:lineRule="atLeast"/>
    </w:pPr>
    <w:rPr>
      <w:rFonts w:ascii="Arial" w:hAnsi="Arial" w:cs="Times New Roman"/>
      <w:color w:val="auto"/>
    </w:rPr>
  </w:style>
  <w:style w:type="paragraph" w:customStyle="1" w:styleId="Pa33">
    <w:name w:val="Pa33"/>
    <w:basedOn w:val="Default"/>
    <w:next w:val="Default"/>
    <w:rsid w:val="003A0F41"/>
    <w:pPr>
      <w:widowControl/>
      <w:spacing w:before="40" w:line="241" w:lineRule="atLeast"/>
    </w:pPr>
    <w:rPr>
      <w:rFonts w:ascii="Arial" w:hAnsi="Arial" w:cs="Times New Roman"/>
      <w:color w:val="auto"/>
    </w:rPr>
  </w:style>
  <w:style w:type="paragraph" w:customStyle="1" w:styleId="Pa34">
    <w:name w:val="Pa34"/>
    <w:basedOn w:val="Default"/>
    <w:next w:val="Default"/>
    <w:rsid w:val="003A0F41"/>
    <w:pPr>
      <w:widowControl/>
      <w:spacing w:before="40" w:line="241" w:lineRule="atLeast"/>
    </w:pPr>
    <w:rPr>
      <w:rFonts w:ascii="Arial" w:hAnsi="Arial" w:cs="Times New Roman"/>
      <w:color w:val="auto"/>
    </w:rPr>
  </w:style>
  <w:style w:type="character" w:customStyle="1" w:styleId="eid2658614">
    <w:name w:val="e_id2658614"/>
    <w:rsid w:val="003A0F41"/>
    <w:rPr>
      <w:rFonts w:ascii="Arial" w:hAnsi="Arial" w:cs="Arial" w:hint="default"/>
      <w:sz w:val="18"/>
      <w:szCs w:val="18"/>
    </w:rPr>
  </w:style>
  <w:style w:type="character" w:customStyle="1" w:styleId="eid2415197">
    <w:name w:val="e_id2415197"/>
    <w:rsid w:val="003A0F41"/>
    <w:rPr>
      <w:rFonts w:ascii="Arial" w:hAnsi="Arial" w:cs="Arial" w:hint="default"/>
      <w:sz w:val="18"/>
      <w:szCs w:val="18"/>
    </w:rPr>
  </w:style>
  <w:style w:type="character" w:customStyle="1" w:styleId="eid2415223">
    <w:name w:val="e_id2415223"/>
    <w:rsid w:val="003A0F41"/>
    <w:rPr>
      <w:rFonts w:ascii="Arial" w:hAnsi="Arial" w:cs="Arial" w:hint="default"/>
      <w:sz w:val="18"/>
      <w:szCs w:val="18"/>
    </w:rPr>
  </w:style>
  <w:style w:type="character" w:customStyle="1" w:styleId="eid2415249">
    <w:name w:val="e_id2415249"/>
    <w:rsid w:val="003A0F41"/>
    <w:rPr>
      <w:rFonts w:ascii="Arial" w:hAnsi="Arial" w:cs="Arial" w:hint="default"/>
      <w:sz w:val="18"/>
      <w:szCs w:val="18"/>
    </w:rPr>
  </w:style>
  <w:style w:type="character" w:customStyle="1" w:styleId="eid2629125">
    <w:name w:val="e_id2629125"/>
    <w:rsid w:val="003A0F41"/>
    <w:rPr>
      <w:rFonts w:ascii="Arial" w:hAnsi="Arial" w:cs="Arial" w:hint="default"/>
      <w:sz w:val="18"/>
      <w:szCs w:val="18"/>
    </w:rPr>
  </w:style>
  <w:style w:type="character" w:customStyle="1" w:styleId="eid2629150">
    <w:name w:val="e_id2629150"/>
    <w:rsid w:val="003A0F41"/>
    <w:rPr>
      <w:rFonts w:ascii="Arial" w:hAnsi="Arial" w:cs="Arial" w:hint="default"/>
      <w:sz w:val="18"/>
      <w:szCs w:val="18"/>
    </w:rPr>
  </w:style>
  <w:style w:type="character" w:customStyle="1" w:styleId="eid2629176">
    <w:name w:val="e_id2629176"/>
    <w:rsid w:val="003A0F41"/>
    <w:rPr>
      <w:rFonts w:ascii="Arial" w:hAnsi="Arial" w:cs="Arial" w:hint="default"/>
      <w:sz w:val="18"/>
      <w:szCs w:val="18"/>
    </w:rPr>
  </w:style>
  <w:style w:type="paragraph" w:customStyle="1" w:styleId="xl27">
    <w:name w:val="xl27"/>
    <w:basedOn w:val="Normal"/>
    <w:rsid w:val="003A0F41"/>
    <w:pPr>
      <w:pBdr>
        <w:left w:val="single" w:sz="8" w:space="0" w:color="auto"/>
        <w:bottom w:val="single" w:sz="8" w:space="0" w:color="auto"/>
        <w:right w:val="single" w:sz="8" w:space="0" w:color="auto"/>
      </w:pBdr>
      <w:spacing w:before="100" w:beforeAutospacing="1" w:after="100" w:afterAutospacing="1"/>
      <w:textAlignment w:val="top"/>
    </w:pPr>
    <w:rPr>
      <w:rFonts w:ascii="Arial Narrow" w:eastAsia="Arial Unicode MS" w:hAnsi="Arial Narrow" w:cs="Arial Unicode MS"/>
      <w:szCs w:val="22"/>
      <w:lang w:val="en-AU"/>
    </w:rPr>
  </w:style>
  <w:style w:type="paragraph" w:customStyle="1" w:styleId="xl26">
    <w:name w:val="xl26"/>
    <w:basedOn w:val="Normal"/>
    <w:rsid w:val="003A0F41"/>
    <w:pPr>
      <w:pBdr>
        <w:bottom w:val="single" w:sz="8" w:space="0" w:color="auto"/>
        <w:right w:val="single" w:sz="8" w:space="0" w:color="auto"/>
      </w:pBdr>
      <w:spacing w:before="100" w:beforeAutospacing="1" w:after="100" w:afterAutospacing="1"/>
      <w:jc w:val="center"/>
      <w:textAlignment w:val="top"/>
    </w:pPr>
    <w:rPr>
      <w:rFonts w:ascii="Arial Narrow" w:eastAsia="Arial Unicode MS" w:hAnsi="Arial Narrow" w:cs="Arial Unicode MS"/>
      <w:b/>
      <w:bCs/>
      <w:szCs w:val="22"/>
      <w:lang w:val="en-AU"/>
    </w:rPr>
  </w:style>
  <w:style w:type="character" w:customStyle="1" w:styleId="DocumentMapChar">
    <w:name w:val="Document Map Char"/>
    <w:basedOn w:val="DefaultParagraphFont"/>
    <w:link w:val="DocumentMap"/>
    <w:rsid w:val="003A0F41"/>
    <w:rPr>
      <w:rFonts w:ascii="Tahoma" w:eastAsia="Times New Roman" w:hAnsi="Tahoma" w:cs="Tahoma"/>
      <w:shd w:val="clear" w:color="auto" w:fill="000080"/>
      <w:lang w:val="en-GB"/>
    </w:rPr>
  </w:style>
  <w:style w:type="paragraph" w:styleId="DocumentMap">
    <w:name w:val="Document Map"/>
    <w:basedOn w:val="Normal"/>
    <w:link w:val="DocumentMapChar"/>
    <w:rsid w:val="003A0F41"/>
    <w:pPr>
      <w:shd w:val="clear" w:color="auto" w:fill="000080"/>
    </w:pPr>
    <w:rPr>
      <w:rFonts w:ascii="Tahoma" w:eastAsia="Times New Roman" w:hAnsi="Tahoma" w:cs="Tahoma"/>
      <w:sz w:val="20"/>
      <w:szCs w:val="20"/>
      <w:lang w:val="en-GB"/>
    </w:rPr>
  </w:style>
  <w:style w:type="character" w:customStyle="1" w:styleId="DocumentMapChar1">
    <w:name w:val="Document Map Char1"/>
    <w:basedOn w:val="DefaultParagraphFont"/>
    <w:uiPriority w:val="99"/>
    <w:rsid w:val="003A0F41"/>
    <w:rPr>
      <w:rFonts w:ascii="Lucida Grande" w:hAnsi="Lucida Grande"/>
      <w:sz w:val="24"/>
      <w:szCs w:val="24"/>
    </w:rPr>
  </w:style>
  <w:style w:type="character" w:styleId="EndnoteReference">
    <w:name w:val="endnote reference"/>
    <w:rsid w:val="003A0F41"/>
    <w:rPr>
      <w:vertAlign w:val="superscript"/>
    </w:rPr>
  </w:style>
  <w:style w:type="paragraph" w:customStyle="1" w:styleId="Heading2numbered">
    <w:name w:val="Heading 2 numbered"/>
    <w:basedOn w:val="Heading2"/>
    <w:next w:val="Normal"/>
    <w:rsid w:val="00F04445"/>
    <w:pPr>
      <w:keepLines w:val="0"/>
      <w:numPr>
        <w:ilvl w:val="1"/>
        <w:numId w:val="24"/>
      </w:numPr>
      <w:tabs>
        <w:tab w:val="clear" w:pos="357"/>
        <w:tab w:val="num" w:pos="288"/>
        <w:tab w:val="num" w:pos="360"/>
      </w:tabs>
      <w:spacing w:before="240" w:after="60"/>
      <w:ind w:left="0" w:firstLine="0"/>
    </w:pPr>
    <w:rPr>
      <w:rFonts w:ascii="Arial" w:eastAsia="Times New Roman" w:hAnsi="Arial" w:cs="Arial"/>
      <w:bCs w:val="0"/>
      <w:iCs/>
      <w:color w:val="auto"/>
      <w:szCs w:val="22"/>
      <w:lang w:val="en-AU" w:eastAsia="en-AU"/>
    </w:rPr>
  </w:style>
  <w:style w:type="paragraph" w:customStyle="1" w:styleId="Heading3numbered">
    <w:name w:val="Heading 3 numbered"/>
    <w:basedOn w:val="Heading3"/>
    <w:next w:val="Normal"/>
    <w:rsid w:val="00F04445"/>
    <w:pPr>
      <w:keepLines w:val="0"/>
      <w:numPr>
        <w:ilvl w:val="2"/>
        <w:numId w:val="24"/>
      </w:numPr>
      <w:tabs>
        <w:tab w:val="clear" w:pos="510"/>
        <w:tab w:val="num" w:pos="288"/>
        <w:tab w:val="num" w:pos="360"/>
      </w:tabs>
      <w:spacing w:before="360" w:after="60"/>
      <w:ind w:left="2160" w:hanging="360"/>
    </w:pPr>
    <w:rPr>
      <w:rFonts w:ascii="Arial" w:eastAsia="Times New Roman" w:hAnsi="Arial" w:cs="Times New Roman"/>
      <w:i/>
      <w:iCs/>
      <w:color w:val="auto"/>
      <w:szCs w:val="26"/>
      <w:lang w:val="en-AU"/>
    </w:rPr>
  </w:style>
  <w:style w:type="paragraph" w:customStyle="1" w:styleId="Heading1numbered">
    <w:name w:val="Heading 1 numbered"/>
    <w:basedOn w:val="Heading1"/>
    <w:rsid w:val="00F04445"/>
    <w:pPr>
      <w:numPr>
        <w:numId w:val="24"/>
      </w:numPr>
      <w:tabs>
        <w:tab w:val="clear" w:pos="357"/>
        <w:tab w:val="num" w:pos="288"/>
        <w:tab w:val="num" w:pos="360"/>
      </w:tabs>
      <w:spacing w:before="480"/>
      <w:ind w:left="0" w:firstLine="0"/>
    </w:pPr>
    <w:rPr>
      <w:rFonts w:ascii="Arial" w:hAnsi="Arial"/>
      <w:bCs w:val="0"/>
      <w:color w:val="auto"/>
      <w:kern w:val="0"/>
      <w:sz w:val="28"/>
      <w:szCs w:val="32"/>
      <w:lang w:val="en-AU" w:eastAsia="en-AU"/>
    </w:rPr>
  </w:style>
  <w:style w:type="paragraph" w:customStyle="1" w:styleId="ColorfulList-Accent11">
    <w:name w:val="Colorful List - Accent 11"/>
    <w:basedOn w:val="Normal"/>
    <w:qFormat/>
    <w:rsid w:val="00F04445"/>
    <w:pPr>
      <w:spacing w:after="200" w:line="276" w:lineRule="auto"/>
      <w:ind w:left="720"/>
      <w:contextualSpacing/>
    </w:pPr>
    <w:rPr>
      <w:rFonts w:ascii="Calibri" w:eastAsia="MS Mincho" w:hAnsi="Calibri" w:cs="Times New Roman"/>
      <w:szCs w:val="22"/>
      <w:lang w:eastAsia="ja-JP"/>
    </w:rPr>
  </w:style>
  <w:style w:type="paragraph" w:customStyle="1" w:styleId="GMOCONSBodyText">
    <w:name w:val="GMO CONS Body Text"/>
    <w:basedOn w:val="Normal"/>
    <w:qFormat/>
    <w:rsid w:val="008E3EBA"/>
    <w:pPr>
      <w:spacing w:before="120" w:after="120" w:line="260" w:lineRule="exact"/>
      <w:jc w:val="both"/>
    </w:pPr>
    <w:rPr>
      <w:rFonts w:ascii="Arial" w:eastAsia="Times New Roman" w:hAnsi="Arial" w:cs="Arial"/>
      <w:noProof/>
      <w:szCs w:val="22"/>
      <w:lang w:val="en-AU"/>
    </w:rPr>
  </w:style>
  <w:style w:type="paragraph" w:customStyle="1" w:styleId="ListNum">
    <w:name w:val="List Num"/>
    <w:basedOn w:val="Normal"/>
    <w:rsid w:val="003A46D6"/>
    <w:pPr>
      <w:numPr>
        <w:numId w:val="33"/>
      </w:numPr>
      <w:spacing w:before="120" w:after="120"/>
    </w:pPr>
    <w:rPr>
      <w:rFonts w:ascii="Arial" w:eastAsia="Times New Roman" w:hAnsi="Arial" w:cs="Times New Roman"/>
      <w:lang w:val="en-AU"/>
    </w:rPr>
  </w:style>
  <w:style w:type="table" w:styleId="TableGrid">
    <w:name w:val="Table Grid"/>
    <w:basedOn w:val="TableNormal"/>
    <w:uiPriority w:val="59"/>
    <w:rsid w:val="0066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541193021msonormal">
    <w:name w:val="yiv5541193021msonormal"/>
    <w:basedOn w:val="Normal"/>
    <w:rsid w:val="002703C1"/>
    <w:pPr>
      <w:spacing w:before="100" w:beforeAutospacing="1" w:after="100" w:afterAutospacing="1"/>
    </w:pPr>
    <w:rPr>
      <w:rFonts w:ascii="Times New Roman" w:eastAsia="Times New Roman" w:hAnsi="Times New Roman" w:cs="Times New Roman"/>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ypewriter"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53"/>
    <w:rPr>
      <w:rFonts w:ascii="Helvetica" w:hAnsi="Helvetica"/>
      <w:sz w:val="22"/>
    </w:rPr>
  </w:style>
  <w:style w:type="paragraph" w:styleId="Heading1">
    <w:name w:val="heading 1"/>
    <w:basedOn w:val="Normal"/>
    <w:next w:val="Normal"/>
    <w:link w:val="Heading1Char"/>
    <w:qFormat/>
    <w:rsid w:val="003A0F41"/>
    <w:pPr>
      <w:keepNext/>
      <w:numPr>
        <w:numId w:val="17"/>
      </w:numPr>
      <w:tabs>
        <w:tab w:val="left" w:pos="360"/>
      </w:tabs>
      <w:spacing w:before="240" w:after="60"/>
      <w:outlineLvl w:val="0"/>
    </w:pPr>
    <w:rPr>
      <w:rFonts w:ascii="Gill Sans MT" w:eastAsia="Times New Roman" w:hAnsi="Gill Sans MT" w:cs="Arial"/>
      <w:b/>
      <w:bCs/>
      <w:color w:val="FF6600"/>
      <w:kern w:val="32"/>
    </w:rPr>
  </w:style>
  <w:style w:type="paragraph" w:styleId="Heading2">
    <w:name w:val="heading 2"/>
    <w:basedOn w:val="Normal"/>
    <w:next w:val="Normal"/>
    <w:link w:val="Heading2Char"/>
    <w:qFormat/>
    <w:rsid w:val="003A0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F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0F41"/>
    <w:pPr>
      <w:keepNext/>
      <w:outlineLvl w:val="3"/>
    </w:pPr>
    <w:rPr>
      <w:rFonts w:ascii="Gill Sans MT" w:eastAsia="Times New Roman" w:hAnsi="Gill Sans MT" w:cs="Times New Roman"/>
      <w:b/>
      <w:bCs/>
      <w:sz w:val="24"/>
      <w:szCs w:val="32"/>
      <w:lang w:val="en-GB"/>
    </w:rPr>
  </w:style>
  <w:style w:type="paragraph" w:styleId="Heading8">
    <w:name w:val="heading 8"/>
    <w:basedOn w:val="Normal"/>
    <w:next w:val="Normal"/>
    <w:link w:val="Heading8Char"/>
    <w:qFormat/>
    <w:rsid w:val="003A0F41"/>
    <w:pPr>
      <w:tabs>
        <w:tab w:val="left" w:pos="360"/>
      </w:tabs>
      <w:spacing w:before="240" w:after="60"/>
      <w:outlineLvl w:val="7"/>
    </w:pPr>
    <w:rPr>
      <w:rFonts w:ascii="Gill Sans MT" w:eastAsia="Times New Roman" w:hAnsi="Gill Sans MT" w:cs="Times New Roman"/>
      <w:b/>
      <w:iCs/>
      <w:color w:val="FF66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283C19"/>
    <w:rPr>
      <w:rFonts w:ascii="Lucida Grande" w:hAnsi="Lucida Grande"/>
      <w:sz w:val="18"/>
      <w:szCs w:val="18"/>
    </w:rPr>
  </w:style>
  <w:style w:type="character" w:customStyle="1" w:styleId="BalloonTextChar">
    <w:name w:val="Balloon Text Char"/>
    <w:basedOn w:val="DefaultParagraphFont"/>
    <w:uiPriority w:val="99"/>
    <w:rsid w:val="008472F4"/>
    <w:rPr>
      <w:rFonts w:ascii="Lucida Grande" w:hAnsi="Lucida Grande"/>
      <w:sz w:val="18"/>
      <w:szCs w:val="18"/>
    </w:rPr>
  </w:style>
  <w:style w:type="character" w:customStyle="1" w:styleId="BalloonTextChar0">
    <w:name w:val="Balloon Text Char"/>
    <w:basedOn w:val="DefaultParagraphFont"/>
    <w:uiPriority w:val="99"/>
    <w:semiHidden/>
    <w:rsid w:val="00C671B0"/>
    <w:rPr>
      <w:rFonts w:ascii="Lucida Grande" w:hAnsi="Lucida Grande"/>
      <w:sz w:val="18"/>
      <w:szCs w:val="18"/>
    </w:rPr>
  </w:style>
  <w:style w:type="character" w:styleId="Hyperlink">
    <w:name w:val="Hyperlink"/>
    <w:basedOn w:val="DefaultParagraphFont"/>
    <w:unhideWhenUsed/>
    <w:rsid w:val="00AC3B00"/>
    <w:rPr>
      <w:color w:val="0000FF" w:themeColor="hyperlink"/>
      <w:u w:val="single"/>
    </w:rPr>
  </w:style>
  <w:style w:type="paragraph" w:styleId="ListParagraph">
    <w:name w:val="List Paragraph"/>
    <w:basedOn w:val="Normal"/>
    <w:uiPriority w:val="34"/>
    <w:qFormat/>
    <w:rsid w:val="00650DA3"/>
    <w:pPr>
      <w:ind w:left="720"/>
      <w:contextualSpacing/>
    </w:pPr>
  </w:style>
  <w:style w:type="paragraph" w:styleId="FootnoteText">
    <w:name w:val="footnote text"/>
    <w:basedOn w:val="Normal"/>
    <w:link w:val="FootnoteTextChar"/>
    <w:uiPriority w:val="99"/>
    <w:unhideWhenUsed/>
    <w:rsid w:val="00F92E27"/>
    <w:rPr>
      <w:sz w:val="24"/>
    </w:rPr>
  </w:style>
  <w:style w:type="character" w:customStyle="1" w:styleId="FootnoteTextChar">
    <w:name w:val="Footnote Text Char"/>
    <w:basedOn w:val="DefaultParagraphFont"/>
    <w:link w:val="FootnoteText"/>
    <w:uiPriority w:val="99"/>
    <w:rsid w:val="00F92E27"/>
    <w:rPr>
      <w:rFonts w:ascii="Helvetica" w:hAnsi="Helvetica"/>
      <w:sz w:val="24"/>
      <w:szCs w:val="24"/>
    </w:rPr>
  </w:style>
  <w:style w:type="character" w:styleId="FootnoteReference">
    <w:name w:val="footnote reference"/>
    <w:basedOn w:val="DefaultParagraphFont"/>
    <w:uiPriority w:val="99"/>
    <w:unhideWhenUsed/>
    <w:rsid w:val="00F92E27"/>
    <w:rPr>
      <w:vertAlign w:val="superscript"/>
    </w:rPr>
  </w:style>
  <w:style w:type="character" w:styleId="CommentReference">
    <w:name w:val="annotation reference"/>
    <w:basedOn w:val="DefaultParagraphFont"/>
    <w:unhideWhenUsed/>
    <w:rsid w:val="00283C19"/>
    <w:rPr>
      <w:sz w:val="18"/>
      <w:szCs w:val="18"/>
    </w:rPr>
  </w:style>
  <w:style w:type="paragraph" w:styleId="CommentText">
    <w:name w:val="annotation text"/>
    <w:basedOn w:val="Normal"/>
    <w:link w:val="CommentTextChar"/>
    <w:unhideWhenUsed/>
    <w:rsid w:val="00283C19"/>
    <w:rPr>
      <w:sz w:val="24"/>
    </w:rPr>
  </w:style>
  <w:style w:type="character" w:customStyle="1" w:styleId="CommentTextChar">
    <w:name w:val="Comment Text Char"/>
    <w:basedOn w:val="DefaultParagraphFont"/>
    <w:link w:val="CommentText"/>
    <w:rsid w:val="00283C19"/>
    <w:rPr>
      <w:rFonts w:ascii="Helvetica" w:hAnsi="Helvetica"/>
      <w:sz w:val="24"/>
      <w:szCs w:val="24"/>
    </w:rPr>
  </w:style>
  <w:style w:type="paragraph" w:styleId="CommentSubject">
    <w:name w:val="annotation subject"/>
    <w:basedOn w:val="CommentText"/>
    <w:next w:val="CommentText"/>
    <w:link w:val="CommentSubjectChar"/>
    <w:unhideWhenUsed/>
    <w:rsid w:val="00283C19"/>
    <w:rPr>
      <w:b/>
      <w:bCs/>
      <w:sz w:val="20"/>
      <w:szCs w:val="20"/>
    </w:rPr>
  </w:style>
  <w:style w:type="character" w:customStyle="1" w:styleId="CommentSubjectChar">
    <w:name w:val="Comment Subject Char"/>
    <w:basedOn w:val="CommentTextChar"/>
    <w:link w:val="CommentSubject"/>
    <w:rsid w:val="00283C19"/>
    <w:rPr>
      <w:rFonts w:ascii="Helvetica" w:hAnsi="Helvetica"/>
      <w:b/>
      <w:bCs/>
      <w:sz w:val="24"/>
      <w:szCs w:val="24"/>
    </w:rPr>
  </w:style>
  <w:style w:type="character" w:customStyle="1" w:styleId="BalloonTextChar1">
    <w:name w:val="Balloon Text Char1"/>
    <w:basedOn w:val="DefaultParagraphFont"/>
    <w:link w:val="BalloonText"/>
    <w:rsid w:val="00283C19"/>
    <w:rPr>
      <w:rFonts w:ascii="Lucida Grande" w:hAnsi="Lucida Grande"/>
      <w:sz w:val="18"/>
      <w:szCs w:val="18"/>
    </w:rPr>
  </w:style>
  <w:style w:type="paragraph" w:styleId="Footer">
    <w:name w:val="footer"/>
    <w:basedOn w:val="Normal"/>
    <w:link w:val="FooterChar"/>
    <w:unhideWhenUsed/>
    <w:rsid w:val="00775D2C"/>
    <w:pPr>
      <w:tabs>
        <w:tab w:val="center" w:pos="4320"/>
        <w:tab w:val="right" w:pos="8640"/>
      </w:tabs>
    </w:pPr>
  </w:style>
  <w:style w:type="character" w:customStyle="1" w:styleId="FooterChar">
    <w:name w:val="Footer Char"/>
    <w:basedOn w:val="DefaultParagraphFont"/>
    <w:link w:val="Footer"/>
    <w:rsid w:val="00775D2C"/>
    <w:rPr>
      <w:rFonts w:ascii="Helvetica" w:hAnsi="Helvetica"/>
      <w:sz w:val="22"/>
      <w:szCs w:val="24"/>
    </w:rPr>
  </w:style>
  <w:style w:type="character" w:styleId="PageNumber">
    <w:name w:val="page number"/>
    <w:basedOn w:val="DefaultParagraphFont"/>
    <w:unhideWhenUsed/>
    <w:rsid w:val="00775D2C"/>
  </w:style>
  <w:style w:type="paragraph" w:styleId="Header">
    <w:name w:val="header"/>
    <w:basedOn w:val="Normal"/>
    <w:link w:val="HeaderChar"/>
    <w:unhideWhenUsed/>
    <w:rsid w:val="00775D2C"/>
    <w:pPr>
      <w:tabs>
        <w:tab w:val="center" w:pos="4320"/>
        <w:tab w:val="right" w:pos="8640"/>
      </w:tabs>
    </w:pPr>
  </w:style>
  <w:style w:type="character" w:customStyle="1" w:styleId="HeaderChar">
    <w:name w:val="Header Char"/>
    <w:basedOn w:val="DefaultParagraphFont"/>
    <w:link w:val="Header"/>
    <w:rsid w:val="00775D2C"/>
    <w:rPr>
      <w:rFonts w:ascii="Helvetica" w:hAnsi="Helvetica"/>
      <w:sz w:val="22"/>
      <w:szCs w:val="24"/>
    </w:rPr>
  </w:style>
  <w:style w:type="character" w:customStyle="1" w:styleId="Heading1Char">
    <w:name w:val="Heading 1 Char"/>
    <w:basedOn w:val="DefaultParagraphFont"/>
    <w:link w:val="Heading1"/>
    <w:rsid w:val="003A0F41"/>
    <w:rPr>
      <w:rFonts w:ascii="Gill Sans MT" w:eastAsia="Times New Roman" w:hAnsi="Gill Sans MT" w:cs="Arial"/>
      <w:b/>
      <w:bCs/>
      <w:color w:val="FF6600"/>
      <w:kern w:val="32"/>
      <w:sz w:val="22"/>
      <w:szCs w:val="24"/>
    </w:rPr>
  </w:style>
  <w:style w:type="character" w:customStyle="1" w:styleId="Heading2Char">
    <w:name w:val="Heading 2 Char"/>
    <w:basedOn w:val="DefaultParagraphFont"/>
    <w:link w:val="Heading2"/>
    <w:rsid w:val="003A0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A0F41"/>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rsid w:val="003A0F41"/>
    <w:rPr>
      <w:rFonts w:ascii="Gill Sans MT" w:eastAsia="Times New Roman" w:hAnsi="Gill Sans MT" w:cs="Times New Roman"/>
      <w:b/>
      <w:bCs/>
      <w:sz w:val="24"/>
      <w:szCs w:val="32"/>
      <w:lang w:val="en-GB"/>
    </w:rPr>
  </w:style>
  <w:style w:type="character" w:customStyle="1" w:styleId="Heading8Char">
    <w:name w:val="Heading 8 Char"/>
    <w:basedOn w:val="DefaultParagraphFont"/>
    <w:link w:val="Heading8"/>
    <w:rsid w:val="003A0F41"/>
    <w:rPr>
      <w:rFonts w:ascii="Gill Sans MT" w:eastAsia="Times New Roman" w:hAnsi="Gill Sans MT" w:cs="Times New Roman"/>
      <w:b/>
      <w:iCs/>
      <w:color w:val="FF6600"/>
      <w:sz w:val="22"/>
      <w:szCs w:val="22"/>
    </w:rPr>
  </w:style>
  <w:style w:type="paragraph" w:styleId="BodyText">
    <w:name w:val="Body Text"/>
    <w:basedOn w:val="Normal"/>
    <w:link w:val="BodyTextChar"/>
    <w:rsid w:val="003A0F41"/>
    <w:pPr>
      <w:spacing w:after="120"/>
      <w:jc w:val="lowKashida"/>
    </w:pPr>
    <w:rPr>
      <w:rFonts w:ascii="Gill Sans MT" w:eastAsia="Times New Roman" w:hAnsi="Gill Sans MT" w:cs="Gill Sans MT"/>
      <w:sz w:val="24"/>
    </w:rPr>
  </w:style>
  <w:style w:type="character" w:customStyle="1" w:styleId="BodyTextChar">
    <w:name w:val="Body Text Char"/>
    <w:basedOn w:val="DefaultParagraphFont"/>
    <w:link w:val="BodyText"/>
    <w:rsid w:val="003A0F41"/>
    <w:rPr>
      <w:rFonts w:ascii="Gill Sans MT" w:eastAsia="Times New Roman" w:hAnsi="Gill Sans MT" w:cs="Gill Sans MT"/>
      <w:sz w:val="24"/>
      <w:szCs w:val="24"/>
    </w:rPr>
  </w:style>
  <w:style w:type="paragraph" w:customStyle="1" w:styleId="COVERPAGE1">
    <w:name w:val="COVER PAGE 1"/>
    <w:basedOn w:val="Normal"/>
    <w:rsid w:val="003A0F41"/>
    <w:pPr>
      <w:spacing w:after="120"/>
      <w:jc w:val="center"/>
    </w:pPr>
    <w:rPr>
      <w:rFonts w:ascii="Gill Sans MT Extra Bold" w:eastAsia="Times New Roman" w:hAnsi="Gill Sans MT Extra Bold" w:cs="Times New Roman"/>
      <w:color w:val="FF6600"/>
      <w:sz w:val="72"/>
      <w:lang w:val="en-GB" w:eastAsia="de-DE"/>
    </w:rPr>
  </w:style>
  <w:style w:type="paragraph" w:customStyle="1" w:styleId="COVERPAGE2">
    <w:name w:val="COVER PAGE 2"/>
    <w:basedOn w:val="Normal"/>
    <w:rsid w:val="003A0F41"/>
    <w:pPr>
      <w:spacing w:after="120"/>
      <w:jc w:val="center"/>
    </w:pPr>
    <w:rPr>
      <w:rFonts w:ascii="Gill Sans MT Extra Bold" w:eastAsia="Times New Roman" w:hAnsi="Gill Sans MT Extra Bold" w:cs="Times New Roman"/>
      <w:color w:val="FF6600"/>
      <w:sz w:val="48"/>
      <w:lang w:val="en-GB" w:eastAsia="de-DE"/>
    </w:rPr>
  </w:style>
  <w:style w:type="paragraph" w:customStyle="1" w:styleId="Default">
    <w:name w:val="Default"/>
    <w:rsid w:val="003A0F41"/>
    <w:pPr>
      <w:widowControl w:val="0"/>
      <w:autoSpaceDE w:val="0"/>
      <w:autoSpaceDN w:val="0"/>
      <w:adjustRightInd w:val="0"/>
    </w:pPr>
    <w:rPr>
      <w:rFonts w:ascii="Gill Sans MT" w:eastAsia="Times New Roman" w:hAnsi="Gill Sans MT" w:cs="Gill Sans MT"/>
      <w:color w:val="000000"/>
    </w:rPr>
  </w:style>
  <w:style w:type="paragraph" w:styleId="ListNumber">
    <w:name w:val="List Number"/>
    <w:rsid w:val="003A0F41"/>
    <w:pPr>
      <w:numPr>
        <w:numId w:val="14"/>
      </w:numPr>
    </w:pPr>
    <w:rPr>
      <w:rFonts w:ascii="Gill Sans MT" w:eastAsia="Times New Roman" w:hAnsi="Gill Sans MT" w:cs="Times New Roman"/>
      <w:sz w:val="22"/>
    </w:rPr>
  </w:style>
  <w:style w:type="paragraph" w:customStyle="1" w:styleId="TABLE">
    <w:name w:val="TABLE"/>
    <w:basedOn w:val="Normal"/>
    <w:rsid w:val="003A0F41"/>
    <w:pPr>
      <w:spacing w:before="60" w:after="60"/>
      <w:jc w:val="both"/>
    </w:pPr>
    <w:rPr>
      <w:rFonts w:ascii="Arial" w:eastAsia="Times New Roman" w:hAnsi="Arial" w:cs="Times New Roman"/>
      <w:sz w:val="20"/>
      <w:lang w:val="en-GB" w:eastAsia="de-DE"/>
    </w:rPr>
  </w:style>
  <w:style w:type="paragraph" w:styleId="BodyText2">
    <w:name w:val="Body Text 2"/>
    <w:aliases w:val="Body Text 22,Body Text 2 Char1,Body Text 2 Char Char Char Char7,Body Text 2 Char Char Ch Char Char1,Body Text 2 Char Char Ch Char Char2"/>
    <w:basedOn w:val="Normal"/>
    <w:link w:val="BodyText2Char"/>
    <w:rsid w:val="003A0F41"/>
    <w:rPr>
      <w:rFonts w:ascii="Times New Roman" w:eastAsia="Times New Roman" w:hAnsi="Times New Roman" w:cs="Times New Roman"/>
      <w:b/>
      <w:color w:val="C0C0C0"/>
      <w:sz w:val="28"/>
      <w:szCs w:val="28"/>
      <w:lang w:val="en-GB"/>
    </w:rPr>
  </w:style>
  <w:style w:type="character" w:customStyle="1" w:styleId="BodyText2Char">
    <w:name w:val="Body Text 2 Char"/>
    <w:aliases w:val="Body Text 22 Char,Body Text 2 Char1 Char,Body Text 2 Char Char Char Char7 Char,Body Text 2 Char Char Ch Char Char1 Char,Body Text 2 Char Char Ch Char Char2 Char1"/>
    <w:basedOn w:val="DefaultParagraphFont"/>
    <w:link w:val="BodyText2"/>
    <w:rsid w:val="003A0F41"/>
    <w:rPr>
      <w:rFonts w:ascii="Times New Roman" w:eastAsia="Times New Roman" w:hAnsi="Times New Roman" w:cs="Times New Roman"/>
      <w:b/>
      <w:color w:val="C0C0C0"/>
      <w:sz w:val="28"/>
      <w:szCs w:val="28"/>
      <w:lang w:val="en-GB"/>
    </w:rPr>
  </w:style>
  <w:style w:type="paragraph" w:styleId="ListBullet">
    <w:name w:val="List Bullet"/>
    <w:basedOn w:val="Normal"/>
    <w:rsid w:val="003A0F41"/>
    <w:pPr>
      <w:ind w:left="1440" w:hanging="360"/>
    </w:pPr>
    <w:rPr>
      <w:rFonts w:ascii="Gill Sans MT" w:eastAsia="Times New Roman" w:hAnsi="Gill Sans MT" w:cs="Times New Roman"/>
    </w:rPr>
  </w:style>
  <w:style w:type="character" w:styleId="HTMLTypewriter">
    <w:name w:val="HTML Typewriter"/>
    <w:basedOn w:val="DefaultParagraphFont"/>
    <w:rsid w:val="003A0F41"/>
    <w:rPr>
      <w:rFonts w:ascii="Courier New" w:hAnsi="Courier New" w:cs="Courier New"/>
      <w:sz w:val="20"/>
      <w:szCs w:val="20"/>
    </w:rPr>
  </w:style>
  <w:style w:type="paragraph" w:styleId="ListBullet2">
    <w:name w:val="List Bullet 2"/>
    <w:basedOn w:val="ListBullet"/>
    <w:rsid w:val="003A0F41"/>
  </w:style>
  <w:style w:type="paragraph" w:styleId="NormalIndent">
    <w:name w:val="Normal Indent"/>
    <w:basedOn w:val="Normal"/>
    <w:rsid w:val="003A0F41"/>
    <w:pPr>
      <w:numPr>
        <w:numId w:val="16"/>
      </w:numPr>
      <w:tabs>
        <w:tab w:val="clear" w:pos="720"/>
      </w:tabs>
      <w:ind w:firstLine="0"/>
    </w:pPr>
    <w:rPr>
      <w:rFonts w:ascii="Times New Roman" w:eastAsia="Times New Roman" w:hAnsi="Times New Roman" w:cs="Times New Roman"/>
      <w:sz w:val="24"/>
    </w:rPr>
  </w:style>
  <w:style w:type="paragraph" w:styleId="TOC1">
    <w:name w:val="toc 1"/>
    <w:basedOn w:val="Normal"/>
    <w:next w:val="Normal"/>
    <w:autoRedefine/>
    <w:rsid w:val="003A0F41"/>
    <w:rPr>
      <w:rFonts w:ascii="Gill Sans MT" w:eastAsia="Times New Roman" w:hAnsi="Gill Sans MT" w:cs="Times New Roman"/>
      <w:sz w:val="20"/>
    </w:rPr>
  </w:style>
  <w:style w:type="paragraph" w:styleId="TOC2">
    <w:name w:val="toc 2"/>
    <w:basedOn w:val="Normal"/>
    <w:next w:val="Normal"/>
    <w:autoRedefine/>
    <w:rsid w:val="003A0F41"/>
    <w:pPr>
      <w:ind w:left="240"/>
    </w:pPr>
    <w:rPr>
      <w:rFonts w:ascii="Times New Roman" w:eastAsia="Times New Roman" w:hAnsi="Times New Roman" w:cs="Times New Roman"/>
      <w:sz w:val="24"/>
    </w:rPr>
  </w:style>
  <w:style w:type="paragraph" w:customStyle="1" w:styleId="TOC">
    <w:name w:val="TOC"/>
    <w:rsid w:val="003A0F41"/>
    <w:rPr>
      <w:rFonts w:ascii="Gill Sans MT" w:eastAsia="Times New Roman" w:hAnsi="Gill Sans MT" w:cs="Times New Roman"/>
      <w:lang w:val="en-GB"/>
    </w:rPr>
  </w:style>
  <w:style w:type="character" w:customStyle="1" w:styleId="st">
    <w:name w:val="st"/>
    <w:basedOn w:val="DefaultParagraphFont"/>
    <w:rsid w:val="003A0F41"/>
  </w:style>
  <w:style w:type="character" w:styleId="Emphasis">
    <w:name w:val="Emphasis"/>
    <w:basedOn w:val="DefaultParagraphFont"/>
    <w:qFormat/>
    <w:rsid w:val="003A0F41"/>
    <w:rPr>
      <w:i/>
    </w:rPr>
  </w:style>
  <w:style w:type="paragraph" w:customStyle="1" w:styleId="hn-byline">
    <w:name w:val="hn-byline"/>
    <w:basedOn w:val="Normal"/>
    <w:rsid w:val="003A0F41"/>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rsid w:val="003A0F41"/>
    <w:pPr>
      <w:spacing w:before="100" w:beforeAutospacing="1" w:after="100" w:afterAutospacing="1"/>
    </w:pPr>
    <w:rPr>
      <w:rFonts w:ascii="Arial Unicode MS" w:eastAsia="Arial Unicode MS" w:hAnsi="Arial Unicode MS" w:cs="Arial Unicode MS"/>
      <w:color w:val="000000"/>
      <w:sz w:val="24"/>
    </w:rPr>
  </w:style>
  <w:style w:type="character" w:customStyle="1" w:styleId="bodytext1">
    <w:name w:val="bodytext1"/>
    <w:rsid w:val="003A0F41"/>
    <w:rPr>
      <w:rFonts w:ascii="Arial" w:hAnsi="Arial" w:cs="Arial" w:hint="default"/>
      <w:color w:val="333333"/>
      <w:sz w:val="18"/>
      <w:szCs w:val="18"/>
    </w:rPr>
  </w:style>
  <w:style w:type="character" w:customStyle="1" w:styleId="BodyText2CharCharChCharChar2Char">
    <w:name w:val="Body Text 2 Char Char Ch Char Char2 Char"/>
    <w:rsid w:val="003A0F41"/>
    <w:rPr>
      <w:b/>
      <w:bCs/>
      <w:sz w:val="24"/>
      <w:szCs w:val="24"/>
      <w:lang w:val="en-AU" w:eastAsia="en-US" w:bidi="ar-SA"/>
    </w:rPr>
  </w:style>
  <w:style w:type="character" w:customStyle="1" w:styleId="BodyText2CharCharChar">
    <w:name w:val="Body Text 2 Char Char Char"/>
    <w:rsid w:val="003A0F41"/>
    <w:rPr>
      <w:b/>
      <w:bCs/>
      <w:sz w:val="24"/>
      <w:szCs w:val="24"/>
      <w:lang w:val="en-AU" w:eastAsia="en-US" w:bidi="ar-SA"/>
    </w:rPr>
  </w:style>
  <w:style w:type="paragraph" w:styleId="BodyText3">
    <w:name w:val="Body Text 3"/>
    <w:basedOn w:val="Normal"/>
    <w:link w:val="BodyText3Char"/>
    <w:rsid w:val="003A0F41"/>
    <w:pPr>
      <w:autoSpaceDE w:val="0"/>
      <w:autoSpaceDN w:val="0"/>
      <w:adjustRightInd w:val="0"/>
      <w:jc w:val="both"/>
    </w:pPr>
    <w:rPr>
      <w:rFonts w:ascii="Arial Narrow" w:eastAsia="Times New Roman" w:hAnsi="Arial Narrow" w:cs="Times New Roman"/>
      <w:lang w:val="en-AU"/>
    </w:rPr>
  </w:style>
  <w:style w:type="character" w:customStyle="1" w:styleId="BodyText3Char">
    <w:name w:val="Body Text 3 Char"/>
    <w:basedOn w:val="DefaultParagraphFont"/>
    <w:link w:val="BodyText3"/>
    <w:rsid w:val="003A0F41"/>
    <w:rPr>
      <w:rFonts w:ascii="Arial Narrow" w:eastAsia="Times New Roman" w:hAnsi="Arial Narrow" w:cs="Times New Roman"/>
      <w:sz w:val="22"/>
      <w:szCs w:val="24"/>
      <w:lang w:val="en-AU"/>
    </w:rPr>
  </w:style>
  <w:style w:type="character" w:styleId="Strong">
    <w:name w:val="Strong"/>
    <w:qFormat/>
    <w:rsid w:val="003A0F41"/>
    <w:rPr>
      <w:b/>
      <w:bCs/>
    </w:rPr>
  </w:style>
  <w:style w:type="character" w:customStyle="1" w:styleId="reportbody1">
    <w:name w:val="reportbody1"/>
    <w:rsid w:val="003A0F41"/>
    <w:rPr>
      <w:rFonts w:ascii="Tahoma" w:hAnsi="Tahoma" w:cs="Tahoma" w:hint="default"/>
      <w:color w:val="000000"/>
      <w:sz w:val="17"/>
      <w:szCs w:val="17"/>
    </w:rPr>
  </w:style>
  <w:style w:type="character" w:customStyle="1" w:styleId="hn-date">
    <w:name w:val="hn-date"/>
    <w:basedOn w:val="DefaultParagraphFont"/>
    <w:rsid w:val="003A0F41"/>
  </w:style>
  <w:style w:type="paragraph" w:customStyle="1" w:styleId="Pa41">
    <w:name w:val="Pa4+1"/>
    <w:basedOn w:val="Default"/>
    <w:next w:val="Default"/>
    <w:rsid w:val="003A0F41"/>
    <w:pPr>
      <w:widowControl/>
      <w:spacing w:line="221" w:lineRule="atLeast"/>
    </w:pPr>
    <w:rPr>
      <w:rFonts w:ascii="Times New Roman" w:hAnsi="Times New Roman" w:cs="Times New Roman"/>
      <w:color w:val="auto"/>
    </w:rPr>
  </w:style>
  <w:style w:type="paragraph" w:customStyle="1" w:styleId="Pa6">
    <w:name w:val="Pa6"/>
    <w:basedOn w:val="Default"/>
    <w:next w:val="Default"/>
    <w:rsid w:val="003A0F41"/>
    <w:pPr>
      <w:widowControl/>
      <w:spacing w:line="221" w:lineRule="atLeast"/>
    </w:pPr>
    <w:rPr>
      <w:rFonts w:ascii="Times New Roman" w:hAnsi="Times New Roman" w:cs="Times New Roman"/>
      <w:color w:val="auto"/>
    </w:rPr>
  </w:style>
  <w:style w:type="paragraph" w:customStyle="1" w:styleId="Pa21">
    <w:name w:val="Pa21"/>
    <w:basedOn w:val="Default"/>
    <w:next w:val="Default"/>
    <w:rsid w:val="003A0F41"/>
    <w:pPr>
      <w:widowControl/>
      <w:spacing w:after="40" w:line="211" w:lineRule="atLeast"/>
    </w:pPr>
    <w:rPr>
      <w:rFonts w:ascii="Times New Roman" w:hAnsi="Times New Roman" w:cs="Times New Roman"/>
      <w:color w:val="auto"/>
    </w:rPr>
  </w:style>
  <w:style w:type="paragraph" w:customStyle="1" w:styleId="Pa8">
    <w:name w:val="Pa8"/>
    <w:basedOn w:val="Default"/>
    <w:next w:val="Default"/>
    <w:rsid w:val="003A0F41"/>
    <w:pPr>
      <w:widowControl/>
      <w:spacing w:after="160" w:line="211" w:lineRule="atLeast"/>
    </w:pPr>
    <w:rPr>
      <w:rFonts w:ascii="Arial" w:hAnsi="Arial" w:cs="Times New Roman"/>
      <w:color w:val="auto"/>
    </w:rPr>
  </w:style>
  <w:style w:type="paragraph" w:customStyle="1" w:styleId="Pa30">
    <w:name w:val="Pa30"/>
    <w:basedOn w:val="Default"/>
    <w:next w:val="Default"/>
    <w:rsid w:val="003A0F41"/>
    <w:pPr>
      <w:widowControl/>
      <w:spacing w:before="80" w:after="80" w:line="241" w:lineRule="atLeast"/>
    </w:pPr>
    <w:rPr>
      <w:rFonts w:ascii="Arial" w:hAnsi="Arial" w:cs="Times New Roman"/>
      <w:color w:val="auto"/>
    </w:rPr>
  </w:style>
  <w:style w:type="character" w:customStyle="1" w:styleId="A9">
    <w:name w:val="A9"/>
    <w:rsid w:val="003A0F41"/>
    <w:rPr>
      <w:rFonts w:cs="Arial"/>
      <w:b/>
      <w:bCs/>
      <w:color w:val="000000"/>
      <w:sz w:val="19"/>
      <w:szCs w:val="19"/>
    </w:rPr>
  </w:style>
  <w:style w:type="paragraph" w:customStyle="1" w:styleId="Pa31">
    <w:name w:val="Pa31"/>
    <w:basedOn w:val="Default"/>
    <w:next w:val="Default"/>
    <w:rsid w:val="003A0F41"/>
    <w:pPr>
      <w:widowControl/>
      <w:spacing w:before="40" w:line="241" w:lineRule="atLeast"/>
    </w:pPr>
    <w:rPr>
      <w:rFonts w:ascii="Arial" w:hAnsi="Arial" w:cs="Times New Roman"/>
      <w:color w:val="auto"/>
    </w:rPr>
  </w:style>
  <w:style w:type="character" w:customStyle="1" w:styleId="A8">
    <w:name w:val="A8"/>
    <w:rsid w:val="003A0F41"/>
    <w:rPr>
      <w:rFonts w:cs="Arial"/>
      <w:color w:val="000000"/>
      <w:sz w:val="16"/>
      <w:szCs w:val="16"/>
    </w:rPr>
  </w:style>
  <w:style w:type="paragraph" w:customStyle="1" w:styleId="Pa32">
    <w:name w:val="Pa32"/>
    <w:basedOn w:val="Default"/>
    <w:next w:val="Default"/>
    <w:rsid w:val="003A0F41"/>
    <w:pPr>
      <w:widowControl/>
      <w:spacing w:before="40" w:line="241" w:lineRule="atLeast"/>
    </w:pPr>
    <w:rPr>
      <w:rFonts w:ascii="Arial" w:hAnsi="Arial" w:cs="Times New Roman"/>
      <w:color w:val="auto"/>
    </w:rPr>
  </w:style>
  <w:style w:type="paragraph" w:customStyle="1" w:styleId="Pa33">
    <w:name w:val="Pa33"/>
    <w:basedOn w:val="Default"/>
    <w:next w:val="Default"/>
    <w:rsid w:val="003A0F41"/>
    <w:pPr>
      <w:widowControl/>
      <w:spacing w:before="40" w:line="241" w:lineRule="atLeast"/>
    </w:pPr>
    <w:rPr>
      <w:rFonts w:ascii="Arial" w:hAnsi="Arial" w:cs="Times New Roman"/>
      <w:color w:val="auto"/>
    </w:rPr>
  </w:style>
  <w:style w:type="paragraph" w:customStyle="1" w:styleId="Pa34">
    <w:name w:val="Pa34"/>
    <w:basedOn w:val="Default"/>
    <w:next w:val="Default"/>
    <w:rsid w:val="003A0F41"/>
    <w:pPr>
      <w:widowControl/>
      <w:spacing w:before="40" w:line="241" w:lineRule="atLeast"/>
    </w:pPr>
    <w:rPr>
      <w:rFonts w:ascii="Arial" w:hAnsi="Arial" w:cs="Times New Roman"/>
      <w:color w:val="auto"/>
    </w:rPr>
  </w:style>
  <w:style w:type="character" w:customStyle="1" w:styleId="eid2658614">
    <w:name w:val="e_id2658614"/>
    <w:rsid w:val="003A0F41"/>
    <w:rPr>
      <w:rFonts w:ascii="Arial" w:hAnsi="Arial" w:cs="Arial" w:hint="default"/>
      <w:sz w:val="18"/>
      <w:szCs w:val="18"/>
    </w:rPr>
  </w:style>
  <w:style w:type="character" w:customStyle="1" w:styleId="eid2415197">
    <w:name w:val="e_id2415197"/>
    <w:rsid w:val="003A0F41"/>
    <w:rPr>
      <w:rFonts w:ascii="Arial" w:hAnsi="Arial" w:cs="Arial" w:hint="default"/>
      <w:sz w:val="18"/>
      <w:szCs w:val="18"/>
    </w:rPr>
  </w:style>
  <w:style w:type="character" w:customStyle="1" w:styleId="eid2415223">
    <w:name w:val="e_id2415223"/>
    <w:rsid w:val="003A0F41"/>
    <w:rPr>
      <w:rFonts w:ascii="Arial" w:hAnsi="Arial" w:cs="Arial" w:hint="default"/>
      <w:sz w:val="18"/>
      <w:szCs w:val="18"/>
    </w:rPr>
  </w:style>
  <w:style w:type="character" w:customStyle="1" w:styleId="eid2415249">
    <w:name w:val="e_id2415249"/>
    <w:rsid w:val="003A0F41"/>
    <w:rPr>
      <w:rFonts w:ascii="Arial" w:hAnsi="Arial" w:cs="Arial" w:hint="default"/>
      <w:sz w:val="18"/>
      <w:szCs w:val="18"/>
    </w:rPr>
  </w:style>
  <w:style w:type="character" w:customStyle="1" w:styleId="eid2629125">
    <w:name w:val="e_id2629125"/>
    <w:rsid w:val="003A0F41"/>
    <w:rPr>
      <w:rFonts w:ascii="Arial" w:hAnsi="Arial" w:cs="Arial" w:hint="default"/>
      <w:sz w:val="18"/>
      <w:szCs w:val="18"/>
    </w:rPr>
  </w:style>
  <w:style w:type="character" w:customStyle="1" w:styleId="eid2629150">
    <w:name w:val="e_id2629150"/>
    <w:rsid w:val="003A0F41"/>
    <w:rPr>
      <w:rFonts w:ascii="Arial" w:hAnsi="Arial" w:cs="Arial" w:hint="default"/>
      <w:sz w:val="18"/>
      <w:szCs w:val="18"/>
    </w:rPr>
  </w:style>
  <w:style w:type="character" w:customStyle="1" w:styleId="eid2629176">
    <w:name w:val="e_id2629176"/>
    <w:rsid w:val="003A0F41"/>
    <w:rPr>
      <w:rFonts w:ascii="Arial" w:hAnsi="Arial" w:cs="Arial" w:hint="default"/>
      <w:sz w:val="18"/>
      <w:szCs w:val="18"/>
    </w:rPr>
  </w:style>
  <w:style w:type="paragraph" w:customStyle="1" w:styleId="xl27">
    <w:name w:val="xl27"/>
    <w:basedOn w:val="Normal"/>
    <w:rsid w:val="003A0F41"/>
    <w:pPr>
      <w:pBdr>
        <w:left w:val="single" w:sz="8" w:space="0" w:color="auto"/>
        <w:bottom w:val="single" w:sz="8" w:space="0" w:color="auto"/>
        <w:right w:val="single" w:sz="8" w:space="0" w:color="auto"/>
      </w:pBdr>
      <w:spacing w:before="100" w:beforeAutospacing="1" w:after="100" w:afterAutospacing="1"/>
      <w:textAlignment w:val="top"/>
    </w:pPr>
    <w:rPr>
      <w:rFonts w:ascii="Arial Narrow" w:eastAsia="Arial Unicode MS" w:hAnsi="Arial Narrow" w:cs="Arial Unicode MS"/>
      <w:szCs w:val="22"/>
      <w:lang w:val="en-AU"/>
    </w:rPr>
  </w:style>
  <w:style w:type="paragraph" w:customStyle="1" w:styleId="xl26">
    <w:name w:val="xl26"/>
    <w:basedOn w:val="Normal"/>
    <w:rsid w:val="003A0F41"/>
    <w:pPr>
      <w:pBdr>
        <w:bottom w:val="single" w:sz="8" w:space="0" w:color="auto"/>
        <w:right w:val="single" w:sz="8" w:space="0" w:color="auto"/>
      </w:pBdr>
      <w:spacing w:before="100" w:beforeAutospacing="1" w:after="100" w:afterAutospacing="1"/>
      <w:jc w:val="center"/>
      <w:textAlignment w:val="top"/>
    </w:pPr>
    <w:rPr>
      <w:rFonts w:ascii="Arial Narrow" w:eastAsia="Arial Unicode MS" w:hAnsi="Arial Narrow" w:cs="Arial Unicode MS"/>
      <w:b/>
      <w:bCs/>
      <w:szCs w:val="22"/>
      <w:lang w:val="en-AU"/>
    </w:rPr>
  </w:style>
  <w:style w:type="character" w:customStyle="1" w:styleId="DocumentMapChar">
    <w:name w:val="Document Map Char"/>
    <w:basedOn w:val="DefaultParagraphFont"/>
    <w:link w:val="DocumentMap"/>
    <w:rsid w:val="003A0F41"/>
    <w:rPr>
      <w:rFonts w:ascii="Tahoma" w:eastAsia="Times New Roman" w:hAnsi="Tahoma" w:cs="Tahoma"/>
      <w:shd w:val="clear" w:color="auto" w:fill="000080"/>
      <w:lang w:val="en-GB"/>
    </w:rPr>
  </w:style>
  <w:style w:type="paragraph" w:styleId="DocumentMap">
    <w:name w:val="Document Map"/>
    <w:basedOn w:val="Normal"/>
    <w:link w:val="DocumentMapChar"/>
    <w:rsid w:val="003A0F41"/>
    <w:pPr>
      <w:shd w:val="clear" w:color="auto" w:fill="000080"/>
    </w:pPr>
    <w:rPr>
      <w:rFonts w:ascii="Tahoma" w:eastAsia="Times New Roman" w:hAnsi="Tahoma" w:cs="Tahoma"/>
      <w:sz w:val="20"/>
      <w:szCs w:val="20"/>
      <w:lang w:val="en-GB"/>
    </w:rPr>
  </w:style>
  <w:style w:type="character" w:customStyle="1" w:styleId="DocumentMapChar1">
    <w:name w:val="Document Map Char1"/>
    <w:basedOn w:val="DefaultParagraphFont"/>
    <w:uiPriority w:val="99"/>
    <w:rsid w:val="003A0F41"/>
    <w:rPr>
      <w:rFonts w:ascii="Lucida Grande" w:hAnsi="Lucida Grande"/>
      <w:sz w:val="24"/>
      <w:szCs w:val="24"/>
    </w:rPr>
  </w:style>
  <w:style w:type="character" w:styleId="EndnoteReference">
    <w:name w:val="endnote reference"/>
    <w:rsid w:val="003A0F41"/>
    <w:rPr>
      <w:vertAlign w:val="superscript"/>
    </w:rPr>
  </w:style>
  <w:style w:type="paragraph" w:customStyle="1" w:styleId="Heading2numbered">
    <w:name w:val="Heading 2 numbered"/>
    <w:basedOn w:val="Heading2"/>
    <w:next w:val="Normal"/>
    <w:rsid w:val="00F04445"/>
    <w:pPr>
      <w:keepLines w:val="0"/>
      <w:numPr>
        <w:ilvl w:val="1"/>
        <w:numId w:val="24"/>
      </w:numPr>
      <w:tabs>
        <w:tab w:val="clear" w:pos="357"/>
        <w:tab w:val="num" w:pos="288"/>
        <w:tab w:val="num" w:pos="360"/>
      </w:tabs>
      <w:spacing w:before="240" w:after="60"/>
      <w:ind w:left="0" w:firstLine="0"/>
    </w:pPr>
    <w:rPr>
      <w:rFonts w:ascii="Arial" w:eastAsia="Times New Roman" w:hAnsi="Arial" w:cs="Arial"/>
      <w:bCs w:val="0"/>
      <w:iCs/>
      <w:color w:val="auto"/>
      <w:szCs w:val="22"/>
      <w:lang w:val="en-AU" w:eastAsia="en-AU"/>
    </w:rPr>
  </w:style>
  <w:style w:type="paragraph" w:customStyle="1" w:styleId="Heading3numbered">
    <w:name w:val="Heading 3 numbered"/>
    <w:basedOn w:val="Heading3"/>
    <w:next w:val="Normal"/>
    <w:rsid w:val="00F04445"/>
    <w:pPr>
      <w:keepLines w:val="0"/>
      <w:numPr>
        <w:ilvl w:val="2"/>
        <w:numId w:val="24"/>
      </w:numPr>
      <w:tabs>
        <w:tab w:val="clear" w:pos="510"/>
        <w:tab w:val="num" w:pos="288"/>
        <w:tab w:val="num" w:pos="360"/>
      </w:tabs>
      <w:spacing w:before="360" w:after="60"/>
      <w:ind w:left="2160" w:hanging="360"/>
    </w:pPr>
    <w:rPr>
      <w:rFonts w:ascii="Arial" w:eastAsia="Times New Roman" w:hAnsi="Arial" w:cs="Times New Roman"/>
      <w:i/>
      <w:iCs/>
      <w:color w:val="auto"/>
      <w:szCs w:val="26"/>
      <w:lang w:val="en-AU"/>
    </w:rPr>
  </w:style>
  <w:style w:type="paragraph" w:customStyle="1" w:styleId="Heading1numbered">
    <w:name w:val="Heading 1 numbered"/>
    <w:basedOn w:val="Heading1"/>
    <w:rsid w:val="00F04445"/>
    <w:pPr>
      <w:numPr>
        <w:numId w:val="24"/>
      </w:numPr>
      <w:tabs>
        <w:tab w:val="clear" w:pos="357"/>
        <w:tab w:val="num" w:pos="288"/>
        <w:tab w:val="num" w:pos="360"/>
      </w:tabs>
      <w:spacing w:before="480"/>
      <w:ind w:left="0" w:firstLine="0"/>
    </w:pPr>
    <w:rPr>
      <w:rFonts w:ascii="Arial" w:hAnsi="Arial"/>
      <w:bCs w:val="0"/>
      <w:color w:val="auto"/>
      <w:kern w:val="0"/>
      <w:sz w:val="28"/>
      <w:szCs w:val="32"/>
      <w:lang w:val="en-AU" w:eastAsia="en-AU"/>
    </w:rPr>
  </w:style>
  <w:style w:type="paragraph" w:customStyle="1" w:styleId="ColorfulList-Accent11">
    <w:name w:val="Colorful List - Accent 11"/>
    <w:basedOn w:val="Normal"/>
    <w:qFormat/>
    <w:rsid w:val="00F04445"/>
    <w:pPr>
      <w:spacing w:after="200" w:line="276" w:lineRule="auto"/>
      <w:ind w:left="720"/>
      <w:contextualSpacing/>
    </w:pPr>
    <w:rPr>
      <w:rFonts w:ascii="Calibri" w:eastAsia="MS Mincho" w:hAnsi="Calibri" w:cs="Times New Roman"/>
      <w:szCs w:val="22"/>
      <w:lang w:eastAsia="ja-JP"/>
    </w:rPr>
  </w:style>
  <w:style w:type="paragraph" w:customStyle="1" w:styleId="GMOCONSBodyText">
    <w:name w:val="GMO CONS Body Text"/>
    <w:basedOn w:val="Normal"/>
    <w:qFormat/>
    <w:rsid w:val="008E3EBA"/>
    <w:pPr>
      <w:spacing w:before="120" w:after="120" w:line="260" w:lineRule="exact"/>
      <w:jc w:val="both"/>
    </w:pPr>
    <w:rPr>
      <w:rFonts w:ascii="Arial" w:eastAsia="Times New Roman" w:hAnsi="Arial" w:cs="Arial"/>
      <w:noProof/>
      <w:szCs w:val="22"/>
      <w:lang w:val="en-AU"/>
    </w:rPr>
  </w:style>
  <w:style w:type="paragraph" w:customStyle="1" w:styleId="ListNum">
    <w:name w:val="List Num"/>
    <w:basedOn w:val="Normal"/>
    <w:rsid w:val="003A46D6"/>
    <w:pPr>
      <w:numPr>
        <w:numId w:val="33"/>
      </w:numPr>
      <w:spacing w:before="120" w:after="120"/>
    </w:pPr>
    <w:rPr>
      <w:rFonts w:ascii="Arial" w:eastAsia="Times New Roman" w:hAnsi="Arial" w:cs="Times New Roman"/>
      <w:lang w:val="en-AU"/>
    </w:rPr>
  </w:style>
  <w:style w:type="table" w:styleId="TableGrid">
    <w:name w:val="Table Grid"/>
    <w:basedOn w:val="TableNormal"/>
    <w:uiPriority w:val="59"/>
    <w:rsid w:val="0066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541193021msonormal">
    <w:name w:val="yiv5541193021msonormal"/>
    <w:basedOn w:val="Normal"/>
    <w:rsid w:val="002703C1"/>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info@rcgglobal.net" TargetMode="External"/><Relationship Id="rId17" Type="http://schemas.openxmlformats.org/officeDocument/2006/relationships/hyperlink" Target="http://www.rcgglobal.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FEEDA7-D1AF-47B3-B771-6B5DF72C61B1}"/>
</file>

<file path=customXml/itemProps2.xml><?xml version="1.0" encoding="utf-8"?>
<ds:datastoreItem xmlns:ds="http://schemas.openxmlformats.org/officeDocument/2006/customXml" ds:itemID="{0A2931C0-69EB-4B0E-B001-194DAD2C254D}"/>
</file>

<file path=customXml/itemProps3.xml><?xml version="1.0" encoding="utf-8"?>
<ds:datastoreItem xmlns:ds="http://schemas.openxmlformats.org/officeDocument/2006/customXml" ds:itemID="{E9EB2E34-3F08-4FCC-8F72-81207AE398D5}"/>
</file>

<file path=customXml/itemProps4.xml><?xml version="1.0" encoding="utf-8"?>
<ds:datastoreItem xmlns:ds="http://schemas.openxmlformats.org/officeDocument/2006/customXml" ds:itemID="{5A488552-9347-4026-A7AA-3FCA565BEF69}"/>
</file>

<file path=docProps/app.xml><?xml version="1.0" encoding="utf-8"?>
<Properties xmlns="http://schemas.openxmlformats.org/officeDocument/2006/extended-properties" xmlns:vt="http://schemas.openxmlformats.org/officeDocument/2006/docPropsVTypes">
  <Template>687BEC13</Template>
  <TotalTime>1</TotalTime>
  <Pages>29</Pages>
  <Words>12418</Words>
  <Characters>72295</Characters>
  <Application>Microsoft Office Word</Application>
  <DocSecurity>4</DocSecurity>
  <Lines>1409</Lines>
  <Paragraphs>330</Paragraphs>
  <ScaleCrop>false</ScaleCrop>
  <HeadingPairs>
    <vt:vector size="2" baseType="variant">
      <vt:variant>
        <vt:lpstr>Title</vt:lpstr>
      </vt:variant>
      <vt:variant>
        <vt:i4>1</vt:i4>
      </vt:variant>
    </vt:vector>
  </HeadingPairs>
  <TitlesOfParts>
    <vt:vector size="1" baseType="lpstr">
      <vt:lpstr/>
    </vt:vector>
  </TitlesOfParts>
  <Company>Scott Rankin Consulting</Company>
  <LinksUpToDate>false</LinksUpToDate>
  <CharactersWithSpaces>84631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Rankin</dc:creator>
  <cp:lastModifiedBy>Ffrench, Tom</cp:lastModifiedBy>
  <cp:revision>2</cp:revision>
  <cp:lastPrinted>2015-01-01T23:16:00Z</cp:lastPrinted>
  <dcterms:created xsi:type="dcterms:W3CDTF">2015-03-03T04:41:00Z</dcterms:created>
  <dcterms:modified xsi:type="dcterms:W3CDTF">2015-03-03T04:41:00Z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940200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