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60" w:rsidRDefault="00034B60" w:rsidP="00034B60">
      <w:pPr>
        <w:suppressAutoHyphens w:val="0"/>
        <w:autoSpaceDE/>
        <w:autoSpaceDN/>
        <w:adjustRightInd/>
        <w:spacing w:before="0" w:after="0" w:line="240" w:lineRule="auto"/>
        <w:ind w:left="-567" w:right="-347" w:firstLine="567"/>
        <w:jc w:val="center"/>
        <w:textAlignment w:val="auto"/>
        <w:rPr>
          <w:rFonts w:asciiTheme="minorHAnsi" w:eastAsiaTheme="majorEastAsia" w:hAnsiTheme="minorHAnsi" w:cstheme="minorHAnsi"/>
          <w:b/>
          <w:color w:val="0087A2"/>
          <w:spacing w:val="5"/>
          <w:kern w:val="28"/>
          <w:sz w:val="40"/>
          <w:szCs w:val="32"/>
        </w:rPr>
      </w:pPr>
    </w:p>
    <w:p w:rsidR="00034B60" w:rsidRDefault="00034B60" w:rsidP="00034B60">
      <w:pPr>
        <w:suppressAutoHyphens w:val="0"/>
        <w:autoSpaceDE/>
        <w:autoSpaceDN/>
        <w:adjustRightInd/>
        <w:spacing w:before="0" w:after="0" w:line="240" w:lineRule="auto"/>
        <w:ind w:left="-567" w:right="-347" w:firstLine="567"/>
        <w:jc w:val="center"/>
        <w:textAlignment w:val="auto"/>
        <w:rPr>
          <w:rFonts w:asciiTheme="minorHAnsi" w:eastAsiaTheme="majorEastAsia" w:hAnsiTheme="minorHAnsi" w:cstheme="minorHAnsi"/>
          <w:b/>
          <w:color w:val="0087A2"/>
          <w:spacing w:val="5"/>
          <w:kern w:val="28"/>
          <w:sz w:val="40"/>
          <w:szCs w:val="32"/>
        </w:rPr>
      </w:pPr>
    </w:p>
    <w:p w:rsidR="00034B60" w:rsidRDefault="00034B60" w:rsidP="00034B60">
      <w:pPr>
        <w:suppressAutoHyphens w:val="0"/>
        <w:autoSpaceDE/>
        <w:autoSpaceDN/>
        <w:adjustRightInd/>
        <w:spacing w:before="0" w:after="0" w:line="240" w:lineRule="auto"/>
        <w:ind w:left="-567" w:right="-347" w:firstLine="567"/>
        <w:jc w:val="center"/>
        <w:textAlignment w:val="auto"/>
        <w:rPr>
          <w:rFonts w:asciiTheme="minorHAnsi" w:eastAsiaTheme="majorEastAsia" w:hAnsiTheme="minorHAnsi" w:cstheme="minorHAnsi"/>
          <w:b/>
          <w:color w:val="0087A2"/>
          <w:spacing w:val="5"/>
          <w:kern w:val="28"/>
          <w:sz w:val="40"/>
          <w:szCs w:val="32"/>
        </w:rPr>
      </w:pPr>
    </w:p>
    <w:p w:rsidR="00034B60" w:rsidRDefault="00034B60" w:rsidP="00034B60">
      <w:pPr>
        <w:suppressAutoHyphens w:val="0"/>
        <w:autoSpaceDE/>
        <w:autoSpaceDN/>
        <w:adjustRightInd/>
        <w:spacing w:before="0" w:after="0" w:line="240" w:lineRule="auto"/>
        <w:ind w:left="-567" w:right="-347" w:firstLine="567"/>
        <w:jc w:val="center"/>
        <w:textAlignment w:val="auto"/>
        <w:rPr>
          <w:rFonts w:asciiTheme="minorHAnsi" w:eastAsiaTheme="majorEastAsia" w:hAnsiTheme="minorHAnsi" w:cstheme="minorHAnsi"/>
          <w:b/>
          <w:color w:val="0087A2"/>
          <w:spacing w:val="5"/>
          <w:kern w:val="28"/>
          <w:sz w:val="40"/>
          <w:szCs w:val="32"/>
        </w:rPr>
      </w:pPr>
    </w:p>
    <w:p w:rsidR="00034B60" w:rsidRDefault="00034B60" w:rsidP="00034B60">
      <w:pPr>
        <w:suppressAutoHyphens w:val="0"/>
        <w:autoSpaceDE/>
        <w:autoSpaceDN/>
        <w:adjustRightInd/>
        <w:spacing w:before="0" w:after="0" w:line="240" w:lineRule="auto"/>
        <w:ind w:left="-567" w:right="-347" w:firstLine="567"/>
        <w:jc w:val="center"/>
        <w:textAlignment w:val="auto"/>
        <w:rPr>
          <w:rFonts w:asciiTheme="minorHAnsi" w:eastAsiaTheme="majorEastAsia" w:hAnsiTheme="minorHAnsi" w:cstheme="minorHAnsi"/>
          <w:b/>
          <w:color w:val="0087A2"/>
          <w:spacing w:val="5"/>
          <w:kern w:val="28"/>
          <w:sz w:val="40"/>
          <w:szCs w:val="32"/>
        </w:rPr>
      </w:pPr>
    </w:p>
    <w:p w:rsidR="00034B60" w:rsidRDefault="00034B60" w:rsidP="00034B60">
      <w:pPr>
        <w:suppressAutoHyphens w:val="0"/>
        <w:autoSpaceDE/>
        <w:autoSpaceDN/>
        <w:adjustRightInd/>
        <w:spacing w:before="0" w:after="0" w:line="240" w:lineRule="auto"/>
        <w:ind w:left="-567" w:right="-347" w:firstLine="567"/>
        <w:jc w:val="center"/>
        <w:textAlignment w:val="auto"/>
        <w:rPr>
          <w:rFonts w:asciiTheme="minorHAnsi" w:eastAsiaTheme="majorEastAsia" w:hAnsiTheme="minorHAnsi" w:cstheme="minorHAnsi"/>
          <w:b/>
          <w:color w:val="0087A2"/>
          <w:spacing w:val="5"/>
          <w:kern w:val="28"/>
          <w:sz w:val="40"/>
          <w:szCs w:val="32"/>
        </w:rPr>
      </w:pPr>
    </w:p>
    <w:p w:rsidR="00034B60" w:rsidRDefault="00034B60" w:rsidP="00034B60">
      <w:pPr>
        <w:suppressAutoHyphens w:val="0"/>
        <w:autoSpaceDE/>
        <w:autoSpaceDN/>
        <w:adjustRightInd/>
        <w:spacing w:before="0" w:after="0" w:line="240" w:lineRule="auto"/>
        <w:ind w:left="-567" w:right="-347" w:firstLine="567"/>
        <w:jc w:val="center"/>
        <w:textAlignment w:val="auto"/>
        <w:rPr>
          <w:rFonts w:asciiTheme="minorHAnsi" w:eastAsiaTheme="majorEastAsia" w:hAnsiTheme="minorHAnsi" w:cstheme="minorHAnsi"/>
          <w:b/>
          <w:color w:val="0087A2"/>
          <w:spacing w:val="5"/>
          <w:kern w:val="28"/>
          <w:sz w:val="40"/>
          <w:szCs w:val="32"/>
        </w:rPr>
      </w:pPr>
    </w:p>
    <w:p w:rsidR="00034B60" w:rsidRPr="00D3069F" w:rsidRDefault="00034B60" w:rsidP="00034B60">
      <w:pPr>
        <w:suppressAutoHyphens w:val="0"/>
        <w:autoSpaceDE/>
        <w:autoSpaceDN/>
        <w:adjustRightInd/>
        <w:spacing w:before="0" w:after="0" w:line="240" w:lineRule="auto"/>
        <w:ind w:left="-567" w:right="-347" w:firstLine="567"/>
        <w:jc w:val="center"/>
        <w:textAlignment w:val="auto"/>
        <w:rPr>
          <w:rFonts w:asciiTheme="minorHAnsi" w:eastAsiaTheme="majorEastAsia" w:hAnsiTheme="minorHAnsi" w:cstheme="minorHAnsi"/>
          <w:b/>
          <w:color w:val="0087A2"/>
          <w:spacing w:val="5"/>
          <w:kern w:val="28"/>
          <w:sz w:val="40"/>
          <w:szCs w:val="32"/>
        </w:rPr>
      </w:pPr>
      <w:r w:rsidRPr="00D3069F">
        <w:rPr>
          <w:rFonts w:asciiTheme="minorHAnsi" w:eastAsiaTheme="majorEastAsia" w:hAnsiTheme="minorHAnsi" w:cstheme="minorHAnsi"/>
          <w:b/>
          <w:color w:val="0087A2"/>
          <w:spacing w:val="5"/>
          <w:kern w:val="28"/>
          <w:sz w:val="40"/>
          <w:szCs w:val="32"/>
        </w:rPr>
        <w:t>Risk Management Review of the</w:t>
      </w:r>
      <w:r>
        <w:rPr>
          <w:rFonts w:asciiTheme="minorHAnsi" w:eastAsiaTheme="majorEastAsia" w:hAnsiTheme="minorHAnsi" w:cstheme="minorHAnsi"/>
          <w:b/>
          <w:color w:val="0087A2"/>
          <w:spacing w:val="5"/>
          <w:kern w:val="28"/>
          <w:sz w:val="40"/>
          <w:szCs w:val="32"/>
        </w:rPr>
        <w:t xml:space="preserve"> Australia-</w:t>
      </w:r>
      <w:r w:rsidRPr="00D3069F">
        <w:rPr>
          <w:rFonts w:asciiTheme="minorHAnsi" w:eastAsiaTheme="majorEastAsia" w:hAnsiTheme="minorHAnsi" w:cstheme="minorHAnsi"/>
          <w:b/>
          <w:color w:val="0087A2"/>
          <w:spacing w:val="5"/>
          <w:kern w:val="28"/>
          <w:sz w:val="40"/>
          <w:szCs w:val="32"/>
        </w:rPr>
        <w:t xml:space="preserve">Middle East NGO Cooperation </w:t>
      </w:r>
      <w:r>
        <w:rPr>
          <w:rFonts w:asciiTheme="minorHAnsi" w:eastAsiaTheme="majorEastAsia" w:hAnsiTheme="minorHAnsi" w:cstheme="minorHAnsi"/>
          <w:b/>
          <w:color w:val="0087A2"/>
          <w:spacing w:val="5"/>
          <w:kern w:val="28"/>
          <w:sz w:val="40"/>
          <w:szCs w:val="32"/>
        </w:rPr>
        <w:t>A</w:t>
      </w:r>
      <w:r w:rsidRPr="00D3069F">
        <w:rPr>
          <w:rFonts w:asciiTheme="minorHAnsi" w:eastAsiaTheme="majorEastAsia" w:hAnsiTheme="minorHAnsi" w:cstheme="minorHAnsi"/>
          <w:b/>
          <w:color w:val="0087A2"/>
          <w:spacing w:val="5"/>
          <w:kern w:val="28"/>
          <w:sz w:val="40"/>
          <w:szCs w:val="32"/>
        </w:rPr>
        <w:t>greement</w:t>
      </w:r>
    </w:p>
    <w:p w:rsidR="00034B60" w:rsidRDefault="00034B60" w:rsidP="00034B60">
      <w:pPr>
        <w:suppressAutoHyphens w:val="0"/>
        <w:autoSpaceDE/>
        <w:autoSpaceDN/>
        <w:adjustRightInd/>
        <w:spacing w:before="0" w:after="0" w:line="240" w:lineRule="auto"/>
        <w:ind w:left="0" w:firstLine="0"/>
        <w:jc w:val="center"/>
        <w:textAlignment w:val="auto"/>
        <w:rPr>
          <w:rFonts w:asciiTheme="minorHAnsi" w:eastAsiaTheme="majorEastAsia" w:hAnsiTheme="minorHAnsi" w:cstheme="minorHAnsi"/>
          <w:b/>
          <w:color w:val="0087A2"/>
          <w:spacing w:val="5"/>
          <w:kern w:val="28"/>
          <w:sz w:val="40"/>
          <w:szCs w:val="32"/>
        </w:rPr>
      </w:pPr>
    </w:p>
    <w:p w:rsidR="00034B60" w:rsidRDefault="00034B60" w:rsidP="00034B60">
      <w:pPr>
        <w:suppressAutoHyphens w:val="0"/>
        <w:autoSpaceDE/>
        <w:autoSpaceDN/>
        <w:adjustRightInd/>
        <w:spacing w:before="0" w:after="0" w:line="240" w:lineRule="auto"/>
        <w:ind w:left="0" w:firstLine="0"/>
        <w:jc w:val="center"/>
        <w:textAlignment w:val="auto"/>
        <w:rPr>
          <w:rFonts w:asciiTheme="minorHAnsi" w:eastAsiaTheme="majorEastAsia" w:hAnsiTheme="minorHAnsi" w:cstheme="minorHAnsi"/>
          <w:b/>
          <w:color w:val="0087A2"/>
          <w:spacing w:val="5"/>
          <w:kern w:val="28"/>
          <w:sz w:val="40"/>
          <w:szCs w:val="32"/>
        </w:rPr>
      </w:pPr>
      <w:r>
        <w:rPr>
          <w:rFonts w:asciiTheme="minorHAnsi" w:eastAsiaTheme="majorEastAsia" w:hAnsiTheme="minorHAnsi" w:cstheme="minorHAnsi"/>
          <w:b/>
          <w:color w:val="0087A2"/>
          <w:spacing w:val="5"/>
          <w:kern w:val="28"/>
          <w:sz w:val="40"/>
          <w:szCs w:val="32"/>
        </w:rPr>
        <w:t>______________________________________________________</w:t>
      </w:r>
    </w:p>
    <w:p w:rsidR="00034B60" w:rsidRDefault="00034B60" w:rsidP="00034B60">
      <w:pPr>
        <w:suppressAutoHyphens w:val="0"/>
        <w:autoSpaceDE/>
        <w:autoSpaceDN/>
        <w:adjustRightInd/>
        <w:spacing w:before="0" w:after="0" w:line="240" w:lineRule="auto"/>
        <w:ind w:left="0" w:firstLine="0"/>
        <w:jc w:val="center"/>
        <w:textAlignment w:val="auto"/>
        <w:rPr>
          <w:rFonts w:asciiTheme="minorHAnsi" w:eastAsiaTheme="majorEastAsia" w:hAnsiTheme="minorHAnsi" w:cstheme="minorHAnsi"/>
          <w:b/>
          <w:color w:val="0087A2"/>
          <w:spacing w:val="5"/>
          <w:kern w:val="28"/>
          <w:sz w:val="40"/>
          <w:szCs w:val="32"/>
        </w:rPr>
      </w:pPr>
    </w:p>
    <w:p w:rsidR="00034B60" w:rsidRDefault="00034B60" w:rsidP="00034B60">
      <w:pPr>
        <w:suppressAutoHyphens w:val="0"/>
        <w:autoSpaceDE/>
        <w:autoSpaceDN/>
        <w:adjustRightInd/>
        <w:spacing w:before="0" w:after="0" w:line="240" w:lineRule="auto"/>
        <w:ind w:left="0" w:firstLine="0"/>
        <w:jc w:val="center"/>
        <w:textAlignment w:val="auto"/>
        <w:rPr>
          <w:rFonts w:asciiTheme="minorHAnsi" w:eastAsiaTheme="majorEastAsia" w:hAnsiTheme="minorHAnsi" w:cstheme="minorHAnsi"/>
          <w:b/>
          <w:color w:val="0087A2"/>
          <w:spacing w:val="5"/>
          <w:kern w:val="28"/>
          <w:sz w:val="40"/>
          <w:szCs w:val="32"/>
        </w:rPr>
      </w:pPr>
    </w:p>
    <w:p w:rsidR="00034B60" w:rsidRDefault="0014559F" w:rsidP="00034B60">
      <w:pPr>
        <w:suppressAutoHyphens w:val="0"/>
        <w:autoSpaceDE/>
        <w:autoSpaceDN/>
        <w:adjustRightInd/>
        <w:spacing w:before="0" w:after="0" w:line="240" w:lineRule="auto"/>
        <w:ind w:left="0" w:firstLine="0"/>
        <w:jc w:val="center"/>
        <w:textAlignment w:val="auto"/>
        <w:rPr>
          <w:rFonts w:asciiTheme="minorHAnsi" w:eastAsiaTheme="majorEastAsia" w:hAnsiTheme="minorHAnsi" w:cstheme="minorHAnsi"/>
          <w:b/>
          <w:color w:val="0087A2"/>
          <w:spacing w:val="5"/>
          <w:kern w:val="28"/>
          <w:sz w:val="40"/>
          <w:szCs w:val="32"/>
        </w:rPr>
      </w:pPr>
      <w:r>
        <w:rPr>
          <w:rFonts w:asciiTheme="minorHAnsi" w:eastAsiaTheme="majorEastAsia" w:hAnsiTheme="minorHAnsi" w:cstheme="minorHAnsi"/>
          <w:b/>
          <w:color w:val="0087A2"/>
          <w:spacing w:val="5"/>
          <w:kern w:val="28"/>
          <w:sz w:val="40"/>
          <w:szCs w:val="32"/>
        </w:rPr>
        <w:t xml:space="preserve">FINAL </w:t>
      </w:r>
      <w:r w:rsidR="00034B60">
        <w:rPr>
          <w:rFonts w:asciiTheme="minorHAnsi" w:eastAsiaTheme="majorEastAsia" w:hAnsiTheme="minorHAnsi" w:cstheme="minorHAnsi"/>
          <w:b/>
          <w:color w:val="0087A2"/>
          <w:spacing w:val="5"/>
          <w:kern w:val="28"/>
          <w:sz w:val="40"/>
          <w:szCs w:val="32"/>
        </w:rPr>
        <w:t>REPORT</w:t>
      </w:r>
    </w:p>
    <w:p w:rsidR="0014559F" w:rsidRDefault="0014559F" w:rsidP="00034B60">
      <w:pPr>
        <w:suppressAutoHyphens w:val="0"/>
        <w:autoSpaceDE/>
        <w:autoSpaceDN/>
        <w:adjustRightInd/>
        <w:spacing w:before="0" w:after="0" w:line="240" w:lineRule="auto"/>
        <w:ind w:left="0" w:firstLine="0"/>
        <w:jc w:val="center"/>
        <w:textAlignment w:val="auto"/>
        <w:rPr>
          <w:rFonts w:asciiTheme="minorHAnsi" w:eastAsiaTheme="majorEastAsia" w:hAnsiTheme="minorHAnsi" w:cstheme="minorHAnsi"/>
          <w:b/>
          <w:color w:val="0087A2"/>
          <w:spacing w:val="5"/>
          <w:kern w:val="28"/>
          <w:sz w:val="40"/>
          <w:szCs w:val="32"/>
        </w:rPr>
      </w:pPr>
    </w:p>
    <w:p w:rsidR="0014559F" w:rsidRPr="0014559F" w:rsidRDefault="0014559F" w:rsidP="00034B60">
      <w:pPr>
        <w:suppressAutoHyphens w:val="0"/>
        <w:autoSpaceDE/>
        <w:autoSpaceDN/>
        <w:adjustRightInd/>
        <w:spacing w:before="0" w:after="0" w:line="240" w:lineRule="auto"/>
        <w:ind w:left="0" w:firstLine="0"/>
        <w:jc w:val="center"/>
        <w:textAlignment w:val="auto"/>
        <w:rPr>
          <w:sz w:val="32"/>
          <w:szCs w:val="32"/>
        </w:rPr>
      </w:pPr>
      <w:r w:rsidRPr="0014559F">
        <w:rPr>
          <w:rFonts w:asciiTheme="minorHAnsi" w:eastAsiaTheme="majorEastAsia" w:hAnsiTheme="minorHAnsi" w:cstheme="minorHAnsi"/>
          <w:b/>
          <w:color w:val="0087A2"/>
          <w:spacing w:val="5"/>
          <w:kern w:val="28"/>
          <w:sz w:val="32"/>
          <w:szCs w:val="32"/>
        </w:rPr>
        <w:t>May 2014</w:t>
      </w: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14559F">
      <w:pPr>
        <w:suppressAutoHyphens w:val="0"/>
        <w:autoSpaceDE/>
        <w:autoSpaceDN/>
        <w:adjustRightInd/>
        <w:spacing w:before="0" w:after="0" w:line="240" w:lineRule="auto"/>
        <w:ind w:left="0" w:firstLine="0"/>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034B60" w:rsidRDefault="00034B60" w:rsidP="00034B60">
      <w:pPr>
        <w:suppressAutoHyphens w:val="0"/>
        <w:autoSpaceDE/>
        <w:autoSpaceDN/>
        <w:adjustRightInd/>
        <w:spacing w:before="0" w:after="0" w:line="240" w:lineRule="auto"/>
        <w:ind w:left="0" w:firstLine="0"/>
        <w:jc w:val="center"/>
        <w:textAlignment w:val="auto"/>
      </w:pPr>
    </w:p>
    <w:p w:rsidR="00C82E71" w:rsidRDefault="00C82E71" w:rsidP="00034B60">
      <w:pPr>
        <w:shd w:val="clear" w:color="auto" w:fill="4F81BD" w:themeFill="accent1"/>
        <w:ind w:left="0" w:firstLine="0"/>
        <w:rPr>
          <w:color w:val="FFFFFF" w:themeColor="background1"/>
        </w:rPr>
        <w:sectPr w:rsidR="00C82E71" w:rsidSect="005E6356">
          <w:footerReference w:type="even" r:id="rId9"/>
          <w:footerReference w:type="default" r:id="rId10"/>
          <w:pgSz w:w="11900" w:h="16840"/>
          <w:pgMar w:top="1440" w:right="1800" w:bottom="1440" w:left="1800" w:header="708" w:footer="708" w:gutter="0"/>
          <w:pgNumType w:start="1"/>
          <w:cols w:space="708"/>
          <w:docGrid w:linePitch="360"/>
        </w:sectPr>
      </w:pPr>
    </w:p>
    <w:p w:rsidR="008A3A51" w:rsidRDefault="008A3A51" w:rsidP="0014559F">
      <w:pPr>
        <w:pStyle w:val="ListNumber"/>
        <w:numPr>
          <w:ilvl w:val="0"/>
          <w:numId w:val="14"/>
        </w:numPr>
      </w:pPr>
      <w:r>
        <w:lastRenderedPageBreak/>
        <w:t>INTRODUCTION</w:t>
      </w:r>
    </w:p>
    <w:p w:rsidR="00034B60" w:rsidRPr="00A0783E" w:rsidRDefault="00034B60" w:rsidP="00034B60">
      <w:pPr>
        <w:shd w:val="clear" w:color="auto" w:fill="4F81BD" w:themeFill="accent1"/>
        <w:ind w:left="0" w:firstLine="0"/>
        <w:rPr>
          <w:color w:val="FFFFFF" w:themeColor="background1"/>
          <w:sz w:val="24"/>
          <w:szCs w:val="24"/>
        </w:rPr>
      </w:pPr>
      <w:r w:rsidRPr="00A0783E">
        <w:rPr>
          <w:color w:val="FFFFFF" w:themeColor="background1"/>
          <w:sz w:val="24"/>
          <w:szCs w:val="24"/>
        </w:rPr>
        <w:t>Background</w:t>
      </w:r>
    </w:p>
    <w:p w:rsidR="00034B60" w:rsidRPr="00CE378B" w:rsidRDefault="00034B60" w:rsidP="00C94725">
      <w:pPr>
        <w:suppressAutoHyphens w:val="0"/>
        <w:autoSpaceDE/>
        <w:autoSpaceDN/>
        <w:adjustRightInd/>
        <w:spacing w:before="0" w:after="0" w:line="240" w:lineRule="auto"/>
        <w:ind w:left="0" w:firstLine="0"/>
        <w:jc w:val="left"/>
        <w:textAlignment w:val="auto"/>
        <w:rPr>
          <w:rFonts w:eastAsia="Calibri" w:cs="Times New Roman"/>
          <w:color w:val="auto"/>
          <w:szCs w:val="22"/>
          <w:lang w:val="en-AU"/>
        </w:rPr>
      </w:pPr>
      <w:r w:rsidRPr="00CE378B">
        <w:rPr>
          <w:rFonts w:eastAsia="Calibri" w:cs="Times New Roman"/>
          <w:color w:val="auto"/>
          <w:szCs w:val="22"/>
          <w:lang w:val="en-AU"/>
        </w:rPr>
        <w:t>As part of Australia’s overall contribution to the Palestinian Territories, the Australia Middle-East NGOs Cooperation Agreement (AMENCA) is a $35.4 million program, representing a significant sized NGO program. The program began in 2006 and is currently in the fifth of its six-year duration. The AMENCA program’s objective is to improve livelihoods to reduce the socio-economic vulnerability of the Palestinian people</w:t>
      </w:r>
      <w:r w:rsidRPr="00CE378B" w:rsidDel="002865A5">
        <w:rPr>
          <w:rFonts w:eastAsia="Calibri" w:cs="Times New Roman"/>
          <w:color w:val="auto"/>
          <w:szCs w:val="22"/>
          <w:lang w:val="en-AU"/>
        </w:rPr>
        <w:t xml:space="preserve"> </w:t>
      </w:r>
      <w:r w:rsidRPr="00CE378B">
        <w:rPr>
          <w:rFonts w:eastAsia="Calibri" w:cs="Times New Roman"/>
          <w:color w:val="auto"/>
          <w:szCs w:val="22"/>
          <w:lang w:val="en-AU"/>
        </w:rPr>
        <w:t>with priority focus on women, youth and farmers. Activities focus on providing rural livelihoods and building the capacity of community based organisations to address development needs in their communities.</w:t>
      </w:r>
    </w:p>
    <w:p w:rsidR="00C94725" w:rsidRPr="00CE378B" w:rsidRDefault="00C94725" w:rsidP="00C94725">
      <w:pPr>
        <w:suppressAutoHyphens w:val="0"/>
        <w:autoSpaceDE/>
        <w:autoSpaceDN/>
        <w:adjustRightInd/>
        <w:spacing w:before="0" w:after="0" w:line="240" w:lineRule="auto"/>
        <w:ind w:left="0" w:firstLine="0"/>
        <w:jc w:val="left"/>
        <w:textAlignment w:val="auto"/>
        <w:rPr>
          <w:rFonts w:eastAsia="Calibri" w:cs="Times New Roman"/>
          <w:color w:val="auto"/>
          <w:szCs w:val="22"/>
          <w:lang w:val="en-AU"/>
        </w:rPr>
      </w:pPr>
    </w:p>
    <w:p w:rsidR="00034B60" w:rsidRPr="00CE378B" w:rsidRDefault="00034B60" w:rsidP="00C94725">
      <w:pPr>
        <w:suppressAutoHyphens w:val="0"/>
        <w:autoSpaceDE/>
        <w:autoSpaceDN/>
        <w:adjustRightInd/>
        <w:spacing w:before="0" w:after="0" w:line="240" w:lineRule="auto"/>
        <w:ind w:left="0" w:firstLine="0"/>
        <w:jc w:val="left"/>
        <w:textAlignment w:val="auto"/>
        <w:rPr>
          <w:rFonts w:eastAsia="Calibri" w:cs="Times New Roman"/>
          <w:color w:val="auto"/>
          <w:szCs w:val="22"/>
          <w:lang w:val="en-AU"/>
        </w:rPr>
      </w:pPr>
      <w:r w:rsidRPr="00CE378B">
        <w:rPr>
          <w:rFonts w:eastAsia="Calibri" w:cs="Times New Roman"/>
          <w:color w:val="auto"/>
          <w:szCs w:val="22"/>
          <w:lang w:val="en-AU"/>
        </w:rPr>
        <w:t xml:space="preserve">AMENCA is delivered through the following four Australian NGOs </w:t>
      </w:r>
      <w:r w:rsidR="00C359E7">
        <w:rPr>
          <w:rFonts w:eastAsia="Calibri" w:cs="Times New Roman"/>
          <w:color w:val="auto"/>
          <w:szCs w:val="22"/>
          <w:lang w:val="en-AU"/>
        </w:rPr>
        <w:t xml:space="preserve">(ANGOs) </w:t>
      </w:r>
      <w:r w:rsidRPr="00CE378B">
        <w:rPr>
          <w:rFonts w:eastAsia="Calibri" w:cs="Times New Roman"/>
          <w:color w:val="auto"/>
          <w:szCs w:val="22"/>
          <w:lang w:val="en-AU"/>
        </w:rPr>
        <w:t xml:space="preserve">and their Palestinian Partners: </w:t>
      </w:r>
    </w:p>
    <w:p w:rsidR="00034B60" w:rsidRPr="00CE378B" w:rsidRDefault="00034B60" w:rsidP="00C94725">
      <w:pPr>
        <w:pStyle w:val="ListParagraph"/>
        <w:numPr>
          <w:ilvl w:val="0"/>
          <w:numId w:val="10"/>
        </w:numPr>
        <w:spacing w:after="0" w:line="240" w:lineRule="auto"/>
        <w:jc w:val="left"/>
      </w:pPr>
      <w:r w:rsidRPr="00CE378B">
        <w:t>World Vision Australia/International – in partnership with the Union of Agricultural Working Committees (UAWC)</w:t>
      </w:r>
    </w:p>
    <w:p w:rsidR="00034B60" w:rsidRPr="00CE378B" w:rsidRDefault="00034B60" w:rsidP="00C94725">
      <w:pPr>
        <w:pStyle w:val="ListParagraph"/>
        <w:numPr>
          <w:ilvl w:val="0"/>
          <w:numId w:val="10"/>
        </w:numPr>
        <w:spacing w:after="0" w:line="240" w:lineRule="auto"/>
        <w:jc w:val="left"/>
      </w:pPr>
      <w:r w:rsidRPr="00CE378B">
        <w:t>CARE Australia/International - in partnership with the Applied Research Institute (ARIJ) &amp; Economic and Social Development Centre (ESDC)</w:t>
      </w:r>
    </w:p>
    <w:p w:rsidR="00034B60" w:rsidRPr="00CE378B" w:rsidRDefault="00034B60" w:rsidP="00C94725">
      <w:pPr>
        <w:pStyle w:val="ListParagraph"/>
        <w:numPr>
          <w:ilvl w:val="0"/>
          <w:numId w:val="10"/>
        </w:numPr>
        <w:spacing w:after="0" w:line="240" w:lineRule="auto"/>
        <w:jc w:val="left"/>
      </w:pPr>
      <w:r w:rsidRPr="00CE378B">
        <w:t>ActionAID Australia/International – in partnership with the Palestinian Businesswomen’s Association (ASALA) and Institute for Community Partnership (ICP)</w:t>
      </w:r>
    </w:p>
    <w:p w:rsidR="00034B60" w:rsidRPr="00CE378B" w:rsidRDefault="00034B60" w:rsidP="00C94725">
      <w:pPr>
        <w:pStyle w:val="ListParagraph"/>
        <w:numPr>
          <w:ilvl w:val="0"/>
          <w:numId w:val="10"/>
        </w:numPr>
        <w:spacing w:after="0" w:line="240" w:lineRule="auto"/>
        <w:jc w:val="left"/>
      </w:pPr>
      <w:r w:rsidRPr="00CE378B">
        <w:t>Union Aid Abroad APHEDA – in partnership with the MA’AN Development Centre</w:t>
      </w:r>
    </w:p>
    <w:p w:rsidR="00C94725" w:rsidRDefault="00C94725" w:rsidP="00C94725">
      <w:pPr>
        <w:suppressAutoHyphens w:val="0"/>
        <w:autoSpaceDE/>
        <w:autoSpaceDN/>
        <w:adjustRightInd/>
        <w:spacing w:before="0" w:after="0" w:line="240" w:lineRule="auto"/>
        <w:ind w:left="0" w:firstLine="0"/>
        <w:jc w:val="left"/>
        <w:textAlignment w:val="auto"/>
        <w:rPr>
          <w:rFonts w:eastAsia="Calibri" w:cs="Times New Roman"/>
          <w:color w:val="auto"/>
          <w:sz w:val="20"/>
          <w:szCs w:val="20"/>
          <w:lang w:val="en-AU"/>
        </w:rPr>
      </w:pPr>
    </w:p>
    <w:p w:rsidR="008A3A51" w:rsidRDefault="008A3A51" w:rsidP="00C94725">
      <w:pPr>
        <w:suppressAutoHyphens w:val="0"/>
        <w:autoSpaceDE/>
        <w:autoSpaceDN/>
        <w:adjustRightInd/>
        <w:spacing w:before="0" w:after="0" w:line="240" w:lineRule="auto"/>
        <w:ind w:left="0" w:firstLine="0"/>
        <w:jc w:val="left"/>
        <w:textAlignment w:val="auto"/>
        <w:rPr>
          <w:rFonts w:eastAsia="Calibri" w:cs="Times New Roman"/>
          <w:color w:val="auto"/>
          <w:sz w:val="20"/>
          <w:szCs w:val="20"/>
          <w:lang w:val="en-AU"/>
        </w:rPr>
      </w:pPr>
    </w:p>
    <w:p w:rsidR="008A3A51" w:rsidRPr="00A0783E" w:rsidRDefault="008A3A51" w:rsidP="008A3A51">
      <w:pPr>
        <w:shd w:val="clear" w:color="auto" w:fill="4F81BD" w:themeFill="accent1"/>
        <w:suppressAutoHyphens w:val="0"/>
        <w:autoSpaceDE/>
        <w:autoSpaceDN/>
        <w:adjustRightInd/>
        <w:spacing w:before="0" w:after="0" w:line="240" w:lineRule="auto"/>
        <w:ind w:left="0" w:firstLine="0"/>
        <w:jc w:val="left"/>
        <w:textAlignment w:val="auto"/>
        <w:rPr>
          <w:color w:val="FFFFFF" w:themeColor="background1"/>
          <w:sz w:val="24"/>
          <w:szCs w:val="24"/>
        </w:rPr>
      </w:pPr>
      <w:r w:rsidRPr="00A0783E">
        <w:rPr>
          <w:color w:val="FFFFFF" w:themeColor="background1"/>
          <w:sz w:val="24"/>
          <w:szCs w:val="24"/>
        </w:rPr>
        <w:t xml:space="preserve">Rationale and Scope of Review </w:t>
      </w:r>
    </w:p>
    <w:p w:rsidR="008A3A51" w:rsidRDefault="008A3A51" w:rsidP="00C94725">
      <w:pPr>
        <w:suppressAutoHyphens w:val="0"/>
        <w:autoSpaceDE/>
        <w:autoSpaceDN/>
        <w:adjustRightInd/>
        <w:spacing w:before="0" w:after="0" w:line="240" w:lineRule="auto"/>
        <w:ind w:left="0" w:firstLine="0"/>
        <w:jc w:val="left"/>
        <w:textAlignment w:val="auto"/>
        <w:rPr>
          <w:rFonts w:eastAsia="Calibri" w:cs="Times New Roman"/>
          <w:color w:val="auto"/>
          <w:sz w:val="20"/>
          <w:szCs w:val="20"/>
          <w:lang w:val="en-AU"/>
        </w:rPr>
      </w:pPr>
    </w:p>
    <w:p w:rsidR="00034B60" w:rsidRPr="00CE378B" w:rsidRDefault="00034B60" w:rsidP="00C94725">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r w:rsidRPr="00CE378B">
        <w:rPr>
          <w:rFonts w:asciiTheme="majorHAnsi" w:eastAsia="Calibri" w:hAnsiTheme="majorHAnsi" w:cs="Times New Roman"/>
          <w:color w:val="auto"/>
          <w:szCs w:val="22"/>
          <w:lang w:val="en-AU"/>
        </w:rPr>
        <w:t xml:space="preserve">In 2012, allegations were made that AMENCA funding had been used by </w:t>
      </w:r>
      <w:r w:rsidR="00CE378B">
        <w:rPr>
          <w:rFonts w:asciiTheme="majorHAnsi" w:eastAsia="Calibri" w:hAnsiTheme="majorHAnsi" w:cs="Times New Roman"/>
          <w:color w:val="auto"/>
          <w:szCs w:val="22"/>
          <w:lang w:val="en-AU"/>
        </w:rPr>
        <w:t>an</w:t>
      </w:r>
      <w:r w:rsidR="00C94725" w:rsidRPr="00CE378B">
        <w:rPr>
          <w:rFonts w:asciiTheme="majorHAnsi" w:eastAsia="Calibri" w:hAnsiTheme="majorHAnsi" w:cs="Times New Roman"/>
          <w:color w:val="auto"/>
          <w:szCs w:val="22"/>
          <w:lang w:val="en-AU"/>
        </w:rPr>
        <w:t xml:space="preserve"> </w:t>
      </w:r>
      <w:r w:rsidRPr="00CE378B">
        <w:rPr>
          <w:rFonts w:asciiTheme="majorHAnsi" w:eastAsia="Calibri" w:hAnsiTheme="majorHAnsi" w:cs="Times New Roman"/>
          <w:color w:val="auto"/>
          <w:szCs w:val="22"/>
          <w:lang w:val="en-AU"/>
        </w:rPr>
        <w:t>A</w:t>
      </w:r>
      <w:r w:rsidR="00C94725" w:rsidRPr="00CE378B">
        <w:rPr>
          <w:rFonts w:asciiTheme="majorHAnsi" w:eastAsia="Calibri" w:hAnsiTheme="majorHAnsi" w:cs="Times New Roman"/>
          <w:color w:val="auto"/>
          <w:szCs w:val="22"/>
          <w:lang w:val="en-AU"/>
        </w:rPr>
        <w:t xml:space="preserve">ustralian </w:t>
      </w:r>
      <w:r w:rsidRPr="00CE378B">
        <w:rPr>
          <w:rFonts w:asciiTheme="majorHAnsi" w:eastAsia="Calibri" w:hAnsiTheme="majorHAnsi" w:cs="Times New Roman"/>
          <w:color w:val="auto"/>
          <w:szCs w:val="22"/>
          <w:lang w:val="en-AU"/>
        </w:rPr>
        <w:t>NGO to provide support to a local partner that had links to a terrorist organisation. The Australian</w:t>
      </w:r>
      <w:r w:rsidR="000E7E8C" w:rsidRPr="00CE378B">
        <w:rPr>
          <w:rFonts w:asciiTheme="majorHAnsi" w:eastAsia="Calibri" w:hAnsiTheme="majorHAnsi" w:cs="Times New Roman"/>
          <w:color w:val="auto"/>
          <w:szCs w:val="22"/>
          <w:lang w:val="en-AU"/>
        </w:rPr>
        <w:t xml:space="preserve"> Government</w:t>
      </w:r>
      <w:r w:rsidRPr="00CE378B">
        <w:rPr>
          <w:rFonts w:asciiTheme="majorHAnsi" w:eastAsia="Calibri" w:hAnsiTheme="majorHAnsi" w:cs="Times New Roman"/>
          <w:color w:val="auto"/>
          <w:szCs w:val="22"/>
          <w:lang w:val="en-AU"/>
        </w:rPr>
        <w:t xml:space="preserve"> took these allegations seriously. It undertook extensive investigations and found that there was no evidence of this allegation being substantiated. To strengthen its ability to demonstrate due diligence and respond to allegations, DFAT developed an AMENCA-wide counter-terrorism due diligence framework in 2013. Aspects of this new framework were inc</w:t>
      </w:r>
      <w:r w:rsidR="00C94725" w:rsidRPr="00CE378B">
        <w:rPr>
          <w:rFonts w:asciiTheme="majorHAnsi" w:eastAsia="Calibri" w:hAnsiTheme="majorHAnsi" w:cs="Times New Roman"/>
          <w:color w:val="auto"/>
          <w:szCs w:val="22"/>
          <w:lang w:val="en-AU"/>
        </w:rPr>
        <w:t xml:space="preserve">orporated into an amendment to Australian </w:t>
      </w:r>
      <w:r w:rsidRPr="00CE378B">
        <w:rPr>
          <w:rFonts w:asciiTheme="majorHAnsi" w:eastAsia="Calibri" w:hAnsiTheme="majorHAnsi" w:cs="Times New Roman"/>
          <w:color w:val="auto"/>
          <w:szCs w:val="22"/>
          <w:lang w:val="en-AU"/>
        </w:rPr>
        <w:t xml:space="preserve">NGO </w:t>
      </w:r>
      <w:r w:rsidR="00CE378B">
        <w:rPr>
          <w:rFonts w:asciiTheme="majorHAnsi" w:eastAsia="Calibri" w:hAnsiTheme="majorHAnsi" w:cs="Times New Roman"/>
          <w:color w:val="auto"/>
          <w:szCs w:val="22"/>
          <w:lang w:val="en-AU"/>
        </w:rPr>
        <w:t>Funding Agreements</w:t>
      </w:r>
      <w:r w:rsidRPr="00CE378B">
        <w:rPr>
          <w:rFonts w:asciiTheme="majorHAnsi" w:eastAsia="Calibri" w:hAnsiTheme="majorHAnsi" w:cs="Times New Roman"/>
          <w:color w:val="auto"/>
          <w:szCs w:val="22"/>
          <w:lang w:val="en-AU"/>
        </w:rPr>
        <w:t xml:space="preserve"> in mid 2013. </w:t>
      </w:r>
    </w:p>
    <w:p w:rsidR="00C94725" w:rsidRPr="00CE378B" w:rsidRDefault="00C94725" w:rsidP="00C94725">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p>
    <w:p w:rsidR="00034B60" w:rsidRPr="00CE378B" w:rsidRDefault="00034B60" w:rsidP="00C94725">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r w:rsidRPr="00CE378B">
        <w:rPr>
          <w:rFonts w:asciiTheme="majorHAnsi" w:eastAsia="Calibri" w:hAnsiTheme="majorHAnsi" w:cs="Times New Roman"/>
          <w:color w:val="auto"/>
          <w:szCs w:val="22"/>
          <w:lang w:val="en-AU"/>
        </w:rPr>
        <w:t xml:space="preserve">Given the sensitivity of the context in which AMENCA operates, and the size of the program, the Australian Government </w:t>
      </w:r>
      <w:r w:rsidR="008A3A51" w:rsidRPr="00CE378B">
        <w:rPr>
          <w:rFonts w:asciiTheme="majorHAnsi" w:eastAsia="Calibri" w:hAnsiTheme="majorHAnsi" w:cs="Times New Roman"/>
          <w:color w:val="auto"/>
          <w:szCs w:val="22"/>
          <w:lang w:val="en-AU"/>
        </w:rPr>
        <w:t>commissioned a</w:t>
      </w:r>
      <w:r w:rsidR="00CE378B">
        <w:rPr>
          <w:rFonts w:asciiTheme="majorHAnsi" w:eastAsia="Calibri" w:hAnsiTheme="majorHAnsi" w:cs="Times New Roman"/>
          <w:color w:val="auto"/>
          <w:szCs w:val="22"/>
          <w:lang w:val="en-AU"/>
        </w:rPr>
        <w:t>n independent</w:t>
      </w:r>
      <w:r w:rsidR="008A3A51" w:rsidRPr="00CE378B">
        <w:rPr>
          <w:rFonts w:asciiTheme="majorHAnsi" w:eastAsia="Calibri" w:hAnsiTheme="majorHAnsi" w:cs="Times New Roman"/>
          <w:color w:val="auto"/>
          <w:szCs w:val="22"/>
          <w:lang w:val="en-AU"/>
        </w:rPr>
        <w:t xml:space="preserve"> </w:t>
      </w:r>
      <w:r w:rsidRPr="00CE378B">
        <w:rPr>
          <w:rFonts w:asciiTheme="majorHAnsi" w:eastAsia="Calibri" w:hAnsiTheme="majorHAnsi" w:cs="Times New Roman"/>
          <w:color w:val="auto"/>
          <w:szCs w:val="22"/>
          <w:lang w:val="en-AU"/>
        </w:rPr>
        <w:t xml:space="preserve">review to </w:t>
      </w:r>
      <w:r w:rsidR="00CE378B">
        <w:rPr>
          <w:rFonts w:asciiTheme="majorHAnsi" w:eastAsia="Calibri" w:hAnsiTheme="majorHAnsi" w:cs="Times New Roman"/>
          <w:color w:val="auto"/>
          <w:szCs w:val="22"/>
          <w:lang w:val="en-AU"/>
        </w:rPr>
        <w:t>undertake</w:t>
      </w:r>
      <w:r w:rsidRPr="00CE378B">
        <w:rPr>
          <w:rFonts w:asciiTheme="majorHAnsi" w:eastAsia="Calibri" w:hAnsiTheme="majorHAnsi" w:cs="Times New Roman"/>
          <w:color w:val="auto"/>
          <w:szCs w:val="22"/>
          <w:lang w:val="en-AU"/>
        </w:rPr>
        <w:t xml:space="preserve"> an assessment of the adequacy of established risk management sy</w:t>
      </w:r>
      <w:r w:rsidR="00C94725" w:rsidRPr="00CE378B">
        <w:rPr>
          <w:rFonts w:asciiTheme="majorHAnsi" w:eastAsia="Calibri" w:hAnsiTheme="majorHAnsi" w:cs="Times New Roman"/>
          <w:color w:val="auto"/>
          <w:szCs w:val="22"/>
          <w:lang w:val="en-AU"/>
        </w:rPr>
        <w:t xml:space="preserve">stems within the program. The review looked at overall risk management systems and practices </w:t>
      </w:r>
      <w:r w:rsidR="00CE378B">
        <w:rPr>
          <w:rFonts w:asciiTheme="majorHAnsi" w:eastAsia="Calibri" w:hAnsiTheme="majorHAnsi" w:cs="Times New Roman"/>
          <w:color w:val="auto"/>
          <w:szCs w:val="22"/>
          <w:lang w:val="en-AU"/>
        </w:rPr>
        <w:t>with</w:t>
      </w:r>
      <w:r w:rsidR="00C94725" w:rsidRPr="00CE378B">
        <w:rPr>
          <w:rFonts w:asciiTheme="majorHAnsi" w:eastAsia="Calibri" w:hAnsiTheme="majorHAnsi" w:cs="Times New Roman"/>
          <w:color w:val="auto"/>
          <w:szCs w:val="22"/>
          <w:lang w:val="en-AU"/>
        </w:rPr>
        <w:t xml:space="preserve"> </w:t>
      </w:r>
      <w:r w:rsidRPr="00CE378B">
        <w:rPr>
          <w:rFonts w:asciiTheme="majorHAnsi" w:eastAsia="Calibri" w:hAnsiTheme="majorHAnsi" w:cs="Times New Roman"/>
          <w:color w:val="auto"/>
          <w:szCs w:val="22"/>
          <w:lang w:val="en-AU"/>
        </w:rPr>
        <w:t xml:space="preserve">a particular focus on </w:t>
      </w:r>
      <w:r w:rsidR="00CE378B">
        <w:rPr>
          <w:rFonts w:asciiTheme="majorHAnsi" w:eastAsia="Calibri" w:hAnsiTheme="majorHAnsi" w:cs="Times New Roman"/>
          <w:color w:val="auto"/>
          <w:szCs w:val="22"/>
          <w:lang w:val="en-AU"/>
        </w:rPr>
        <w:t>reviewing</w:t>
      </w:r>
      <w:r w:rsidRPr="00CE378B">
        <w:rPr>
          <w:rFonts w:asciiTheme="majorHAnsi" w:eastAsia="Calibri" w:hAnsiTheme="majorHAnsi" w:cs="Times New Roman"/>
          <w:color w:val="auto"/>
          <w:szCs w:val="22"/>
          <w:lang w:val="en-AU"/>
        </w:rPr>
        <w:t xml:space="preserve"> the risk management mechanisms that have been established in relation to counter-terrorism. </w:t>
      </w:r>
    </w:p>
    <w:p w:rsidR="008A3A51" w:rsidRPr="00CE378B" w:rsidRDefault="008A3A51" w:rsidP="008A3A51">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p>
    <w:p w:rsidR="008A3A51" w:rsidRPr="00CE378B" w:rsidRDefault="008A3A51" w:rsidP="008A3A51">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r w:rsidRPr="00CE378B">
        <w:rPr>
          <w:rFonts w:asciiTheme="majorHAnsi" w:eastAsia="Calibri" w:hAnsiTheme="majorHAnsi" w:cs="Times New Roman"/>
          <w:color w:val="auto"/>
          <w:szCs w:val="22"/>
          <w:lang w:val="en-AU"/>
        </w:rPr>
        <w:t xml:space="preserve">A Review Plan was developed prior to the review and is attached at Annex A. </w:t>
      </w:r>
    </w:p>
    <w:p w:rsidR="00C94725" w:rsidRDefault="00C94725" w:rsidP="00C94725">
      <w:pPr>
        <w:suppressAutoHyphens w:val="0"/>
        <w:autoSpaceDE/>
        <w:autoSpaceDN/>
        <w:adjustRightInd/>
        <w:spacing w:before="0" w:after="0" w:line="240" w:lineRule="auto"/>
        <w:ind w:left="0" w:firstLine="0"/>
        <w:jc w:val="left"/>
        <w:textAlignment w:val="auto"/>
        <w:rPr>
          <w:rFonts w:eastAsia="Calibri" w:cs="Times New Roman"/>
          <w:color w:val="auto"/>
          <w:sz w:val="20"/>
          <w:szCs w:val="20"/>
          <w:lang w:val="en-AU"/>
        </w:rPr>
      </w:pPr>
    </w:p>
    <w:p w:rsidR="00C94725" w:rsidRPr="00A0783E" w:rsidRDefault="00C94725" w:rsidP="00C94725">
      <w:pPr>
        <w:shd w:val="clear" w:color="auto" w:fill="4F81BD" w:themeFill="accent1"/>
        <w:suppressAutoHyphens w:val="0"/>
        <w:autoSpaceDE/>
        <w:autoSpaceDN/>
        <w:adjustRightInd/>
        <w:spacing w:before="0" w:after="0" w:line="240" w:lineRule="auto"/>
        <w:ind w:left="0" w:firstLine="0"/>
        <w:jc w:val="left"/>
        <w:textAlignment w:val="auto"/>
        <w:rPr>
          <w:color w:val="FFFFFF" w:themeColor="background1"/>
          <w:sz w:val="24"/>
          <w:szCs w:val="24"/>
        </w:rPr>
      </w:pPr>
      <w:r w:rsidRPr="00A0783E">
        <w:rPr>
          <w:color w:val="FFFFFF" w:themeColor="background1"/>
          <w:sz w:val="24"/>
          <w:szCs w:val="24"/>
        </w:rPr>
        <w:t xml:space="preserve">Methodology </w:t>
      </w:r>
    </w:p>
    <w:p w:rsidR="000E7E8C" w:rsidRPr="00CE378B" w:rsidRDefault="000E7E8C" w:rsidP="00022DFD">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p>
    <w:p w:rsidR="00022DFD" w:rsidRPr="00CE378B" w:rsidRDefault="00C211A7" w:rsidP="00022DFD">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r>
        <w:rPr>
          <w:rFonts w:asciiTheme="majorHAnsi" w:eastAsia="Calibri" w:hAnsiTheme="majorHAnsi" w:cs="Times New Roman"/>
          <w:color w:val="auto"/>
          <w:szCs w:val="22"/>
          <w:lang w:val="en-AU"/>
        </w:rPr>
        <w:t xml:space="preserve">DFAT engaged an independent consultant, Belinda Lucas, to undertake the Risk Management Review. </w:t>
      </w:r>
      <w:r w:rsidR="00022DFD" w:rsidRPr="00CE378B">
        <w:rPr>
          <w:rFonts w:asciiTheme="majorHAnsi" w:eastAsia="Calibri" w:hAnsiTheme="majorHAnsi" w:cs="Times New Roman"/>
          <w:color w:val="auto"/>
          <w:szCs w:val="22"/>
          <w:lang w:val="en-AU"/>
        </w:rPr>
        <w:t xml:space="preserve">The purpose of the review was to determine whether </w:t>
      </w:r>
      <w:r w:rsidR="00F522EB" w:rsidRPr="00CE378B">
        <w:rPr>
          <w:rFonts w:asciiTheme="majorHAnsi" w:eastAsia="Calibri" w:hAnsiTheme="majorHAnsi" w:cs="Times New Roman"/>
          <w:color w:val="auto"/>
          <w:szCs w:val="22"/>
          <w:lang w:val="en-AU"/>
        </w:rPr>
        <w:t xml:space="preserve">AMENCA </w:t>
      </w:r>
      <w:r w:rsidR="00022DFD" w:rsidRPr="00CE378B">
        <w:rPr>
          <w:rFonts w:asciiTheme="majorHAnsi" w:eastAsia="Calibri" w:hAnsiTheme="majorHAnsi" w:cs="Times New Roman"/>
          <w:color w:val="auto"/>
          <w:szCs w:val="22"/>
          <w:lang w:val="en-AU"/>
        </w:rPr>
        <w:t xml:space="preserve">risk management systems and </w:t>
      </w:r>
      <w:r w:rsidR="00F522EB" w:rsidRPr="00CE378B">
        <w:rPr>
          <w:rFonts w:asciiTheme="majorHAnsi" w:eastAsia="Calibri" w:hAnsiTheme="majorHAnsi" w:cs="Times New Roman"/>
          <w:color w:val="auto"/>
          <w:szCs w:val="22"/>
          <w:lang w:val="en-AU"/>
        </w:rPr>
        <w:t xml:space="preserve">systems of </w:t>
      </w:r>
      <w:r w:rsidR="000E7E8C" w:rsidRPr="00CE378B">
        <w:rPr>
          <w:rFonts w:asciiTheme="majorHAnsi" w:eastAsia="Calibri" w:hAnsiTheme="majorHAnsi" w:cs="Times New Roman"/>
          <w:color w:val="auto"/>
          <w:szCs w:val="22"/>
          <w:lang w:val="en-AU"/>
        </w:rPr>
        <w:t>ANGOs and their implementing partners are</w:t>
      </w:r>
      <w:r w:rsidR="00022DFD" w:rsidRPr="00CE378B">
        <w:rPr>
          <w:rFonts w:asciiTheme="majorHAnsi" w:eastAsia="Calibri" w:hAnsiTheme="majorHAnsi" w:cs="Times New Roman"/>
          <w:color w:val="auto"/>
          <w:szCs w:val="22"/>
          <w:lang w:val="en-AU"/>
        </w:rPr>
        <w:t xml:space="preserve"> appropriate to the context of the Palestinian Territories.  </w:t>
      </w:r>
      <w:r w:rsidR="00C359E7">
        <w:rPr>
          <w:rFonts w:asciiTheme="majorHAnsi" w:eastAsia="Calibri" w:hAnsiTheme="majorHAnsi" w:cs="Times New Roman"/>
          <w:color w:val="auto"/>
          <w:szCs w:val="22"/>
          <w:lang w:val="en-AU"/>
        </w:rPr>
        <w:t xml:space="preserve">Background documentation was provided by DFAT, including project design and reporting documentation, due diligence materials, and contractual agreements. </w:t>
      </w:r>
    </w:p>
    <w:p w:rsidR="00022DFD" w:rsidRPr="00CE378B" w:rsidRDefault="00022DFD" w:rsidP="00022DFD">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p>
    <w:p w:rsidR="00A0783E" w:rsidRDefault="000E7E8C" w:rsidP="00A0783E">
      <w:pPr>
        <w:suppressAutoHyphens w:val="0"/>
        <w:autoSpaceDE/>
        <w:autoSpaceDN/>
        <w:adjustRightInd/>
        <w:spacing w:before="0" w:after="0" w:line="240" w:lineRule="auto"/>
        <w:ind w:left="0" w:firstLine="0"/>
        <w:jc w:val="left"/>
        <w:textAlignment w:val="auto"/>
        <w:rPr>
          <w:rFonts w:asciiTheme="majorHAnsi" w:eastAsia="Calibri" w:hAnsiTheme="majorHAnsi"/>
          <w:lang w:val="en-AU"/>
        </w:rPr>
      </w:pPr>
      <w:r w:rsidRPr="00CE378B">
        <w:rPr>
          <w:rFonts w:asciiTheme="majorHAnsi" w:eastAsia="Calibri" w:hAnsiTheme="majorHAnsi"/>
          <w:lang w:val="en-AU"/>
        </w:rPr>
        <w:t xml:space="preserve">The fieldwork consisted of interviews with ANGO representatives present in-country, </w:t>
      </w:r>
      <w:r w:rsidR="003A5F9D">
        <w:rPr>
          <w:rFonts w:asciiTheme="majorHAnsi" w:eastAsia="Calibri" w:hAnsiTheme="majorHAnsi"/>
          <w:lang w:val="en-AU"/>
        </w:rPr>
        <w:t>local</w:t>
      </w:r>
      <w:r w:rsidR="003A5F9D" w:rsidRPr="00CE378B">
        <w:rPr>
          <w:rFonts w:asciiTheme="majorHAnsi" w:eastAsia="Calibri" w:hAnsiTheme="majorHAnsi"/>
          <w:lang w:val="en-AU"/>
        </w:rPr>
        <w:t xml:space="preserve"> </w:t>
      </w:r>
      <w:r w:rsidRPr="00CE378B">
        <w:rPr>
          <w:rFonts w:asciiTheme="majorHAnsi" w:eastAsia="Calibri" w:hAnsiTheme="majorHAnsi"/>
          <w:lang w:val="en-AU"/>
        </w:rPr>
        <w:t>partner staff, DFAT staff and the AMENCA Monitoring and Evaluation Advisor. Fieldwork was scheduled and undertaken over four working days and allowed for t</w:t>
      </w:r>
      <w:r w:rsidR="0088133C" w:rsidRPr="00CE378B">
        <w:rPr>
          <w:rFonts w:asciiTheme="majorHAnsi" w:eastAsia="Calibri" w:hAnsiTheme="majorHAnsi"/>
          <w:lang w:val="en-AU"/>
        </w:rPr>
        <w:t xml:space="preserve">hree to four hour interviews with each ANGO (where present) and their implementing partner. </w:t>
      </w:r>
    </w:p>
    <w:p w:rsidR="00A0783E" w:rsidRDefault="00A0783E" w:rsidP="00A0783E">
      <w:pPr>
        <w:suppressAutoHyphens w:val="0"/>
        <w:autoSpaceDE/>
        <w:autoSpaceDN/>
        <w:adjustRightInd/>
        <w:spacing w:before="0" w:after="0" w:line="240" w:lineRule="auto"/>
        <w:ind w:left="0" w:firstLine="0"/>
        <w:jc w:val="left"/>
        <w:textAlignment w:val="auto"/>
        <w:rPr>
          <w:rFonts w:asciiTheme="majorHAnsi" w:eastAsia="Calibri" w:hAnsiTheme="majorHAnsi"/>
          <w:lang w:val="en-AU"/>
        </w:rPr>
      </w:pPr>
    </w:p>
    <w:p w:rsidR="0088133C" w:rsidRPr="00163B20" w:rsidRDefault="008F5F20" w:rsidP="00A0783E">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r w:rsidRPr="00DA4D1A">
        <w:rPr>
          <w:rFonts w:asciiTheme="majorHAnsi" w:eastAsia="Calibri" w:hAnsiTheme="majorHAnsi"/>
          <w:lang w:val="en-AU"/>
        </w:rPr>
        <w:t xml:space="preserve">The primary purpose of the in-country fieldwork </w:t>
      </w:r>
      <w:r w:rsidR="0088133C" w:rsidRPr="00DA4D1A">
        <w:rPr>
          <w:rFonts w:asciiTheme="majorHAnsi" w:eastAsia="Calibri" w:hAnsiTheme="majorHAnsi"/>
          <w:lang w:val="en-AU"/>
        </w:rPr>
        <w:t>was</w:t>
      </w:r>
      <w:r w:rsidRPr="0024158B">
        <w:rPr>
          <w:rFonts w:asciiTheme="majorHAnsi" w:eastAsia="Calibri" w:hAnsiTheme="majorHAnsi"/>
          <w:lang w:val="en-AU"/>
        </w:rPr>
        <w:t xml:space="preserve"> to explore the risk management system</w:t>
      </w:r>
      <w:r w:rsidR="00A0783E" w:rsidRPr="009E16EE">
        <w:rPr>
          <w:rFonts w:asciiTheme="majorHAnsi" w:eastAsia="Calibri" w:hAnsiTheme="majorHAnsi"/>
          <w:lang w:val="en-AU"/>
        </w:rPr>
        <w:t xml:space="preserve">s and practices of </w:t>
      </w:r>
      <w:r w:rsidR="003A5F9D" w:rsidRPr="00163B20">
        <w:rPr>
          <w:rFonts w:asciiTheme="majorHAnsi" w:eastAsia="Calibri" w:hAnsiTheme="majorHAnsi"/>
          <w:lang w:val="en-AU"/>
        </w:rPr>
        <w:t>local implementing partners</w:t>
      </w:r>
      <w:r w:rsidRPr="00163B20">
        <w:rPr>
          <w:rFonts w:asciiTheme="majorHAnsi" w:eastAsia="Calibri" w:hAnsiTheme="majorHAnsi"/>
          <w:lang w:val="en-AU"/>
        </w:rPr>
        <w:t xml:space="preserve">. </w:t>
      </w:r>
      <w:r w:rsidR="0088133C" w:rsidRPr="00163B20">
        <w:rPr>
          <w:rFonts w:asciiTheme="majorHAnsi" w:eastAsia="Calibri" w:hAnsiTheme="majorHAnsi"/>
          <w:lang w:val="en-AU"/>
        </w:rPr>
        <w:t xml:space="preserve">Fieldwork consisted of </w:t>
      </w:r>
      <w:r w:rsidRPr="00163B20">
        <w:rPr>
          <w:rFonts w:asciiTheme="majorHAnsi" w:eastAsia="Calibri" w:hAnsiTheme="majorHAnsi"/>
          <w:lang w:val="en-AU"/>
        </w:rPr>
        <w:t xml:space="preserve">interviews with </w:t>
      </w:r>
      <w:r w:rsidR="000E7E8C" w:rsidRPr="00163B20">
        <w:rPr>
          <w:rFonts w:asciiTheme="majorHAnsi" w:eastAsia="Calibri" w:hAnsiTheme="majorHAnsi"/>
          <w:lang w:val="en-AU"/>
        </w:rPr>
        <w:t>second tier partner</w:t>
      </w:r>
      <w:r w:rsidRPr="00163B20">
        <w:rPr>
          <w:rFonts w:asciiTheme="majorHAnsi" w:eastAsia="Calibri" w:hAnsiTheme="majorHAnsi"/>
          <w:lang w:val="en-AU"/>
        </w:rPr>
        <w:t xml:space="preserve"> staff and the appraisal of sample evidence </w:t>
      </w:r>
      <w:r w:rsidR="000E7E8C" w:rsidRPr="00163B20">
        <w:rPr>
          <w:rFonts w:asciiTheme="majorHAnsi" w:eastAsia="Calibri" w:hAnsiTheme="majorHAnsi"/>
          <w:lang w:val="en-AU"/>
        </w:rPr>
        <w:t>provided by</w:t>
      </w:r>
      <w:r w:rsidRPr="00163B20">
        <w:rPr>
          <w:rFonts w:asciiTheme="majorHAnsi" w:eastAsia="Calibri" w:hAnsiTheme="majorHAnsi"/>
          <w:lang w:val="en-AU"/>
        </w:rPr>
        <w:t xml:space="preserve"> </w:t>
      </w:r>
      <w:r w:rsidR="0088133C" w:rsidRPr="00163B20">
        <w:rPr>
          <w:rFonts w:asciiTheme="majorHAnsi" w:eastAsia="Calibri" w:hAnsiTheme="majorHAnsi"/>
          <w:lang w:val="en-AU"/>
        </w:rPr>
        <w:t>these partners</w:t>
      </w:r>
      <w:r w:rsidRPr="00163B20">
        <w:rPr>
          <w:rFonts w:asciiTheme="majorHAnsi" w:eastAsia="Calibri" w:hAnsiTheme="majorHAnsi"/>
          <w:lang w:val="en-AU"/>
        </w:rPr>
        <w:t xml:space="preserve"> to provide an indication of the extent to which risk management is understood and has been integrated into its systems and practices. </w:t>
      </w:r>
      <w:r w:rsidR="0088133C" w:rsidRPr="00163B20">
        <w:rPr>
          <w:rFonts w:asciiTheme="majorHAnsi" w:eastAsia="Calibri" w:hAnsiTheme="majorHAnsi"/>
          <w:lang w:val="en-AU"/>
        </w:rPr>
        <w:t xml:space="preserve">Two of the four second tier partners were also accompanied by representatives from their Australian NGO partner. The location and timing of the fieldwork was coordinated by DFAT in conjunction with ANGO and Palestinian partners. </w:t>
      </w:r>
    </w:p>
    <w:p w:rsidR="00C359E7" w:rsidRPr="00163B20" w:rsidRDefault="00C359E7" w:rsidP="00C359E7">
      <w:pPr>
        <w:suppressAutoHyphens w:val="0"/>
        <w:autoSpaceDE/>
        <w:autoSpaceDN/>
        <w:adjustRightInd/>
        <w:spacing w:before="0" w:after="0" w:line="240" w:lineRule="auto"/>
        <w:ind w:left="0" w:firstLine="0"/>
        <w:jc w:val="left"/>
        <w:textAlignment w:val="auto"/>
        <w:rPr>
          <w:rFonts w:asciiTheme="majorHAnsi" w:eastAsia="Calibri" w:hAnsiTheme="majorHAnsi" w:cs="Times New Roman"/>
          <w:color w:val="auto"/>
          <w:szCs w:val="22"/>
          <w:lang w:val="en-AU"/>
        </w:rPr>
      </w:pPr>
    </w:p>
    <w:p w:rsidR="00C359E7" w:rsidRPr="00F1529C" w:rsidRDefault="00C359E7" w:rsidP="008C216F">
      <w:pPr>
        <w:suppressAutoHyphens w:val="0"/>
        <w:autoSpaceDE/>
        <w:autoSpaceDN/>
        <w:adjustRightInd/>
        <w:spacing w:before="0" w:after="0" w:line="240" w:lineRule="auto"/>
        <w:ind w:left="0" w:firstLine="0"/>
        <w:jc w:val="left"/>
        <w:textAlignment w:val="auto"/>
        <w:rPr>
          <w:rFonts w:asciiTheme="majorHAnsi" w:eastAsiaTheme="minorEastAsia" w:hAnsiTheme="majorHAnsi" w:cs="Arial"/>
          <w:color w:val="auto"/>
          <w:szCs w:val="22"/>
          <w:lang w:val="en-US"/>
        </w:rPr>
      </w:pPr>
      <w:r w:rsidRPr="00163B20">
        <w:rPr>
          <w:rFonts w:asciiTheme="majorHAnsi" w:eastAsia="Calibri" w:hAnsiTheme="majorHAnsi" w:cs="Times New Roman"/>
          <w:color w:val="auto"/>
          <w:szCs w:val="22"/>
          <w:lang w:val="en-AU"/>
        </w:rPr>
        <w:t>Underlying this review was a fundamental focus on the systems in place to manage program risk. The review</w:t>
      </w:r>
      <w:r w:rsidR="008C216F" w:rsidRPr="00163B20">
        <w:rPr>
          <w:rFonts w:asciiTheme="majorHAnsi" w:eastAsia="Calibri" w:hAnsiTheme="majorHAnsi" w:cs="Times New Roman"/>
          <w:color w:val="auto"/>
          <w:szCs w:val="22"/>
          <w:lang w:val="en-AU"/>
        </w:rPr>
        <w:t xml:space="preserve"> included interviews of</w:t>
      </w:r>
      <w:r w:rsidRPr="00163B20">
        <w:rPr>
          <w:rFonts w:asciiTheme="majorHAnsi" w:eastAsia="Calibri" w:hAnsiTheme="majorHAnsi" w:cs="Times New Roman"/>
          <w:color w:val="auto"/>
          <w:szCs w:val="22"/>
          <w:lang w:val="en-AU"/>
        </w:rPr>
        <w:t xml:space="preserve"> three to four hours with each </w:t>
      </w:r>
      <w:r w:rsidR="003A5F9D" w:rsidRPr="00163B20">
        <w:rPr>
          <w:rFonts w:asciiTheme="majorHAnsi" w:eastAsia="Calibri" w:hAnsiTheme="majorHAnsi" w:cs="Times New Roman"/>
          <w:color w:val="auto"/>
          <w:szCs w:val="22"/>
          <w:lang w:val="en-AU"/>
        </w:rPr>
        <w:t>implementing partner</w:t>
      </w:r>
      <w:r w:rsidR="008C216F" w:rsidRPr="00163B20">
        <w:rPr>
          <w:rFonts w:asciiTheme="majorHAnsi" w:eastAsia="Calibri" w:hAnsiTheme="majorHAnsi" w:cs="Times New Roman"/>
          <w:color w:val="auto"/>
          <w:szCs w:val="22"/>
          <w:lang w:val="en-AU"/>
        </w:rPr>
        <w:t xml:space="preserve"> and </w:t>
      </w:r>
      <w:r w:rsidR="0099318A" w:rsidRPr="00163B20">
        <w:rPr>
          <w:rFonts w:asciiTheme="majorHAnsi" w:eastAsia="Calibri" w:hAnsiTheme="majorHAnsi" w:cs="Times New Roman"/>
          <w:color w:val="auto"/>
          <w:szCs w:val="22"/>
          <w:lang w:val="en-AU"/>
        </w:rPr>
        <w:t>relied on</w:t>
      </w:r>
      <w:r w:rsidRPr="00163B20">
        <w:rPr>
          <w:rFonts w:asciiTheme="majorHAnsi" w:eastAsia="Calibri" w:hAnsiTheme="majorHAnsi" w:cs="Times New Roman"/>
          <w:color w:val="auto"/>
          <w:szCs w:val="22"/>
          <w:lang w:val="en-AU"/>
        </w:rPr>
        <w:t xml:space="preserve"> discussion and sample evidence presented by DFAT and by </w:t>
      </w:r>
      <w:r w:rsidR="003A5F9D" w:rsidRPr="00163B20">
        <w:rPr>
          <w:rFonts w:asciiTheme="majorHAnsi" w:eastAsia="Calibri" w:hAnsiTheme="majorHAnsi" w:cs="Times New Roman"/>
          <w:color w:val="auto"/>
          <w:szCs w:val="22"/>
          <w:lang w:val="en-AU"/>
        </w:rPr>
        <w:t>implementing partners</w:t>
      </w:r>
      <w:r w:rsidRPr="00163B20">
        <w:rPr>
          <w:rFonts w:asciiTheme="majorHAnsi" w:eastAsia="Calibri" w:hAnsiTheme="majorHAnsi" w:cs="Times New Roman"/>
          <w:color w:val="auto"/>
          <w:szCs w:val="22"/>
          <w:lang w:val="en-AU"/>
        </w:rPr>
        <w:t xml:space="preserve"> </w:t>
      </w:r>
      <w:r w:rsidR="00E7727E" w:rsidRPr="00163B20">
        <w:rPr>
          <w:rFonts w:asciiTheme="majorHAnsi" w:eastAsia="Calibri" w:hAnsiTheme="majorHAnsi" w:cs="Times New Roman"/>
          <w:color w:val="auto"/>
          <w:szCs w:val="22"/>
          <w:lang w:val="en-AU"/>
        </w:rPr>
        <w:t xml:space="preserve">to demonstrate that </w:t>
      </w:r>
      <w:r w:rsidRPr="00163B20">
        <w:rPr>
          <w:rFonts w:asciiTheme="majorHAnsi" w:eastAsia="Calibri" w:hAnsiTheme="majorHAnsi" w:cs="Times New Roman"/>
          <w:color w:val="auto"/>
          <w:szCs w:val="22"/>
          <w:lang w:val="en-AU"/>
        </w:rPr>
        <w:t>the systems described are evident in practice.</w:t>
      </w:r>
      <w:r w:rsidRPr="00F1529C">
        <w:rPr>
          <w:rFonts w:asciiTheme="majorHAnsi" w:eastAsia="Calibri" w:hAnsiTheme="majorHAnsi" w:cs="Times New Roman"/>
          <w:color w:val="auto"/>
          <w:szCs w:val="22"/>
          <w:lang w:val="en-AU"/>
        </w:rPr>
        <w:t xml:space="preserve"> </w:t>
      </w:r>
    </w:p>
    <w:p w:rsidR="00C359E7" w:rsidRDefault="00C359E7" w:rsidP="00C359E7">
      <w:pPr>
        <w:pStyle w:val="NoSpacing"/>
        <w:numPr>
          <w:ilvl w:val="0"/>
          <w:numId w:val="0"/>
        </w:numPr>
        <w:rPr>
          <w:rFonts w:asciiTheme="majorHAnsi" w:eastAsia="Calibri" w:hAnsiTheme="majorHAnsi"/>
          <w:lang w:val="en-AU"/>
        </w:rPr>
      </w:pPr>
    </w:p>
    <w:p w:rsidR="00C359E7" w:rsidRPr="00CE378B" w:rsidRDefault="00C359E7" w:rsidP="00C359E7">
      <w:pPr>
        <w:pStyle w:val="NoSpacing"/>
        <w:numPr>
          <w:ilvl w:val="0"/>
          <w:numId w:val="0"/>
        </w:numPr>
        <w:rPr>
          <w:rFonts w:asciiTheme="majorHAnsi" w:eastAsia="Calibri" w:hAnsiTheme="majorHAnsi"/>
          <w:lang w:val="en-AU"/>
        </w:rPr>
      </w:pPr>
      <w:r w:rsidRPr="00CE378B">
        <w:rPr>
          <w:rFonts w:asciiTheme="majorHAnsi" w:eastAsia="Calibri" w:hAnsiTheme="majorHAnsi"/>
          <w:lang w:val="en-AU"/>
        </w:rPr>
        <w:t xml:space="preserve">An in-country roundtable discussion was also held with other donors during the review to gain a general indication of how other donors approach risk assessment considerations and how far downstream their risk management requirements are applied. </w:t>
      </w:r>
      <w:r w:rsidR="00F1529C">
        <w:rPr>
          <w:rFonts w:asciiTheme="majorHAnsi" w:eastAsia="Calibri" w:hAnsiTheme="majorHAnsi"/>
          <w:lang w:val="en-AU"/>
        </w:rPr>
        <w:t xml:space="preserve">The </w:t>
      </w:r>
      <w:r w:rsidR="00314042">
        <w:rPr>
          <w:rFonts w:asciiTheme="majorHAnsi" w:eastAsia="Calibri" w:hAnsiTheme="majorHAnsi"/>
          <w:lang w:val="en-AU"/>
        </w:rPr>
        <w:t xml:space="preserve">information shared in this meeting </w:t>
      </w:r>
      <w:r w:rsidR="00F1529C">
        <w:rPr>
          <w:rFonts w:asciiTheme="majorHAnsi" w:eastAsia="Calibri" w:hAnsiTheme="majorHAnsi"/>
          <w:lang w:val="en-AU"/>
        </w:rPr>
        <w:t xml:space="preserve">was supplemented with a review of other research that has been undertaken on the approaches of donors in the region towards counter-terrorism. </w:t>
      </w:r>
    </w:p>
    <w:p w:rsidR="0088133C" w:rsidRDefault="0088133C">
      <w:pPr>
        <w:suppressAutoHyphens w:val="0"/>
        <w:autoSpaceDE/>
        <w:autoSpaceDN/>
        <w:adjustRightInd/>
        <w:spacing w:before="0" w:after="0" w:line="240" w:lineRule="auto"/>
        <w:ind w:left="0" w:firstLine="0"/>
        <w:jc w:val="left"/>
        <w:textAlignment w:val="auto"/>
        <w:rPr>
          <w:rFonts w:eastAsia="Calibri" w:cs="Times New Roman"/>
          <w:color w:val="auto"/>
          <w:sz w:val="24"/>
          <w:szCs w:val="22"/>
          <w:lang w:val="en-AU"/>
        </w:rPr>
      </w:pPr>
    </w:p>
    <w:p w:rsidR="006101DE" w:rsidRDefault="006101DE" w:rsidP="006101DE">
      <w:pPr>
        <w:pStyle w:val="ListNumber"/>
        <w:numPr>
          <w:ilvl w:val="0"/>
          <w:numId w:val="14"/>
        </w:numPr>
      </w:pPr>
      <w:r>
        <w:t>FINDINGS</w:t>
      </w:r>
    </w:p>
    <w:p w:rsidR="00B110D8" w:rsidRPr="00A0783E" w:rsidRDefault="00B82844" w:rsidP="00B82844">
      <w:pPr>
        <w:shd w:val="clear" w:color="auto" w:fill="4F81BD" w:themeFill="accent1"/>
        <w:ind w:left="0" w:firstLine="0"/>
        <w:rPr>
          <w:color w:val="FFFFFF" w:themeColor="background1"/>
          <w:sz w:val="24"/>
          <w:szCs w:val="24"/>
        </w:rPr>
      </w:pPr>
      <w:r w:rsidRPr="00A0783E">
        <w:rPr>
          <w:color w:val="FFFFFF" w:themeColor="background1"/>
          <w:sz w:val="24"/>
          <w:szCs w:val="24"/>
        </w:rPr>
        <w:t>Risk Identification</w:t>
      </w:r>
      <w:r w:rsidR="00D24D61" w:rsidRPr="00A0783E">
        <w:rPr>
          <w:color w:val="FFFFFF" w:themeColor="background1"/>
          <w:sz w:val="24"/>
          <w:szCs w:val="24"/>
        </w:rPr>
        <w:t xml:space="preserve"> and Management Systems</w:t>
      </w:r>
    </w:p>
    <w:p w:rsidR="00B110D8" w:rsidRPr="00A0783E" w:rsidRDefault="00B110D8" w:rsidP="00B110D8">
      <w:pPr>
        <w:pStyle w:val="ListNumber"/>
        <w:numPr>
          <w:ilvl w:val="0"/>
          <w:numId w:val="0"/>
        </w:numPr>
        <w:rPr>
          <w:rFonts w:asciiTheme="majorHAnsi" w:hAnsiTheme="majorHAnsi"/>
          <w:b/>
          <w:sz w:val="22"/>
        </w:rPr>
      </w:pPr>
      <w:r w:rsidRPr="00A0783E">
        <w:rPr>
          <w:rFonts w:asciiTheme="majorHAnsi" w:hAnsiTheme="majorHAnsi"/>
          <w:b/>
          <w:sz w:val="22"/>
        </w:rPr>
        <w:t xml:space="preserve">Partner </w:t>
      </w:r>
      <w:r w:rsidR="00B82844" w:rsidRPr="00A0783E">
        <w:rPr>
          <w:rFonts w:asciiTheme="majorHAnsi" w:hAnsiTheme="majorHAnsi"/>
          <w:b/>
          <w:sz w:val="22"/>
        </w:rPr>
        <w:t>Risk</w:t>
      </w:r>
      <w:r w:rsidRPr="00A0783E">
        <w:rPr>
          <w:rFonts w:asciiTheme="majorHAnsi" w:hAnsiTheme="majorHAnsi"/>
          <w:b/>
          <w:sz w:val="22"/>
        </w:rPr>
        <w:t xml:space="preserve"> </w:t>
      </w:r>
    </w:p>
    <w:p w:rsidR="0088133C" w:rsidRDefault="0088133C" w:rsidP="00B110D8">
      <w:pPr>
        <w:pStyle w:val="ListNumber"/>
        <w:numPr>
          <w:ilvl w:val="0"/>
          <w:numId w:val="0"/>
        </w:numPr>
        <w:rPr>
          <w:rFonts w:asciiTheme="majorHAnsi" w:hAnsiTheme="majorHAnsi"/>
          <w:sz w:val="22"/>
        </w:rPr>
      </w:pPr>
      <w:r w:rsidRPr="00A0783E">
        <w:rPr>
          <w:rFonts w:asciiTheme="majorHAnsi" w:hAnsiTheme="majorHAnsi"/>
          <w:sz w:val="22"/>
        </w:rPr>
        <w:t>Prior to awarding contracts, DFAT undertook a competitive tender process that was restricted to accredited Australian NGOs</w:t>
      </w:r>
      <w:r w:rsidR="00A0783E">
        <w:rPr>
          <w:rFonts w:asciiTheme="majorHAnsi" w:hAnsiTheme="majorHAnsi"/>
          <w:sz w:val="22"/>
        </w:rPr>
        <w:t xml:space="preserve"> (ANGOs)</w:t>
      </w:r>
      <w:r w:rsidRPr="00A0783E">
        <w:rPr>
          <w:rFonts w:asciiTheme="majorHAnsi" w:hAnsiTheme="majorHAnsi"/>
          <w:sz w:val="22"/>
        </w:rPr>
        <w:t xml:space="preserve">. This ensured that the systems and practices of organisations had already been comprehensively assessed through a due diligence assessment. The tender process also provided DFAT with the </w:t>
      </w:r>
      <w:r w:rsidR="00A0783E" w:rsidRPr="00A0783E">
        <w:rPr>
          <w:rFonts w:asciiTheme="majorHAnsi" w:hAnsiTheme="majorHAnsi"/>
          <w:sz w:val="22"/>
        </w:rPr>
        <w:t xml:space="preserve">additional </w:t>
      </w:r>
      <w:r w:rsidRPr="00A0783E">
        <w:rPr>
          <w:rFonts w:asciiTheme="majorHAnsi" w:hAnsiTheme="majorHAnsi"/>
          <w:sz w:val="22"/>
        </w:rPr>
        <w:t xml:space="preserve">opportunity of appraising the capacity and approach of applicant organisations. </w:t>
      </w:r>
    </w:p>
    <w:p w:rsidR="00A0783E" w:rsidRDefault="00A0783E" w:rsidP="00B110D8">
      <w:pPr>
        <w:pStyle w:val="ListNumber"/>
        <w:numPr>
          <w:ilvl w:val="0"/>
          <w:numId w:val="0"/>
        </w:numPr>
        <w:rPr>
          <w:rFonts w:asciiTheme="majorHAnsi" w:hAnsiTheme="majorHAnsi"/>
          <w:sz w:val="22"/>
        </w:rPr>
      </w:pPr>
    </w:p>
    <w:p w:rsidR="00A0783E" w:rsidRPr="00A0783E" w:rsidRDefault="00A0783E" w:rsidP="00B110D8">
      <w:pPr>
        <w:pStyle w:val="ListNumber"/>
        <w:numPr>
          <w:ilvl w:val="0"/>
          <w:numId w:val="0"/>
        </w:numPr>
        <w:rPr>
          <w:rFonts w:asciiTheme="majorHAnsi" w:hAnsiTheme="majorHAnsi"/>
          <w:sz w:val="22"/>
        </w:rPr>
      </w:pPr>
      <w:r>
        <w:rPr>
          <w:rFonts w:asciiTheme="majorHAnsi" w:hAnsiTheme="majorHAnsi"/>
          <w:sz w:val="22"/>
        </w:rPr>
        <w:t xml:space="preserve">Three of the four ANGOs have partnered with a local field office of its international network. </w:t>
      </w:r>
      <w:r w:rsidRPr="004D57C9">
        <w:rPr>
          <w:rFonts w:asciiTheme="majorHAnsi" w:hAnsiTheme="majorHAnsi"/>
          <w:sz w:val="22"/>
        </w:rPr>
        <w:t xml:space="preserve">There are obvious strengths to this approach, as it provides confidence that the two organisations share a common mission and are guided by similar organisational systems and standards. In the case of the fourth NGO, it partnered with a local Palestinian NGO with </w:t>
      </w:r>
      <w:r w:rsidR="0048171D" w:rsidRPr="004D57C9">
        <w:rPr>
          <w:rFonts w:asciiTheme="majorHAnsi" w:hAnsiTheme="majorHAnsi"/>
          <w:sz w:val="22"/>
        </w:rPr>
        <w:t xml:space="preserve">whom it had a well established </w:t>
      </w:r>
      <w:r w:rsidRPr="004D57C9">
        <w:rPr>
          <w:rFonts w:asciiTheme="majorHAnsi" w:hAnsiTheme="majorHAnsi"/>
          <w:sz w:val="22"/>
        </w:rPr>
        <w:t>and long term (30 years plus) relationship, thus providing it with deep knowledge of partner capacity</w:t>
      </w:r>
      <w:r w:rsidR="007A5147" w:rsidRPr="004D57C9">
        <w:rPr>
          <w:rFonts w:asciiTheme="majorHAnsi" w:hAnsiTheme="majorHAnsi"/>
          <w:sz w:val="22"/>
        </w:rPr>
        <w:t xml:space="preserve">. </w:t>
      </w:r>
      <w:r w:rsidR="003A5F9D" w:rsidRPr="004D57C9">
        <w:rPr>
          <w:rFonts w:asciiTheme="majorHAnsi" w:hAnsiTheme="majorHAnsi"/>
          <w:sz w:val="22"/>
        </w:rPr>
        <w:t>These implementing partners are also referred to as ‘second tier partners’ in this report.</w:t>
      </w:r>
      <w:r w:rsidR="003A5F9D">
        <w:rPr>
          <w:rFonts w:asciiTheme="majorHAnsi" w:hAnsiTheme="majorHAnsi"/>
          <w:sz w:val="22"/>
        </w:rPr>
        <w:t xml:space="preserve"> </w:t>
      </w:r>
    </w:p>
    <w:p w:rsidR="0088133C" w:rsidRPr="00A0783E" w:rsidRDefault="0088133C" w:rsidP="00B110D8">
      <w:pPr>
        <w:pStyle w:val="ListNumber"/>
        <w:numPr>
          <w:ilvl w:val="0"/>
          <w:numId w:val="0"/>
        </w:numPr>
        <w:rPr>
          <w:rFonts w:asciiTheme="majorHAnsi" w:hAnsiTheme="majorHAnsi"/>
          <w:sz w:val="22"/>
        </w:rPr>
      </w:pPr>
    </w:p>
    <w:p w:rsidR="003F54E0" w:rsidRPr="00A0783E" w:rsidRDefault="007A5147" w:rsidP="00B110D8">
      <w:pPr>
        <w:pStyle w:val="ListNumber"/>
        <w:numPr>
          <w:ilvl w:val="0"/>
          <w:numId w:val="0"/>
        </w:numPr>
        <w:rPr>
          <w:rFonts w:asciiTheme="majorHAnsi" w:hAnsiTheme="majorHAnsi"/>
          <w:sz w:val="22"/>
        </w:rPr>
      </w:pPr>
      <w:r>
        <w:rPr>
          <w:rFonts w:asciiTheme="majorHAnsi" w:hAnsiTheme="majorHAnsi"/>
          <w:sz w:val="22"/>
        </w:rPr>
        <w:t xml:space="preserve">A key feature of AMENCA has been the provision of support to community based organisations (CBOs). All of the </w:t>
      </w:r>
      <w:r w:rsidR="003A5F9D" w:rsidRPr="009E16EE">
        <w:rPr>
          <w:rFonts w:asciiTheme="majorHAnsi" w:hAnsiTheme="majorHAnsi"/>
          <w:sz w:val="22"/>
        </w:rPr>
        <w:t>implementing partners</w:t>
      </w:r>
      <w:r w:rsidR="00B110D8" w:rsidRPr="00163B20">
        <w:rPr>
          <w:rFonts w:asciiTheme="majorHAnsi" w:hAnsiTheme="majorHAnsi"/>
          <w:sz w:val="22"/>
        </w:rPr>
        <w:t xml:space="preserve"> </w:t>
      </w:r>
      <w:r w:rsidR="0048171D" w:rsidRPr="00163B20">
        <w:rPr>
          <w:rFonts w:asciiTheme="majorHAnsi" w:hAnsiTheme="majorHAnsi"/>
          <w:sz w:val="22"/>
        </w:rPr>
        <w:t xml:space="preserve">outlined formal </w:t>
      </w:r>
      <w:r w:rsidR="00B110D8" w:rsidRPr="00163B20">
        <w:rPr>
          <w:rFonts w:asciiTheme="majorHAnsi" w:hAnsiTheme="majorHAnsi"/>
          <w:sz w:val="22"/>
        </w:rPr>
        <w:t xml:space="preserve">processes by which potential </w:t>
      </w:r>
      <w:r w:rsidRPr="00163B20">
        <w:rPr>
          <w:rFonts w:asciiTheme="majorHAnsi" w:hAnsiTheme="majorHAnsi"/>
          <w:sz w:val="22"/>
        </w:rPr>
        <w:t>CBOs</w:t>
      </w:r>
      <w:r w:rsidR="00B110D8" w:rsidRPr="00163B20">
        <w:rPr>
          <w:rFonts w:asciiTheme="majorHAnsi" w:hAnsiTheme="majorHAnsi"/>
          <w:sz w:val="22"/>
        </w:rPr>
        <w:t xml:space="preserve"> are assessed. The</w:t>
      </w:r>
      <w:r w:rsidR="00563735" w:rsidRPr="00163B20">
        <w:rPr>
          <w:rFonts w:asciiTheme="majorHAnsi" w:hAnsiTheme="majorHAnsi"/>
          <w:sz w:val="22"/>
        </w:rPr>
        <w:t>se</w:t>
      </w:r>
      <w:r w:rsidR="00B110D8" w:rsidRPr="00163B20">
        <w:rPr>
          <w:rFonts w:asciiTheme="majorHAnsi" w:hAnsiTheme="majorHAnsi"/>
          <w:sz w:val="22"/>
        </w:rPr>
        <w:t xml:space="preserve"> processes include an assessment of governance arrangements, financial systems, and integrity checks. The results of the assessment determine whether </w:t>
      </w:r>
      <w:r w:rsidR="003A5F9D" w:rsidRPr="00163B20">
        <w:rPr>
          <w:rFonts w:asciiTheme="majorHAnsi" w:hAnsiTheme="majorHAnsi"/>
          <w:sz w:val="22"/>
        </w:rPr>
        <w:t>implementing partners</w:t>
      </w:r>
      <w:r w:rsidR="00B110D8" w:rsidRPr="00163B20">
        <w:rPr>
          <w:rFonts w:asciiTheme="majorHAnsi" w:hAnsiTheme="majorHAnsi"/>
          <w:sz w:val="22"/>
        </w:rPr>
        <w:t xml:space="preserve"> </w:t>
      </w:r>
      <w:r w:rsidR="00C94725" w:rsidRPr="00163B20">
        <w:rPr>
          <w:rFonts w:asciiTheme="majorHAnsi" w:hAnsiTheme="majorHAnsi"/>
          <w:sz w:val="22"/>
        </w:rPr>
        <w:t xml:space="preserve">will </w:t>
      </w:r>
      <w:r w:rsidR="00563735" w:rsidRPr="00163B20">
        <w:rPr>
          <w:rFonts w:asciiTheme="majorHAnsi" w:hAnsiTheme="majorHAnsi"/>
          <w:sz w:val="22"/>
        </w:rPr>
        <w:t xml:space="preserve">provide support to a </w:t>
      </w:r>
      <w:r w:rsidRPr="00163B20">
        <w:rPr>
          <w:rFonts w:asciiTheme="majorHAnsi" w:hAnsiTheme="majorHAnsi"/>
          <w:sz w:val="22"/>
        </w:rPr>
        <w:t>CBO</w:t>
      </w:r>
      <w:r w:rsidR="00405040" w:rsidRPr="00163B20">
        <w:rPr>
          <w:rFonts w:asciiTheme="majorHAnsi" w:hAnsiTheme="majorHAnsi"/>
          <w:sz w:val="22"/>
        </w:rPr>
        <w:t xml:space="preserve">. They </w:t>
      </w:r>
      <w:r w:rsidR="00F90C72" w:rsidRPr="00163B20">
        <w:rPr>
          <w:rFonts w:asciiTheme="majorHAnsi" w:hAnsiTheme="majorHAnsi"/>
          <w:sz w:val="22"/>
        </w:rPr>
        <w:t xml:space="preserve">also </w:t>
      </w:r>
      <w:r w:rsidR="00B110D8" w:rsidRPr="00163B20">
        <w:rPr>
          <w:rFonts w:asciiTheme="majorHAnsi" w:hAnsiTheme="majorHAnsi"/>
          <w:sz w:val="22"/>
        </w:rPr>
        <w:t>influence the type of capacity building support</w:t>
      </w:r>
      <w:r w:rsidR="00B110D8" w:rsidRPr="00A0783E">
        <w:rPr>
          <w:rFonts w:asciiTheme="majorHAnsi" w:hAnsiTheme="majorHAnsi"/>
          <w:sz w:val="22"/>
        </w:rPr>
        <w:t xml:space="preserve"> that will be provided </w:t>
      </w:r>
      <w:r w:rsidR="008C1A04">
        <w:rPr>
          <w:rFonts w:asciiTheme="majorHAnsi" w:hAnsiTheme="majorHAnsi"/>
          <w:sz w:val="22"/>
        </w:rPr>
        <w:t>to a CBO</w:t>
      </w:r>
      <w:r w:rsidR="00B110D8" w:rsidRPr="00A0783E">
        <w:rPr>
          <w:rFonts w:asciiTheme="majorHAnsi" w:hAnsiTheme="majorHAnsi"/>
          <w:sz w:val="22"/>
        </w:rPr>
        <w:t>. Ongoing monitoring and regular integrity</w:t>
      </w:r>
      <w:r w:rsidR="00F90C72" w:rsidRPr="00A0783E">
        <w:rPr>
          <w:rFonts w:asciiTheme="majorHAnsi" w:hAnsiTheme="majorHAnsi"/>
          <w:sz w:val="22"/>
        </w:rPr>
        <w:t xml:space="preserve"> </w:t>
      </w:r>
      <w:r w:rsidR="00B110D8" w:rsidRPr="00A0783E">
        <w:rPr>
          <w:rFonts w:asciiTheme="majorHAnsi" w:hAnsiTheme="majorHAnsi"/>
          <w:sz w:val="22"/>
        </w:rPr>
        <w:t>checking</w:t>
      </w:r>
      <w:r w:rsidR="00F90C72" w:rsidRPr="00A0783E">
        <w:rPr>
          <w:rFonts w:asciiTheme="majorHAnsi" w:hAnsiTheme="majorHAnsi"/>
          <w:sz w:val="22"/>
        </w:rPr>
        <w:t xml:space="preserve"> </w:t>
      </w:r>
      <w:r w:rsidR="00B110D8" w:rsidRPr="00A0783E">
        <w:rPr>
          <w:rFonts w:asciiTheme="majorHAnsi" w:hAnsiTheme="majorHAnsi"/>
          <w:sz w:val="22"/>
        </w:rPr>
        <w:t xml:space="preserve">enables NGOs to maintain up to date knowledge of </w:t>
      </w:r>
      <w:r w:rsidR="008C1A04">
        <w:rPr>
          <w:rFonts w:asciiTheme="majorHAnsi" w:hAnsiTheme="majorHAnsi"/>
          <w:sz w:val="22"/>
        </w:rPr>
        <w:t>CBO’s</w:t>
      </w:r>
      <w:r w:rsidR="00B110D8" w:rsidRPr="00A0783E">
        <w:rPr>
          <w:rFonts w:asciiTheme="majorHAnsi" w:hAnsiTheme="majorHAnsi"/>
          <w:sz w:val="22"/>
        </w:rPr>
        <w:t xml:space="preserve"> systems, practices and capacities. </w:t>
      </w:r>
    </w:p>
    <w:p w:rsidR="00244CA3" w:rsidRPr="00A0783E" w:rsidRDefault="00244CA3" w:rsidP="00B110D8">
      <w:pPr>
        <w:pStyle w:val="ListNumber"/>
        <w:numPr>
          <w:ilvl w:val="0"/>
          <w:numId w:val="0"/>
        </w:numPr>
        <w:rPr>
          <w:rFonts w:asciiTheme="majorHAnsi" w:hAnsiTheme="majorHAnsi"/>
          <w:sz w:val="22"/>
        </w:rPr>
      </w:pPr>
    </w:p>
    <w:p w:rsidR="00244CA3" w:rsidRPr="00A0783E" w:rsidRDefault="008C1A04" w:rsidP="00244CA3">
      <w:pPr>
        <w:pStyle w:val="ListNumber"/>
        <w:numPr>
          <w:ilvl w:val="0"/>
          <w:numId w:val="0"/>
        </w:numPr>
        <w:rPr>
          <w:rFonts w:asciiTheme="majorHAnsi" w:hAnsiTheme="majorHAnsi"/>
          <w:sz w:val="22"/>
        </w:rPr>
      </w:pPr>
      <w:r>
        <w:rPr>
          <w:rFonts w:asciiTheme="majorHAnsi" w:hAnsiTheme="majorHAnsi"/>
          <w:sz w:val="22"/>
        </w:rPr>
        <w:t>R</w:t>
      </w:r>
      <w:r w:rsidR="00244CA3" w:rsidRPr="00A0783E">
        <w:rPr>
          <w:rFonts w:asciiTheme="majorHAnsi" w:hAnsiTheme="majorHAnsi"/>
          <w:sz w:val="22"/>
        </w:rPr>
        <w:t xml:space="preserve">isk at the field level is also addressed within the program through the ‘capacity building’ </w:t>
      </w:r>
      <w:r w:rsidR="00244CA3" w:rsidRPr="00DA4D1A">
        <w:rPr>
          <w:rFonts w:asciiTheme="majorHAnsi" w:hAnsiTheme="majorHAnsi"/>
          <w:sz w:val="22"/>
        </w:rPr>
        <w:t>component of the AMENCA program.</w:t>
      </w:r>
      <w:r w:rsidR="00244CA3" w:rsidRPr="00DA4D1A">
        <w:rPr>
          <w:rStyle w:val="FootnoteReference"/>
          <w:rFonts w:asciiTheme="majorHAnsi" w:hAnsiTheme="majorHAnsi"/>
          <w:sz w:val="22"/>
        </w:rPr>
        <w:t xml:space="preserve"> </w:t>
      </w:r>
      <w:r w:rsidR="00244CA3" w:rsidRPr="00DA4D1A">
        <w:rPr>
          <w:rStyle w:val="FootnoteReference"/>
          <w:rFonts w:asciiTheme="majorHAnsi" w:hAnsiTheme="majorHAnsi"/>
          <w:sz w:val="20"/>
          <w:szCs w:val="20"/>
        </w:rPr>
        <w:footnoteReference w:id="1"/>
      </w:r>
      <w:r w:rsidR="00244CA3" w:rsidRPr="00DA4D1A">
        <w:rPr>
          <w:rFonts w:asciiTheme="majorHAnsi" w:hAnsiTheme="majorHAnsi"/>
        </w:rPr>
        <w:t xml:space="preserve"> </w:t>
      </w:r>
      <w:r w:rsidR="00244CA3" w:rsidRPr="0024158B">
        <w:rPr>
          <w:rFonts w:asciiTheme="majorHAnsi" w:hAnsiTheme="majorHAnsi"/>
          <w:sz w:val="20"/>
          <w:szCs w:val="20"/>
        </w:rPr>
        <w:t xml:space="preserve"> </w:t>
      </w:r>
      <w:r w:rsidR="00244CA3" w:rsidRPr="009E16EE">
        <w:rPr>
          <w:rFonts w:asciiTheme="majorHAnsi" w:hAnsiTheme="majorHAnsi"/>
          <w:sz w:val="22"/>
        </w:rPr>
        <w:t>Dedi</w:t>
      </w:r>
      <w:r w:rsidR="00244CA3" w:rsidRPr="00163B20">
        <w:rPr>
          <w:rFonts w:asciiTheme="majorHAnsi" w:hAnsiTheme="majorHAnsi"/>
          <w:sz w:val="22"/>
        </w:rPr>
        <w:t>cated resources have been applied to strengthening the governance and management of CBOs including resource mobilization</w:t>
      </w:r>
      <w:r w:rsidR="0099318A" w:rsidRPr="00163B20">
        <w:rPr>
          <w:rFonts w:asciiTheme="majorHAnsi" w:hAnsiTheme="majorHAnsi"/>
          <w:sz w:val="22"/>
        </w:rPr>
        <w:t>.</w:t>
      </w:r>
      <w:r w:rsidR="00244CA3" w:rsidRPr="00163B20">
        <w:rPr>
          <w:rStyle w:val="FootnoteReference"/>
          <w:rFonts w:asciiTheme="majorHAnsi" w:hAnsiTheme="majorHAnsi"/>
          <w:sz w:val="22"/>
        </w:rPr>
        <w:footnoteReference w:id="2"/>
      </w:r>
      <w:r w:rsidR="00244CA3" w:rsidRPr="00163B20">
        <w:rPr>
          <w:rFonts w:asciiTheme="majorHAnsi" w:hAnsiTheme="majorHAnsi"/>
          <w:sz w:val="22"/>
        </w:rPr>
        <w:t xml:space="preserve"> Each </w:t>
      </w:r>
      <w:r w:rsidR="00D82325" w:rsidRPr="00163B20">
        <w:rPr>
          <w:rFonts w:asciiTheme="majorHAnsi" w:hAnsiTheme="majorHAnsi"/>
          <w:sz w:val="22"/>
        </w:rPr>
        <w:t>implementing partner</w:t>
      </w:r>
      <w:r w:rsidR="00244CA3" w:rsidRPr="00163B20">
        <w:rPr>
          <w:rFonts w:asciiTheme="majorHAnsi" w:hAnsiTheme="majorHAnsi"/>
          <w:sz w:val="22"/>
        </w:rPr>
        <w:t xml:space="preserve"> outlined governance and financial training that had been provided to </w:t>
      </w:r>
      <w:r w:rsidRPr="00163B20">
        <w:rPr>
          <w:rFonts w:asciiTheme="majorHAnsi" w:hAnsiTheme="majorHAnsi"/>
          <w:sz w:val="22"/>
        </w:rPr>
        <w:t xml:space="preserve">CBOs </w:t>
      </w:r>
      <w:r w:rsidR="00244CA3" w:rsidRPr="00163B20">
        <w:rPr>
          <w:rFonts w:asciiTheme="majorHAnsi" w:hAnsiTheme="majorHAnsi"/>
          <w:sz w:val="22"/>
        </w:rPr>
        <w:t>and was able to describe capacity improvements. The 2013 Program Annual Synthesis Report confirmed that the program has supported CBOs in project management, with a focus on design, finance, implementation</w:t>
      </w:r>
      <w:r w:rsidR="00244CA3" w:rsidRPr="00A0783E">
        <w:rPr>
          <w:rFonts w:asciiTheme="majorHAnsi" w:hAnsiTheme="majorHAnsi"/>
          <w:sz w:val="22"/>
        </w:rPr>
        <w:t xml:space="preserve"> and monitoring of projects in their communities, training of staff and developing manuals and guidelines for the CBOs. </w:t>
      </w:r>
    </w:p>
    <w:p w:rsidR="003F54E0" w:rsidRPr="00A0783E" w:rsidRDefault="003F54E0" w:rsidP="00B110D8">
      <w:pPr>
        <w:pStyle w:val="ListNumber"/>
        <w:numPr>
          <w:ilvl w:val="0"/>
          <w:numId w:val="0"/>
        </w:numPr>
        <w:rPr>
          <w:rFonts w:asciiTheme="majorHAnsi" w:hAnsiTheme="majorHAnsi"/>
          <w:sz w:val="22"/>
        </w:rPr>
      </w:pPr>
    </w:p>
    <w:p w:rsidR="00B110D8" w:rsidRPr="004D57C9" w:rsidRDefault="00B110D8" w:rsidP="00B110D8">
      <w:pPr>
        <w:pStyle w:val="ListNumber"/>
        <w:numPr>
          <w:ilvl w:val="0"/>
          <w:numId w:val="0"/>
        </w:numPr>
        <w:rPr>
          <w:rFonts w:asciiTheme="majorHAnsi" w:hAnsiTheme="majorHAnsi"/>
          <w:b/>
          <w:sz w:val="22"/>
        </w:rPr>
      </w:pPr>
      <w:r w:rsidRPr="004D57C9">
        <w:rPr>
          <w:rFonts w:asciiTheme="majorHAnsi" w:hAnsiTheme="majorHAnsi"/>
          <w:b/>
          <w:sz w:val="22"/>
        </w:rPr>
        <w:t xml:space="preserve">Program </w:t>
      </w:r>
      <w:r w:rsidR="003A59DF" w:rsidRPr="004D57C9">
        <w:rPr>
          <w:rFonts w:asciiTheme="majorHAnsi" w:hAnsiTheme="majorHAnsi"/>
          <w:b/>
          <w:sz w:val="22"/>
        </w:rPr>
        <w:t xml:space="preserve">Risk </w:t>
      </w:r>
    </w:p>
    <w:p w:rsidR="005201BA" w:rsidRPr="004D57C9" w:rsidRDefault="005201BA" w:rsidP="005201BA">
      <w:pPr>
        <w:pStyle w:val="ListNumber"/>
        <w:numPr>
          <w:ilvl w:val="0"/>
          <w:numId w:val="0"/>
        </w:numPr>
        <w:rPr>
          <w:rFonts w:asciiTheme="majorHAnsi" w:hAnsiTheme="majorHAnsi"/>
          <w:sz w:val="22"/>
        </w:rPr>
      </w:pPr>
      <w:r w:rsidRPr="004D57C9">
        <w:rPr>
          <w:rFonts w:asciiTheme="majorHAnsi" w:hAnsiTheme="majorHAnsi"/>
          <w:sz w:val="22"/>
        </w:rPr>
        <w:t xml:space="preserve">DFAT provided a copy of the Ramallah Post Risk and Fraud Management Plan and Risk Register, which demonstrated DFAT awareness of key risks and appropriate mitigation measures in place. Both documents included reference to risks associated with working with civil society organisations and outlined appropriate risk management approaches. DFAT also provided sample meeting minutes showing discussion of and attention to emerging risks. </w:t>
      </w:r>
    </w:p>
    <w:p w:rsidR="005201BA" w:rsidRPr="004D57C9" w:rsidRDefault="005201BA" w:rsidP="005201BA">
      <w:pPr>
        <w:pStyle w:val="ListNumber"/>
        <w:numPr>
          <w:ilvl w:val="0"/>
          <w:numId w:val="0"/>
        </w:numPr>
        <w:rPr>
          <w:rFonts w:asciiTheme="majorHAnsi" w:hAnsiTheme="majorHAnsi"/>
          <w:sz w:val="22"/>
        </w:rPr>
      </w:pPr>
    </w:p>
    <w:p w:rsidR="008C2AF6" w:rsidRPr="00A0783E" w:rsidRDefault="005201BA" w:rsidP="00B110D8">
      <w:pPr>
        <w:pStyle w:val="ListNumber"/>
        <w:numPr>
          <w:ilvl w:val="0"/>
          <w:numId w:val="0"/>
        </w:numPr>
        <w:rPr>
          <w:rFonts w:asciiTheme="majorHAnsi" w:hAnsiTheme="majorHAnsi"/>
          <w:sz w:val="22"/>
        </w:rPr>
      </w:pPr>
      <w:r w:rsidRPr="004D57C9">
        <w:rPr>
          <w:rFonts w:asciiTheme="majorHAnsi" w:hAnsiTheme="majorHAnsi"/>
          <w:sz w:val="22"/>
        </w:rPr>
        <w:t xml:space="preserve">It is noted that an AMENCA Risk Management Framework was developed in the original design of AMENCA, although has not been updated at an overall program level since that time. This is compensated by each of the ANGO funded programs having their own risk management frameworks, which are updated within the annual planning process. The risk matrices included in the most recent annual plans were reviewed against original project risk matrices, which showed that the matrices have been updated significantly since the beginning of AMENCA. </w:t>
      </w:r>
      <w:r w:rsidR="00B110D8" w:rsidRPr="004D57C9">
        <w:rPr>
          <w:rFonts w:asciiTheme="majorHAnsi" w:hAnsiTheme="majorHAnsi"/>
          <w:sz w:val="22"/>
        </w:rPr>
        <w:t xml:space="preserve">The risks identified in the </w:t>
      </w:r>
      <w:r w:rsidRPr="004D57C9">
        <w:rPr>
          <w:rFonts w:asciiTheme="majorHAnsi" w:hAnsiTheme="majorHAnsi"/>
          <w:sz w:val="22"/>
        </w:rPr>
        <w:t xml:space="preserve">updated </w:t>
      </w:r>
      <w:r w:rsidR="00B110D8" w:rsidRPr="004D57C9">
        <w:rPr>
          <w:rFonts w:asciiTheme="majorHAnsi" w:hAnsiTheme="majorHAnsi"/>
          <w:sz w:val="22"/>
        </w:rPr>
        <w:t xml:space="preserve">risk management matrices </w:t>
      </w:r>
      <w:r w:rsidR="008C2AF6" w:rsidRPr="004D57C9">
        <w:rPr>
          <w:rFonts w:asciiTheme="majorHAnsi" w:hAnsiTheme="majorHAnsi"/>
          <w:sz w:val="22"/>
        </w:rPr>
        <w:t xml:space="preserve">were consistent with the discussion of project progress and </w:t>
      </w:r>
      <w:r w:rsidRPr="004D57C9">
        <w:rPr>
          <w:rFonts w:asciiTheme="majorHAnsi" w:hAnsiTheme="majorHAnsi"/>
          <w:sz w:val="22"/>
        </w:rPr>
        <w:t xml:space="preserve">current issues of </w:t>
      </w:r>
      <w:r w:rsidR="008C2AF6" w:rsidRPr="004D57C9">
        <w:rPr>
          <w:rFonts w:asciiTheme="majorHAnsi" w:hAnsiTheme="majorHAnsi"/>
          <w:sz w:val="22"/>
        </w:rPr>
        <w:t>risk.</w:t>
      </w:r>
      <w:r w:rsidR="008C2AF6" w:rsidRPr="00A0783E">
        <w:rPr>
          <w:rFonts w:asciiTheme="majorHAnsi" w:hAnsiTheme="majorHAnsi"/>
          <w:sz w:val="22"/>
        </w:rPr>
        <w:t xml:space="preserve"> </w:t>
      </w:r>
    </w:p>
    <w:p w:rsidR="005201BA" w:rsidRPr="00A0783E" w:rsidRDefault="005201BA" w:rsidP="00B110D8">
      <w:pPr>
        <w:pStyle w:val="ListNumber"/>
        <w:numPr>
          <w:ilvl w:val="0"/>
          <w:numId w:val="0"/>
        </w:numPr>
        <w:rPr>
          <w:rFonts w:asciiTheme="majorHAnsi" w:hAnsiTheme="majorHAnsi"/>
          <w:sz w:val="22"/>
        </w:rPr>
      </w:pPr>
    </w:p>
    <w:p w:rsidR="004A182E" w:rsidRPr="00163B20" w:rsidRDefault="00B110D8" w:rsidP="00B110D8">
      <w:pPr>
        <w:pStyle w:val="ListNumber"/>
        <w:numPr>
          <w:ilvl w:val="0"/>
          <w:numId w:val="0"/>
        </w:numPr>
        <w:rPr>
          <w:rFonts w:asciiTheme="majorHAnsi" w:hAnsiTheme="majorHAnsi"/>
          <w:sz w:val="22"/>
        </w:rPr>
      </w:pPr>
      <w:r w:rsidRPr="00A0783E">
        <w:rPr>
          <w:rFonts w:asciiTheme="majorHAnsi" w:hAnsiTheme="majorHAnsi"/>
          <w:sz w:val="22"/>
        </w:rPr>
        <w:t xml:space="preserve">Each of </w:t>
      </w:r>
      <w:r w:rsidRPr="00DA4D1A">
        <w:rPr>
          <w:rFonts w:asciiTheme="majorHAnsi" w:hAnsiTheme="majorHAnsi"/>
          <w:sz w:val="22"/>
        </w:rPr>
        <w:t xml:space="preserve">the </w:t>
      </w:r>
      <w:r w:rsidR="00D82325" w:rsidRPr="00DA4D1A">
        <w:rPr>
          <w:rFonts w:asciiTheme="majorHAnsi" w:hAnsiTheme="majorHAnsi"/>
          <w:sz w:val="22"/>
        </w:rPr>
        <w:t xml:space="preserve">implementing </w:t>
      </w:r>
      <w:r w:rsidRPr="00DA4D1A">
        <w:rPr>
          <w:rFonts w:asciiTheme="majorHAnsi" w:hAnsiTheme="majorHAnsi"/>
          <w:sz w:val="22"/>
        </w:rPr>
        <w:t>partners</w:t>
      </w:r>
      <w:r w:rsidRPr="0024158B">
        <w:rPr>
          <w:rFonts w:asciiTheme="majorHAnsi" w:hAnsiTheme="majorHAnsi"/>
          <w:sz w:val="22"/>
        </w:rPr>
        <w:t xml:space="preserve"> was able to describe current and emerging risks to pr</w:t>
      </w:r>
      <w:r w:rsidRPr="009E16EE">
        <w:rPr>
          <w:rFonts w:asciiTheme="majorHAnsi" w:hAnsiTheme="majorHAnsi"/>
          <w:sz w:val="22"/>
        </w:rPr>
        <w:t>ograms, and outline the strategies that have been introduced to address these risks. A review of the current risk management matrices for each program confirmed that these risks have been formally documented. This demonstrates that risk is being actively a</w:t>
      </w:r>
      <w:r w:rsidRPr="00163B20">
        <w:rPr>
          <w:rFonts w:asciiTheme="majorHAnsi" w:hAnsiTheme="majorHAnsi"/>
          <w:sz w:val="22"/>
        </w:rPr>
        <w:t>ssessed. There was also good evidence that risks had been communicated with the Monitoring and E</w:t>
      </w:r>
      <w:r w:rsidR="003A59DF" w:rsidRPr="00163B20">
        <w:rPr>
          <w:rFonts w:asciiTheme="majorHAnsi" w:hAnsiTheme="majorHAnsi"/>
          <w:sz w:val="22"/>
        </w:rPr>
        <w:t xml:space="preserve">valuation Adviser and DFAT and that the local DFAT office was actively using its influence with local authorities and other aid actors to address emerging risks. </w:t>
      </w:r>
    </w:p>
    <w:p w:rsidR="003A59DF" w:rsidRPr="00163B20" w:rsidRDefault="003A59DF" w:rsidP="00B110D8">
      <w:pPr>
        <w:pStyle w:val="ListNumber"/>
        <w:numPr>
          <w:ilvl w:val="0"/>
          <w:numId w:val="0"/>
        </w:numPr>
        <w:rPr>
          <w:rFonts w:asciiTheme="majorHAnsi" w:hAnsiTheme="majorHAnsi"/>
          <w:sz w:val="22"/>
        </w:rPr>
      </w:pPr>
    </w:p>
    <w:p w:rsidR="00B82844" w:rsidRPr="00163B20" w:rsidRDefault="00B82844" w:rsidP="00B82844">
      <w:pPr>
        <w:pStyle w:val="ListNumber"/>
        <w:numPr>
          <w:ilvl w:val="0"/>
          <w:numId w:val="0"/>
        </w:numPr>
        <w:ind w:left="454" w:hanging="454"/>
        <w:rPr>
          <w:rFonts w:asciiTheme="majorHAnsi" w:hAnsiTheme="majorHAnsi"/>
          <w:b/>
          <w:sz w:val="22"/>
        </w:rPr>
      </w:pPr>
      <w:r w:rsidRPr="00163B20">
        <w:rPr>
          <w:rFonts w:asciiTheme="majorHAnsi" w:hAnsiTheme="majorHAnsi"/>
          <w:b/>
          <w:sz w:val="22"/>
        </w:rPr>
        <w:t xml:space="preserve">Program </w:t>
      </w:r>
      <w:r w:rsidR="00D24D61" w:rsidRPr="00163B20">
        <w:rPr>
          <w:rFonts w:asciiTheme="majorHAnsi" w:hAnsiTheme="majorHAnsi"/>
          <w:b/>
          <w:sz w:val="22"/>
        </w:rPr>
        <w:t>Monitoring</w:t>
      </w:r>
    </w:p>
    <w:p w:rsidR="007A5147" w:rsidRPr="00163B20" w:rsidRDefault="007A5147" w:rsidP="00D24D61">
      <w:pPr>
        <w:pStyle w:val="ListNumber"/>
        <w:numPr>
          <w:ilvl w:val="0"/>
          <w:numId w:val="0"/>
        </w:numPr>
        <w:rPr>
          <w:rFonts w:asciiTheme="majorHAnsi" w:hAnsiTheme="majorHAnsi"/>
          <w:sz w:val="22"/>
        </w:rPr>
      </w:pPr>
      <w:r w:rsidRPr="00163B20">
        <w:rPr>
          <w:rFonts w:asciiTheme="majorHAnsi" w:hAnsiTheme="majorHAnsi"/>
          <w:sz w:val="22"/>
        </w:rPr>
        <w:t xml:space="preserve">AMENCA has a sound monitoring framework and a </w:t>
      </w:r>
      <w:r w:rsidR="00680CD0" w:rsidRPr="00163B20">
        <w:rPr>
          <w:rFonts w:asciiTheme="majorHAnsi" w:hAnsiTheme="majorHAnsi"/>
          <w:sz w:val="22"/>
        </w:rPr>
        <w:t>dedicated</w:t>
      </w:r>
      <w:r w:rsidRPr="00163B20">
        <w:rPr>
          <w:rFonts w:asciiTheme="majorHAnsi" w:hAnsiTheme="majorHAnsi"/>
          <w:sz w:val="22"/>
        </w:rPr>
        <w:t xml:space="preserve"> program resource in an external Monitoring and Evaluation (M&amp;E) Advisor. </w:t>
      </w:r>
      <w:r w:rsidRPr="00163B20">
        <w:rPr>
          <w:rFonts w:asciiTheme="majorHAnsi" w:hAnsiTheme="majorHAnsi"/>
          <w:color w:val="0D0D0D" w:themeColor="text1" w:themeTint="F2"/>
          <w:sz w:val="22"/>
        </w:rPr>
        <w:t xml:space="preserve">The M&amp;E Advisor has ongoing contact with each ANGO and </w:t>
      </w:r>
      <w:r w:rsidR="00D82325" w:rsidRPr="00163B20">
        <w:rPr>
          <w:rFonts w:asciiTheme="majorHAnsi" w:hAnsiTheme="majorHAnsi"/>
          <w:color w:val="0D0D0D" w:themeColor="text1" w:themeTint="F2"/>
          <w:sz w:val="22"/>
        </w:rPr>
        <w:t>implementing partner</w:t>
      </w:r>
      <w:r w:rsidRPr="00163B20">
        <w:rPr>
          <w:rFonts w:asciiTheme="majorHAnsi" w:hAnsiTheme="majorHAnsi"/>
          <w:color w:val="0D0D0D" w:themeColor="text1" w:themeTint="F2"/>
          <w:sz w:val="22"/>
        </w:rPr>
        <w:t xml:space="preserve"> throughout the year. This has been a key risk management feature of the program as the M&amp;E Advisor both monitors partners and projects, </w:t>
      </w:r>
      <w:r w:rsidR="00876292" w:rsidRPr="00163B20">
        <w:rPr>
          <w:rFonts w:asciiTheme="majorHAnsi" w:hAnsiTheme="majorHAnsi"/>
          <w:color w:val="0D0D0D" w:themeColor="text1" w:themeTint="F2"/>
          <w:sz w:val="22"/>
        </w:rPr>
        <w:t>and</w:t>
      </w:r>
      <w:r w:rsidRPr="00163B20">
        <w:rPr>
          <w:rFonts w:asciiTheme="majorHAnsi" w:hAnsiTheme="majorHAnsi"/>
          <w:color w:val="0D0D0D" w:themeColor="text1" w:themeTint="F2"/>
          <w:sz w:val="22"/>
        </w:rPr>
        <w:t xml:space="preserve"> also provides capacity building support to partners to increase the quality of programming, thereby increasing the likelihood of program success. </w:t>
      </w:r>
    </w:p>
    <w:p w:rsidR="007A5147" w:rsidRPr="00163B20" w:rsidRDefault="007A5147" w:rsidP="00D24D61">
      <w:pPr>
        <w:pStyle w:val="ListNumber"/>
        <w:numPr>
          <w:ilvl w:val="0"/>
          <w:numId w:val="0"/>
        </w:numPr>
        <w:rPr>
          <w:rFonts w:asciiTheme="majorHAnsi" w:hAnsiTheme="majorHAnsi"/>
          <w:sz w:val="22"/>
        </w:rPr>
      </w:pPr>
    </w:p>
    <w:p w:rsidR="00244CA3" w:rsidRPr="007A5147" w:rsidRDefault="007A5147" w:rsidP="00D24D61">
      <w:pPr>
        <w:pStyle w:val="ListNumber"/>
        <w:numPr>
          <w:ilvl w:val="0"/>
          <w:numId w:val="0"/>
        </w:numPr>
        <w:rPr>
          <w:rFonts w:asciiTheme="majorHAnsi" w:hAnsiTheme="majorHAnsi"/>
          <w:sz w:val="22"/>
        </w:rPr>
      </w:pPr>
      <w:r w:rsidRPr="00163B20">
        <w:rPr>
          <w:rFonts w:asciiTheme="majorHAnsi" w:hAnsiTheme="majorHAnsi"/>
          <w:sz w:val="22"/>
        </w:rPr>
        <w:t xml:space="preserve">The review learned that </w:t>
      </w:r>
      <w:r w:rsidR="00D82325" w:rsidRPr="00163B20">
        <w:rPr>
          <w:rFonts w:asciiTheme="majorHAnsi" w:hAnsiTheme="majorHAnsi"/>
          <w:sz w:val="22"/>
        </w:rPr>
        <w:t>implementing partners</w:t>
      </w:r>
      <w:r w:rsidR="00244CA3" w:rsidRPr="00163B20">
        <w:rPr>
          <w:rFonts w:asciiTheme="majorHAnsi" w:hAnsiTheme="majorHAnsi"/>
          <w:sz w:val="22"/>
        </w:rPr>
        <w:t xml:space="preserve"> are monitoring </w:t>
      </w:r>
      <w:r w:rsidRPr="00163B20">
        <w:rPr>
          <w:rFonts w:asciiTheme="majorHAnsi" w:hAnsiTheme="majorHAnsi"/>
          <w:sz w:val="22"/>
        </w:rPr>
        <w:t>CBOs</w:t>
      </w:r>
      <w:r w:rsidR="00244CA3" w:rsidRPr="00163B20">
        <w:rPr>
          <w:rFonts w:asciiTheme="majorHAnsi" w:hAnsiTheme="majorHAnsi"/>
          <w:sz w:val="22"/>
        </w:rPr>
        <w:t xml:space="preserve"> on a day to day basis, with formal reporting required on a monthly and quarterly </w:t>
      </w:r>
      <w:r w:rsidRPr="00163B20">
        <w:rPr>
          <w:rFonts w:asciiTheme="majorHAnsi" w:hAnsiTheme="majorHAnsi"/>
          <w:sz w:val="22"/>
        </w:rPr>
        <w:t xml:space="preserve">basis. </w:t>
      </w:r>
      <w:r w:rsidR="00680CD0" w:rsidRPr="00163B20">
        <w:rPr>
          <w:rFonts w:asciiTheme="majorHAnsi" w:hAnsiTheme="majorHAnsi"/>
          <w:sz w:val="22"/>
        </w:rPr>
        <w:t xml:space="preserve">It was evident through discussion that </w:t>
      </w:r>
      <w:r w:rsidR="00D82325" w:rsidRPr="00163B20">
        <w:rPr>
          <w:rFonts w:asciiTheme="majorHAnsi" w:hAnsiTheme="majorHAnsi"/>
          <w:sz w:val="22"/>
        </w:rPr>
        <w:t>implementing partners</w:t>
      </w:r>
      <w:r w:rsidR="00680CD0" w:rsidRPr="00163B20">
        <w:rPr>
          <w:rFonts w:asciiTheme="majorHAnsi" w:hAnsiTheme="majorHAnsi"/>
          <w:sz w:val="22"/>
        </w:rPr>
        <w:t xml:space="preserve"> then prepare quarterly reports for their internal reporting processes, and are using these as a basis to develop</w:t>
      </w:r>
      <w:r w:rsidR="00680CD0" w:rsidRPr="00163B20">
        <w:rPr>
          <w:rFonts w:asciiTheme="majorHAnsi" w:hAnsiTheme="majorHAnsi"/>
          <w:i/>
          <w:sz w:val="22"/>
        </w:rPr>
        <w:t xml:space="preserve"> </w:t>
      </w:r>
      <w:r w:rsidR="00680CD0" w:rsidRPr="00163B20">
        <w:rPr>
          <w:rFonts w:asciiTheme="majorHAnsi" w:hAnsiTheme="majorHAnsi"/>
          <w:sz w:val="22"/>
        </w:rPr>
        <w:t>six monthly reports for DFAT.</w:t>
      </w:r>
      <w:r w:rsidR="00680CD0" w:rsidRPr="00163B20">
        <w:rPr>
          <w:rFonts w:asciiTheme="majorHAnsi" w:hAnsiTheme="majorHAnsi"/>
          <w:i/>
          <w:sz w:val="22"/>
        </w:rPr>
        <w:t xml:space="preserve"> </w:t>
      </w:r>
      <w:r w:rsidR="00680CD0" w:rsidRPr="00163B20">
        <w:rPr>
          <w:rFonts w:asciiTheme="majorHAnsi" w:hAnsiTheme="majorHAnsi"/>
          <w:sz w:val="22"/>
        </w:rPr>
        <w:t xml:space="preserve">ANGOs work with their </w:t>
      </w:r>
      <w:r w:rsidR="00D82325" w:rsidRPr="00163B20">
        <w:rPr>
          <w:rFonts w:asciiTheme="majorHAnsi" w:hAnsiTheme="majorHAnsi"/>
          <w:sz w:val="22"/>
        </w:rPr>
        <w:t>implementing partners</w:t>
      </w:r>
      <w:r w:rsidR="00680CD0" w:rsidRPr="00163B20">
        <w:rPr>
          <w:rFonts w:asciiTheme="majorHAnsi" w:hAnsiTheme="majorHAnsi"/>
          <w:sz w:val="22"/>
        </w:rPr>
        <w:t xml:space="preserve"> to prepare </w:t>
      </w:r>
      <w:r w:rsidR="00244CA3" w:rsidRPr="00163B20">
        <w:rPr>
          <w:rFonts w:asciiTheme="majorHAnsi" w:hAnsiTheme="majorHAnsi"/>
          <w:sz w:val="22"/>
        </w:rPr>
        <w:t>six monthly</w:t>
      </w:r>
      <w:r w:rsidR="00244CA3" w:rsidRPr="007A5147">
        <w:rPr>
          <w:rFonts w:asciiTheme="majorHAnsi" w:hAnsiTheme="majorHAnsi"/>
          <w:sz w:val="22"/>
        </w:rPr>
        <w:t xml:space="preserve"> report</w:t>
      </w:r>
      <w:r w:rsidR="00680CD0">
        <w:rPr>
          <w:rFonts w:asciiTheme="majorHAnsi" w:hAnsiTheme="majorHAnsi"/>
          <w:sz w:val="22"/>
        </w:rPr>
        <w:t xml:space="preserve">s. Reports are reviewed by DFAT and the M&amp;E Advisor and feedback is provided to partners. The review found that the quality of reporting was good overall, providing </w:t>
      </w:r>
      <w:r w:rsidR="00154309">
        <w:rPr>
          <w:rFonts w:asciiTheme="majorHAnsi" w:hAnsiTheme="majorHAnsi"/>
          <w:sz w:val="22"/>
        </w:rPr>
        <w:t xml:space="preserve">a sound basis on which to identify and manage risk. </w:t>
      </w:r>
    </w:p>
    <w:p w:rsidR="00244CA3" w:rsidRPr="007A5147" w:rsidRDefault="00244CA3" w:rsidP="00D24D61">
      <w:pPr>
        <w:pStyle w:val="ListNumber"/>
        <w:numPr>
          <w:ilvl w:val="0"/>
          <w:numId w:val="0"/>
        </w:numPr>
        <w:rPr>
          <w:rFonts w:asciiTheme="majorHAnsi" w:hAnsiTheme="majorHAnsi"/>
          <w:sz w:val="22"/>
        </w:rPr>
      </w:pPr>
    </w:p>
    <w:p w:rsidR="00876292" w:rsidRDefault="00876292" w:rsidP="00244CA3">
      <w:pPr>
        <w:pStyle w:val="ListNumber"/>
        <w:numPr>
          <w:ilvl w:val="0"/>
          <w:numId w:val="0"/>
        </w:numPr>
        <w:rPr>
          <w:rFonts w:asciiTheme="majorHAnsi" w:hAnsiTheme="majorHAnsi"/>
          <w:sz w:val="22"/>
        </w:rPr>
      </w:pPr>
      <w:r w:rsidRPr="007A5147">
        <w:rPr>
          <w:rFonts w:asciiTheme="majorHAnsi" w:hAnsiTheme="majorHAnsi"/>
          <w:sz w:val="22"/>
        </w:rPr>
        <w:t xml:space="preserve">The level of </w:t>
      </w:r>
      <w:r>
        <w:rPr>
          <w:rFonts w:asciiTheme="majorHAnsi" w:hAnsiTheme="majorHAnsi"/>
          <w:sz w:val="22"/>
        </w:rPr>
        <w:t xml:space="preserve">field </w:t>
      </w:r>
      <w:r w:rsidRPr="007A5147">
        <w:rPr>
          <w:rFonts w:asciiTheme="majorHAnsi" w:hAnsiTheme="majorHAnsi"/>
          <w:sz w:val="22"/>
        </w:rPr>
        <w:t xml:space="preserve">program monitoring </w:t>
      </w:r>
      <w:r>
        <w:rPr>
          <w:rFonts w:asciiTheme="majorHAnsi" w:hAnsiTheme="majorHAnsi"/>
          <w:sz w:val="22"/>
        </w:rPr>
        <w:t>undertaken</w:t>
      </w:r>
      <w:r w:rsidRPr="007A5147">
        <w:rPr>
          <w:rFonts w:asciiTheme="majorHAnsi" w:hAnsiTheme="majorHAnsi"/>
          <w:sz w:val="22"/>
        </w:rPr>
        <w:t xml:space="preserve"> by the Australian NGOs differed, with all undertaking field trips at least twice a year, but in some cases much more frequently and for much longer duration. </w:t>
      </w:r>
      <w:r>
        <w:rPr>
          <w:rFonts w:asciiTheme="majorHAnsi" w:hAnsiTheme="majorHAnsi"/>
          <w:sz w:val="22"/>
        </w:rPr>
        <w:t>It was evident in two case</w:t>
      </w:r>
      <w:r w:rsidR="0048171D">
        <w:rPr>
          <w:rFonts w:asciiTheme="majorHAnsi" w:hAnsiTheme="majorHAnsi"/>
          <w:sz w:val="22"/>
        </w:rPr>
        <w:t>s</w:t>
      </w:r>
      <w:r>
        <w:rPr>
          <w:rFonts w:asciiTheme="majorHAnsi" w:hAnsiTheme="majorHAnsi"/>
          <w:sz w:val="22"/>
        </w:rPr>
        <w:t>, that the role of the Australian NGO had been significant in terms of providing technical support and capacity development</w:t>
      </w:r>
      <w:r w:rsidR="0048171D">
        <w:rPr>
          <w:rFonts w:asciiTheme="majorHAnsi" w:hAnsiTheme="majorHAnsi"/>
          <w:sz w:val="22"/>
        </w:rPr>
        <w:t xml:space="preserve"> to </w:t>
      </w:r>
      <w:r w:rsidR="00C263CF">
        <w:rPr>
          <w:rFonts w:asciiTheme="majorHAnsi" w:hAnsiTheme="majorHAnsi"/>
          <w:sz w:val="22"/>
        </w:rPr>
        <w:t>implementing p</w:t>
      </w:r>
      <w:r w:rsidR="0048171D">
        <w:rPr>
          <w:rFonts w:asciiTheme="majorHAnsi" w:hAnsiTheme="majorHAnsi"/>
          <w:sz w:val="22"/>
        </w:rPr>
        <w:t>artners</w:t>
      </w:r>
      <w:r>
        <w:rPr>
          <w:rFonts w:asciiTheme="majorHAnsi" w:hAnsiTheme="majorHAnsi"/>
          <w:sz w:val="22"/>
        </w:rPr>
        <w:t xml:space="preserve">. </w:t>
      </w:r>
    </w:p>
    <w:p w:rsidR="00876292" w:rsidRDefault="00876292" w:rsidP="00244CA3">
      <w:pPr>
        <w:pStyle w:val="ListNumber"/>
        <w:numPr>
          <w:ilvl w:val="0"/>
          <w:numId w:val="0"/>
        </w:numPr>
        <w:rPr>
          <w:rFonts w:asciiTheme="majorHAnsi" w:hAnsiTheme="majorHAnsi"/>
          <w:sz w:val="22"/>
        </w:rPr>
      </w:pPr>
    </w:p>
    <w:p w:rsidR="00876292" w:rsidRPr="007A5147" w:rsidRDefault="00876292" w:rsidP="00876292">
      <w:pPr>
        <w:pStyle w:val="ListNumber"/>
        <w:numPr>
          <w:ilvl w:val="0"/>
          <w:numId w:val="0"/>
        </w:numPr>
        <w:rPr>
          <w:rFonts w:asciiTheme="majorHAnsi" w:hAnsiTheme="majorHAnsi"/>
          <w:color w:val="0D0D0D" w:themeColor="text1" w:themeTint="F2"/>
          <w:sz w:val="22"/>
        </w:rPr>
      </w:pPr>
      <w:r w:rsidRPr="007A5147">
        <w:rPr>
          <w:rFonts w:asciiTheme="majorHAnsi" w:hAnsiTheme="majorHAnsi"/>
          <w:color w:val="0D0D0D" w:themeColor="text1" w:themeTint="F2"/>
          <w:sz w:val="22"/>
        </w:rPr>
        <w:t xml:space="preserve">Another key </w:t>
      </w:r>
      <w:r>
        <w:rPr>
          <w:rFonts w:asciiTheme="majorHAnsi" w:hAnsiTheme="majorHAnsi"/>
          <w:color w:val="0D0D0D" w:themeColor="text1" w:themeTint="F2"/>
          <w:sz w:val="22"/>
        </w:rPr>
        <w:t xml:space="preserve">feature of AMENCA’s monitoring framework </w:t>
      </w:r>
      <w:r w:rsidRPr="007A5147">
        <w:rPr>
          <w:rFonts w:asciiTheme="majorHAnsi" w:hAnsiTheme="majorHAnsi"/>
          <w:color w:val="0D0D0D" w:themeColor="text1" w:themeTint="F2"/>
          <w:sz w:val="22"/>
        </w:rPr>
        <w:t xml:space="preserve">is the </w:t>
      </w:r>
      <w:r>
        <w:rPr>
          <w:rFonts w:asciiTheme="majorHAnsi" w:hAnsiTheme="majorHAnsi"/>
          <w:color w:val="0D0D0D" w:themeColor="text1" w:themeTint="F2"/>
          <w:sz w:val="22"/>
        </w:rPr>
        <w:t xml:space="preserve">partner </w:t>
      </w:r>
      <w:r w:rsidRPr="007A5147">
        <w:rPr>
          <w:rFonts w:asciiTheme="majorHAnsi" w:hAnsiTheme="majorHAnsi"/>
          <w:color w:val="0D0D0D" w:themeColor="text1" w:themeTint="F2"/>
          <w:sz w:val="22"/>
        </w:rPr>
        <w:t xml:space="preserve">workshop held annually, at which all </w:t>
      </w:r>
      <w:r>
        <w:rPr>
          <w:rFonts w:asciiTheme="majorHAnsi" w:hAnsiTheme="majorHAnsi"/>
          <w:color w:val="0D0D0D" w:themeColor="text1" w:themeTint="F2"/>
          <w:sz w:val="22"/>
        </w:rPr>
        <w:t xml:space="preserve">ANGOs and </w:t>
      </w:r>
      <w:r w:rsidR="00DA4D1A">
        <w:rPr>
          <w:rFonts w:asciiTheme="majorHAnsi" w:hAnsiTheme="majorHAnsi"/>
          <w:color w:val="0D0D0D" w:themeColor="text1" w:themeTint="F2"/>
          <w:sz w:val="22"/>
        </w:rPr>
        <w:t>implementing partners</w:t>
      </w:r>
      <w:r w:rsidRPr="007A5147">
        <w:rPr>
          <w:rFonts w:asciiTheme="majorHAnsi" w:hAnsiTheme="majorHAnsi"/>
          <w:color w:val="0D0D0D" w:themeColor="text1" w:themeTint="F2"/>
          <w:sz w:val="22"/>
        </w:rPr>
        <w:t xml:space="preserve"> attend and discuss issues of coordination. In the 2013 workshop, the issue of due diligence was explored in detail, with </w:t>
      </w:r>
      <w:r>
        <w:rPr>
          <w:rFonts w:asciiTheme="majorHAnsi" w:hAnsiTheme="majorHAnsi"/>
          <w:color w:val="0D0D0D" w:themeColor="text1" w:themeTint="F2"/>
          <w:sz w:val="22"/>
        </w:rPr>
        <w:t>a presentation</w:t>
      </w:r>
      <w:r w:rsidRPr="007A5147">
        <w:rPr>
          <w:rFonts w:asciiTheme="majorHAnsi" w:hAnsiTheme="majorHAnsi"/>
          <w:color w:val="0D0D0D" w:themeColor="text1" w:themeTint="F2"/>
          <w:sz w:val="22"/>
        </w:rPr>
        <w:t xml:space="preserve"> made by DFAT. This provided an opportunity to brief partners on the issues relating to counter terrorism and DFAT’s requirements, which was then followed </w:t>
      </w:r>
      <w:r>
        <w:rPr>
          <w:rFonts w:asciiTheme="majorHAnsi" w:hAnsiTheme="majorHAnsi"/>
          <w:color w:val="0D0D0D" w:themeColor="text1" w:themeTint="F2"/>
          <w:sz w:val="22"/>
        </w:rPr>
        <w:t xml:space="preserve">up with </w:t>
      </w:r>
      <w:r w:rsidRPr="007A5147">
        <w:rPr>
          <w:rFonts w:asciiTheme="majorHAnsi" w:hAnsiTheme="majorHAnsi"/>
          <w:color w:val="0D0D0D" w:themeColor="text1" w:themeTint="F2"/>
          <w:sz w:val="22"/>
        </w:rPr>
        <w:t xml:space="preserve">DFAT developing clear guidance on minimum standards for counter terrorism in the Palestinian Territories. </w:t>
      </w:r>
    </w:p>
    <w:p w:rsidR="00B82844" w:rsidRPr="007A5147" w:rsidRDefault="00B82844" w:rsidP="00B82844">
      <w:pPr>
        <w:pStyle w:val="ListNumber"/>
        <w:numPr>
          <w:ilvl w:val="0"/>
          <w:numId w:val="0"/>
        </w:numPr>
        <w:rPr>
          <w:rFonts w:asciiTheme="majorHAnsi" w:hAnsiTheme="majorHAnsi"/>
          <w:i/>
          <w:sz w:val="22"/>
        </w:rPr>
      </w:pPr>
    </w:p>
    <w:p w:rsidR="00B82844" w:rsidRPr="007A5147" w:rsidRDefault="00B82844" w:rsidP="00B82844">
      <w:pPr>
        <w:pStyle w:val="ListNumber"/>
        <w:numPr>
          <w:ilvl w:val="0"/>
          <w:numId w:val="0"/>
        </w:numPr>
        <w:rPr>
          <w:rFonts w:asciiTheme="majorHAnsi" w:hAnsiTheme="majorHAnsi"/>
          <w:b/>
          <w:sz w:val="22"/>
        </w:rPr>
      </w:pPr>
      <w:r w:rsidRPr="007A5147">
        <w:rPr>
          <w:rFonts w:asciiTheme="majorHAnsi" w:hAnsiTheme="majorHAnsi"/>
          <w:b/>
          <w:sz w:val="22"/>
        </w:rPr>
        <w:t>Financial Risk</w:t>
      </w:r>
    </w:p>
    <w:p w:rsidR="00244CA3" w:rsidRPr="007A5147" w:rsidRDefault="00B82844" w:rsidP="00244CA3">
      <w:pPr>
        <w:pStyle w:val="ListNumber"/>
        <w:numPr>
          <w:ilvl w:val="0"/>
          <w:numId w:val="0"/>
        </w:numPr>
        <w:rPr>
          <w:rFonts w:asciiTheme="majorHAnsi" w:hAnsiTheme="majorHAnsi"/>
          <w:sz w:val="22"/>
        </w:rPr>
      </w:pPr>
      <w:r w:rsidRPr="007A5147">
        <w:rPr>
          <w:rFonts w:asciiTheme="majorHAnsi" w:hAnsiTheme="majorHAnsi"/>
          <w:sz w:val="22"/>
        </w:rPr>
        <w:t xml:space="preserve">The financial monitoring </w:t>
      </w:r>
      <w:r w:rsidR="00405040" w:rsidRPr="007A5147">
        <w:rPr>
          <w:rFonts w:asciiTheme="majorHAnsi" w:hAnsiTheme="majorHAnsi"/>
          <w:sz w:val="22"/>
        </w:rPr>
        <w:t>systems outlined and demonstrated</w:t>
      </w:r>
      <w:r w:rsidRPr="007A5147">
        <w:rPr>
          <w:rFonts w:asciiTheme="majorHAnsi" w:hAnsiTheme="majorHAnsi"/>
          <w:sz w:val="22"/>
        </w:rPr>
        <w:t xml:space="preserve"> by partners </w:t>
      </w:r>
      <w:r w:rsidR="00244CA3" w:rsidRPr="007A5147">
        <w:rPr>
          <w:rFonts w:asciiTheme="majorHAnsi" w:hAnsiTheme="majorHAnsi"/>
          <w:sz w:val="22"/>
        </w:rPr>
        <w:t>appear</w:t>
      </w:r>
      <w:r w:rsidR="00405040" w:rsidRPr="007A5147">
        <w:rPr>
          <w:rFonts w:asciiTheme="majorHAnsi" w:hAnsiTheme="majorHAnsi"/>
          <w:sz w:val="22"/>
        </w:rPr>
        <w:t xml:space="preserve"> to be</w:t>
      </w:r>
      <w:r w:rsidRPr="007A5147">
        <w:rPr>
          <w:rFonts w:asciiTheme="majorHAnsi" w:hAnsiTheme="majorHAnsi"/>
          <w:sz w:val="22"/>
        </w:rPr>
        <w:t xml:space="preserve"> robust and comprehensive. </w:t>
      </w:r>
      <w:r w:rsidR="00244CA3" w:rsidRPr="007A5147">
        <w:rPr>
          <w:rFonts w:asciiTheme="majorHAnsi" w:hAnsiTheme="majorHAnsi"/>
          <w:sz w:val="22"/>
          <w:lang w:eastAsia="en-AU"/>
        </w:rPr>
        <w:t xml:space="preserve">For each of the Australian NGOs and their immediate field office or local partner, accounting procedures are documented. This is a requirement of the </w:t>
      </w:r>
      <w:r w:rsidR="00C263CF">
        <w:rPr>
          <w:rFonts w:asciiTheme="majorHAnsi" w:hAnsiTheme="majorHAnsi"/>
          <w:sz w:val="22"/>
          <w:lang w:eastAsia="en-AU"/>
        </w:rPr>
        <w:t xml:space="preserve">Palestinian Authority </w:t>
      </w:r>
      <w:r w:rsidR="00244CA3" w:rsidRPr="007A5147">
        <w:rPr>
          <w:rFonts w:asciiTheme="majorHAnsi" w:hAnsiTheme="majorHAnsi"/>
          <w:sz w:val="22"/>
          <w:lang w:eastAsia="en-AU"/>
        </w:rPr>
        <w:t xml:space="preserve">Ministry of Interior. </w:t>
      </w:r>
      <w:r w:rsidR="00DA4D1A">
        <w:rPr>
          <w:rFonts w:asciiTheme="majorHAnsi" w:hAnsiTheme="majorHAnsi"/>
          <w:color w:val="0D0D0D" w:themeColor="text1" w:themeTint="F2"/>
          <w:sz w:val="22"/>
        </w:rPr>
        <w:t>Implementing p</w:t>
      </w:r>
      <w:r w:rsidR="00244CA3" w:rsidRPr="007A5147">
        <w:rPr>
          <w:rFonts w:asciiTheme="majorHAnsi" w:hAnsiTheme="majorHAnsi"/>
          <w:color w:val="0D0D0D" w:themeColor="text1" w:themeTint="F2"/>
          <w:sz w:val="22"/>
        </w:rPr>
        <w:t xml:space="preserve">artners all undertake audits on an annual basis and copies of these are provided to the ANGO. </w:t>
      </w:r>
      <w:r w:rsidR="00405040" w:rsidRPr="007A5147">
        <w:rPr>
          <w:rFonts w:asciiTheme="majorHAnsi" w:hAnsiTheme="majorHAnsi"/>
          <w:sz w:val="22"/>
        </w:rPr>
        <w:t>Undertaking an annual report</w:t>
      </w:r>
      <w:r w:rsidRPr="007A5147">
        <w:rPr>
          <w:rFonts w:asciiTheme="majorHAnsi" w:hAnsiTheme="majorHAnsi"/>
          <w:sz w:val="22"/>
        </w:rPr>
        <w:t xml:space="preserve"> is also a requirement by the Palestinian Authority to maintain </w:t>
      </w:r>
      <w:r w:rsidR="00DA4D1A">
        <w:rPr>
          <w:rFonts w:asciiTheme="majorHAnsi" w:hAnsiTheme="majorHAnsi"/>
          <w:sz w:val="22"/>
        </w:rPr>
        <w:t xml:space="preserve">local </w:t>
      </w:r>
      <w:r w:rsidRPr="007A5147">
        <w:rPr>
          <w:rFonts w:asciiTheme="majorHAnsi" w:hAnsiTheme="majorHAnsi"/>
          <w:sz w:val="22"/>
        </w:rPr>
        <w:t>registration as an NGO.</w:t>
      </w:r>
      <w:r w:rsidR="00244CA3" w:rsidRPr="007A5147">
        <w:rPr>
          <w:rFonts w:asciiTheme="majorHAnsi" w:hAnsiTheme="majorHAnsi"/>
          <w:sz w:val="22"/>
        </w:rPr>
        <w:t xml:space="preserve"> No </w:t>
      </w:r>
      <w:r w:rsidR="00DA4D1A">
        <w:rPr>
          <w:rFonts w:asciiTheme="majorHAnsi" w:hAnsiTheme="majorHAnsi"/>
          <w:sz w:val="22"/>
        </w:rPr>
        <w:t>ANGO</w:t>
      </w:r>
      <w:r w:rsidR="00DA4D1A" w:rsidRPr="007A5147">
        <w:rPr>
          <w:rFonts w:asciiTheme="majorHAnsi" w:hAnsiTheme="majorHAnsi"/>
          <w:sz w:val="22"/>
        </w:rPr>
        <w:t xml:space="preserve"> </w:t>
      </w:r>
      <w:r w:rsidR="00244CA3" w:rsidRPr="007A5147">
        <w:rPr>
          <w:rFonts w:asciiTheme="majorHAnsi" w:hAnsiTheme="majorHAnsi"/>
          <w:sz w:val="22"/>
        </w:rPr>
        <w:t>has received any allegation of fraud or identified cases of fraud.</w:t>
      </w:r>
    </w:p>
    <w:p w:rsidR="00B82844" w:rsidRPr="007A5147" w:rsidRDefault="00B82844" w:rsidP="00B82844">
      <w:pPr>
        <w:pStyle w:val="ListNumber"/>
        <w:numPr>
          <w:ilvl w:val="0"/>
          <w:numId w:val="0"/>
        </w:numPr>
        <w:rPr>
          <w:rFonts w:asciiTheme="majorHAnsi" w:hAnsiTheme="majorHAnsi"/>
          <w:sz w:val="22"/>
        </w:rPr>
      </w:pPr>
    </w:p>
    <w:p w:rsidR="0066713F" w:rsidRPr="007A5147" w:rsidRDefault="0066713F" w:rsidP="0066713F">
      <w:pPr>
        <w:pStyle w:val="ListNumber"/>
        <w:numPr>
          <w:ilvl w:val="0"/>
          <w:numId w:val="0"/>
        </w:numPr>
        <w:rPr>
          <w:rFonts w:asciiTheme="majorHAnsi" w:hAnsiTheme="majorHAnsi"/>
          <w:sz w:val="22"/>
        </w:rPr>
      </w:pPr>
      <w:r w:rsidRPr="007A5147">
        <w:rPr>
          <w:rFonts w:asciiTheme="majorHAnsi" w:hAnsiTheme="majorHAnsi"/>
          <w:sz w:val="22"/>
        </w:rPr>
        <w:t xml:space="preserve">Financial monitoring processes demonstrated during the review were extremely comprehensive. </w:t>
      </w:r>
      <w:r w:rsidR="00244CA3" w:rsidRPr="007A5147">
        <w:rPr>
          <w:rFonts w:asciiTheme="majorHAnsi" w:eastAsiaTheme="minorEastAsia" w:hAnsiTheme="majorHAnsi" w:cs="Arial"/>
          <w:sz w:val="22"/>
          <w:lang w:val="en-US"/>
        </w:rPr>
        <w:t>The financial systems described and demonstrated during the review provide a clear audit trail and are capable of verifying statements of acquittal.</w:t>
      </w:r>
      <w:r w:rsidR="00244CA3" w:rsidRPr="007A5147">
        <w:rPr>
          <w:rFonts w:asciiTheme="majorHAnsi" w:hAnsiTheme="majorHAnsi"/>
          <w:sz w:val="22"/>
        </w:rPr>
        <w:t xml:space="preserve"> </w:t>
      </w:r>
      <w:r w:rsidRPr="007A5147">
        <w:rPr>
          <w:rFonts w:asciiTheme="majorHAnsi" w:hAnsiTheme="majorHAnsi"/>
          <w:sz w:val="22"/>
        </w:rPr>
        <w:t xml:space="preserve">Each </w:t>
      </w:r>
      <w:r w:rsidR="00DA4D1A">
        <w:rPr>
          <w:rFonts w:asciiTheme="majorHAnsi" w:hAnsiTheme="majorHAnsi"/>
          <w:sz w:val="22"/>
        </w:rPr>
        <w:t>implementing partner</w:t>
      </w:r>
      <w:r w:rsidR="00DA4D1A" w:rsidRPr="007A5147">
        <w:rPr>
          <w:rFonts w:asciiTheme="majorHAnsi" w:hAnsiTheme="majorHAnsi"/>
          <w:sz w:val="22"/>
        </w:rPr>
        <w:t xml:space="preserve"> </w:t>
      </w:r>
      <w:r w:rsidRPr="007A5147">
        <w:rPr>
          <w:rFonts w:asciiTheme="majorHAnsi" w:hAnsiTheme="majorHAnsi"/>
          <w:sz w:val="22"/>
        </w:rPr>
        <w:t xml:space="preserve">was able to describe and demonstrate its financial monitoring procedures, which included a monthly review of all expenses and supporting documentation by </w:t>
      </w:r>
      <w:r w:rsidR="00DA4D1A">
        <w:rPr>
          <w:rFonts w:asciiTheme="majorHAnsi" w:hAnsiTheme="majorHAnsi"/>
          <w:sz w:val="22"/>
        </w:rPr>
        <w:t>third tier partners</w:t>
      </w:r>
      <w:r w:rsidRPr="007A5147">
        <w:rPr>
          <w:rFonts w:asciiTheme="majorHAnsi" w:hAnsiTheme="majorHAnsi"/>
          <w:sz w:val="22"/>
        </w:rPr>
        <w:t xml:space="preserve">. In some cases, this takes </w:t>
      </w:r>
      <w:r w:rsidR="00F079F4">
        <w:rPr>
          <w:rFonts w:asciiTheme="majorHAnsi" w:hAnsiTheme="majorHAnsi"/>
          <w:sz w:val="22"/>
        </w:rPr>
        <w:t>two</w:t>
      </w:r>
      <w:r w:rsidR="00F079F4" w:rsidRPr="007A5147">
        <w:rPr>
          <w:rFonts w:asciiTheme="majorHAnsi" w:hAnsiTheme="majorHAnsi"/>
          <w:sz w:val="22"/>
        </w:rPr>
        <w:t xml:space="preserve"> </w:t>
      </w:r>
      <w:r w:rsidRPr="007A5147">
        <w:rPr>
          <w:rFonts w:asciiTheme="majorHAnsi" w:hAnsiTheme="majorHAnsi"/>
          <w:sz w:val="22"/>
        </w:rPr>
        <w:t xml:space="preserve">to three days with each </w:t>
      </w:r>
      <w:r w:rsidR="0048171D">
        <w:rPr>
          <w:rFonts w:asciiTheme="majorHAnsi" w:hAnsiTheme="majorHAnsi"/>
          <w:sz w:val="22"/>
        </w:rPr>
        <w:t>partner</w:t>
      </w:r>
      <w:r w:rsidR="0048171D" w:rsidRPr="007A5147">
        <w:rPr>
          <w:rFonts w:asciiTheme="majorHAnsi" w:hAnsiTheme="majorHAnsi"/>
          <w:sz w:val="22"/>
        </w:rPr>
        <w:t xml:space="preserve"> </w:t>
      </w:r>
      <w:r w:rsidRPr="007A5147">
        <w:rPr>
          <w:rFonts w:asciiTheme="majorHAnsi" w:hAnsiTheme="majorHAnsi"/>
          <w:sz w:val="22"/>
        </w:rPr>
        <w:t xml:space="preserve">per month. </w:t>
      </w:r>
      <w:r w:rsidR="00244CA3" w:rsidRPr="007A5147">
        <w:rPr>
          <w:rFonts w:asciiTheme="majorHAnsi" w:eastAsiaTheme="minorEastAsia" w:hAnsiTheme="majorHAnsi" w:cs="Arial"/>
          <w:sz w:val="22"/>
          <w:lang w:val="en-US"/>
        </w:rPr>
        <w:t xml:space="preserve">Each of the </w:t>
      </w:r>
      <w:r w:rsidR="00DA4D1A">
        <w:rPr>
          <w:rFonts w:asciiTheme="majorHAnsi" w:eastAsiaTheme="minorEastAsia" w:hAnsiTheme="majorHAnsi" w:cs="Arial"/>
          <w:sz w:val="22"/>
          <w:lang w:val="en-US"/>
        </w:rPr>
        <w:t>implementing</w:t>
      </w:r>
      <w:r w:rsidR="00244CA3" w:rsidRPr="007A5147">
        <w:rPr>
          <w:rFonts w:asciiTheme="majorHAnsi" w:eastAsiaTheme="minorEastAsia" w:hAnsiTheme="majorHAnsi" w:cs="Arial"/>
          <w:sz w:val="22"/>
          <w:lang w:val="en-US"/>
        </w:rPr>
        <w:t xml:space="preserve"> partners showed sample documentation that showed that </w:t>
      </w:r>
      <w:r w:rsidR="00244CA3" w:rsidRPr="007A5147">
        <w:rPr>
          <w:rFonts w:asciiTheme="majorHAnsi" w:eastAsiaTheme="minorEastAsia" w:hAnsiTheme="majorHAnsi" w:cs="Times"/>
          <w:sz w:val="22"/>
          <w:lang w:val="en-US"/>
        </w:rPr>
        <w:t>receipts and records are kept for</w:t>
      </w:r>
      <w:r w:rsidR="00244CA3" w:rsidRPr="007A5147">
        <w:rPr>
          <w:rFonts w:asciiTheme="majorHAnsi" w:eastAsiaTheme="minorEastAsia" w:hAnsiTheme="majorHAnsi" w:cs="Arial"/>
          <w:sz w:val="22"/>
          <w:lang w:val="en-US"/>
        </w:rPr>
        <w:t xml:space="preserve"> project expenditure. </w:t>
      </w:r>
      <w:r w:rsidR="00244CA3" w:rsidRPr="007A5147">
        <w:rPr>
          <w:rFonts w:asciiTheme="majorHAnsi" w:hAnsiTheme="majorHAnsi"/>
          <w:sz w:val="22"/>
        </w:rPr>
        <w:t xml:space="preserve">Supporting documentation showed payment requests with supporting documentation prepared by one staff member, and reviewed by other staff members before approval of payment is made. </w:t>
      </w:r>
      <w:r w:rsidR="00244CA3" w:rsidRPr="007A5147">
        <w:rPr>
          <w:rFonts w:asciiTheme="majorHAnsi" w:hAnsiTheme="majorHAnsi"/>
          <w:sz w:val="22"/>
          <w:lang w:eastAsia="en-AU"/>
        </w:rPr>
        <w:t xml:space="preserve">Each was also able to provide evidence that </w:t>
      </w:r>
      <w:r w:rsidR="00244CA3" w:rsidRPr="007A5147">
        <w:rPr>
          <w:rFonts w:asciiTheme="majorHAnsi" w:hAnsiTheme="majorHAnsi"/>
          <w:sz w:val="22"/>
        </w:rPr>
        <w:t>expenditure against the budget is monitored and variances</w:t>
      </w:r>
      <w:r w:rsidR="00876292">
        <w:rPr>
          <w:rFonts w:asciiTheme="majorHAnsi" w:hAnsiTheme="majorHAnsi"/>
          <w:sz w:val="22"/>
        </w:rPr>
        <w:t xml:space="preserve"> investigated</w:t>
      </w:r>
      <w:r w:rsidR="00244CA3" w:rsidRPr="007A5147">
        <w:rPr>
          <w:rFonts w:asciiTheme="majorHAnsi" w:hAnsiTheme="majorHAnsi"/>
          <w:sz w:val="22"/>
          <w:lang w:eastAsia="en-AU"/>
        </w:rPr>
        <w:t xml:space="preserve">. </w:t>
      </w:r>
    </w:p>
    <w:p w:rsidR="0066713F" w:rsidRPr="007A5147" w:rsidRDefault="0066713F" w:rsidP="0066713F">
      <w:pPr>
        <w:pStyle w:val="ListNumber"/>
        <w:numPr>
          <w:ilvl w:val="0"/>
          <w:numId w:val="0"/>
        </w:numPr>
        <w:rPr>
          <w:rFonts w:asciiTheme="majorHAnsi" w:hAnsiTheme="majorHAnsi"/>
          <w:sz w:val="22"/>
        </w:rPr>
      </w:pPr>
    </w:p>
    <w:p w:rsidR="00244CA3" w:rsidRPr="007A5147" w:rsidRDefault="0066713F" w:rsidP="0066713F">
      <w:pPr>
        <w:pStyle w:val="ListNumber"/>
        <w:numPr>
          <w:ilvl w:val="0"/>
          <w:numId w:val="0"/>
        </w:numPr>
        <w:rPr>
          <w:rFonts w:asciiTheme="majorHAnsi" w:hAnsiTheme="majorHAnsi"/>
          <w:sz w:val="22"/>
        </w:rPr>
      </w:pPr>
      <w:r w:rsidRPr="007A5147">
        <w:rPr>
          <w:rFonts w:asciiTheme="majorHAnsi" w:hAnsiTheme="majorHAnsi"/>
          <w:sz w:val="22"/>
        </w:rPr>
        <w:t xml:space="preserve">All </w:t>
      </w:r>
      <w:r w:rsidR="00DA4D1A">
        <w:rPr>
          <w:rFonts w:asciiTheme="majorHAnsi" w:hAnsiTheme="majorHAnsi"/>
          <w:sz w:val="22"/>
        </w:rPr>
        <w:t xml:space="preserve">implementing </w:t>
      </w:r>
      <w:r w:rsidRPr="007A5147">
        <w:rPr>
          <w:rFonts w:asciiTheme="majorHAnsi" w:hAnsiTheme="majorHAnsi"/>
          <w:sz w:val="22"/>
        </w:rPr>
        <w:t>partners had clearly documented procurement processes and were able to sho</w:t>
      </w:r>
      <w:r w:rsidR="0048171D">
        <w:rPr>
          <w:rFonts w:asciiTheme="majorHAnsi" w:hAnsiTheme="majorHAnsi"/>
          <w:sz w:val="22"/>
        </w:rPr>
        <w:t>w</w:t>
      </w:r>
      <w:r w:rsidRPr="007A5147">
        <w:rPr>
          <w:rFonts w:asciiTheme="majorHAnsi" w:hAnsiTheme="majorHAnsi"/>
          <w:sz w:val="22"/>
        </w:rPr>
        <w:t xml:space="preserve"> supporting documentation to demonstrate the application of these processes. P</w:t>
      </w:r>
      <w:r w:rsidR="00876292">
        <w:rPr>
          <w:rFonts w:asciiTheme="majorHAnsi" w:hAnsiTheme="majorHAnsi"/>
          <w:sz w:val="22"/>
        </w:rPr>
        <w:t>rocurement documentation showed</w:t>
      </w:r>
      <w:r w:rsidRPr="007A5147">
        <w:rPr>
          <w:rFonts w:asciiTheme="majorHAnsi" w:hAnsiTheme="majorHAnsi"/>
          <w:sz w:val="22"/>
        </w:rPr>
        <w:t xml:space="preserve"> tender committee members are present to witness the opening of submitted tenders; that tenders are assessed against criteria; and that final procurement recommendations are accompanied with </w:t>
      </w:r>
      <w:r w:rsidR="00D24D61" w:rsidRPr="007A5147">
        <w:rPr>
          <w:rFonts w:asciiTheme="majorHAnsi" w:hAnsiTheme="majorHAnsi"/>
          <w:sz w:val="22"/>
        </w:rPr>
        <w:t>justifications</w:t>
      </w:r>
      <w:r w:rsidRPr="007A5147">
        <w:rPr>
          <w:rFonts w:asciiTheme="majorHAnsi" w:hAnsiTheme="majorHAnsi"/>
          <w:sz w:val="22"/>
        </w:rPr>
        <w:t xml:space="preserve"> and approved by committee members</w:t>
      </w:r>
      <w:r w:rsidR="00D24D61" w:rsidRPr="007A5147">
        <w:rPr>
          <w:rFonts w:asciiTheme="majorHAnsi" w:hAnsiTheme="majorHAnsi"/>
          <w:sz w:val="22"/>
        </w:rPr>
        <w:t xml:space="preserve">. </w:t>
      </w:r>
    </w:p>
    <w:p w:rsidR="00244CA3" w:rsidRPr="007A5147" w:rsidRDefault="00244CA3" w:rsidP="0066713F">
      <w:pPr>
        <w:pStyle w:val="ListNumber"/>
        <w:numPr>
          <w:ilvl w:val="0"/>
          <w:numId w:val="0"/>
        </w:numPr>
        <w:rPr>
          <w:rFonts w:asciiTheme="majorHAnsi" w:hAnsiTheme="majorHAnsi"/>
          <w:sz w:val="22"/>
        </w:rPr>
      </w:pPr>
    </w:p>
    <w:p w:rsidR="00B82844" w:rsidRPr="007A5147" w:rsidRDefault="00B82844" w:rsidP="00B82844">
      <w:pPr>
        <w:pStyle w:val="ListNumber"/>
        <w:numPr>
          <w:ilvl w:val="0"/>
          <w:numId w:val="0"/>
        </w:numPr>
        <w:rPr>
          <w:rFonts w:asciiTheme="majorHAnsi" w:hAnsiTheme="majorHAnsi"/>
          <w:sz w:val="22"/>
        </w:rPr>
      </w:pPr>
      <w:r w:rsidRPr="007A5147">
        <w:rPr>
          <w:rFonts w:asciiTheme="majorHAnsi" w:hAnsiTheme="majorHAnsi"/>
          <w:sz w:val="22"/>
        </w:rPr>
        <w:t xml:space="preserve">The Australian NGO also plays a role in reviewing financial reports and reviewing systems. </w:t>
      </w:r>
      <w:r w:rsidR="002F5982" w:rsidRPr="007A5147">
        <w:rPr>
          <w:rFonts w:asciiTheme="majorHAnsi" w:hAnsiTheme="majorHAnsi"/>
          <w:sz w:val="22"/>
        </w:rPr>
        <w:t xml:space="preserve">In the case of World Vision, for example, it undertook a project audit of AMENCA in 2013. </w:t>
      </w:r>
      <w:r w:rsidR="008B6546" w:rsidRPr="007A5147">
        <w:rPr>
          <w:rFonts w:asciiTheme="majorHAnsi" w:hAnsiTheme="majorHAnsi"/>
          <w:sz w:val="22"/>
        </w:rPr>
        <w:t xml:space="preserve"> It also supported Jerusalem, West Bank and Gaza staff to travel to Australia in December 2013 for due diligence training. This included a </w:t>
      </w:r>
      <w:r w:rsidR="0066713F" w:rsidRPr="007A5147">
        <w:rPr>
          <w:rFonts w:asciiTheme="majorHAnsi" w:hAnsiTheme="majorHAnsi"/>
          <w:sz w:val="22"/>
        </w:rPr>
        <w:t>review</w:t>
      </w:r>
      <w:r w:rsidR="008B6546" w:rsidRPr="007A5147">
        <w:rPr>
          <w:rFonts w:asciiTheme="majorHAnsi" w:hAnsiTheme="majorHAnsi"/>
          <w:sz w:val="22"/>
        </w:rPr>
        <w:t xml:space="preserve"> of contractual requirements and their implications. World Vision </w:t>
      </w:r>
      <w:r w:rsidR="004A182E" w:rsidRPr="007A5147">
        <w:rPr>
          <w:rFonts w:asciiTheme="majorHAnsi" w:hAnsiTheme="majorHAnsi"/>
          <w:sz w:val="22"/>
        </w:rPr>
        <w:t>Australia</w:t>
      </w:r>
      <w:r w:rsidR="008B6546" w:rsidRPr="007A5147">
        <w:rPr>
          <w:rFonts w:asciiTheme="majorHAnsi" w:hAnsiTheme="majorHAnsi"/>
          <w:sz w:val="22"/>
        </w:rPr>
        <w:t xml:space="preserve"> states that it </w:t>
      </w:r>
      <w:r w:rsidR="004A182E" w:rsidRPr="007A5147">
        <w:rPr>
          <w:rFonts w:asciiTheme="majorHAnsi" w:hAnsiTheme="majorHAnsi"/>
          <w:sz w:val="22"/>
        </w:rPr>
        <w:t>undertakes</w:t>
      </w:r>
      <w:r w:rsidR="008B6546" w:rsidRPr="007A5147">
        <w:rPr>
          <w:rFonts w:asciiTheme="majorHAnsi" w:hAnsiTheme="majorHAnsi"/>
          <w:sz w:val="22"/>
        </w:rPr>
        <w:t xml:space="preserve"> its own review of due diligence on an annual basis and provides technical and financial support to World Vision Gaza, including visits two to three times per year. </w:t>
      </w:r>
    </w:p>
    <w:p w:rsidR="00B82844" w:rsidRPr="007A5147" w:rsidRDefault="00B82844" w:rsidP="00B82844">
      <w:pPr>
        <w:pStyle w:val="ListNumber"/>
        <w:numPr>
          <w:ilvl w:val="0"/>
          <w:numId w:val="0"/>
        </w:numPr>
        <w:rPr>
          <w:rFonts w:asciiTheme="majorHAnsi" w:hAnsiTheme="majorHAnsi"/>
          <w:sz w:val="22"/>
        </w:rPr>
      </w:pPr>
    </w:p>
    <w:p w:rsidR="00D24D61" w:rsidRPr="004A182E" w:rsidRDefault="00244CA3" w:rsidP="00D24D61">
      <w:pPr>
        <w:pStyle w:val="ListNumber"/>
        <w:numPr>
          <w:ilvl w:val="0"/>
          <w:numId w:val="0"/>
        </w:numPr>
        <w:rPr>
          <w:rFonts w:asciiTheme="majorHAnsi" w:hAnsiTheme="majorHAnsi"/>
          <w:sz w:val="20"/>
          <w:szCs w:val="20"/>
        </w:rPr>
      </w:pPr>
      <w:r w:rsidRPr="007A5147">
        <w:rPr>
          <w:rFonts w:asciiTheme="majorHAnsi" w:hAnsiTheme="majorHAnsi"/>
          <w:sz w:val="22"/>
        </w:rPr>
        <w:t xml:space="preserve">DFAT also undertook its own </w:t>
      </w:r>
      <w:r w:rsidR="0048171D">
        <w:rPr>
          <w:rFonts w:asciiTheme="majorHAnsi" w:hAnsiTheme="majorHAnsi"/>
          <w:sz w:val="22"/>
        </w:rPr>
        <w:t>‘Due Diligence Sp</w:t>
      </w:r>
      <w:r w:rsidRPr="007A5147">
        <w:rPr>
          <w:rFonts w:asciiTheme="majorHAnsi" w:hAnsiTheme="majorHAnsi"/>
          <w:sz w:val="22"/>
        </w:rPr>
        <w:t xml:space="preserve">ot </w:t>
      </w:r>
      <w:r w:rsidR="0048171D">
        <w:rPr>
          <w:rFonts w:asciiTheme="majorHAnsi" w:hAnsiTheme="majorHAnsi"/>
          <w:sz w:val="22"/>
        </w:rPr>
        <w:t>C</w:t>
      </w:r>
      <w:r w:rsidRPr="007A5147">
        <w:rPr>
          <w:rFonts w:asciiTheme="majorHAnsi" w:hAnsiTheme="majorHAnsi"/>
          <w:sz w:val="22"/>
        </w:rPr>
        <w:t>hecks</w:t>
      </w:r>
      <w:r w:rsidR="0048171D">
        <w:rPr>
          <w:rFonts w:asciiTheme="majorHAnsi" w:hAnsiTheme="majorHAnsi"/>
          <w:sz w:val="22"/>
        </w:rPr>
        <w:t>’</w:t>
      </w:r>
      <w:r w:rsidRPr="007A5147">
        <w:rPr>
          <w:rFonts w:asciiTheme="majorHAnsi" w:hAnsiTheme="majorHAnsi"/>
          <w:sz w:val="22"/>
        </w:rPr>
        <w:t xml:space="preserve"> in 2013 to verify the application of financial management systems, </w:t>
      </w:r>
      <w:r w:rsidR="00423EC9">
        <w:rPr>
          <w:rFonts w:asciiTheme="majorHAnsi" w:hAnsiTheme="majorHAnsi"/>
          <w:sz w:val="22"/>
        </w:rPr>
        <w:t xml:space="preserve">including testing randomly selected examples of financial transactions, </w:t>
      </w:r>
      <w:r w:rsidRPr="007A5147">
        <w:rPr>
          <w:rFonts w:asciiTheme="majorHAnsi" w:hAnsiTheme="majorHAnsi"/>
          <w:sz w:val="22"/>
        </w:rPr>
        <w:t xml:space="preserve">which did not identify any significant areas of concern. </w:t>
      </w:r>
      <w:r w:rsidR="00D24D61" w:rsidRPr="007A5147">
        <w:rPr>
          <w:rFonts w:asciiTheme="majorHAnsi" w:hAnsiTheme="majorHAnsi"/>
          <w:color w:val="0D0D0D" w:themeColor="text1" w:themeTint="F2"/>
          <w:sz w:val="22"/>
        </w:rPr>
        <w:t>A</w:t>
      </w:r>
      <w:r w:rsidRPr="007A5147">
        <w:rPr>
          <w:rFonts w:asciiTheme="majorHAnsi" w:hAnsiTheme="majorHAnsi"/>
          <w:color w:val="0D0D0D" w:themeColor="text1" w:themeTint="F2"/>
          <w:sz w:val="22"/>
        </w:rPr>
        <w:t>n independent</w:t>
      </w:r>
      <w:r w:rsidR="00D24D61" w:rsidRPr="007A5147">
        <w:rPr>
          <w:rFonts w:asciiTheme="majorHAnsi" w:hAnsiTheme="majorHAnsi"/>
          <w:color w:val="0D0D0D" w:themeColor="text1" w:themeTint="F2"/>
          <w:sz w:val="22"/>
        </w:rPr>
        <w:t xml:space="preserve"> Financial Review was </w:t>
      </w:r>
      <w:r w:rsidRPr="007A5147">
        <w:rPr>
          <w:rFonts w:asciiTheme="majorHAnsi" w:hAnsiTheme="majorHAnsi"/>
          <w:color w:val="0D0D0D" w:themeColor="text1" w:themeTint="F2"/>
          <w:sz w:val="22"/>
        </w:rPr>
        <w:t xml:space="preserve">also </w:t>
      </w:r>
      <w:r w:rsidR="00D24D61" w:rsidRPr="007A5147">
        <w:rPr>
          <w:rFonts w:asciiTheme="majorHAnsi" w:hAnsiTheme="majorHAnsi"/>
          <w:color w:val="0D0D0D" w:themeColor="text1" w:themeTint="F2"/>
          <w:sz w:val="22"/>
        </w:rPr>
        <w:t>undertaken in 2011</w:t>
      </w:r>
      <w:r w:rsidR="0048171D">
        <w:rPr>
          <w:rFonts w:asciiTheme="majorHAnsi" w:hAnsiTheme="majorHAnsi"/>
          <w:color w:val="0D0D0D" w:themeColor="text1" w:themeTint="F2"/>
          <w:sz w:val="22"/>
        </w:rPr>
        <w:t xml:space="preserve"> </w:t>
      </w:r>
      <w:r w:rsidR="00D24D61" w:rsidRPr="007A5147">
        <w:rPr>
          <w:rFonts w:asciiTheme="majorHAnsi" w:hAnsiTheme="majorHAnsi"/>
          <w:color w:val="0D0D0D" w:themeColor="text1" w:themeTint="F2"/>
          <w:sz w:val="22"/>
        </w:rPr>
        <w:t>and this made a number of recommendations</w:t>
      </w:r>
      <w:r w:rsidR="00D24D61" w:rsidRPr="004A182E">
        <w:rPr>
          <w:rFonts w:asciiTheme="majorHAnsi" w:hAnsiTheme="majorHAnsi"/>
          <w:color w:val="0D0D0D" w:themeColor="text1" w:themeTint="F2"/>
          <w:sz w:val="20"/>
          <w:szCs w:val="20"/>
        </w:rPr>
        <w:t>.</w:t>
      </w:r>
      <w:r w:rsidRPr="004A182E">
        <w:rPr>
          <w:rStyle w:val="FootnoteReference"/>
          <w:rFonts w:asciiTheme="majorHAnsi" w:hAnsiTheme="majorHAnsi"/>
          <w:color w:val="0D0D0D" w:themeColor="text1" w:themeTint="F2"/>
          <w:sz w:val="20"/>
          <w:szCs w:val="20"/>
        </w:rPr>
        <w:footnoteReference w:id="3"/>
      </w:r>
    </w:p>
    <w:p w:rsidR="00B82844" w:rsidRPr="004A182E" w:rsidRDefault="00B82844" w:rsidP="00B110D8">
      <w:pPr>
        <w:pStyle w:val="ListNumber"/>
        <w:numPr>
          <w:ilvl w:val="0"/>
          <w:numId w:val="0"/>
        </w:numPr>
        <w:rPr>
          <w:rFonts w:asciiTheme="majorHAnsi" w:hAnsiTheme="majorHAnsi"/>
          <w:b/>
          <w:sz w:val="20"/>
          <w:szCs w:val="20"/>
        </w:rPr>
      </w:pPr>
    </w:p>
    <w:p w:rsidR="00B82844" w:rsidRPr="007A5147" w:rsidRDefault="00B82844" w:rsidP="00B82844">
      <w:pPr>
        <w:pStyle w:val="ListNumber"/>
        <w:numPr>
          <w:ilvl w:val="0"/>
          <w:numId w:val="0"/>
        </w:numPr>
        <w:rPr>
          <w:rFonts w:asciiTheme="majorHAnsi" w:hAnsiTheme="majorHAnsi"/>
          <w:b/>
          <w:sz w:val="22"/>
        </w:rPr>
      </w:pPr>
      <w:r w:rsidRPr="007A5147">
        <w:rPr>
          <w:rFonts w:asciiTheme="majorHAnsi" w:hAnsiTheme="majorHAnsi"/>
          <w:b/>
          <w:sz w:val="22"/>
        </w:rPr>
        <w:t xml:space="preserve">Child Protection </w:t>
      </w:r>
    </w:p>
    <w:p w:rsidR="00B82844" w:rsidRPr="007A5147" w:rsidRDefault="00B82844" w:rsidP="00B82844">
      <w:pPr>
        <w:pStyle w:val="ListNumber"/>
        <w:numPr>
          <w:ilvl w:val="0"/>
          <w:numId w:val="0"/>
        </w:numPr>
        <w:rPr>
          <w:rFonts w:asciiTheme="majorHAnsi" w:hAnsiTheme="majorHAnsi"/>
          <w:sz w:val="22"/>
        </w:rPr>
      </w:pPr>
      <w:r w:rsidRPr="007A5147">
        <w:rPr>
          <w:rFonts w:asciiTheme="majorHAnsi" w:hAnsiTheme="majorHAnsi"/>
          <w:sz w:val="22"/>
        </w:rPr>
        <w:t xml:space="preserve">Three of the four </w:t>
      </w:r>
      <w:r w:rsidR="00DA4D1A">
        <w:rPr>
          <w:rFonts w:asciiTheme="majorHAnsi" w:hAnsiTheme="majorHAnsi"/>
          <w:sz w:val="22"/>
        </w:rPr>
        <w:t>ANGOS</w:t>
      </w:r>
      <w:r w:rsidR="00DA4D1A" w:rsidRPr="007A5147">
        <w:rPr>
          <w:rFonts w:asciiTheme="majorHAnsi" w:hAnsiTheme="majorHAnsi"/>
          <w:sz w:val="22"/>
        </w:rPr>
        <w:t xml:space="preserve"> </w:t>
      </w:r>
      <w:r w:rsidR="00DA4D1A">
        <w:rPr>
          <w:rFonts w:asciiTheme="majorHAnsi" w:hAnsiTheme="majorHAnsi"/>
          <w:sz w:val="22"/>
        </w:rPr>
        <w:t xml:space="preserve">are </w:t>
      </w:r>
      <w:r w:rsidR="0024158B">
        <w:rPr>
          <w:rFonts w:asciiTheme="majorHAnsi" w:hAnsiTheme="majorHAnsi"/>
          <w:sz w:val="22"/>
        </w:rPr>
        <w:t>undertaking</w:t>
      </w:r>
      <w:r w:rsidR="00DA4D1A" w:rsidRPr="007A5147">
        <w:rPr>
          <w:rFonts w:asciiTheme="majorHAnsi" w:hAnsiTheme="majorHAnsi"/>
          <w:sz w:val="22"/>
        </w:rPr>
        <w:t xml:space="preserve"> </w:t>
      </w:r>
      <w:r w:rsidRPr="007A5147">
        <w:rPr>
          <w:rFonts w:asciiTheme="majorHAnsi" w:hAnsiTheme="majorHAnsi"/>
          <w:sz w:val="22"/>
        </w:rPr>
        <w:t xml:space="preserve">activities that are working directly with children. Of these, one </w:t>
      </w:r>
      <w:r w:rsidR="0024158B">
        <w:rPr>
          <w:rFonts w:asciiTheme="majorHAnsi" w:hAnsiTheme="majorHAnsi"/>
          <w:sz w:val="22"/>
        </w:rPr>
        <w:t xml:space="preserve">ANGO’s implementing </w:t>
      </w:r>
      <w:r w:rsidRPr="007A5147">
        <w:rPr>
          <w:rFonts w:asciiTheme="majorHAnsi" w:hAnsiTheme="majorHAnsi"/>
          <w:sz w:val="22"/>
        </w:rPr>
        <w:t>partner</w:t>
      </w:r>
      <w:r w:rsidR="002F5982" w:rsidRPr="007A5147">
        <w:rPr>
          <w:rStyle w:val="FootnoteReference"/>
          <w:rFonts w:asciiTheme="majorHAnsi" w:hAnsiTheme="majorHAnsi"/>
          <w:sz w:val="22"/>
        </w:rPr>
        <w:footnoteReference w:id="4"/>
      </w:r>
      <w:r w:rsidRPr="007A5147">
        <w:rPr>
          <w:rFonts w:asciiTheme="majorHAnsi" w:hAnsiTheme="majorHAnsi"/>
          <w:sz w:val="22"/>
        </w:rPr>
        <w:t xml:space="preserve"> has a dedicated Child Protection officer, provided evidence of having provided training in child protection to its partners, and has comprehensive child protection induction processes for its own staff. The other two </w:t>
      </w:r>
      <w:r w:rsidR="0024158B">
        <w:rPr>
          <w:rFonts w:asciiTheme="majorHAnsi" w:hAnsiTheme="majorHAnsi"/>
          <w:sz w:val="22"/>
        </w:rPr>
        <w:t>ANGOs</w:t>
      </w:r>
      <w:r w:rsidR="002F5982" w:rsidRPr="004A182E">
        <w:rPr>
          <w:rStyle w:val="FootnoteReference"/>
          <w:rFonts w:asciiTheme="majorHAnsi" w:hAnsiTheme="majorHAnsi"/>
          <w:sz w:val="20"/>
          <w:szCs w:val="20"/>
        </w:rPr>
        <w:footnoteReference w:id="5"/>
      </w:r>
      <w:r w:rsidRPr="004A182E">
        <w:rPr>
          <w:rFonts w:asciiTheme="majorHAnsi" w:hAnsiTheme="majorHAnsi"/>
          <w:sz w:val="20"/>
          <w:szCs w:val="20"/>
        </w:rPr>
        <w:t xml:space="preserve"> </w:t>
      </w:r>
      <w:r w:rsidRPr="007A5147">
        <w:rPr>
          <w:rFonts w:asciiTheme="majorHAnsi" w:hAnsiTheme="majorHAnsi"/>
          <w:sz w:val="22"/>
        </w:rPr>
        <w:t>who are working with children</w:t>
      </w:r>
      <w:r w:rsidR="0024158B">
        <w:rPr>
          <w:rFonts w:asciiTheme="majorHAnsi" w:hAnsiTheme="majorHAnsi"/>
          <w:sz w:val="22"/>
        </w:rPr>
        <w:t xml:space="preserve"> </w:t>
      </w:r>
      <w:r w:rsidRPr="007A5147">
        <w:rPr>
          <w:rFonts w:asciiTheme="majorHAnsi" w:hAnsiTheme="majorHAnsi"/>
          <w:sz w:val="22"/>
        </w:rPr>
        <w:t xml:space="preserve">are not child focussed agencies, and as such </w:t>
      </w:r>
      <w:r w:rsidR="002F5982" w:rsidRPr="007A5147">
        <w:rPr>
          <w:rFonts w:asciiTheme="majorHAnsi" w:hAnsiTheme="majorHAnsi"/>
          <w:sz w:val="22"/>
        </w:rPr>
        <w:t>have</w:t>
      </w:r>
      <w:r w:rsidRPr="007A5147">
        <w:rPr>
          <w:rFonts w:asciiTheme="majorHAnsi" w:hAnsiTheme="majorHAnsi"/>
          <w:sz w:val="22"/>
        </w:rPr>
        <w:t xml:space="preserve"> more limited experience in child protection. While both of these </w:t>
      </w:r>
      <w:r w:rsidR="0024158B">
        <w:rPr>
          <w:rFonts w:asciiTheme="majorHAnsi" w:hAnsiTheme="majorHAnsi"/>
          <w:sz w:val="22"/>
        </w:rPr>
        <w:t>organisations</w:t>
      </w:r>
      <w:r w:rsidR="0024158B" w:rsidRPr="007A5147">
        <w:rPr>
          <w:rFonts w:asciiTheme="majorHAnsi" w:hAnsiTheme="majorHAnsi"/>
          <w:sz w:val="22"/>
        </w:rPr>
        <w:t xml:space="preserve"> </w:t>
      </w:r>
      <w:r w:rsidRPr="007A5147">
        <w:rPr>
          <w:rFonts w:asciiTheme="majorHAnsi" w:hAnsiTheme="majorHAnsi"/>
          <w:sz w:val="22"/>
        </w:rPr>
        <w:t xml:space="preserve">have a child protection policy, there was no evidence of child protection </w:t>
      </w:r>
      <w:r w:rsidR="00876292">
        <w:rPr>
          <w:rFonts w:asciiTheme="majorHAnsi" w:hAnsiTheme="majorHAnsi"/>
          <w:sz w:val="22"/>
        </w:rPr>
        <w:t>r</w:t>
      </w:r>
      <w:r w:rsidR="002F5982" w:rsidRPr="007A5147">
        <w:rPr>
          <w:rFonts w:asciiTheme="majorHAnsi" w:hAnsiTheme="majorHAnsi"/>
          <w:sz w:val="22"/>
        </w:rPr>
        <w:t xml:space="preserve">isk assessments having been undertaken at the activity level, nor </w:t>
      </w:r>
      <w:r w:rsidRPr="007A5147">
        <w:rPr>
          <w:rFonts w:asciiTheme="majorHAnsi" w:hAnsiTheme="majorHAnsi"/>
          <w:sz w:val="22"/>
        </w:rPr>
        <w:t xml:space="preserve">mitigation strategies having been incorporated into their child-focused activities. For all three </w:t>
      </w:r>
      <w:r w:rsidR="0024158B">
        <w:rPr>
          <w:rFonts w:asciiTheme="majorHAnsi" w:hAnsiTheme="majorHAnsi"/>
          <w:sz w:val="22"/>
        </w:rPr>
        <w:t>ANGOs</w:t>
      </w:r>
      <w:r w:rsidR="0024158B" w:rsidRPr="007A5147">
        <w:rPr>
          <w:rFonts w:asciiTheme="majorHAnsi" w:hAnsiTheme="majorHAnsi"/>
          <w:sz w:val="22"/>
        </w:rPr>
        <w:t xml:space="preserve"> </w:t>
      </w:r>
      <w:r w:rsidRPr="007A5147">
        <w:rPr>
          <w:rFonts w:asciiTheme="majorHAnsi" w:hAnsiTheme="majorHAnsi"/>
          <w:sz w:val="22"/>
        </w:rPr>
        <w:t xml:space="preserve">working in child related activities, it is strongly recommended that each undertake a child protection risk assessment. For the two </w:t>
      </w:r>
      <w:r w:rsidR="0024158B">
        <w:rPr>
          <w:rFonts w:asciiTheme="majorHAnsi" w:hAnsiTheme="majorHAnsi"/>
          <w:sz w:val="22"/>
        </w:rPr>
        <w:t>ANGOs</w:t>
      </w:r>
      <w:r w:rsidR="0024158B" w:rsidRPr="007A5147">
        <w:rPr>
          <w:rFonts w:asciiTheme="majorHAnsi" w:hAnsiTheme="majorHAnsi"/>
          <w:sz w:val="22"/>
        </w:rPr>
        <w:t xml:space="preserve"> </w:t>
      </w:r>
      <w:r w:rsidRPr="007A5147">
        <w:rPr>
          <w:rFonts w:asciiTheme="majorHAnsi" w:hAnsiTheme="majorHAnsi"/>
          <w:sz w:val="22"/>
        </w:rPr>
        <w:t xml:space="preserve">that are not child focussed, </w:t>
      </w:r>
      <w:r w:rsidR="0078339A">
        <w:rPr>
          <w:rFonts w:asciiTheme="majorHAnsi" w:hAnsiTheme="majorHAnsi"/>
          <w:sz w:val="22"/>
        </w:rPr>
        <w:t xml:space="preserve">but who are </w:t>
      </w:r>
      <w:r w:rsidR="0024158B">
        <w:rPr>
          <w:rFonts w:asciiTheme="majorHAnsi" w:hAnsiTheme="majorHAnsi"/>
          <w:sz w:val="22"/>
        </w:rPr>
        <w:t xml:space="preserve">supporting </w:t>
      </w:r>
      <w:r w:rsidR="0078339A">
        <w:rPr>
          <w:rFonts w:asciiTheme="majorHAnsi" w:hAnsiTheme="majorHAnsi"/>
          <w:sz w:val="22"/>
        </w:rPr>
        <w:t>child focused activities, it</w:t>
      </w:r>
      <w:r w:rsidRPr="007A5147">
        <w:rPr>
          <w:rFonts w:asciiTheme="majorHAnsi" w:hAnsiTheme="majorHAnsi"/>
          <w:sz w:val="22"/>
        </w:rPr>
        <w:t xml:space="preserve"> is </w:t>
      </w:r>
      <w:r w:rsidR="002F5982" w:rsidRPr="007A5147">
        <w:rPr>
          <w:rFonts w:asciiTheme="majorHAnsi" w:hAnsiTheme="majorHAnsi"/>
          <w:sz w:val="22"/>
        </w:rPr>
        <w:t xml:space="preserve">also strongly </w:t>
      </w:r>
      <w:r w:rsidRPr="007A5147">
        <w:rPr>
          <w:rFonts w:asciiTheme="majorHAnsi" w:hAnsiTheme="majorHAnsi"/>
          <w:sz w:val="22"/>
        </w:rPr>
        <w:t xml:space="preserve">recommended that child protection training be provided to their local partners. </w:t>
      </w:r>
    </w:p>
    <w:p w:rsidR="00515E98" w:rsidRPr="00876292" w:rsidRDefault="00515E98" w:rsidP="00876292">
      <w:pPr>
        <w:suppressAutoHyphens w:val="0"/>
        <w:autoSpaceDE/>
        <w:autoSpaceDN/>
        <w:adjustRightInd/>
        <w:spacing w:before="0" w:after="0" w:line="240" w:lineRule="auto"/>
        <w:ind w:left="0" w:firstLine="0"/>
        <w:jc w:val="left"/>
        <w:textAlignment w:val="auto"/>
        <w:rPr>
          <w:rFonts w:asciiTheme="minorHAnsi" w:eastAsia="Calibri" w:hAnsiTheme="minorHAnsi" w:cs="Times New Roman"/>
          <w:color w:val="FFFFFF" w:themeColor="background1"/>
          <w:sz w:val="24"/>
          <w:szCs w:val="22"/>
          <w:lang w:val="en-AU"/>
        </w:rPr>
      </w:pPr>
    </w:p>
    <w:p w:rsidR="00D24D61" w:rsidRDefault="00D24D61" w:rsidP="00876292">
      <w:pPr>
        <w:pStyle w:val="ListNumber"/>
        <w:numPr>
          <w:ilvl w:val="0"/>
          <w:numId w:val="0"/>
        </w:numPr>
        <w:shd w:val="clear" w:color="auto" w:fill="4F81BD" w:themeFill="accent1"/>
        <w:rPr>
          <w:i/>
          <w:sz w:val="20"/>
          <w:szCs w:val="20"/>
        </w:rPr>
      </w:pPr>
      <w:r w:rsidRPr="00B305C0">
        <w:rPr>
          <w:rFonts w:asciiTheme="minorHAnsi" w:hAnsiTheme="minorHAnsi"/>
          <w:color w:val="FFFFFF" w:themeColor="background1"/>
        </w:rPr>
        <w:t>Partner Agreements</w:t>
      </w:r>
    </w:p>
    <w:p w:rsidR="00D24D61" w:rsidRDefault="00D24D61" w:rsidP="00D24D61">
      <w:pPr>
        <w:pStyle w:val="ListNumber"/>
        <w:numPr>
          <w:ilvl w:val="0"/>
          <w:numId w:val="0"/>
        </w:numPr>
        <w:ind w:left="454" w:hanging="454"/>
        <w:rPr>
          <w:sz w:val="20"/>
          <w:szCs w:val="20"/>
        </w:rPr>
      </w:pPr>
    </w:p>
    <w:p w:rsidR="00D24D61" w:rsidRPr="004D57C9" w:rsidRDefault="00D24D61" w:rsidP="00D24D61">
      <w:pPr>
        <w:pStyle w:val="NoSpacing"/>
        <w:numPr>
          <w:ilvl w:val="0"/>
          <w:numId w:val="0"/>
        </w:numPr>
        <w:jc w:val="left"/>
        <w:rPr>
          <w:rFonts w:asciiTheme="majorHAnsi" w:eastAsia="Calibri" w:hAnsiTheme="majorHAnsi"/>
          <w:szCs w:val="22"/>
          <w:lang w:val="en-AU"/>
        </w:rPr>
      </w:pPr>
      <w:r w:rsidRPr="004D57C9">
        <w:rPr>
          <w:rFonts w:asciiTheme="majorHAnsi" w:eastAsia="Calibri" w:hAnsiTheme="majorHAnsi"/>
          <w:szCs w:val="22"/>
          <w:lang w:val="en-AU"/>
        </w:rPr>
        <w:t xml:space="preserve">There are </w:t>
      </w:r>
      <w:r w:rsidR="0022230C" w:rsidRPr="004D57C9">
        <w:rPr>
          <w:rFonts w:asciiTheme="majorHAnsi" w:eastAsia="Calibri" w:hAnsiTheme="majorHAnsi"/>
          <w:szCs w:val="22"/>
          <w:lang w:val="en-AU"/>
        </w:rPr>
        <w:t>three</w:t>
      </w:r>
      <w:r w:rsidR="008C1A04" w:rsidRPr="004D57C9">
        <w:rPr>
          <w:rFonts w:asciiTheme="majorHAnsi" w:eastAsia="Calibri" w:hAnsiTheme="majorHAnsi"/>
          <w:szCs w:val="22"/>
          <w:lang w:val="en-AU"/>
        </w:rPr>
        <w:t xml:space="preserve"> </w:t>
      </w:r>
      <w:r w:rsidRPr="004D57C9">
        <w:rPr>
          <w:rFonts w:asciiTheme="majorHAnsi" w:eastAsia="Calibri" w:hAnsiTheme="majorHAnsi"/>
          <w:szCs w:val="22"/>
          <w:lang w:val="en-AU"/>
        </w:rPr>
        <w:t>levels of partner agreements in the AMENCA program:</w:t>
      </w:r>
    </w:p>
    <w:p w:rsidR="00D24D61" w:rsidRPr="004D57C9" w:rsidRDefault="00D24D61" w:rsidP="00D24D61">
      <w:pPr>
        <w:pStyle w:val="NoSpacing"/>
        <w:numPr>
          <w:ilvl w:val="0"/>
          <w:numId w:val="26"/>
        </w:numPr>
        <w:jc w:val="left"/>
        <w:rPr>
          <w:rFonts w:asciiTheme="majorHAnsi" w:eastAsia="Calibri" w:hAnsiTheme="majorHAnsi"/>
          <w:szCs w:val="22"/>
          <w:lang w:val="en-AU"/>
        </w:rPr>
      </w:pPr>
      <w:r w:rsidRPr="004D57C9">
        <w:rPr>
          <w:rFonts w:asciiTheme="majorHAnsi" w:eastAsia="Calibri" w:hAnsiTheme="majorHAnsi"/>
          <w:szCs w:val="22"/>
          <w:lang w:val="en-AU"/>
        </w:rPr>
        <w:t>between DFAT and ANGOs</w:t>
      </w:r>
      <w:r w:rsidR="00370D4D" w:rsidRPr="004D57C9">
        <w:rPr>
          <w:rFonts w:asciiTheme="majorHAnsi" w:eastAsia="Calibri" w:hAnsiTheme="majorHAnsi"/>
          <w:szCs w:val="22"/>
          <w:lang w:val="en-AU"/>
        </w:rPr>
        <w:t xml:space="preserve"> (first tier)</w:t>
      </w:r>
    </w:p>
    <w:p w:rsidR="00D24D61" w:rsidRPr="004D57C9" w:rsidRDefault="00D24D61" w:rsidP="00D24D61">
      <w:pPr>
        <w:pStyle w:val="NoSpacing"/>
        <w:numPr>
          <w:ilvl w:val="0"/>
          <w:numId w:val="26"/>
        </w:numPr>
        <w:jc w:val="left"/>
        <w:rPr>
          <w:rFonts w:asciiTheme="majorHAnsi" w:eastAsia="Calibri" w:hAnsiTheme="majorHAnsi"/>
          <w:szCs w:val="22"/>
          <w:lang w:val="en-AU"/>
        </w:rPr>
      </w:pPr>
      <w:r w:rsidRPr="004D57C9">
        <w:rPr>
          <w:rFonts w:asciiTheme="majorHAnsi" w:eastAsia="Calibri" w:hAnsiTheme="majorHAnsi"/>
          <w:szCs w:val="22"/>
          <w:lang w:val="en-AU"/>
        </w:rPr>
        <w:t xml:space="preserve">between ANGOs and </w:t>
      </w:r>
      <w:r w:rsidR="00F12B0C" w:rsidRPr="004D57C9">
        <w:rPr>
          <w:rFonts w:asciiTheme="majorHAnsi" w:eastAsia="Calibri" w:hAnsiTheme="majorHAnsi"/>
          <w:szCs w:val="22"/>
          <w:lang w:val="en-AU"/>
        </w:rPr>
        <w:t xml:space="preserve">International or </w:t>
      </w:r>
      <w:r w:rsidRPr="004D57C9">
        <w:rPr>
          <w:rFonts w:asciiTheme="majorHAnsi" w:eastAsia="Calibri" w:hAnsiTheme="majorHAnsi"/>
          <w:szCs w:val="22"/>
          <w:lang w:val="en-AU"/>
        </w:rPr>
        <w:t>P</w:t>
      </w:r>
      <w:r w:rsidR="00F12B0C" w:rsidRPr="004D57C9">
        <w:rPr>
          <w:rFonts w:asciiTheme="majorHAnsi" w:eastAsia="Calibri" w:hAnsiTheme="majorHAnsi"/>
          <w:szCs w:val="22"/>
          <w:lang w:val="en-AU"/>
        </w:rPr>
        <w:t xml:space="preserve">alestinian </w:t>
      </w:r>
      <w:r w:rsidRPr="004D57C9">
        <w:rPr>
          <w:rFonts w:asciiTheme="majorHAnsi" w:eastAsia="Calibri" w:hAnsiTheme="majorHAnsi"/>
          <w:szCs w:val="22"/>
          <w:lang w:val="en-AU"/>
        </w:rPr>
        <w:t>NGO</w:t>
      </w:r>
      <w:r w:rsidR="00F12B0C" w:rsidRPr="004D57C9">
        <w:rPr>
          <w:rFonts w:asciiTheme="majorHAnsi" w:eastAsia="Calibri" w:hAnsiTheme="majorHAnsi"/>
          <w:szCs w:val="22"/>
          <w:lang w:val="en-AU"/>
        </w:rPr>
        <w:t>s</w:t>
      </w:r>
      <w:r w:rsidR="00370D4D" w:rsidRPr="004D57C9">
        <w:rPr>
          <w:rFonts w:asciiTheme="majorHAnsi" w:eastAsia="Calibri" w:hAnsiTheme="majorHAnsi"/>
          <w:szCs w:val="22"/>
          <w:lang w:val="en-AU"/>
        </w:rPr>
        <w:t xml:space="preserve"> (second tier)</w:t>
      </w:r>
    </w:p>
    <w:p w:rsidR="0022230C" w:rsidRPr="004D57C9" w:rsidRDefault="0022230C" w:rsidP="00D24D61">
      <w:pPr>
        <w:pStyle w:val="NoSpacing"/>
        <w:numPr>
          <w:ilvl w:val="0"/>
          <w:numId w:val="26"/>
        </w:numPr>
        <w:jc w:val="left"/>
        <w:rPr>
          <w:rFonts w:asciiTheme="majorHAnsi" w:eastAsia="Calibri" w:hAnsiTheme="majorHAnsi"/>
          <w:szCs w:val="22"/>
          <w:lang w:val="en-AU"/>
        </w:rPr>
      </w:pPr>
      <w:r w:rsidRPr="004D57C9">
        <w:rPr>
          <w:rFonts w:asciiTheme="majorHAnsi" w:eastAsia="Calibri" w:hAnsiTheme="majorHAnsi"/>
          <w:szCs w:val="22"/>
          <w:lang w:val="en-AU"/>
        </w:rPr>
        <w:t xml:space="preserve">between </w:t>
      </w:r>
      <w:r w:rsidR="00F12B0C" w:rsidRPr="004D57C9">
        <w:rPr>
          <w:rFonts w:asciiTheme="majorHAnsi" w:eastAsia="Calibri" w:hAnsiTheme="majorHAnsi"/>
          <w:szCs w:val="22"/>
          <w:lang w:val="en-AU"/>
        </w:rPr>
        <w:t>second tier partners</w:t>
      </w:r>
      <w:r w:rsidRPr="004D57C9">
        <w:rPr>
          <w:rFonts w:asciiTheme="majorHAnsi" w:eastAsia="Calibri" w:hAnsiTheme="majorHAnsi"/>
          <w:szCs w:val="22"/>
          <w:lang w:val="en-AU"/>
        </w:rPr>
        <w:t xml:space="preserve"> and other local PNGOs</w:t>
      </w:r>
      <w:r w:rsidR="00370D4D" w:rsidRPr="004D57C9">
        <w:rPr>
          <w:rFonts w:asciiTheme="majorHAnsi" w:eastAsia="Calibri" w:hAnsiTheme="majorHAnsi"/>
          <w:szCs w:val="22"/>
          <w:lang w:val="en-AU"/>
        </w:rPr>
        <w:t xml:space="preserve"> (third tier)</w:t>
      </w:r>
    </w:p>
    <w:p w:rsidR="00D24D61" w:rsidRPr="004D57C9" w:rsidRDefault="00D24D61" w:rsidP="00D24D61">
      <w:pPr>
        <w:pStyle w:val="NoSpacing"/>
        <w:numPr>
          <w:ilvl w:val="0"/>
          <w:numId w:val="0"/>
        </w:numPr>
        <w:jc w:val="left"/>
        <w:rPr>
          <w:rFonts w:asciiTheme="majorHAnsi" w:eastAsia="Calibri" w:hAnsiTheme="majorHAnsi"/>
          <w:szCs w:val="22"/>
          <w:lang w:val="en-AU"/>
        </w:rPr>
      </w:pPr>
    </w:p>
    <w:p w:rsidR="00D24D61" w:rsidRPr="00876292" w:rsidRDefault="00D24D61" w:rsidP="00D24D61">
      <w:pPr>
        <w:pStyle w:val="NoSpacing"/>
        <w:numPr>
          <w:ilvl w:val="0"/>
          <w:numId w:val="0"/>
        </w:numPr>
        <w:jc w:val="left"/>
        <w:rPr>
          <w:rFonts w:asciiTheme="majorHAnsi" w:eastAsia="Calibri" w:hAnsiTheme="majorHAnsi"/>
          <w:szCs w:val="22"/>
          <w:lang w:val="en-AU"/>
        </w:rPr>
      </w:pPr>
      <w:r w:rsidRPr="004D57C9">
        <w:rPr>
          <w:rFonts w:asciiTheme="majorHAnsi" w:eastAsia="Calibri" w:hAnsiTheme="majorHAnsi"/>
          <w:szCs w:val="22"/>
          <w:lang w:val="en-AU"/>
        </w:rPr>
        <w:t xml:space="preserve">The </w:t>
      </w:r>
      <w:r w:rsidR="00876292" w:rsidRPr="004D57C9">
        <w:rPr>
          <w:rFonts w:asciiTheme="majorHAnsi" w:eastAsia="Calibri" w:hAnsiTheme="majorHAnsi"/>
          <w:szCs w:val="22"/>
          <w:lang w:val="en-AU"/>
        </w:rPr>
        <w:t>Head Agreement that forms the basis of the contractual arrangements</w:t>
      </w:r>
      <w:r w:rsidRPr="004D57C9">
        <w:rPr>
          <w:rFonts w:asciiTheme="majorHAnsi" w:eastAsia="Calibri" w:hAnsiTheme="majorHAnsi"/>
          <w:szCs w:val="22"/>
          <w:lang w:val="en-AU"/>
        </w:rPr>
        <w:t xml:space="preserve"> between DFAT</w:t>
      </w:r>
      <w:r w:rsidRPr="00876292">
        <w:rPr>
          <w:rFonts w:asciiTheme="majorHAnsi" w:eastAsia="Calibri" w:hAnsiTheme="majorHAnsi"/>
          <w:szCs w:val="22"/>
          <w:lang w:val="en-AU"/>
        </w:rPr>
        <w:t xml:space="preserve"> and Australian NGOs includes regular DFAT </w:t>
      </w:r>
      <w:r w:rsidR="00876292" w:rsidRPr="00876292">
        <w:rPr>
          <w:rFonts w:asciiTheme="majorHAnsi" w:eastAsia="Calibri" w:hAnsiTheme="majorHAnsi"/>
          <w:szCs w:val="22"/>
          <w:lang w:val="en-AU"/>
        </w:rPr>
        <w:t>contractual requirements</w:t>
      </w:r>
      <w:r w:rsidRPr="00876292">
        <w:rPr>
          <w:rFonts w:asciiTheme="majorHAnsi" w:eastAsia="Calibri" w:hAnsiTheme="majorHAnsi"/>
          <w:szCs w:val="22"/>
          <w:lang w:val="en-AU"/>
        </w:rPr>
        <w:t>.</w:t>
      </w:r>
      <w:r>
        <w:rPr>
          <w:rStyle w:val="FootnoteReference"/>
          <w:rFonts w:asciiTheme="majorHAnsi" w:eastAsia="Calibri" w:hAnsiTheme="majorHAnsi"/>
          <w:sz w:val="20"/>
          <w:szCs w:val="20"/>
          <w:lang w:val="en-AU"/>
        </w:rPr>
        <w:footnoteReference w:id="6"/>
      </w:r>
      <w:r w:rsidRPr="00F522EB">
        <w:rPr>
          <w:rFonts w:asciiTheme="majorHAnsi" w:eastAsia="Calibri" w:hAnsiTheme="majorHAnsi"/>
          <w:sz w:val="20"/>
          <w:szCs w:val="20"/>
          <w:lang w:val="en-AU"/>
        </w:rPr>
        <w:t xml:space="preserve"> </w:t>
      </w:r>
      <w:r w:rsidRPr="00876292">
        <w:rPr>
          <w:rFonts w:asciiTheme="majorHAnsi" w:eastAsia="Calibri" w:hAnsiTheme="majorHAnsi"/>
          <w:szCs w:val="22"/>
          <w:lang w:val="en-AU"/>
        </w:rPr>
        <w:t xml:space="preserve">In 2013, </w:t>
      </w:r>
      <w:r w:rsidR="00876292" w:rsidRPr="00876292">
        <w:rPr>
          <w:rFonts w:asciiTheme="majorHAnsi" w:eastAsia="Calibri" w:hAnsiTheme="majorHAnsi"/>
          <w:szCs w:val="22"/>
          <w:lang w:val="en-AU"/>
        </w:rPr>
        <w:t>the Funding Agreement with each of the ANGOs</w:t>
      </w:r>
      <w:r w:rsidRPr="00876292">
        <w:rPr>
          <w:rFonts w:asciiTheme="majorHAnsi" w:eastAsia="Calibri" w:hAnsiTheme="majorHAnsi"/>
          <w:szCs w:val="22"/>
          <w:lang w:val="en-AU"/>
        </w:rPr>
        <w:t xml:space="preserve"> was supplemented with an amendment to provide further guidance </w:t>
      </w:r>
      <w:r w:rsidR="00876292" w:rsidRPr="00876292">
        <w:rPr>
          <w:rFonts w:asciiTheme="majorHAnsi" w:eastAsia="Calibri" w:hAnsiTheme="majorHAnsi"/>
          <w:szCs w:val="22"/>
          <w:lang w:val="en-AU"/>
        </w:rPr>
        <w:t>on</w:t>
      </w:r>
      <w:r w:rsidRPr="00876292">
        <w:rPr>
          <w:rFonts w:asciiTheme="majorHAnsi" w:eastAsia="Calibri" w:hAnsiTheme="majorHAnsi"/>
          <w:szCs w:val="22"/>
          <w:lang w:val="en-AU"/>
        </w:rPr>
        <w:t xml:space="preserve"> minimum due diligence requirements. These requirements were developed specifically to ensure that ANGOs have sufficient systems in place to demonstrate due diligence processes. This was identified as particularly important in the context of the Palestinian Territories, where there are a number of groups included on the Australian Government’s listings of terrorist organisations. The additional requirements included in the amendment are outlined in Annexes B and C in this document. DFAT consulted with the Australian NGO’s prior to the proposed new requirements being included in the amendment and ANGOs indicated that this was useful guidance in the context of </w:t>
      </w:r>
      <w:r w:rsidR="0024158B">
        <w:rPr>
          <w:rFonts w:asciiTheme="majorHAnsi" w:eastAsia="Calibri" w:hAnsiTheme="majorHAnsi"/>
          <w:szCs w:val="22"/>
          <w:lang w:val="en-AU"/>
        </w:rPr>
        <w:t xml:space="preserve">working in </w:t>
      </w:r>
      <w:r w:rsidRPr="00876292">
        <w:rPr>
          <w:rFonts w:asciiTheme="majorHAnsi" w:eastAsia="Calibri" w:hAnsiTheme="majorHAnsi"/>
          <w:szCs w:val="22"/>
          <w:lang w:val="en-AU"/>
        </w:rPr>
        <w:t xml:space="preserve">the Palestinian Territories. Copies of signed amendments with each of the Australian NGOS have been sighted. </w:t>
      </w:r>
    </w:p>
    <w:p w:rsidR="00D24D61" w:rsidRPr="00876292" w:rsidRDefault="00D24D61" w:rsidP="00D24D61">
      <w:pPr>
        <w:pStyle w:val="NoSpacing"/>
        <w:numPr>
          <w:ilvl w:val="0"/>
          <w:numId w:val="0"/>
        </w:numPr>
        <w:jc w:val="left"/>
        <w:rPr>
          <w:rFonts w:asciiTheme="majorHAnsi" w:eastAsia="Calibri" w:hAnsiTheme="majorHAnsi"/>
          <w:szCs w:val="22"/>
          <w:lang w:val="en-AU"/>
        </w:rPr>
      </w:pPr>
    </w:p>
    <w:p w:rsidR="0024158B" w:rsidRPr="004D57C9" w:rsidRDefault="00D24D61" w:rsidP="00352D65">
      <w:pPr>
        <w:pStyle w:val="NoSpacing"/>
        <w:numPr>
          <w:ilvl w:val="0"/>
          <w:numId w:val="0"/>
        </w:numPr>
        <w:jc w:val="left"/>
        <w:rPr>
          <w:rFonts w:asciiTheme="majorHAnsi" w:eastAsia="Calibri" w:hAnsiTheme="majorHAnsi"/>
          <w:szCs w:val="22"/>
          <w:lang w:val="en-AU"/>
        </w:rPr>
      </w:pPr>
      <w:r w:rsidRPr="004D57C9">
        <w:rPr>
          <w:rFonts w:asciiTheme="majorHAnsi" w:eastAsia="Calibri" w:hAnsiTheme="majorHAnsi"/>
          <w:szCs w:val="22"/>
          <w:lang w:val="en-AU"/>
        </w:rPr>
        <w:t xml:space="preserve">Agreements between Australian NGOs and </w:t>
      </w:r>
      <w:r w:rsidR="003A5F9D" w:rsidRPr="004D57C9">
        <w:rPr>
          <w:rFonts w:asciiTheme="majorHAnsi" w:eastAsia="Calibri" w:hAnsiTheme="majorHAnsi"/>
          <w:szCs w:val="22"/>
          <w:lang w:val="en-AU"/>
        </w:rPr>
        <w:t>second tier partners</w:t>
      </w:r>
      <w:r w:rsidR="00352D65" w:rsidRPr="004D57C9">
        <w:rPr>
          <w:rFonts w:asciiTheme="majorHAnsi" w:eastAsia="Calibri" w:hAnsiTheme="majorHAnsi"/>
          <w:szCs w:val="22"/>
          <w:lang w:val="en-AU"/>
        </w:rPr>
        <w:t xml:space="preserve"> </w:t>
      </w:r>
      <w:r w:rsidR="0024158B" w:rsidRPr="004D57C9">
        <w:rPr>
          <w:rFonts w:asciiTheme="majorHAnsi" w:eastAsia="Calibri" w:hAnsiTheme="majorHAnsi"/>
          <w:szCs w:val="22"/>
          <w:lang w:val="en-AU"/>
        </w:rPr>
        <w:t xml:space="preserve">(also referred to as ‘implementing partners’ in this report) </w:t>
      </w:r>
      <w:r w:rsidRPr="004D57C9">
        <w:rPr>
          <w:rFonts w:asciiTheme="majorHAnsi" w:eastAsia="Calibri" w:hAnsiTheme="majorHAnsi"/>
          <w:szCs w:val="22"/>
          <w:lang w:val="en-AU"/>
        </w:rPr>
        <w:t xml:space="preserve">were reviewed for the inclusion of key requirements directly related to the DFAT agreement. A summary of contractual inclusions </w:t>
      </w:r>
      <w:r w:rsidR="003A5F9D" w:rsidRPr="004D57C9">
        <w:rPr>
          <w:rFonts w:asciiTheme="majorHAnsi" w:eastAsia="Calibri" w:hAnsiTheme="majorHAnsi"/>
          <w:szCs w:val="22"/>
          <w:lang w:val="en-AU"/>
        </w:rPr>
        <w:t>in these second tier partner</w:t>
      </w:r>
      <w:r w:rsidRPr="004D57C9">
        <w:rPr>
          <w:rFonts w:asciiTheme="majorHAnsi" w:eastAsia="Calibri" w:hAnsiTheme="majorHAnsi"/>
          <w:szCs w:val="22"/>
          <w:lang w:val="en-AU"/>
        </w:rPr>
        <w:t xml:space="preserve"> agreements is outlined in Annex E. </w:t>
      </w:r>
      <w:r w:rsidR="00352D65" w:rsidRPr="004D57C9">
        <w:rPr>
          <w:rFonts w:asciiTheme="majorHAnsi" w:eastAsia="Calibri" w:hAnsiTheme="majorHAnsi"/>
          <w:szCs w:val="22"/>
          <w:lang w:val="en-AU"/>
        </w:rPr>
        <w:t xml:space="preserve">A review of agreements </w:t>
      </w:r>
      <w:r w:rsidR="003A5F9D" w:rsidRPr="004D57C9">
        <w:rPr>
          <w:rFonts w:asciiTheme="majorHAnsi" w:eastAsia="Calibri" w:hAnsiTheme="majorHAnsi"/>
          <w:szCs w:val="22"/>
          <w:lang w:val="en-AU"/>
        </w:rPr>
        <w:t>with third tier partners</w:t>
      </w:r>
      <w:r w:rsidR="00352D65" w:rsidRPr="004D57C9">
        <w:rPr>
          <w:rFonts w:asciiTheme="majorHAnsi" w:eastAsia="Calibri" w:hAnsiTheme="majorHAnsi"/>
          <w:szCs w:val="22"/>
          <w:lang w:val="en-AU"/>
        </w:rPr>
        <w:t xml:space="preserve"> was also undertaken and a summary of contractual coverage is outlined in Annex F. </w:t>
      </w:r>
      <w:r w:rsidR="0024158B" w:rsidRPr="004D57C9">
        <w:rPr>
          <w:rFonts w:asciiTheme="majorHAnsi" w:eastAsia="Calibri" w:hAnsiTheme="majorHAnsi"/>
          <w:szCs w:val="22"/>
          <w:lang w:val="en-AU"/>
        </w:rPr>
        <w:t>With the exception of counter-terrorism, the Australian Government has not specified that any particular clauses must be included in sub-partner agreements.</w:t>
      </w:r>
    </w:p>
    <w:p w:rsidR="0024158B" w:rsidRPr="004D57C9" w:rsidRDefault="0024158B" w:rsidP="00352D65">
      <w:pPr>
        <w:pStyle w:val="NoSpacing"/>
        <w:numPr>
          <w:ilvl w:val="0"/>
          <w:numId w:val="0"/>
        </w:numPr>
        <w:jc w:val="left"/>
        <w:rPr>
          <w:rFonts w:asciiTheme="majorHAnsi" w:eastAsia="Calibri" w:hAnsiTheme="majorHAnsi"/>
          <w:szCs w:val="22"/>
          <w:lang w:val="en-AU"/>
        </w:rPr>
      </w:pPr>
    </w:p>
    <w:p w:rsidR="00D24D61" w:rsidRPr="004D57C9" w:rsidRDefault="00AE3AD1" w:rsidP="00423EC9">
      <w:pPr>
        <w:pStyle w:val="NoSpacing"/>
        <w:numPr>
          <w:ilvl w:val="0"/>
          <w:numId w:val="0"/>
        </w:numPr>
        <w:jc w:val="left"/>
        <w:rPr>
          <w:rFonts w:asciiTheme="majorHAnsi" w:eastAsia="Calibri" w:hAnsiTheme="majorHAnsi"/>
          <w:szCs w:val="22"/>
          <w:lang w:val="en-AU"/>
        </w:rPr>
      </w:pPr>
      <w:r w:rsidRPr="004D57C9">
        <w:rPr>
          <w:rFonts w:asciiTheme="majorHAnsi" w:eastAsia="Calibri" w:hAnsiTheme="majorHAnsi"/>
          <w:szCs w:val="22"/>
          <w:lang w:val="en-AU"/>
        </w:rPr>
        <w:t xml:space="preserve">Overall, this review of agreements found that there was comprehensive coverage of financial management, monitoring and reporting, and counter terrorism in agreements with all partners. There were not always explicit clauses, however, relating to the risk areas of fraud, corruption, conflict of interest, and mandatory incident reporting. </w:t>
      </w:r>
      <w:r w:rsidR="00D24D61" w:rsidRPr="004D57C9">
        <w:rPr>
          <w:rFonts w:asciiTheme="majorHAnsi" w:eastAsia="Calibri" w:hAnsiTheme="majorHAnsi"/>
          <w:szCs w:val="22"/>
          <w:lang w:val="en-AU"/>
        </w:rPr>
        <w:t>While the</w:t>
      </w:r>
      <w:r w:rsidR="00EF3FC0" w:rsidRPr="004D57C9">
        <w:rPr>
          <w:rFonts w:asciiTheme="majorHAnsi" w:eastAsia="Calibri" w:hAnsiTheme="majorHAnsi"/>
          <w:szCs w:val="22"/>
          <w:lang w:val="en-AU"/>
        </w:rPr>
        <w:t xml:space="preserve"> </w:t>
      </w:r>
      <w:r w:rsidR="00D24D61" w:rsidRPr="004D57C9">
        <w:rPr>
          <w:rFonts w:asciiTheme="majorHAnsi" w:eastAsia="Calibri" w:hAnsiTheme="majorHAnsi"/>
          <w:szCs w:val="22"/>
          <w:lang w:val="en-AU"/>
        </w:rPr>
        <w:t xml:space="preserve">Australian Government has not specified that </w:t>
      </w:r>
      <w:r w:rsidR="0024158B" w:rsidRPr="004D57C9">
        <w:rPr>
          <w:rFonts w:asciiTheme="majorHAnsi" w:eastAsia="Calibri" w:hAnsiTheme="majorHAnsi"/>
          <w:szCs w:val="22"/>
          <w:lang w:val="en-AU"/>
        </w:rPr>
        <w:t>these</w:t>
      </w:r>
      <w:r w:rsidR="00D24D61" w:rsidRPr="004D57C9">
        <w:rPr>
          <w:rFonts w:asciiTheme="majorHAnsi" w:eastAsia="Calibri" w:hAnsiTheme="majorHAnsi"/>
          <w:szCs w:val="22"/>
          <w:lang w:val="en-AU"/>
        </w:rPr>
        <w:t xml:space="preserve"> clauses must be included in sub-partner agreements, </w:t>
      </w:r>
      <w:r w:rsidR="0024158B" w:rsidRPr="004D57C9">
        <w:rPr>
          <w:rFonts w:asciiTheme="majorHAnsi" w:eastAsia="Calibri" w:hAnsiTheme="majorHAnsi"/>
          <w:szCs w:val="22"/>
          <w:lang w:val="en-AU"/>
        </w:rPr>
        <w:t xml:space="preserve">the absence of these clauses in second and third tier partner agreements should be noted. </w:t>
      </w:r>
      <w:r w:rsidR="00D24D61" w:rsidRPr="004D57C9">
        <w:rPr>
          <w:rFonts w:asciiTheme="majorHAnsi" w:eastAsia="Calibri" w:hAnsiTheme="majorHAnsi"/>
          <w:szCs w:val="22"/>
          <w:lang w:val="en-AU"/>
        </w:rPr>
        <w:t xml:space="preserve">These absences represent a risk that </w:t>
      </w:r>
      <w:r w:rsidR="001219AA" w:rsidRPr="004D57C9">
        <w:rPr>
          <w:rFonts w:asciiTheme="majorHAnsi" w:eastAsia="Calibri" w:hAnsiTheme="majorHAnsi"/>
          <w:szCs w:val="22"/>
          <w:lang w:val="en-AU"/>
        </w:rPr>
        <w:t xml:space="preserve">certain </w:t>
      </w:r>
      <w:r w:rsidR="00D24D61" w:rsidRPr="004D57C9">
        <w:rPr>
          <w:rFonts w:asciiTheme="majorHAnsi" w:eastAsia="Calibri" w:hAnsiTheme="majorHAnsi"/>
          <w:szCs w:val="22"/>
          <w:lang w:val="en-AU"/>
        </w:rPr>
        <w:t xml:space="preserve">contractual obligations </w:t>
      </w:r>
      <w:r w:rsidRPr="004D57C9">
        <w:rPr>
          <w:rFonts w:asciiTheme="majorHAnsi" w:eastAsia="Calibri" w:hAnsiTheme="majorHAnsi"/>
          <w:szCs w:val="22"/>
          <w:lang w:val="en-AU"/>
        </w:rPr>
        <w:t xml:space="preserve">may </w:t>
      </w:r>
      <w:r w:rsidR="00D24D61" w:rsidRPr="004D57C9">
        <w:rPr>
          <w:rFonts w:asciiTheme="majorHAnsi" w:eastAsia="Calibri" w:hAnsiTheme="majorHAnsi"/>
          <w:szCs w:val="22"/>
          <w:lang w:val="en-AU"/>
        </w:rPr>
        <w:t xml:space="preserve">not </w:t>
      </w:r>
      <w:r w:rsidRPr="004D57C9">
        <w:rPr>
          <w:rFonts w:asciiTheme="majorHAnsi" w:eastAsia="Calibri" w:hAnsiTheme="majorHAnsi"/>
          <w:szCs w:val="22"/>
          <w:lang w:val="en-AU"/>
        </w:rPr>
        <w:t xml:space="preserve">be </w:t>
      </w:r>
      <w:r w:rsidR="00D24D61" w:rsidRPr="004D57C9">
        <w:rPr>
          <w:rFonts w:asciiTheme="majorHAnsi" w:eastAsia="Calibri" w:hAnsiTheme="majorHAnsi"/>
          <w:szCs w:val="22"/>
          <w:lang w:val="en-AU"/>
        </w:rPr>
        <w:t>communicated</w:t>
      </w:r>
      <w:r w:rsidR="00423EC9" w:rsidRPr="004D57C9">
        <w:rPr>
          <w:rFonts w:asciiTheme="majorHAnsi" w:eastAsia="Calibri" w:hAnsiTheme="majorHAnsi"/>
          <w:szCs w:val="22"/>
          <w:lang w:val="en-AU"/>
        </w:rPr>
        <w:t>.</w:t>
      </w:r>
      <w:r w:rsidR="001219AA" w:rsidRPr="004D57C9">
        <w:rPr>
          <w:rFonts w:asciiTheme="majorHAnsi" w:hAnsiTheme="majorHAnsi"/>
          <w:szCs w:val="22"/>
        </w:rPr>
        <w:t xml:space="preserve"> </w:t>
      </w:r>
      <w:r w:rsidR="009E16EE" w:rsidRPr="004D57C9">
        <w:rPr>
          <w:rFonts w:asciiTheme="majorHAnsi" w:eastAsia="Calibri" w:hAnsiTheme="majorHAnsi"/>
          <w:szCs w:val="22"/>
          <w:lang w:val="en-AU"/>
        </w:rPr>
        <w:t xml:space="preserve"> It is recognised, however, that the responsibility for meeting contractual obligations ultimately rests with the Australian NGO and is a matter for the Australian NGO to manage</w:t>
      </w:r>
      <w:r w:rsidR="00163B20" w:rsidRPr="004D57C9">
        <w:rPr>
          <w:rFonts w:asciiTheme="majorHAnsi" w:eastAsia="Calibri" w:hAnsiTheme="majorHAnsi"/>
          <w:szCs w:val="22"/>
          <w:lang w:val="en-AU"/>
        </w:rPr>
        <w:t>.</w:t>
      </w:r>
    </w:p>
    <w:p w:rsidR="00D24D61" w:rsidRPr="00132DAA" w:rsidRDefault="00446D58" w:rsidP="00816C31">
      <w:pPr>
        <w:pStyle w:val="NoSpacing"/>
        <w:numPr>
          <w:ilvl w:val="0"/>
          <w:numId w:val="0"/>
        </w:numPr>
        <w:jc w:val="left"/>
        <w:rPr>
          <w:rFonts w:asciiTheme="majorHAnsi" w:eastAsia="Calibri" w:hAnsiTheme="majorHAnsi"/>
          <w:szCs w:val="22"/>
          <w:lang w:val="en-AU"/>
        </w:rPr>
      </w:pPr>
      <w:r w:rsidRPr="004D57C9">
        <w:rPr>
          <w:rFonts w:asciiTheme="majorHAnsi" w:eastAsia="Calibri" w:hAnsiTheme="majorHAnsi"/>
          <w:szCs w:val="22"/>
          <w:lang w:val="en-AU"/>
        </w:rPr>
        <w:br/>
        <w:t>T</w:t>
      </w:r>
      <w:r w:rsidR="00D24D61" w:rsidRPr="004D57C9">
        <w:rPr>
          <w:rFonts w:asciiTheme="majorHAnsi" w:eastAsia="Calibri" w:hAnsiTheme="majorHAnsi"/>
          <w:szCs w:val="22"/>
          <w:lang w:val="en-AU"/>
        </w:rPr>
        <w:t xml:space="preserve">he risk management review focused on </w:t>
      </w:r>
      <w:r w:rsidR="0078339A" w:rsidRPr="004D57C9">
        <w:rPr>
          <w:rFonts w:asciiTheme="majorHAnsi" w:eastAsia="Calibri" w:hAnsiTheme="majorHAnsi"/>
          <w:szCs w:val="22"/>
          <w:lang w:val="en-AU"/>
        </w:rPr>
        <w:t>DFAT’s and</w:t>
      </w:r>
      <w:r w:rsidR="0078339A">
        <w:rPr>
          <w:rFonts w:asciiTheme="majorHAnsi" w:eastAsia="Calibri" w:hAnsiTheme="majorHAnsi"/>
          <w:szCs w:val="22"/>
          <w:lang w:val="en-AU"/>
        </w:rPr>
        <w:t xml:space="preserve"> </w:t>
      </w:r>
      <w:r w:rsidR="00D24D61" w:rsidRPr="00132DAA">
        <w:rPr>
          <w:rFonts w:asciiTheme="majorHAnsi" w:eastAsia="Calibri" w:hAnsiTheme="majorHAnsi"/>
          <w:szCs w:val="22"/>
          <w:lang w:val="en-AU"/>
        </w:rPr>
        <w:t>partners</w:t>
      </w:r>
      <w:r w:rsidR="0078339A">
        <w:rPr>
          <w:rFonts w:asciiTheme="majorHAnsi" w:eastAsia="Calibri" w:hAnsiTheme="majorHAnsi"/>
          <w:szCs w:val="22"/>
          <w:lang w:val="en-AU"/>
        </w:rPr>
        <w:t>’</w:t>
      </w:r>
      <w:r w:rsidR="00D24D61" w:rsidRPr="00132DAA">
        <w:rPr>
          <w:rFonts w:asciiTheme="majorHAnsi" w:eastAsia="Calibri" w:hAnsiTheme="majorHAnsi"/>
          <w:szCs w:val="22"/>
          <w:lang w:val="en-AU"/>
        </w:rPr>
        <w:t xml:space="preserve"> risk management systems. </w:t>
      </w:r>
      <w:r w:rsidR="00816C31">
        <w:rPr>
          <w:rFonts w:asciiTheme="majorHAnsi" w:eastAsia="Calibri" w:hAnsiTheme="majorHAnsi"/>
          <w:szCs w:val="22"/>
          <w:lang w:val="en-AU"/>
        </w:rPr>
        <w:t>T</w:t>
      </w:r>
      <w:r w:rsidR="00D24D61" w:rsidRPr="00132DAA">
        <w:rPr>
          <w:rFonts w:asciiTheme="majorHAnsi" w:eastAsia="Calibri" w:hAnsiTheme="majorHAnsi"/>
          <w:szCs w:val="22"/>
          <w:lang w:val="en-AU"/>
        </w:rPr>
        <w:t xml:space="preserve">he description of systems, including partner risk assessments, regular financial monitoring, annual audits, regular field monitoring, and regular program reporting were found to be comprehensive and </w:t>
      </w:r>
      <w:r w:rsidR="0078339A">
        <w:rPr>
          <w:rFonts w:asciiTheme="majorHAnsi" w:eastAsia="Calibri" w:hAnsiTheme="majorHAnsi"/>
          <w:szCs w:val="22"/>
          <w:lang w:val="en-AU"/>
        </w:rPr>
        <w:t xml:space="preserve">is </w:t>
      </w:r>
      <w:r w:rsidR="00D24D61" w:rsidRPr="00132DAA">
        <w:rPr>
          <w:rFonts w:asciiTheme="majorHAnsi" w:eastAsia="Calibri" w:hAnsiTheme="majorHAnsi"/>
          <w:szCs w:val="22"/>
          <w:lang w:val="en-AU"/>
        </w:rPr>
        <w:t>considered a legitimate form of risk management. Discussion with second tier partner</w:t>
      </w:r>
      <w:r w:rsidR="003A5F9D">
        <w:rPr>
          <w:rFonts w:asciiTheme="majorHAnsi" w:eastAsia="Calibri" w:hAnsiTheme="majorHAnsi"/>
          <w:szCs w:val="22"/>
          <w:lang w:val="en-AU"/>
        </w:rPr>
        <w:t xml:space="preserve">s </w:t>
      </w:r>
      <w:r w:rsidR="00D24D61" w:rsidRPr="00132DAA">
        <w:rPr>
          <w:rFonts w:asciiTheme="majorHAnsi" w:eastAsia="Calibri" w:hAnsiTheme="majorHAnsi"/>
          <w:szCs w:val="22"/>
          <w:lang w:val="en-AU"/>
        </w:rPr>
        <w:t xml:space="preserve">demonstrated that </w:t>
      </w:r>
      <w:r w:rsidR="003A5F9D">
        <w:rPr>
          <w:rFonts w:asciiTheme="majorHAnsi" w:eastAsia="Calibri" w:hAnsiTheme="majorHAnsi"/>
          <w:szCs w:val="22"/>
          <w:lang w:val="en-AU"/>
        </w:rPr>
        <w:t>their staff</w:t>
      </w:r>
      <w:r w:rsidR="003A5F9D" w:rsidRPr="00132DAA">
        <w:rPr>
          <w:rFonts w:asciiTheme="majorHAnsi" w:eastAsia="Calibri" w:hAnsiTheme="majorHAnsi"/>
          <w:szCs w:val="22"/>
          <w:lang w:val="en-AU"/>
        </w:rPr>
        <w:t xml:space="preserve"> </w:t>
      </w:r>
      <w:r w:rsidR="00D24D61" w:rsidRPr="00132DAA">
        <w:rPr>
          <w:rFonts w:asciiTheme="majorHAnsi" w:eastAsia="Calibri" w:hAnsiTheme="majorHAnsi"/>
          <w:szCs w:val="22"/>
          <w:lang w:val="en-AU"/>
        </w:rPr>
        <w:t xml:space="preserve">are very conscious of their obligations in relation to financial management, program reporting, counter-terrorism, and incident reporting.  Through the due diligence spot </w:t>
      </w:r>
      <w:r w:rsidR="00876292" w:rsidRPr="00132DAA">
        <w:rPr>
          <w:rFonts w:asciiTheme="majorHAnsi" w:eastAsia="Calibri" w:hAnsiTheme="majorHAnsi"/>
          <w:szCs w:val="22"/>
          <w:lang w:val="en-AU"/>
        </w:rPr>
        <w:t>check undertaken in 2013, DFAT has e</w:t>
      </w:r>
      <w:r w:rsidR="00D24D61" w:rsidRPr="00132DAA">
        <w:rPr>
          <w:rFonts w:asciiTheme="majorHAnsi" w:eastAsia="Calibri" w:hAnsiTheme="majorHAnsi"/>
          <w:szCs w:val="22"/>
          <w:lang w:val="en-AU"/>
        </w:rPr>
        <w:t>stablished a s</w:t>
      </w:r>
      <w:r w:rsidR="00876292" w:rsidRPr="00132DAA">
        <w:rPr>
          <w:rFonts w:asciiTheme="majorHAnsi" w:eastAsia="Calibri" w:hAnsiTheme="majorHAnsi"/>
          <w:szCs w:val="22"/>
          <w:lang w:val="en-AU"/>
        </w:rPr>
        <w:t xml:space="preserve">imilar confidence that </w:t>
      </w:r>
      <w:r w:rsidR="003A5F9D">
        <w:rPr>
          <w:rFonts w:asciiTheme="majorHAnsi" w:eastAsia="Calibri" w:hAnsiTheme="majorHAnsi"/>
          <w:szCs w:val="22"/>
          <w:lang w:val="en-AU"/>
        </w:rPr>
        <w:t xml:space="preserve">second tier partners </w:t>
      </w:r>
      <w:r w:rsidR="00876292" w:rsidRPr="00132DAA">
        <w:rPr>
          <w:rFonts w:asciiTheme="majorHAnsi" w:eastAsia="Calibri" w:hAnsiTheme="majorHAnsi"/>
          <w:szCs w:val="22"/>
          <w:lang w:val="en-AU"/>
        </w:rPr>
        <w:t>have</w:t>
      </w:r>
      <w:r w:rsidR="00D24D61" w:rsidRPr="00132DAA">
        <w:rPr>
          <w:rFonts w:asciiTheme="majorHAnsi" w:eastAsia="Calibri" w:hAnsiTheme="majorHAnsi"/>
          <w:szCs w:val="22"/>
          <w:lang w:val="en-AU"/>
        </w:rPr>
        <w:t xml:space="preserve"> </w:t>
      </w:r>
      <w:r w:rsidR="008C1A04">
        <w:rPr>
          <w:rFonts w:asciiTheme="majorHAnsi" w:eastAsia="Calibri" w:hAnsiTheme="majorHAnsi"/>
          <w:szCs w:val="22"/>
          <w:lang w:val="en-AU"/>
        </w:rPr>
        <w:t>a sound understanding of</w:t>
      </w:r>
      <w:r w:rsidR="008C1A04" w:rsidRPr="00132DAA">
        <w:rPr>
          <w:rFonts w:asciiTheme="majorHAnsi" w:eastAsia="Calibri" w:hAnsiTheme="majorHAnsi"/>
          <w:szCs w:val="22"/>
          <w:lang w:val="en-AU"/>
        </w:rPr>
        <w:t xml:space="preserve"> </w:t>
      </w:r>
      <w:r w:rsidR="00D24D61" w:rsidRPr="00132DAA">
        <w:rPr>
          <w:rFonts w:asciiTheme="majorHAnsi" w:eastAsia="Calibri" w:hAnsiTheme="majorHAnsi"/>
          <w:szCs w:val="22"/>
          <w:lang w:val="en-AU"/>
        </w:rPr>
        <w:t xml:space="preserve">key Australian Government requirements. </w:t>
      </w:r>
    </w:p>
    <w:p w:rsidR="00132DAA" w:rsidRDefault="00132DAA" w:rsidP="00D24D61">
      <w:pPr>
        <w:pStyle w:val="NoSpacing"/>
        <w:numPr>
          <w:ilvl w:val="0"/>
          <w:numId w:val="0"/>
        </w:numPr>
        <w:jc w:val="left"/>
        <w:rPr>
          <w:rFonts w:asciiTheme="majorHAnsi" w:eastAsia="Calibri" w:hAnsiTheme="majorHAnsi"/>
          <w:sz w:val="20"/>
          <w:szCs w:val="20"/>
          <w:lang w:val="en-AU"/>
        </w:rPr>
      </w:pPr>
    </w:p>
    <w:p w:rsidR="00132DAA" w:rsidRPr="00132DAA" w:rsidRDefault="00132DAA" w:rsidP="00132DAA">
      <w:pPr>
        <w:shd w:val="clear" w:color="auto" w:fill="4F81BD" w:themeFill="accent1"/>
        <w:ind w:left="0" w:firstLine="0"/>
        <w:rPr>
          <w:sz w:val="24"/>
          <w:szCs w:val="24"/>
        </w:rPr>
      </w:pPr>
      <w:r w:rsidRPr="00132DAA">
        <w:rPr>
          <w:b/>
          <w:color w:val="FFFFFF" w:themeColor="background1"/>
          <w:sz w:val="24"/>
          <w:szCs w:val="24"/>
        </w:rPr>
        <w:t>Counter-Terrorism</w:t>
      </w:r>
    </w:p>
    <w:p w:rsidR="00132DAA" w:rsidRPr="00132DAA" w:rsidRDefault="00132DAA" w:rsidP="00132DAA">
      <w:pPr>
        <w:pStyle w:val="NoSpacing"/>
        <w:numPr>
          <w:ilvl w:val="0"/>
          <w:numId w:val="0"/>
        </w:numPr>
        <w:jc w:val="left"/>
        <w:rPr>
          <w:rFonts w:asciiTheme="majorHAnsi" w:eastAsia="Calibri" w:hAnsiTheme="majorHAnsi"/>
          <w:szCs w:val="22"/>
          <w:lang w:val="en-AU"/>
        </w:rPr>
      </w:pPr>
      <w:r w:rsidRPr="00132DAA">
        <w:rPr>
          <w:rFonts w:asciiTheme="majorHAnsi" w:eastAsiaTheme="minorEastAsia" w:hAnsiTheme="majorHAnsi"/>
          <w:szCs w:val="22"/>
          <w:lang w:val="en-US"/>
        </w:rPr>
        <w:t>Australian NGOs have a Funding Agreement relating to AMENCA that falls under a ‘Head</w:t>
      </w:r>
    </w:p>
    <w:p w:rsidR="00300F6C" w:rsidRPr="00132DAA" w:rsidRDefault="00287BD2" w:rsidP="00132DAA">
      <w:pPr>
        <w:suppressAutoHyphens w:val="0"/>
        <w:autoSpaceDE/>
        <w:autoSpaceDN/>
        <w:adjustRightInd/>
        <w:spacing w:before="0" w:after="0" w:line="240" w:lineRule="auto"/>
        <w:ind w:left="0" w:firstLine="0"/>
        <w:jc w:val="left"/>
        <w:textAlignment w:val="auto"/>
        <w:rPr>
          <w:b/>
          <w:color w:val="FFFFFF" w:themeColor="background1"/>
          <w:szCs w:val="22"/>
        </w:rPr>
      </w:pPr>
      <w:r w:rsidRPr="00132DAA">
        <w:rPr>
          <w:rFonts w:asciiTheme="majorHAnsi" w:eastAsiaTheme="minorEastAsia" w:hAnsiTheme="majorHAnsi"/>
          <w:szCs w:val="22"/>
          <w:lang w:val="en-US"/>
        </w:rPr>
        <w:t xml:space="preserve">Agreement’ with DFAT.  </w:t>
      </w:r>
      <w:r w:rsidR="007C24CE" w:rsidRPr="00132DAA">
        <w:rPr>
          <w:rFonts w:asciiTheme="majorHAnsi" w:eastAsiaTheme="minorEastAsia" w:hAnsiTheme="majorHAnsi"/>
          <w:szCs w:val="22"/>
          <w:lang w:val="en-US"/>
        </w:rPr>
        <w:t>The DFAT Head Agreement clauses relating to counter-terrorism have two key components. Firstly, the</w:t>
      </w:r>
      <w:r w:rsidRPr="00132DAA">
        <w:rPr>
          <w:rFonts w:asciiTheme="majorHAnsi" w:eastAsiaTheme="minorEastAsia" w:hAnsiTheme="majorHAnsi"/>
          <w:szCs w:val="22"/>
          <w:lang w:val="en-US"/>
        </w:rPr>
        <w:t>y require the NGO to use their ‘best endeavours’</w:t>
      </w:r>
      <w:r w:rsidR="007C24CE" w:rsidRPr="00132DAA">
        <w:rPr>
          <w:rFonts w:asciiTheme="majorHAnsi" w:eastAsiaTheme="minorEastAsia" w:hAnsiTheme="majorHAnsi"/>
          <w:szCs w:val="22"/>
          <w:lang w:val="en-US"/>
        </w:rPr>
        <w:t xml:space="preserve"> to comply with </w:t>
      </w:r>
      <w:r w:rsidR="0087084A" w:rsidRPr="00132DAA">
        <w:rPr>
          <w:rFonts w:asciiTheme="majorHAnsi" w:eastAsiaTheme="minorEastAsia" w:hAnsiTheme="majorHAnsi"/>
          <w:szCs w:val="22"/>
          <w:lang w:val="en-US"/>
        </w:rPr>
        <w:t>Australian</w:t>
      </w:r>
      <w:r w:rsidR="007C24CE" w:rsidRPr="00132DAA">
        <w:rPr>
          <w:rFonts w:asciiTheme="majorHAnsi" w:eastAsiaTheme="minorEastAsia" w:hAnsiTheme="majorHAnsi"/>
          <w:szCs w:val="22"/>
          <w:lang w:val="en-US"/>
        </w:rPr>
        <w:t xml:space="preserve"> law. Secondly, they require that the other party inform </w:t>
      </w:r>
      <w:r w:rsidR="0087084A" w:rsidRPr="00132DAA">
        <w:rPr>
          <w:rFonts w:asciiTheme="majorHAnsi" w:eastAsiaTheme="minorEastAsia" w:hAnsiTheme="majorHAnsi"/>
          <w:szCs w:val="22"/>
          <w:lang w:val="en-US"/>
        </w:rPr>
        <w:t>DFAT</w:t>
      </w:r>
      <w:r w:rsidR="007C24CE" w:rsidRPr="00132DAA">
        <w:rPr>
          <w:rFonts w:asciiTheme="majorHAnsi" w:eastAsiaTheme="minorEastAsia" w:hAnsiTheme="majorHAnsi"/>
          <w:szCs w:val="22"/>
          <w:lang w:val="en-US"/>
        </w:rPr>
        <w:t xml:space="preserve"> immediately if, during the course of the agreement, any link whatsoever to a proscribed person or entity is discovered.</w:t>
      </w:r>
      <w:r w:rsidR="0087084A" w:rsidRPr="00132DAA">
        <w:rPr>
          <w:rFonts w:asciiTheme="majorHAnsi" w:eastAsiaTheme="minorEastAsia" w:hAnsiTheme="majorHAnsi"/>
          <w:szCs w:val="22"/>
          <w:lang w:val="en-US"/>
        </w:rPr>
        <w:t xml:space="preserve"> </w:t>
      </w:r>
    </w:p>
    <w:p w:rsidR="00300F6C" w:rsidRPr="00132DAA" w:rsidRDefault="00300F6C" w:rsidP="00242A4B">
      <w:pPr>
        <w:pStyle w:val="NoSpacing"/>
        <w:numPr>
          <w:ilvl w:val="0"/>
          <w:numId w:val="0"/>
        </w:numPr>
        <w:rPr>
          <w:rFonts w:asciiTheme="majorHAnsi" w:eastAsiaTheme="minorEastAsia" w:hAnsiTheme="majorHAnsi"/>
          <w:spacing w:val="5"/>
          <w:kern w:val="28"/>
          <w:szCs w:val="22"/>
          <w:lang w:val="en-US" w:eastAsia="en-AU"/>
        </w:rPr>
      </w:pPr>
    </w:p>
    <w:p w:rsidR="00486F14" w:rsidRPr="003A5F9D" w:rsidRDefault="00486F14" w:rsidP="003A5F9D">
      <w:pPr>
        <w:pStyle w:val="NoSpacing"/>
        <w:numPr>
          <w:ilvl w:val="0"/>
          <w:numId w:val="0"/>
        </w:numPr>
        <w:jc w:val="left"/>
        <w:rPr>
          <w:rFonts w:asciiTheme="majorHAnsi" w:eastAsiaTheme="minorEastAsia" w:hAnsiTheme="majorHAnsi"/>
          <w:szCs w:val="22"/>
          <w:lang w:val="en-US"/>
        </w:rPr>
      </w:pPr>
      <w:r w:rsidRPr="003A5F9D">
        <w:rPr>
          <w:rFonts w:asciiTheme="majorHAnsi" w:eastAsiaTheme="minorEastAsia" w:hAnsiTheme="majorHAnsi"/>
          <w:szCs w:val="22"/>
          <w:lang w:val="en-US"/>
        </w:rPr>
        <w:t>By way of a general guide</w:t>
      </w:r>
      <w:r w:rsidR="00F154B0">
        <w:rPr>
          <w:rStyle w:val="FootnoteReference"/>
          <w:rFonts w:asciiTheme="majorHAnsi" w:eastAsiaTheme="minorEastAsia" w:hAnsiTheme="majorHAnsi"/>
          <w:szCs w:val="22"/>
          <w:lang w:val="en-US"/>
        </w:rPr>
        <w:footnoteReference w:id="7"/>
      </w:r>
      <w:r w:rsidRPr="003A5F9D">
        <w:rPr>
          <w:rFonts w:asciiTheme="majorHAnsi" w:eastAsiaTheme="minorEastAsia" w:hAnsiTheme="majorHAnsi"/>
          <w:szCs w:val="22"/>
          <w:lang w:val="en-US"/>
        </w:rPr>
        <w:t>, DFAT expects all development partners at a minimum:</w:t>
      </w:r>
    </w:p>
    <w:p w:rsidR="00486F14" w:rsidRPr="003A5F9D" w:rsidRDefault="00486F14" w:rsidP="003A5F9D">
      <w:pPr>
        <w:pStyle w:val="NoSpacing"/>
        <w:numPr>
          <w:ilvl w:val="0"/>
          <w:numId w:val="45"/>
        </w:numPr>
        <w:jc w:val="left"/>
        <w:rPr>
          <w:rFonts w:asciiTheme="majorHAnsi" w:eastAsiaTheme="minorEastAsia" w:hAnsiTheme="majorHAnsi"/>
          <w:szCs w:val="22"/>
          <w:lang w:val="en-US"/>
        </w:rPr>
      </w:pPr>
      <w:r w:rsidRPr="003A5F9D">
        <w:rPr>
          <w:rFonts w:asciiTheme="majorHAnsi" w:eastAsiaTheme="minorEastAsia" w:hAnsiTheme="majorHAnsi"/>
          <w:szCs w:val="22"/>
          <w:lang w:val="en-US"/>
        </w:rPr>
        <w:t>to know the persons or organisations t</w:t>
      </w:r>
      <w:r w:rsidR="00851B80" w:rsidRPr="003A5F9D">
        <w:rPr>
          <w:rFonts w:asciiTheme="majorHAnsi" w:eastAsiaTheme="minorEastAsia" w:hAnsiTheme="majorHAnsi"/>
          <w:szCs w:val="22"/>
          <w:lang w:val="en-US"/>
        </w:rPr>
        <w:t>hat are being directly assisted</w:t>
      </w:r>
    </w:p>
    <w:p w:rsidR="00486F14" w:rsidRPr="003A5F9D" w:rsidRDefault="00486F14" w:rsidP="003A5F9D">
      <w:pPr>
        <w:pStyle w:val="NoSpacing"/>
        <w:numPr>
          <w:ilvl w:val="0"/>
          <w:numId w:val="45"/>
        </w:numPr>
        <w:jc w:val="left"/>
        <w:rPr>
          <w:rFonts w:asciiTheme="majorHAnsi" w:eastAsiaTheme="minorEastAsia" w:hAnsiTheme="majorHAnsi"/>
          <w:szCs w:val="22"/>
          <w:lang w:val="en-US"/>
        </w:rPr>
      </w:pPr>
      <w:r w:rsidRPr="003A5F9D">
        <w:rPr>
          <w:rFonts w:asciiTheme="majorHAnsi" w:eastAsiaTheme="minorEastAsia" w:hAnsiTheme="majorHAnsi"/>
          <w:szCs w:val="22"/>
          <w:lang w:val="en-US"/>
        </w:rPr>
        <w:t>to make sure that people or organisations being directly assisted are not on either of the list</w:t>
      </w:r>
      <w:r w:rsidR="00851B80" w:rsidRPr="003A5F9D">
        <w:rPr>
          <w:rFonts w:asciiTheme="majorHAnsi" w:eastAsiaTheme="minorEastAsia" w:hAnsiTheme="majorHAnsi"/>
          <w:szCs w:val="22"/>
          <w:lang w:val="en-US"/>
        </w:rPr>
        <w:t>s before assistance is provided</w:t>
      </w:r>
    </w:p>
    <w:p w:rsidR="00486F14" w:rsidRPr="003A5F9D" w:rsidRDefault="00486F14" w:rsidP="003A5F9D">
      <w:pPr>
        <w:pStyle w:val="NoSpacing"/>
        <w:numPr>
          <w:ilvl w:val="0"/>
          <w:numId w:val="45"/>
        </w:numPr>
        <w:jc w:val="left"/>
        <w:rPr>
          <w:rFonts w:asciiTheme="majorHAnsi" w:eastAsiaTheme="minorEastAsia" w:hAnsiTheme="majorHAnsi"/>
          <w:szCs w:val="22"/>
          <w:lang w:val="en-US"/>
        </w:rPr>
      </w:pPr>
      <w:r w:rsidRPr="003A5F9D">
        <w:rPr>
          <w:rFonts w:asciiTheme="majorHAnsi" w:eastAsiaTheme="minorEastAsia" w:hAnsiTheme="majorHAnsi"/>
          <w:szCs w:val="22"/>
          <w:lang w:val="en-US"/>
        </w:rPr>
        <w:t>to make sure that directly funded persons or organisations are aware of and ob</w:t>
      </w:r>
      <w:r w:rsidR="00851B80" w:rsidRPr="003A5F9D">
        <w:rPr>
          <w:rFonts w:asciiTheme="majorHAnsi" w:eastAsiaTheme="minorEastAsia" w:hAnsiTheme="majorHAnsi"/>
          <w:szCs w:val="22"/>
          <w:lang w:val="en-US"/>
        </w:rPr>
        <w:t>liged to comply with these laws</w:t>
      </w:r>
      <w:r w:rsidRPr="003A5F9D">
        <w:rPr>
          <w:rFonts w:asciiTheme="majorHAnsi" w:eastAsiaTheme="minorEastAsia" w:hAnsiTheme="majorHAnsi"/>
          <w:szCs w:val="22"/>
          <w:lang w:val="en-US"/>
        </w:rPr>
        <w:t xml:space="preserve"> </w:t>
      </w:r>
    </w:p>
    <w:p w:rsidR="00486F14" w:rsidRPr="003A5F9D" w:rsidRDefault="00486F14" w:rsidP="003A5F9D">
      <w:pPr>
        <w:pStyle w:val="NoSpacing"/>
        <w:numPr>
          <w:ilvl w:val="0"/>
          <w:numId w:val="45"/>
        </w:numPr>
        <w:jc w:val="left"/>
        <w:rPr>
          <w:rFonts w:asciiTheme="majorHAnsi" w:eastAsiaTheme="minorEastAsia" w:hAnsiTheme="majorHAnsi"/>
          <w:szCs w:val="22"/>
          <w:lang w:val="en-US"/>
        </w:rPr>
      </w:pPr>
      <w:r w:rsidRPr="003A5F9D">
        <w:rPr>
          <w:rFonts w:asciiTheme="majorHAnsi" w:eastAsiaTheme="minorEastAsia" w:hAnsiTheme="majorHAnsi"/>
          <w:szCs w:val="22"/>
          <w:lang w:val="en-US"/>
        </w:rPr>
        <w:t>to make sure that directly funded persons or organisations in turn are obliged to make sure that their distribution of the funds or support is made on the same basis.</w:t>
      </w:r>
    </w:p>
    <w:p w:rsidR="00486F14" w:rsidRDefault="00486F14" w:rsidP="00242A4B">
      <w:pPr>
        <w:pStyle w:val="NoSpacing"/>
        <w:numPr>
          <w:ilvl w:val="0"/>
          <w:numId w:val="0"/>
        </w:numPr>
        <w:rPr>
          <w:rFonts w:asciiTheme="majorHAnsi" w:eastAsiaTheme="minorEastAsia" w:hAnsiTheme="majorHAnsi"/>
          <w:spacing w:val="5"/>
          <w:kern w:val="28"/>
          <w:szCs w:val="22"/>
          <w:lang w:val="en-US" w:eastAsia="en-AU"/>
        </w:rPr>
      </w:pPr>
    </w:p>
    <w:p w:rsidR="00B76810" w:rsidRPr="004D57C9" w:rsidRDefault="00300F6C" w:rsidP="00423EC9">
      <w:pPr>
        <w:widowControl w:val="0"/>
        <w:tabs>
          <w:tab w:val="left" w:pos="220"/>
          <w:tab w:val="left" w:pos="720"/>
        </w:tabs>
        <w:suppressAutoHyphens w:val="0"/>
        <w:spacing w:before="0" w:after="240" w:line="240" w:lineRule="auto"/>
        <w:ind w:left="0" w:firstLine="0"/>
        <w:jc w:val="left"/>
        <w:textAlignment w:val="auto"/>
        <w:rPr>
          <w:rFonts w:asciiTheme="majorHAnsi" w:eastAsiaTheme="minorEastAsia" w:hAnsiTheme="majorHAnsi" w:cs="Times"/>
          <w:color w:val="auto"/>
          <w:szCs w:val="22"/>
          <w:lang w:val="en-US"/>
        </w:rPr>
      </w:pPr>
      <w:r w:rsidRPr="00B76810">
        <w:rPr>
          <w:rFonts w:asciiTheme="majorHAnsi" w:eastAsiaTheme="minorEastAsia" w:hAnsiTheme="majorHAnsi"/>
          <w:spacing w:val="5"/>
          <w:kern w:val="28"/>
          <w:szCs w:val="22"/>
          <w:lang w:val="en-US" w:eastAsia="en-AU"/>
        </w:rPr>
        <w:t xml:space="preserve">Australian NGOs </w:t>
      </w:r>
      <w:r w:rsidR="002451B9" w:rsidRPr="00B76810">
        <w:rPr>
          <w:rFonts w:asciiTheme="majorHAnsi" w:eastAsiaTheme="minorEastAsia" w:hAnsiTheme="majorHAnsi"/>
          <w:spacing w:val="5"/>
          <w:kern w:val="28"/>
          <w:szCs w:val="22"/>
          <w:lang w:val="en-US" w:eastAsia="en-AU"/>
        </w:rPr>
        <w:t xml:space="preserve">have </w:t>
      </w:r>
      <w:r w:rsidRPr="00B76810">
        <w:rPr>
          <w:rFonts w:asciiTheme="majorHAnsi" w:eastAsiaTheme="minorEastAsia" w:hAnsiTheme="majorHAnsi"/>
          <w:spacing w:val="5"/>
          <w:kern w:val="28"/>
          <w:szCs w:val="22"/>
          <w:lang w:val="en-US" w:eastAsia="en-AU"/>
        </w:rPr>
        <w:t>ensure</w:t>
      </w:r>
      <w:r w:rsidR="002451B9" w:rsidRPr="00B76810">
        <w:rPr>
          <w:rFonts w:asciiTheme="majorHAnsi" w:eastAsiaTheme="minorEastAsia" w:hAnsiTheme="majorHAnsi"/>
          <w:spacing w:val="5"/>
          <w:kern w:val="28"/>
          <w:szCs w:val="22"/>
          <w:lang w:val="en-US" w:eastAsia="en-AU"/>
        </w:rPr>
        <w:t>d</w:t>
      </w:r>
      <w:r w:rsidRPr="00B76810">
        <w:rPr>
          <w:rFonts w:asciiTheme="majorHAnsi" w:eastAsiaTheme="minorEastAsia" w:hAnsiTheme="majorHAnsi"/>
          <w:spacing w:val="5"/>
          <w:kern w:val="28"/>
          <w:szCs w:val="22"/>
          <w:lang w:val="en-US" w:eastAsia="en-AU"/>
        </w:rPr>
        <w:t xml:space="preserve"> awareness </w:t>
      </w:r>
      <w:r w:rsidR="00851B80" w:rsidRPr="00B76810">
        <w:rPr>
          <w:rFonts w:asciiTheme="majorHAnsi" w:eastAsiaTheme="minorEastAsia" w:hAnsiTheme="majorHAnsi"/>
          <w:spacing w:val="5"/>
          <w:kern w:val="28"/>
          <w:szCs w:val="22"/>
          <w:lang w:val="en-US" w:eastAsia="en-AU"/>
        </w:rPr>
        <w:t xml:space="preserve">of these expectations </w:t>
      </w:r>
      <w:r w:rsidRPr="00B76810">
        <w:rPr>
          <w:rFonts w:asciiTheme="majorHAnsi" w:eastAsiaTheme="minorEastAsia" w:hAnsiTheme="majorHAnsi"/>
          <w:spacing w:val="5"/>
          <w:kern w:val="28"/>
          <w:szCs w:val="22"/>
          <w:lang w:val="en-US" w:eastAsia="en-AU"/>
        </w:rPr>
        <w:t xml:space="preserve">through the inclusion of contractual </w:t>
      </w:r>
      <w:r w:rsidR="00571451" w:rsidRPr="00B76810">
        <w:rPr>
          <w:rFonts w:asciiTheme="majorHAnsi" w:eastAsiaTheme="minorEastAsia" w:hAnsiTheme="majorHAnsi"/>
          <w:spacing w:val="5"/>
          <w:kern w:val="28"/>
          <w:szCs w:val="22"/>
          <w:lang w:val="en-US" w:eastAsia="en-AU"/>
        </w:rPr>
        <w:t>clauses</w:t>
      </w:r>
      <w:r w:rsidRPr="00B76810">
        <w:rPr>
          <w:rFonts w:asciiTheme="majorHAnsi" w:eastAsiaTheme="minorEastAsia" w:hAnsiTheme="majorHAnsi"/>
          <w:spacing w:val="5"/>
          <w:kern w:val="28"/>
          <w:szCs w:val="22"/>
          <w:lang w:val="en-US" w:eastAsia="en-AU"/>
        </w:rPr>
        <w:t xml:space="preserve"> in their own agreements with </w:t>
      </w:r>
      <w:r w:rsidR="003A5F9D">
        <w:rPr>
          <w:rFonts w:asciiTheme="majorHAnsi" w:eastAsiaTheme="minorEastAsia" w:hAnsiTheme="majorHAnsi"/>
          <w:spacing w:val="5"/>
          <w:kern w:val="28"/>
          <w:szCs w:val="22"/>
          <w:lang w:val="en-US" w:eastAsia="en-AU"/>
        </w:rPr>
        <w:t xml:space="preserve">second tier </w:t>
      </w:r>
      <w:r w:rsidRPr="00B76810">
        <w:rPr>
          <w:rFonts w:asciiTheme="majorHAnsi" w:eastAsiaTheme="minorEastAsia" w:hAnsiTheme="majorHAnsi"/>
          <w:spacing w:val="5"/>
          <w:kern w:val="28"/>
          <w:szCs w:val="22"/>
          <w:lang w:val="en-US" w:eastAsia="en-AU"/>
        </w:rPr>
        <w:t>partners</w:t>
      </w:r>
      <w:r w:rsidR="00C8391C">
        <w:rPr>
          <w:rFonts w:asciiTheme="majorHAnsi" w:eastAsiaTheme="minorEastAsia" w:hAnsiTheme="majorHAnsi"/>
          <w:spacing w:val="5"/>
          <w:kern w:val="28"/>
          <w:szCs w:val="22"/>
          <w:lang w:val="en-US" w:eastAsia="en-AU"/>
        </w:rPr>
        <w:t xml:space="preserve"> and providing support to their partners in developing systems that enable them to fulfill these obligations</w:t>
      </w:r>
      <w:r w:rsidRPr="00B76810">
        <w:rPr>
          <w:rFonts w:asciiTheme="majorHAnsi" w:eastAsiaTheme="minorEastAsia" w:hAnsiTheme="majorHAnsi"/>
          <w:spacing w:val="5"/>
          <w:kern w:val="28"/>
          <w:szCs w:val="22"/>
          <w:lang w:val="en-US" w:eastAsia="en-AU"/>
        </w:rPr>
        <w:t xml:space="preserve">. </w:t>
      </w:r>
      <w:r w:rsidR="002451B9" w:rsidRPr="00B76810">
        <w:rPr>
          <w:rFonts w:asciiTheme="majorHAnsi" w:eastAsiaTheme="minorEastAsia" w:hAnsiTheme="majorHAnsi"/>
          <w:spacing w:val="5"/>
          <w:kern w:val="28"/>
          <w:szCs w:val="22"/>
          <w:lang w:val="en-US" w:eastAsia="en-AU"/>
        </w:rPr>
        <w:t xml:space="preserve">The agreements between </w:t>
      </w:r>
      <w:r w:rsidR="005E3868" w:rsidRPr="00B76810">
        <w:rPr>
          <w:rFonts w:asciiTheme="majorHAnsi" w:eastAsiaTheme="minorEastAsia" w:hAnsiTheme="majorHAnsi"/>
          <w:spacing w:val="5"/>
          <w:kern w:val="28"/>
          <w:szCs w:val="22"/>
          <w:lang w:val="en-US" w:eastAsia="en-AU"/>
        </w:rPr>
        <w:t>each Australian NGO</w:t>
      </w:r>
      <w:r w:rsidR="002451B9" w:rsidRPr="00B76810">
        <w:rPr>
          <w:rFonts w:asciiTheme="majorHAnsi" w:eastAsiaTheme="minorEastAsia" w:hAnsiTheme="majorHAnsi"/>
          <w:spacing w:val="5"/>
          <w:kern w:val="28"/>
          <w:szCs w:val="22"/>
          <w:lang w:val="en-US" w:eastAsia="en-AU"/>
        </w:rPr>
        <w:t xml:space="preserve"> and their implementing partners were reviewed and all included a clause that committed the partner to </w:t>
      </w:r>
      <w:r w:rsidR="00B76810" w:rsidRPr="00B76810">
        <w:rPr>
          <w:rFonts w:asciiTheme="majorHAnsi" w:eastAsiaTheme="minorEastAsia" w:hAnsiTheme="majorHAnsi"/>
          <w:spacing w:val="5"/>
          <w:kern w:val="28"/>
          <w:szCs w:val="22"/>
          <w:lang w:val="en-US" w:eastAsia="en-AU"/>
        </w:rPr>
        <w:t>counter terrorism.</w:t>
      </w:r>
      <w:r w:rsidR="003B427F" w:rsidRPr="00B76810">
        <w:rPr>
          <w:rFonts w:asciiTheme="majorHAnsi" w:eastAsiaTheme="minorEastAsia" w:hAnsiTheme="majorHAnsi"/>
          <w:spacing w:val="5"/>
          <w:kern w:val="28"/>
          <w:szCs w:val="22"/>
          <w:lang w:val="en-US" w:eastAsia="en-AU"/>
        </w:rPr>
        <w:t xml:space="preserve"> In three of the four agreements, there is explicit reference to Australian</w:t>
      </w:r>
      <w:r w:rsidR="007E2C6D" w:rsidRPr="00B76810">
        <w:rPr>
          <w:rFonts w:asciiTheme="majorHAnsi" w:eastAsiaTheme="minorEastAsia" w:hAnsiTheme="majorHAnsi"/>
          <w:spacing w:val="5"/>
          <w:kern w:val="28"/>
          <w:szCs w:val="22"/>
          <w:lang w:val="en-US" w:eastAsia="en-AU"/>
        </w:rPr>
        <w:t xml:space="preserve"> Government requ</w:t>
      </w:r>
      <w:r w:rsidR="003B427F" w:rsidRPr="00B76810">
        <w:rPr>
          <w:rFonts w:asciiTheme="majorHAnsi" w:eastAsiaTheme="minorEastAsia" w:hAnsiTheme="majorHAnsi"/>
          <w:spacing w:val="5"/>
          <w:kern w:val="28"/>
          <w:szCs w:val="22"/>
          <w:lang w:val="en-US" w:eastAsia="en-AU"/>
        </w:rPr>
        <w:t>i</w:t>
      </w:r>
      <w:r w:rsidR="007E2C6D" w:rsidRPr="00B76810">
        <w:rPr>
          <w:rFonts w:asciiTheme="majorHAnsi" w:eastAsiaTheme="minorEastAsia" w:hAnsiTheme="majorHAnsi"/>
          <w:spacing w:val="5"/>
          <w:kern w:val="28"/>
          <w:szCs w:val="22"/>
          <w:lang w:val="en-US" w:eastAsia="en-AU"/>
        </w:rPr>
        <w:t>r</w:t>
      </w:r>
      <w:r w:rsidR="003B427F" w:rsidRPr="00B76810">
        <w:rPr>
          <w:rFonts w:asciiTheme="majorHAnsi" w:eastAsiaTheme="minorEastAsia" w:hAnsiTheme="majorHAnsi"/>
          <w:spacing w:val="5"/>
          <w:kern w:val="28"/>
          <w:szCs w:val="22"/>
          <w:lang w:val="en-US" w:eastAsia="en-AU"/>
        </w:rPr>
        <w:t xml:space="preserve">ements. </w:t>
      </w:r>
      <w:r w:rsidR="00B76810" w:rsidRPr="00B76810">
        <w:rPr>
          <w:rFonts w:asciiTheme="majorHAnsi" w:eastAsiaTheme="minorEastAsia" w:hAnsiTheme="majorHAnsi"/>
          <w:spacing w:val="5"/>
          <w:kern w:val="28"/>
          <w:szCs w:val="22"/>
          <w:lang w:val="en-US" w:eastAsia="en-AU"/>
        </w:rPr>
        <w:t xml:space="preserve">In the fourth agreement, </w:t>
      </w:r>
      <w:r w:rsidR="00B76810" w:rsidRPr="00B76810">
        <w:rPr>
          <w:rFonts w:asciiTheme="majorHAnsi" w:eastAsiaTheme="minorEastAsia" w:hAnsiTheme="majorHAnsi" w:cs="Arial"/>
          <w:color w:val="auto"/>
          <w:szCs w:val="22"/>
          <w:lang w:val="en-US"/>
        </w:rPr>
        <w:t>the commitment to cou</w:t>
      </w:r>
      <w:r w:rsidR="00B76810">
        <w:rPr>
          <w:rFonts w:asciiTheme="majorHAnsi" w:eastAsiaTheme="minorEastAsia" w:hAnsiTheme="majorHAnsi" w:cs="Arial"/>
          <w:color w:val="auto"/>
          <w:szCs w:val="22"/>
          <w:lang w:val="en-US"/>
        </w:rPr>
        <w:t>n</w:t>
      </w:r>
      <w:r w:rsidR="00B76810" w:rsidRPr="00B76810">
        <w:rPr>
          <w:rFonts w:asciiTheme="majorHAnsi" w:eastAsiaTheme="minorEastAsia" w:hAnsiTheme="majorHAnsi" w:cs="Arial"/>
          <w:color w:val="auto"/>
          <w:szCs w:val="22"/>
          <w:lang w:val="en-US"/>
        </w:rPr>
        <w:t xml:space="preserve">ter terrorism is expressed in terms of actively supporting, within the framework of the partner’s own national legislation, the implementation of the United Nations Security Council Resolution 1373 and other relevant international conventions against assisting </w:t>
      </w:r>
      <w:r w:rsidR="00B76810" w:rsidRPr="004D57C9">
        <w:rPr>
          <w:rFonts w:asciiTheme="majorHAnsi" w:eastAsiaTheme="minorEastAsia" w:hAnsiTheme="majorHAnsi" w:cs="Arial"/>
          <w:color w:val="auto"/>
          <w:szCs w:val="22"/>
          <w:lang w:val="en-US"/>
        </w:rPr>
        <w:t xml:space="preserve">terrorism. </w:t>
      </w:r>
    </w:p>
    <w:p w:rsidR="00242A4B" w:rsidRPr="004D57C9" w:rsidRDefault="002451B9" w:rsidP="00B76810">
      <w:pPr>
        <w:widowControl w:val="0"/>
        <w:tabs>
          <w:tab w:val="left" w:pos="220"/>
          <w:tab w:val="left" w:pos="720"/>
        </w:tabs>
        <w:suppressAutoHyphens w:val="0"/>
        <w:spacing w:before="0" w:after="240" w:line="240" w:lineRule="auto"/>
        <w:ind w:left="0" w:firstLine="0"/>
        <w:jc w:val="left"/>
        <w:textAlignment w:val="auto"/>
        <w:rPr>
          <w:rFonts w:ascii="Arial" w:eastAsiaTheme="minorEastAsia" w:hAnsi="Arial" w:cs="Arial"/>
          <w:color w:val="auto"/>
          <w:sz w:val="32"/>
          <w:szCs w:val="32"/>
          <w:lang w:val="en-US"/>
        </w:rPr>
      </w:pPr>
      <w:r w:rsidRPr="004D57C9">
        <w:rPr>
          <w:rFonts w:asciiTheme="majorHAnsi" w:eastAsiaTheme="minorEastAsia" w:hAnsiTheme="majorHAnsi"/>
          <w:spacing w:val="5"/>
          <w:kern w:val="28"/>
          <w:szCs w:val="22"/>
          <w:lang w:val="en-US" w:eastAsia="en-AU"/>
        </w:rPr>
        <w:t xml:space="preserve">The contractual agreements between </w:t>
      </w:r>
      <w:r w:rsidR="003A5F9D" w:rsidRPr="004D57C9">
        <w:rPr>
          <w:rFonts w:asciiTheme="majorHAnsi" w:eastAsiaTheme="minorEastAsia" w:hAnsiTheme="majorHAnsi"/>
          <w:spacing w:val="5"/>
          <w:kern w:val="28"/>
          <w:szCs w:val="22"/>
          <w:lang w:val="en-US" w:eastAsia="en-AU"/>
        </w:rPr>
        <w:t>second tier</w:t>
      </w:r>
      <w:r w:rsidRPr="004D57C9">
        <w:rPr>
          <w:rFonts w:asciiTheme="majorHAnsi" w:eastAsiaTheme="minorEastAsia" w:hAnsiTheme="majorHAnsi"/>
          <w:spacing w:val="5"/>
          <w:kern w:val="28"/>
          <w:szCs w:val="22"/>
          <w:lang w:val="en-US" w:eastAsia="en-AU"/>
        </w:rPr>
        <w:t xml:space="preserve"> and </w:t>
      </w:r>
      <w:r w:rsidR="003A5F9D" w:rsidRPr="004D57C9">
        <w:rPr>
          <w:rFonts w:asciiTheme="majorHAnsi" w:eastAsiaTheme="minorEastAsia" w:hAnsiTheme="majorHAnsi"/>
          <w:spacing w:val="5"/>
          <w:kern w:val="28"/>
          <w:szCs w:val="22"/>
          <w:lang w:val="en-US" w:eastAsia="en-AU"/>
        </w:rPr>
        <w:t>third tier</w:t>
      </w:r>
      <w:r w:rsidR="005B7E5D" w:rsidRPr="004D57C9">
        <w:rPr>
          <w:rFonts w:asciiTheme="majorHAnsi" w:eastAsiaTheme="minorEastAsia" w:hAnsiTheme="majorHAnsi"/>
          <w:spacing w:val="5"/>
          <w:kern w:val="28"/>
          <w:szCs w:val="22"/>
          <w:lang w:val="en-US" w:eastAsia="en-AU"/>
        </w:rPr>
        <w:t xml:space="preserve"> </w:t>
      </w:r>
      <w:r w:rsidRPr="004D57C9">
        <w:rPr>
          <w:rFonts w:asciiTheme="majorHAnsi" w:eastAsiaTheme="minorEastAsia" w:hAnsiTheme="majorHAnsi"/>
          <w:spacing w:val="5"/>
          <w:kern w:val="28"/>
          <w:szCs w:val="22"/>
          <w:lang w:val="en-US" w:eastAsia="en-AU"/>
        </w:rPr>
        <w:t xml:space="preserve">partners were also reviewed and in </w:t>
      </w:r>
      <w:r w:rsidR="005B7E5D" w:rsidRPr="004D57C9">
        <w:rPr>
          <w:rFonts w:asciiTheme="majorHAnsi" w:eastAsiaTheme="minorEastAsia" w:hAnsiTheme="majorHAnsi"/>
          <w:spacing w:val="5"/>
          <w:kern w:val="28"/>
          <w:szCs w:val="22"/>
          <w:lang w:val="en-US" w:eastAsia="en-AU"/>
        </w:rPr>
        <w:t xml:space="preserve">all </w:t>
      </w:r>
      <w:r w:rsidRPr="004D57C9">
        <w:rPr>
          <w:rFonts w:asciiTheme="majorHAnsi" w:eastAsiaTheme="minorEastAsia" w:hAnsiTheme="majorHAnsi"/>
          <w:spacing w:val="5"/>
          <w:kern w:val="28"/>
          <w:szCs w:val="22"/>
          <w:lang w:val="en-US" w:eastAsia="en-AU"/>
        </w:rPr>
        <w:t xml:space="preserve">cases, there are clauses that commit the </w:t>
      </w:r>
      <w:r w:rsidR="003A5F9D" w:rsidRPr="004D57C9">
        <w:rPr>
          <w:rFonts w:asciiTheme="majorHAnsi" w:eastAsiaTheme="minorEastAsia" w:hAnsiTheme="majorHAnsi"/>
          <w:spacing w:val="5"/>
          <w:kern w:val="28"/>
          <w:szCs w:val="22"/>
          <w:lang w:val="en-US" w:eastAsia="en-AU"/>
        </w:rPr>
        <w:t xml:space="preserve">third tier </w:t>
      </w:r>
      <w:r w:rsidRPr="004D57C9">
        <w:rPr>
          <w:rFonts w:asciiTheme="majorHAnsi" w:eastAsiaTheme="minorEastAsia" w:hAnsiTheme="majorHAnsi"/>
          <w:spacing w:val="5"/>
          <w:kern w:val="28"/>
          <w:szCs w:val="22"/>
          <w:lang w:val="en-US" w:eastAsia="en-AU"/>
        </w:rPr>
        <w:t xml:space="preserve">partner to </w:t>
      </w:r>
      <w:r w:rsidR="00B76810" w:rsidRPr="004D57C9">
        <w:rPr>
          <w:rFonts w:asciiTheme="majorHAnsi" w:eastAsiaTheme="minorEastAsia" w:hAnsiTheme="majorHAnsi" w:cs="Arial"/>
          <w:color w:val="auto"/>
          <w:szCs w:val="22"/>
          <w:lang w:val="en-US"/>
        </w:rPr>
        <w:t>counter terrorism.</w:t>
      </w:r>
      <w:r w:rsidR="00B76810" w:rsidRPr="004D57C9">
        <w:rPr>
          <w:rFonts w:ascii="Arial" w:eastAsiaTheme="minorEastAsia" w:hAnsi="Arial" w:cs="Arial"/>
          <w:color w:val="auto"/>
          <w:sz w:val="32"/>
          <w:szCs w:val="32"/>
          <w:lang w:val="en-US"/>
        </w:rPr>
        <w:t xml:space="preserve"> </w:t>
      </w:r>
      <w:r w:rsidR="003A5F9D" w:rsidRPr="004D57C9">
        <w:rPr>
          <w:rFonts w:asciiTheme="majorHAnsi" w:eastAsiaTheme="minorEastAsia" w:hAnsiTheme="majorHAnsi"/>
          <w:spacing w:val="5"/>
          <w:kern w:val="28"/>
          <w:szCs w:val="22"/>
          <w:lang w:val="en-US" w:eastAsia="en-AU"/>
        </w:rPr>
        <w:t>Second and third tier partners</w:t>
      </w:r>
      <w:r w:rsidRPr="004D57C9">
        <w:rPr>
          <w:rFonts w:asciiTheme="majorHAnsi" w:eastAsiaTheme="minorEastAsia" w:hAnsiTheme="majorHAnsi"/>
          <w:spacing w:val="5"/>
          <w:kern w:val="28"/>
          <w:szCs w:val="22"/>
          <w:lang w:val="en-US" w:eastAsia="en-AU"/>
        </w:rPr>
        <w:t xml:space="preserve"> also provide direct funding and support to community based organisations, but </w:t>
      </w:r>
      <w:r w:rsidR="00F154B0" w:rsidRPr="004D57C9">
        <w:rPr>
          <w:rFonts w:asciiTheme="majorHAnsi" w:eastAsiaTheme="minorEastAsia" w:hAnsiTheme="majorHAnsi"/>
          <w:spacing w:val="5"/>
          <w:kern w:val="28"/>
          <w:szCs w:val="22"/>
          <w:lang w:val="en-US" w:eastAsia="en-AU"/>
        </w:rPr>
        <w:t xml:space="preserve">these are considered to be beneficiaries of the program, rather than partners, and as such, </w:t>
      </w:r>
      <w:r w:rsidR="003A5F9D" w:rsidRPr="004D57C9">
        <w:rPr>
          <w:rFonts w:asciiTheme="majorHAnsi" w:eastAsiaTheme="minorEastAsia" w:hAnsiTheme="majorHAnsi"/>
          <w:spacing w:val="5"/>
          <w:kern w:val="28"/>
          <w:szCs w:val="22"/>
          <w:lang w:val="en-US" w:eastAsia="en-AU"/>
        </w:rPr>
        <w:t>second tier partners</w:t>
      </w:r>
      <w:r w:rsidR="00F154B0" w:rsidRPr="004D57C9">
        <w:rPr>
          <w:rFonts w:asciiTheme="majorHAnsi" w:eastAsiaTheme="minorEastAsia" w:hAnsiTheme="majorHAnsi"/>
          <w:spacing w:val="5"/>
          <w:kern w:val="28"/>
          <w:szCs w:val="22"/>
          <w:lang w:val="en-US" w:eastAsia="en-AU"/>
        </w:rPr>
        <w:t xml:space="preserve"> </w:t>
      </w:r>
      <w:r w:rsidRPr="004D57C9">
        <w:rPr>
          <w:rFonts w:asciiTheme="majorHAnsi" w:eastAsiaTheme="minorEastAsia" w:hAnsiTheme="majorHAnsi"/>
          <w:spacing w:val="5"/>
          <w:kern w:val="28"/>
          <w:szCs w:val="22"/>
          <w:lang w:val="en-US" w:eastAsia="en-AU"/>
        </w:rPr>
        <w:t>have assumed all responsibility for vetting these organisations and their key individuals against Australian Government listings</w:t>
      </w:r>
      <w:r w:rsidR="00F154B0" w:rsidRPr="004D57C9">
        <w:rPr>
          <w:rFonts w:asciiTheme="majorHAnsi" w:eastAsiaTheme="minorEastAsia" w:hAnsiTheme="majorHAnsi"/>
          <w:spacing w:val="5"/>
          <w:kern w:val="28"/>
          <w:szCs w:val="22"/>
          <w:lang w:val="en-US" w:eastAsia="en-AU"/>
        </w:rPr>
        <w:t>, as per their contractual obligations</w:t>
      </w:r>
      <w:r w:rsidRPr="004D57C9">
        <w:rPr>
          <w:rFonts w:asciiTheme="majorHAnsi" w:eastAsiaTheme="minorEastAsia" w:hAnsiTheme="majorHAnsi"/>
          <w:spacing w:val="5"/>
          <w:kern w:val="28"/>
          <w:szCs w:val="22"/>
          <w:lang w:val="en-US" w:eastAsia="en-AU"/>
        </w:rPr>
        <w:t>.</w:t>
      </w:r>
    </w:p>
    <w:p w:rsidR="007C24CE" w:rsidRPr="00132DAA" w:rsidRDefault="002451B9" w:rsidP="00242A4B">
      <w:pPr>
        <w:pStyle w:val="NoSpacing"/>
        <w:numPr>
          <w:ilvl w:val="0"/>
          <w:numId w:val="0"/>
        </w:numPr>
        <w:rPr>
          <w:rFonts w:asciiTheme="majorHAnsi" w:eastAsiaTheme="minorEastAsia" w:hAnsiTheme="majorHAnsi"/>
          <w:szCs w:val="22"/>
          <w:lang w:val="en-US"/>
        </w:rPr>
      </w:pPr>
      <w:r w:rsidRPr="004D57C9">
        <w:rPr>
          <w:rFonts w:asciiTheme="majorHAnsi" w:eastAsiaTheme="minorEastAsia" w:hAnsiTheme="majorHAnsi"/>
          <w:spacing w:val="5"/>
          <w:kern w:val="28"/>
          <w:szCs w:val="22"/>
          <w:lang w:val="en-US" w:eastAsia="en-AU"/>
        </w:rPr>
        <w:t>To strengthen awareness of the Australian Government requirements in relation</w:t>
      </w:r>
      <w:r>
        <w:rPr>
          <w:rFonts w:asciiTheme="majorHAnsi" w:eastAsiaTheme="minorEastAsia" w:hAnsiTheme="majorHAnsi"/>
          <w:spacing w:val="5"/>
          <w:kern w:val="28"/>
          <w:szCs w:val="22"/>
          <w:lang w:val="en-US" w:eastAsia="en-AU"/>
        </w:rPr>
        <w:t xml:space="preserve"> to counter-terrorism, DFAT has used </w:t>
      </w:r>
      <w:r w:rsidR="00242A4B" w:rsidRPr="00132DAA">
        <w:rPr>
          <w:rFonts w:asciiTheme="majorHAnsi" w:eastAsiaTheme="minorEastAsia" w:hAnsiTheme="majorHAnsi"/>
          <w:spacing w:val="5"/>
          <w:kern w:val="28"/>
          <w:szCs w:val="22"/>
          <w:lang w:val="en-US" w:eastAsia="en-AU"/>
        </w:rPr>
        <w:t>program</w:t>
      </w:r>
      <w:r w:rsidR="00300F6C" w:rsidRPr="00132DAA">
        <w:rPr>
          <w:rFonts w:asciiTheme="majorHAnsi" w:eastAsiaTheme="minorEastAsia" w:hAnsiTheme="majorHAnsi"/>
          <w:spacing w:val="5"/>
          <w:kern w:val="28"/>
          <w:szCs w:val="22"/>
          <w:lang w:val="en-US" w:eastAsia="en-AU"/>
        </w:rPr>
        <w:t xml:space="preserve"> mechanisms such as the annual workshop </w:t>
      </w:r>
      <w:r w:rsidR="00132DAA">
        <w:rPr>
          <w:rFonts w:asciiTheme="majorHAnsi" w:eastAsiaTheme="minorEastAsia" w:hAnsiTheme="majorHAnsi"/>
          <w:spacing w:val="5"/>
          <w:kern w:val="28"/>
          <w:szCs w:val="22"/>
          <w:lang w:val="en-US" w:eastAsia="en-AU"/>
        </w:rPr>
        <w:t xml:space="preserve">in 2013 </w:t>
      </w:r>
      <w:r w:rsidR="00300F6C" w:rsidRPr="00132DAA">
        <w:rPr>
          <w:rFonts w:asciiTheme="majorHAnsi" w:eastAsiaTheme="minorEastAsia" w:hAnsiTheme="majorHAnsi"/>
          <w:spacing w:val="5"/>
          <w:kern w:val="28"/>
          <w:szCs w:val="22"/>
          <w:lang w:val="en-US" w:eastAsia="en-AU"/>
        </w:rPr>
        <w:t xml:space="preserve">with first and second tier partners to explain DFAT requirements and partner obligations. </w:t>
      </w:r>
      <w:r w:rsidR="00A7480E" w:rsidRPr="00132DAA">
        <w:rPr>
          <w:rFonts w:asciiTheme="majorHAnsi" w:eastAsiaTheme="minorEastAsia" w:hAnsiTheme="majorHAnsi"/>
          <w:szCs w:val="22"/>
          <w:lang w:val="en-US"/>
        </w:rPr>
        <w:t xml:space="preserve">DFAT </w:t>
      </w:r>
      <w:r w:rsidR="007E2C6D">
        <w:rPr>
          <w:rFonts w:asciiTheme="majorHAnsi" w:eastAsiaTheme="minorEastAsia" w:hAnsiTheme="majorHAnsi"/>
          <w:szCs w:val="22"/>
          <w:lang w:val="en-US"/>
        </w:rPr>
        <w:t xml:space="preserve">also </w:t>
      </w:r>
      <w:r w:rsidR="003B427F">
        <w:rPr>
          <w:rFonts w:asciiTheme="majorHAnsi" w:eastAsiaTheme="minorEastAsia" w:hAnsiTheme="majorHAnsi"/>
          <w:szCs w:val="22"/>
          <w:lang w:val="en-US"/>
        </w:rPr>
        <w:t xml:space="preserve">developed and </w:t>
      </w:r>
      <w:r w:rsidR="00A7480E" w:rsidRPr="00132DAA">
        <w:rPr>
          <w:rFonts w:asciiTheme="majorHAnsi" w:eastAsiaTheme="minorEastAsia" w:hAnsiTheme="majorHAnsi"/>
          <w:szCs w:val="22"/>
          <w:lang w:val="en-US"/>
        </w:rPr>
        <w:t>shared a d</w:t>
      </w:r>
      <w:r w:rsidR="007A0008" w:rsidRPr="00132DAA">
        <w:rPr>
          <w:rFonts w:asciiTheme="majorHAnsi" w:eastAsiaTheme="minorEastAsia" w:hAnsiTheme="majorHAnsi"/>
          <w:szCs w:val="22"/>
          <w:lang w:val="en-US"/>
        </w:rPr>
        <w:t>iscussion pape</w:t>
      </w:r>
      <w:r w:rsidR="00A7480E" w:rsidRPr="00132DAA">
        <w:rPr>
          <w:rFonts w:asciiTheme="majorHAnsi" w:eastAsiaTheme="minorEastAsia" w:hAnsiTheme="majorHAnsi"/>
          <w:szCs w:val="22"/>
          <w:lang w:val="en-US"/>
        </w:rPr>
        <w:t>r with its partners, proposing additional guidance to strengthen</w:t>
      </w:r>
      <w:r w:rsidR="007A0008" w:rsidRPr="00132DAA">
        <w:rPr>
          <w:rFonts w:asciiTheme="majorHAnsi" w:eastAsiaTheme="minorEastAsia" w:hAnsiTheme="majorHAnsi"/>
          <w:szCs w:val="22"/>
          <w:lang w:val="en-US"/>
        </w:rPr>
        <w:t xml:space="preserve"> AMENCA’s ability to demonstrate counter-terrorism due diligence</w:t>
      </w:r>
      <w:r w:rsidR="00A7480E" w:rsidRPr="00132DAA">
        <w:rPr>
          <w:rFonts w:asciiTheme="majorHAnsi" w:eastAsiaTheme="minorEastAsia" w:hAnsiTheme="majorHAnsi"/>
          <w:szCs w:val="22"/>
          <w:lang w:val="en-US"/>
        </w:rPr>
        <w:t>. This discussion paper led to DFAT amending</w:t>
      </w:r>
      <w:r w:rsidR="00515E98" w:rsidRPr="00132DAA">
        <w:rPr>
          <w:rFonts w:asciiTheme="majorHAnsi" w:eastAsiaTheme="minorEastAsia" w:hAnsiTheme="majorHAnsi"/>
          <w:szCs w:val="22"/>
          <w:lang w:val="en-US"/>
        </w:rPr>
        <w:t xml:space="preserve"> its AMENCA funding agreements with Australian NGOs </w:t>
      </w:r>
      <w:r w:rsidR="00A7480E" w:rsidRPr="00132DAA">
        <w:rPr>
          <w:rFonts w:asciiTheme="majorHAnsi" w:eastAsiaTheme="minorEastAsia" w:hAnsiTheme="majorHAnsi"/>
          <w:szCs w:val="22"/>
          <w:lang w:val="en-US"/>
        </w:rPr>
        <w:t xml:space="preserve">in 2013 </w:t>
      </w:r>
      <w:r w:rsidR="00515E98" w:rsidRPr="00132DAA">
        <w:rPr>
          <w:rFonts w:asciiTheme="majorHAnsi" w:eastAsiaTheme="minorEastAsia" w:hAnsiTheme="majorHAnsi"/>
          <w:szCs w:val="22"/>
          <w:lang w:val="en-US"/>
        </w:rPr>
        <w:t>to include a new risk management clause. This new clause included:</w:t>
      </w:r>
    </w:p>
    <w:p w:rsidR="00515E98" w:rsidRPr="00132DAA" w:rsidRDefault="00515E98" w:rsidP="00242A4B">
      <w:pPr>
        <w:pStyle w:val="NoSpacing"/>
        <w:numPr>
          <w:ilvl w:val="0"/>
          <w:numId w:val="28"/>
        </w:numPr>
        <w:rPr>
          <w:rFonts w:asciiTheme="majorHAnsi" w:eastAsiaTheme="minorEastAsia" w:hAnsiTheme="majorHAnsi"/>
          <w:spacing w:val="5"/>
          <w:kern w:val="28"/>
          <w:szCs w:val="22"/>
          <w:lang w:val="en-US" w:eastAsia="en-AU"/>
        </w:rPr>
      </w:pPr>
      <w:r w:rsidRPr="00132DAA">
        <w:rPr>
          <w:rFonts w:asciiTheme="majorHAnsi" w:eastAsiaTheme="minorEastAsia" w:hAnsiTheme="majorHAnsi"/>
          <w:spacing w:val="5"/>
          <w:kern w:val="28"/>
          <w:szCs w:val="22"/>
          <w:lang w:val="en-US" w:eastAsia="en-AU"/>
        </w:rPr>
        <w:t>the requirement for vetting key organisations and personnel against described minimum vetting standards (outlined in Annex B)</w:t>
      </w:r>
    </w:p>
    <w:p w:rsidR="000B2070" w:rsidRPr="00132DAA" w:rsidRDefault="00515E98" w:rsidP="00242A4B">
      <w:pPr>
        <w:pStyle w:val="NoSpacing"/>
        <w:numPr>
          <w:ilvl w:val="0"/>
          <w:numId w:val="28"/>
        </w:numPr>
        <w:rPr>
          <w:rFonts w:asciiTheme="majorHAnsi" w:eastAsiaTheme="minorEastAsia" w:hAnsiTheme="majorHAnsi"/>
          <w:szCs w:val="22"/>
          <w:lang w:val="en-US"/>
        </w:rPr>
      </w:pPr>
      <w:r w:rsidRPr="00132DAA">
        <w:rPr>
          <w:rFonts w:asciiTheme="majorHAnsi" w:eastAsiaTheme="minorEastAsia" w:hAnsiTheme="majorHAnsi"/>
          <w:spacing w:val="5"/>
          <w:kern w:val="28"/>
          <w:szCs w:val="22"/>
          <w:lang w:val="en-US" w:eastAsia="en-AU"/>
        </w:rPr>
        <w:t>the requirement to maintain risk management and finan</w:t>
      </w:r>
      <w:r w:rsidR="000B2070" w:rsidRPr="00132DAA">
        <w:rPr>
          <w:rFonts w:asciiTheme="majorHAnsi" w:eastAsiaTheme="minorEastAsia" w:hAnsiTheme="majorHAnsi"/>
          <w:spacing w:val="5"/>
          <w:kern w:val="28"/>
          <w:szCs w:val="22"/>
          <w:lang w:val="en-US" w:eastAsia="en-AU"/>
        </w:rPr>
        <w:t>cial documentation</w:t>
      </w:r>
      <w:r w:rsidR="000B2070" w:rsidRPr="00132DAA">
        <w:rPr>
          <w:rFonts w:asciiTheme="majorHAnsi" w:eastAsiaTheme="minorEastAsia" w:hAnsiTheme="majorHAnsi"/>
          <w:szCs w:val="22"/>
          <w:lang w:val="en-US"/>
        </w:rPr>
        <w:t xml:space="preserve"> against mi</w:t>
      </w:r>
      <w:r w:rsidRPr="00132DAA">
        <w:rPr>
          <w:rFonts w:asciiTheme="majorHAnsi" w:eastAsiaTheme="minorEastAsia" w:hAnsiTheme="majorHAnsi"/>
          <w:szCs w:val="22"/>
          <w:lang w:val="en-US"/>
        </w:rPr>
        <w:t>n</w:t>
      </w:r>
      <w:r w:rsidR="000B2070" w:rsidRPr="00132DAA">
        <w:rPr>
          <w:rFonts w:asciiTheme="majorHAnsi" w:eastAsiaTheme="minorEastAsia" w:hAnsiTheme="majorHAnsi"/>
          <w:szCs w:val="22"/>
          <w:lang w:val="en-US"/>
        </w:rPr>
        <w:t>im</w:t>
      </w:r>
      <w:r w:rsidRPr="00132DAA">
        <w:rPr>
          <w:rFonts w:asciiTheme="majorHAnsi" w:eastAsiaTheme="minorEastAsia" w:hAnsiTheme="majorHAnsi"/>
          <w:szCs w:val="22"/>
          <w:lang w:val="en-US"/>
        </w:rPr>
        <w:t xml:space="preserve">um </w:t>
      </w:r>
      <w:r w:rsidR="000B2070" w:rsidRPr="00132DAA">
        <w:rPr>
          <w:rFonts w:asciiTheme="majorHAnsi" w:eastAsiaTheme="minorEastAsia" w:hAnsiTheme="majorHAnsi"/>
          <w:szCs w:val="22"/>
          <w:lang w:val="en-US"/>
        </w:rPr>
        <w:t>documentation standards (outlined in Annex C)</w:t>
      </w:r>
    </w:p>
    <w:p w:rsidR="000B2070" w:rsidRPr="00132DAA" w:rsidRDefault="000B2070" w:rsidP="00242A4B">
      <w:pPr>
        <w:pStyle w:val="NoSpacing"/>
        <w:numPr>
          <w:ilvl w:val="0"/>
          <w:numId w:val="28"/>
        </w:numPr>
        <w:rPr>
          <w:rFonts w:asciiTheme="majorHAnsi" w:eastAsiaTheme="minorEastAsia" w:hAnsiTheme="majorHAnsi"/>
          <w:szCs w:val="22"/>
          <w:lang w:val="en-US"/>
        </w:rPr>
      </w:pPr>
      <w:r w:rsidRPr="00132DAA">
        <w:rPr>
          <w:rFonts w:asciiTheme="majorHAnsi" w:eastAsiaTheme="minorEastAsia" w:hAnsiTheme="majorHAnsi"/>
          <w:szCs w:val="22"/>
          <w:lang w:val="en-US"/>
        </w:rPr>
        <w:t xml:space="preserve">the requirement to report on </w:t>
      </w:r>
      <w:r w:rsidR="00571451" w:rsidRPr="00132DAA">
        <w:rPr>
          <w:rFonts w:asciiTheme="majorHAnsi" w:eastAsiaTheme="minorEastAsia" w:hAnsiTheme="majorHAnsi"/>
          <w:szCs w:val="22"/>
          <w:lang w:val="en-US"/>
        </w:rPr>
        <w:t xml:space="preserve">counter terrorism due diligence </w:t>
      </w:r>
      <w:r w:rsidRPr="00132DAA">
        <w:rPr>
          <w:rFonts w:asciiTheme="majorHAnsi" w:eastAsiaTheme="minorEastAsia" w:hAnsiTheme="majorHAnsi"/>
          <w:szCs w:val="22"/>
          <w:lang w:val="en-US"/>
        </w:rPr>
        <w:t>on an annual basis (outlined in annex D)</w:t>
      </w:r>
    </w:p>
    <w:p w:rsidR="00242A4B" w:rsidRDefault="00242A4B" w:rsidP="00242A4B">
      <w:pPr>
        <w:pStyle w:val="NoSpacing"/>
        <w:numPr>
          <w:ilvl w:val="0"/>
          <w:numId w:val="0"/>
        </w:numPr>
        <w:rPr>
          <w:rFonts w:asciiTheme="majorHAnsi" w:eastAsiaTheme="minorEastAsia" w:hAnsiTheme="majorHAnsi"/>
          <w:szCs w:val="22"/>
          <w:lang w:val="en-US"/>
        </w:rPr>
      </w:pPr>
    </w:p>
    <w:p w:rsidR="00691F07" w:rsidRDefault="00691F07" w:rsidP="00691F07">
      <w:pPr>
        <w:pStyle w:val="NoSpacing"/>
        <w:numPr>
          <w:ilvl w:val="0"/>
          <w:numId w:val="0"/>
        </w:numPr>
        <w:rPr>
          <w:rFonts w:asciiTheme="majorHAnsi" w:eastAsiaTheme="minorEastAsia" w:hAnsiTheme="majorHAnsi"/>
          <w:szCs w:val="22"/>
          <w:lang w:val="en-US"/>
        </w:rPr>
      </w:pPr>
      <w:r>
        <w:rPr>
          <w:rFonts w:asciiTheme="majorHAnsi" w:eastAsiaTheme="minorEastAsia" w:hAnsiTheme="majorHAnsi"/>
          <w:szCs w:val="22"/>
          <w:lang w:val="en-US"/>
        </w:rPr>
        <w:t>MoUs between APHEDA, ActionAID, World Vision and their respective partners were reviewed by DFAT’s audit section in 2012 and recommendations were incorporated into the 2013 contractual amendments.</w:t>
      </w:r>
    </w:p>
    <w:p w:rsidR="00691F07" w:rsidRPr="00132DAA" w:rsidRDefault="00691F07" w:rsidP="00242A4B">
      <w:pPr>
        <w:pStyle w:val="NoSpacing"/>
        <w:numPr>
          <w:ilvl w:val="0"/>
          <w:numId w:val="0"/>
        </w:numPr>
        <w:rPr>
          <w:rFonts w:asciiTheme="majorHAnsi" w:eastAsiaTheme="minorEastAsia" w:hAnsiTheme="majorHAnsi"/>
          <w:szCs w:val="22"/>
          <w:lang w:val="en-US"/>
        </w:rPr>
      </w:pPr>
    </w:p>
    <w:p w:rsidR="002F4911" w:rsidRPr="00132DAA" w:rsidRDefault="002F4911" w:rsidP="00691F07">
      <w:pPr>
        <w:pStyle w:val="NoSpacing"/>
        <w:numPr>
          <w:ilvl w:val="0"/>
          <w:numId w:val="0"/>
        </w:numPr>
        <w:rPr>
          <w:rFonts w:asciiTheme="majorHAnsi" w:hAnsiTheme="majorHAnsi"/>
          <w:szCs w:val="22"/>
        </w:rPr>
      </w:pPr>
      <w:r w:rsidRPr="00132DAA">
        <w:rPr>
          <w:rFonts w:asciiTheme="majorHAnsi" w:eastAsiaTheme="minorEastAsia" w:hAnsiTheme="majorHAnsi"/>
          <w:szCs w:val="22"/>
          <w:lang w:val="en-US"/>
        </w:rPr>
        <w:t xml:space="preserve">In addition, </w:t>
      </w:r>
      <w:r w:rsidR="000B2070" w:rsidRPr="00132DAA">
        <w:rPr>
          <w:rFonts w:asciiTheme="majorHAnsi" w:eastAsiaTheme="minorEastAsia" w:hAnsiTheme="majorHAnsi"/>
          <w:szCs w:val="22"/>
          <w:lang w:val="en-US"/>
        </w:rPr>
        <w:t>DFAT also introduced a</w:t>
      </w:r>
      <w:r w:rsidRPr="00132DAA">
        <w:rPr>
          <w:rFonts w:asciiTheme="majorHAnsi" w:eastAsiaTheme="minorEastAsia" w:hAnsiTheme="majorHAnsi"/>
          <w:szCs w:val="22"/>
          <w:lang w:val="en-US"/>
        </w:rPr>
        <w:t xml:space="preserve"> </w:t>
      </w:r>
      <w:r w:rsidRPr="00132DAA">
        <w:rPr>
          <w:rFonts w:asciiTheme="majorHAnsi" w:hAnsiTheme="majorHAnsi"/>
          <w:szCs w:val="22"/>
        </w:rPr>
        <w:t>spot check mechanism of NGOs’ due diligence and finance files</w:t>
      </w:r>
      <w:r w:rsidR="00691F07">
        <w:rPr>
          <w:rFonts w:asciiTheme="majorHAnsi" w:hAnsiTheme="majorHAnsi"/>
          <w:szCs w:val="22"/>
        </w:rPr>
        <w:t xml:space="preserve"> at a minimum yearly, and more regularly if weaknesses or concerns are found</w:t>
      </w:r>
      <w:r w:rsidRPr="00132DAA">
        <w:rPr>
          <w:rFonts w:asciiTheme="majorHAnsi" w:hAnsiTheme="majorHAnsi"/>
          <w:szCs w:val="22"/>
        </w:rPr>
        <w:t xml:space="preserve">. This is intended to provide confidence in the existence and application of risk management systems relating to counter terrorism and provide an opportunity for dialogue between </w:t>
      </w:r>
      <w:r w:rsidR="003A5F9D">
        <w:rPr>
          <w:rFonts w:asciiTheme="majorHAnsi" w:hAnsiTheme="majorHAnsi"/>
          <w:szCs w:val="22"/>
        </w:rPr>
        <w:t>DFAT</w:t>
      </w:r>
      <w:r w:rsidR="003A5F9D" w:rsidRPr="00132DAA">
        <w:rPr>
          <w:rFonts w:asciiTheme="majorHAnsi" w:hAnsiTheme="majorHAnsi"/>
          <w:szCs w:val="22"/>
        </w:rPr>
        <w:t xml:space="preserve"> </w:t>
      </w:r>
      <w:r w:rsidRPr="00132DAA">
        <w:rPr>
          <w:rFonts w:asciiTheme="majorHAnsi" w:hAnsiTheme="majorHAnsi"/>
          <w:szCs w:val="22"/>
        </w:rPr>
        <w:t xml:space="preserve">and NGOs on counter-terrorism due diligence approaches and standards. </w:t>
      </w:r>
    </w:p>
    <w:p w:rsidR="00242A4B" w:rsidRPr="00132DAA" w:rsidRDefault="00242A4B" w:rsidP="00242A4B">
      <w:pPr>
        <w:pStyle w:val="NoSpacing"/>
        <w:numPr>
          <w:ilvl w:val="0"/>
          <w:numId w:val="0"/>
        </w:numPr>
        <w:rPr>
          <w:rFonts w:asciiTheme="majorHAnsi" w:eastAsiaTheme="minorEastAsia" w:hAnsiTheme="majorHAnsi" w:cs="Times"/>
          <w:szCs w:val="22"/>
          <w:lang w:val="en-US"/>
        </w:rPr>
      </w:pPr>
    </w:p>
    <w:p w:rsidR="002F4911" w:rsidRPr="00132DAA" w:rsidRDefault="0087084A" w:rsidP="00691F07">
      <w:pPr>
        <w:pStyle w:val="NoSpacing"/>
        <w:numPr>
          <w:ilvl w:val="0"/>
          <w:numId w:val="0"/>
        </w:numPr>
        <w:rPr>
          <w:rFonts w:asciiTheme="majorHAnsi" w:eastAsiaTheme="minorEastAsia" w:hAnsiTheme="majorHAnsi"/>
          <w:szCs w:val="22"/>
          <w:lang w:val="en-US"/>
        </w:rPr>
      </w:pPr>
      <w:r w:rsidRPr="00132DAA">
        <w:rPr>
          <w:rFonts w:asciiTheme="majorHAnsi" w:eastAsiaTheme="minorEastAsia" w:hAnsiTheme="majorHAnsi" w:cs="Times"/>
          <w:szCs w:val="22"/>
          <w:lang w:val="en-US"/>
        </w:rPr>
        <w:t xml:space="preserve">DFAT </w:t>
      </w:r>
      <w:r w:rsidRPr="00132DAA">
        <w:rPr>
          <w:rFonts w:asciiTheme="majorHAnsi" w:eastAsiaTheme="minorEastAsia" w:hAnsiTheme="majorHAnsi"/>
          <w:szCs w:val="22"/>
          <w:lang w:val="en-US"/>
        </w:rPr>
        <w:t>conduct</w:t>
      </w:r>
      <w:r w:rsidR="002F4911" w:rsidRPr="00132DAA">
        <w:rPr>
          <w:rFonts w:asciiTheme="majorHAnsi" w:eastAsiaTheme="minorEastAsia" w:hAnsiTheme="majorHAnsi"/>
          <w:szCs w:val="22"/>
          <w:lang w:val="en-US"/>
        </w:rPr>
        <w:t>ed</w:t>
      </w:r>
      <w:r w:rsidRPr="00132DAA">
        <w:rPr>
          <w:rFonts w:asciiTheme="majorHAnsi" w:eastAsiaTheme="minorEastAsia" w:hAnsiTheme="majorHAnsi"/>
          <w:szCs w:val="22"/>
          <w:lang w:val="en-US"/>
        </w:rPr>
        <w:t xml:space="preserve"> the first of what is intended to be at least an annual spo</w:t>
      </w:r>
      <w:r w:rsidR="00A7480E" w:rsidRPr="00132DAA">
        <w:rPr>
          <w:rFonts w:asciiTheme="majorHAnsi" w:eastAsiaTheme="minorEastAsia" w:hAnsiTheme="majorHAnsi"/>
          <w:szCs w:val="22"/>
          <w:lang w:val="en-US"/>
        </w:rPr>
        <w:t>t check</w:t>
      </w:r>
      <w:r w:rsidRPr="00132DAA">
        <w:rPr>
          <w:rFonts w:asciiTheme="majorHAnsi" w:eastAsiaTheme="minorEastAsia" w:hAnsiTheme="majorHAnsi"/>
          <w:szCs w:val="22"/>
          <w:lang w:val="en-US"/>
        </w:rPr>
        <w:t xml:space="preserve"> </w:t>
      </w:r>
      <w:r w:rsidR="002F4911" w:rsidRPr="00132DAA">
        <w:rPr>
          <w:rFonts w:asciiTheme="majorHAnsi" w:eastAsiaTheme="minorEastAsia" w:hAnsiTheme="majorHAnsi"/>
          <w:szCs w:val="22"/>
          <w:lang w:val="en-US"/>
        </w:rPr>
        <w:t xml:space="preserve">in the latter part of 2013 on each of the second tier partners in the Palestinian Territories. The spot check was undertaken using a ‘Due Diligence Spot Check Form’, which includes a comprehensive list of questions and requires a response to be made against each. </w:t>
      </w:r>
      <w:r w:rsidR="00571451" w:rsidRPr="00132DAA">
        <w:rPr>
          <w:rFonts w:asciiTheme="majorHAnsi" w:eastAsiaTheme="minorEastAsia" w:hAnsiTheme="majorHAnsi"/>
          <w:szCs w:val="22"/>
          <w:lang w:val="en-US"/>
        </w:rPr>
        <w:t>In</w:t>
      </w:r>
      <w:r w:rsidR="00F522EB" w:rsidRPr="00132DAA">
        <w:rPr>
          <w:rFonts w:asciiTheme="majorHAnsi" w:eastAsiaTheme="minorEastAsia" w:hAnsiTheme="majorHAnsi"/>
          <w:szCs w:val="22"/>
          <w:lang w:val="en-US"/>
        </w:rPr>
        <w:t xml:space="preserve"> </w:t>
      </w:r>
      <w:r w:rsidR="00571451" w:rsidRPr="00132DAA">
        <w:rPr>
          <w:rFonts w:asciiTheme="majorHAnsi" w:eastAsiaTheme="minorEastAsia" w:hAnsiTheme="majorHAnsi"/>
          <w:szCs w:val="22"/>
          <w:lang w:val="en-US"/>
        </w:rPr>
        <w:t xml:space="preserve">addition to verifying due </w:t>
      </w:r>
      <w:r w:rsidR="00F522EB" w:rsidRPr="00132DAA">
        <w:rPr>
          <w:rFonts w:asciiTheme="majorHAnsi" w:eastAsiaTheme="minorEastAsia" w:hAnsiTheme="majorHAnsi"/>
          <w:szCs w:val="22"/>
          <w:lang w:val="en-US"/>
        </w:rPr>
        <w:t>diligence</w:t>
      </w:r>
      <w:r w:rsidR="00571451" w:rsidRPr="00132DAA">
        <w:rPr>
          <w:rFonts w:asciiTheme="majorHAnsi" w:eastAsiaTheme="minorEastAsia" w:hAnsiTheme="majorHAnsi"/>
          <w:szCs w:val="22"/>
          <w:lang w:val="en-US"/>
        </w:rPr>
        <w:t xml:space="preserve"> is undertaken of partners, the spot check seeks to verify the </w:t>
      </w:r>
      <w:r w:rsidR="00571451" w:rsidRPr="00132DAA">
        <w:rPr>
          <w:rFonts w:asciiTheme="majorHAnsi" w:hAnsiTheme="majorHAnsi" w:cs="Times New Roman"/>
          <w:szCs w:val="22"/>
        </w:rPr>
        <w:t xml:space="preserve">steps that ANGOs undertake to ensure </w:t>
      </w:r>
      <w:r w:rsidR="003A5F9D">
        <w:rPr>
          <w:rFonts w:asciiTheme="majorHAnsi" w:hAnsiTheme="majorHAnsi" w:cs="Times New Roman"/>
          <w:szCs w:val="22"/>
        </w:rPr>
        <w:t>second tier partners</w:t>
      </w:r>
      <w:r w:rsidR="00571451" w:rsidRPr="00132DAA">
        <w:rPr>
          <w:rFonts w:asciiTheme="majorHAnsi" w:hAnsiTheme="majorHAnsi" w:cs="Times New Roman"/>
          <w:szCs w:val="22"/>
        </w:rPr>
        <w:t xml:space="preserve"> understand Australian Government requirements. </w:t>
      </w:r>
      <w:r w:rsidR="002F4911" w:rsidRPr="00132DAA">
        <w:rPr>
          <w:rFonts w:asciiTheme="majorHAnsi" w:eastAsiaTheme="minorEastAsia" w:hAnsiTheme="majorHAnsi"/>
          <w:szCs w:val="22"/>
          <w:lang w:val="en-US"/>
        </w:rPr>
        <w:t xml:space="preserve">Responses to </w:t>
      </w:r>
      <w:r w:rsidR="00F522EB" w:rsidRPr="00132DAA">
        <w:rPr>
          <w:rFonts w:asciiTheme="majorHAnsi" w:eastAsiaTheme="minorEastAsia" w:hAnsiTheme="majorHAnsi"/>
          <w:szCs w:val="22"/>
          <w:lang w:val="en-US"/>
        </w:rPr>
        <w:t xml:space="preserve">spot check </w:t>
      </w:r>
      <w:r w:rsidR="002F4911" w:rsidRPr="00132DAA">
        <w:rPr>
          <w:rFonts w:asciiTheme="majorHAnsi" w:eastAsiaTheme="minorEastAsia" w:hAnsiTheme="majorHAnsi"/>
          <w:szCs w:val="22"/>
          <w:lang w:val="en-US"/>
        </w:rPr>
        <w:t xml:space="preserve">questions were descriptive of </w:t>
      </w:r>
      <w:r w:rsidR="003A5F9D">
        <w:rPr>
          <w:rFonts w:asciiTheme="majorHAnsi" w:eastAsiaTheme="minorEastAsia" w:hAnsiTheme="majorHAnsi"/>
          <w:szCs w:val="22"/>
          <w:lang w:val="en-US"/>
        </w:rPr>
        <w:t>second tier</w:t>
      </w:r>
      <w:r w:rsidR="003A5F9D" w:rsidRPr="00132DAA">
        <w:rPr>
          <w:rFonts w:asciiTheme="majorHAnsi" w:eastAsiaTheme="minorEastAsia" w:hAnsiTheme="majorHAnsi"/>
          <w:szCs w:val="22"/>
          <w:lang w:val="en-US"/>
        </w:rPr>
        <w:t xml:space="preserve"> </w:t>
      </w:r>
      <w:r w:rsidR="002F4911" w:rsidRPr="00132DAA">
        <w:rPr>
          <w:rFonts w:asciiTheme="majorHAnsi" w:eastAsiaTheme="minorEastAsia" w:hAnsiTheme="majorHAnsi"/>
          <w:szCs w:val="22"/>
          <w:lang w:val="en-US"/>
        </w:rPr>
        <w:t xml:space="preserve">partner systems and also referenced supporting documentation that had been sighted. </w:t>
      </w:r>
      <w:r w:rsidR="005E3868" w:rsidRPr="005E3868">
        <w:rPr>
          <w:rFonts w:asciiTheme="majorHAnsi" w:eastAsiaTheme="minorEastAsia" w:hAnsiTheme="majorHAnsi"/>
          <w:szCs w:val="22"/>
          <w:lang w:val="en-US"/>
        </w:rPr>
        <w:t>Examples of supporting documentation sighted within the DFAT spot checks include</w:t>
      </w:r>
      <w:r w:rsidR="00414D40">
        <w:rPr>
          <w:rFonts w:asciiTheme="majorHAnsi" w:eastAsiaTheme="minorEastAsia" w:hAnsiTheme="majorHAnsi"/>
          <w:szCs w:val="22"/>
          <w:lang w:val="en-US"/>
        </w:rPr>
        <w:t>d</w:t>
      </w:r>
      <w:r w:rsidR="005E3868" w:rsidRPr="005E3868">
        <w:rPr>
          <w:rFonts w:asciiTheme="majorHAnsi" w:eastAsiaTheme="minorEastAsia" w:hAnsiTheme="majorHAnsi"/>
          <w:szCs w:val="22"/>
          <w:lang w:val="en-US"/>
        </w:rPr>
        <w:t xml:space="preserve"> </w:t>
      </w:r>
      <w:r w:rsidR="005E3868" w:rsidRPr="005E3868">
        <w:rPr>
          <w:rFonts w:asciiTheme="majorHAnsi" w:hAnsiTheme="majorHAnsi" w:cs="Times New Roman"/>
          <w:szCs w:val="22"/>
        </w:rPr>
        <w:t xml:space="preserve">field reports from </w:t>
      </w:r>
      <w:r w:rsidR="003A5F9D">
        <w:rPr>
          <w:rFonts w:asciiTheme="majorHAnsi" w:hAnsiTheme="majorHAnsi" w:cs="Times New Roman"/>
          <w:szCs w:val="22"/>
        </w:rPr>
        <w:t>second tier partner</w:t>
      </w:r>
      <w:r w:rsidR="005E3868" w:rsidRPr="005E3868">
        <w:rPr>
          <w:rFonts w:asciiTheme="majorHAnsi" w:hAnsiTheme="majorHAnsi" w:cs="Times New Roman"/>
          <w:szCs w:val="22"/>
        </w:rPr>
        <w:t xml:space="preserve"> staff on Community Based Organisation</w:t>
      </w:r>
      <w:r w:rsidR="00414D40">
        <w:rPr>
          <w:rFonts w:asciiTheme="majorHAnsi" w:hAnsiTheme="majorHAnsi" w:cs="Times New Roman"/>
          <w:szCs w:val="22"/>
        </w:rPr>
        <w:t xml:space="preserve"> (CBO)</w:t>
      </w:r>
      <w:r w:rsidR="005E3868" w:rsidRPr="005E3868">
        <w:rPr>
          <w:rFonts w:asciiTheme="majorHAnsi" w:hAnsiTheme="majorHAnsi" w:cs="Times New Roman"/>
          <w:szCs w:val="22"/>
        </w:rPr>
        <w:t xml:space="preserve"> board meetings and copies of names, IDs, dates of birth, etc for board members and CBO members.</w:t>
      </w:r>
      <w:r w:rsidR="005E3868">
        <w:rPr>
          <w:rFonts w:ascii="Times New Roman" w:hAnsi="Times New Roman" w:cs="Times New Roman"/>
          <w:sz w:val="24"/>
          <w:szCs w:val="24"/>
        </w:rPr>
        <w:t xml:space="preserve"> </w:t>
      </w:r>
      <w:r w:rsidR="00691F07" w:rsidRPr="00AE3AD1">
        <w:rPr>
          <w:rFonts w:asciiTheme="majorHAnsi" w:hAnsiTheme="majorHAnsi" w:cs="Times New Roman"/>
          <w:szCs w:val="22"/>
        </w:rPr>
        <w:t xml:space="preserve">DFAT also checks randomly selected samples of financial transactions to test </w:t>
      </w:r>
      <w:r w:rsidR="00C8391C" w:rsidRPr="00AE3AD1">
        <w:rPr>
          <w:rFonts w:asciiTheme="majorHAnsi" w:hAnsiTheme="majorHAnsi" w:cs="Times New Roman"/>
          <w:szCs w:val="22"/>
        </w:rPr>
        <w:t>whether</w:t>
      </w:r>
      <w:r w:rsidR="00691F07" w:rsidRPr="00AE3AD1">
        <w:rPr>
          <w:rFonts w:asciiTheme="majorHAnsi" w:hAnsiTheme="majorHAnsi" w:cs="Times New Roman"/>
          <w:szCs w:val="22"/>
        </w:rPr>
        <w:t xml:space="preserve"> appropriate controls are being followed.</w:t>
      </w:r>
      <w:r w:rsidR="00691F07">
        <w:rPr>
          <w:rFonts w:ascii="Times New Roman" w:hAnsi="Times New Roman" w:cs="Times New Roman"/>
          <w:sz w:val="24"/>
          <w:szCs w:val="24"/>
        </w:rPr>
        <w:t xml:space="preserve"> </w:t>
      </w:r>
      <w:r w:rsidR="002F4911" w:rsidRPr="00132DAA">
        <w:rPr>
          <w:rFonts w:asciiTheme="majorHAnsi" w:eastAsiaTheme="minorEastAsia" w:hAnsiTheme="majorHAnsi"/>
          <w:szCs w:val="22"/>
          <w:lang w:val="en-US"/>
        </w:rPr>
        <w:t xml:space="preserve">No significant issues were identified </w:t>
      </w:r>
      <w:r w:rsidR="005E3868">
        <w:rPr>
          <w:rFonts w:asciiTheme="majorHAnsi" w:eastAsiaTheme="minorEastAsia" w:hAnsiTheme="majorHAnsi"/>
          <w:szCs w:val="22"/>
          <w:lang w:val="en-US"/>
        </w:rPr>
        <w:t xml:space="preserve">by DFAT </w:t>
      </w:r>
      <w:r w:rsidR="002F4911" w:rsidRPr="00132DAA">
        <w:rPr>
          <w:rFonts w:asciiTheme="majorHAnsi" w:eastAsiaTheme="minorEastAsia" w:hAnsiTheme="majorHAnsi"/>
          <w:szCs w:val="22"/>
          <w:lang w:val="en-US"/>
        </w:rPr>
        <w:t xml:space="preserve">through this </w:t>
      </w:r>
      <w:r w:rsidR="005E3868">
        <w:rPr>
          <w:rFonts w:asciiTheme="majorHAnsi" w:eastAsiaTheme="minorEastAsia" w:hAnsiTheme="majorHAnsi"/>
          <w:szCs w:val="22"/>
          <w:lang w:val="en-US"/>
        </w:rPr>
        <w:t xml:space="preserve">round of </w:t>
      </w:r>
      <w:r w:rsidR="002F4911" w:rsidRPr="00132DAA">
        <w:rPr>
          <w:rFonts w:asciiTheme="majorHAnsi" w:eastAsiaTheme="minorEastAsia" w:hAnsiTheme="majorHAnsi"/>
          <w:szCs w:val="22"/>
          <w:lang w:val="en-US"/>
        </w:rPr>
        <w:t>due diligence spot check</w:t>
      </w:r>
      <w:r w:rsidR="005E3868">
        <w:rPr>
          <w:rFonts w:asciiTheme="majorHAnsi" w:eastAsiaTheme="minorEastAsia" w:hAnsiTheme="majorHAnsi"/>
          <w:szCs w:val="22"/>
          <w:lang w:val="en-US"/>
        </w:rPr>
        <w:t>s</w:t>
      </w:r>
      <w:r w:rsidR="002F4911" w:rsidRPr="00132DAA">
        <w:rPr>
          <w:rFonts w:asciiTheme="majorHAnsi" w:eastAsiaTheme="minorEastAsia" w:hAnsiTheme="majorHAnsi"/>
          <w:szCs w:val="22"/>
          <w:lang w:val="en-US"/>
        </w:rPr>
        <w:t xml:space="preserve">. </w:t>
      </w:r>
    </w:p>
    <w:p w:rsidR="00242A4B" w:rsidRPr="00132DAA" w:rsidRDefault="00242A4B" w:rsidP="00242A4B">
      <w:pPr>
        <w:pStyle w:val="NoSpacing"/>
        <w:numPr>
          <w:ilvl w:val="0"/>
          <w:numId w:val="0"/>
        </w:numPr>
        <w:rPr>
          <w:rFonts w:asciiTheme="majorHAnsi" w:eastAsiaTheme="minorEastAsia" w:hAnsiTheme="majorHAnsi"/>
          <w:szCs w:val="22"/>
          <w:lang w:val="en-US"/>
        </w:rPr>
      </w:pPr>
    </w:p>
    <w:p w:rsidR="0087084A" w:rsidRPr="00132DAA" w:rsidRDefault="002F4911" w:rsidP="00242A4B">
      <w:pPr>
        <w:pStyle w:val="NoSpacing"/>
        <w:numPr>
          <w:ilvl w:val="0"/>
          <w:numId w:val="0"/>
        </w:numPr>
        <w:rPr>
          <w:rFonts w:asciiTheme="majorHAnsi" w:hAnsiTheme="majorHAnsi" w:cs="Times New Roman"/>
          <w:szCs w:val="22"/>
        </w:rPr>
      </w:pPr>
      <w:r w:rsidRPr="00132DAA">
        <w:rPr>
          <w:rFonts w:asciiTheme="majorHAnsi" w:eastAsiaTheme="minorEastAsia" w:hAnsiTheme="majorHAnsi"/>
          <w:szCs w:val="22"/>
          <w:lang w:val="en-US"/>
        </w:rPr>
        <w:t xml:space="preserve">The Risk Management Review also sought evidence of </w:t>
      </w:r>
      <w:r w:rsidR="003A5F9D">
        <w:rPr>
          <w:rFonts w:asciiTheme="majorHAnsi" w:eastAsiaTheme="minorEastAsia" w:hAnsiTheme="majorHAnsi"/>
          <w:szCs w:val="22"/>
          <w:lang w:val="en-US"/>
        </w:rPr>
        <w:t xml:space="preserve">second tier </w:t>
      </w:r>
      <w:r w:rsidRPr="00132DAA">
        <w:rPr>
          <w:rFonts w:asciiTheme="majorHAnsi" w:eastAsiaTheme="minorEastAsia" w:hAnsiTheme="majorHAnsi"/>
          <w:szCs w:val="22"/>
          <w:lang w:val="en-US"/>
        </w:rPr>
        <w:t>partners</w:t>
      </w:r>
      <w:r w:rsidR="003A5F9D">
        <w:rPr>
          <w:rFonts w:asciiTheme="majorHAnsi" w:eastAsiaTheme="minorEastAsia" w:hAnsiTheme="majorHAnsi"/>
          <w:szCs w:val="22"/>
          <w:lang w:val="en-US"/>
        </w:rPr>
        <w:t>’</w:t>
      </w:r>
      <w:r w:rsidRPr="00132DAA">
        <w:rPr>
          <w:rFonts w:asciiTheme="majorHAnsi" w:eastAsiaTheme="minorEastAsia" w:hAnsiTheme="majorHAnsi"/>
          <w:szCs w:val="22"/>
          <w:lang w:val="en-US"/>
        </w:rPr>
        <w:t xml:space="preserve"> systems to demonstrate </w:t>
      </w:r>
      <w:r w:rsidR="00300F6C" w:rsidRPr="00132DAA">
        <w:rPr>
          <w:rFonts w:asciiTheme="majorHAnsi" w:eastAsiaTheme="minorEastAsia" w:hAnsiTheme="majorHAnsi"/>
          <w:szCs w:val="22"/>
          <w:lang w:val="en-US"/>
        </w:rPr>
        <w:t>compliance with DFAT requirements</w:t>
      </w:r>
      <w:r w:rsidRPr="00132DAA">
        <w:rPr>
          <w:rFonts w:asciiTheme="majorHAnsi" w:eastAsiaTheme="minorEastAsia" w:hAnsiTheme="majorHAnsi"/>
          <w:szCs w:val="22"/>
          <w:lang w:val="en-US"/>
        </w:rPr>
        <w:t xml:space="preserve">. </w:t>
      </w:r>
      <w:r w:rsidR="00A7480E" w:rsidRPr="00132DAA">
        <w:rPr>
          <w:rFonts w:asciiTheme="majorHAnsi" w:eastAsiaTheme="minorEastAsia" w:hAnsiTheme="majorHAnsi"/>
          <w:szCs w:val="22"/>
          <w:lang w:val="en-US"/>
        </w:rPr>
        <w:t xml:space="preserve">While the scope of </w:t>
      </w:r>
      <w:r w:rsidR="00414D40">
        <w:rPr>
          <w:rFonts w:asciiTheme="majorHAnsi" w:eastAsiaTheme="minorEastAsia" w:hAnsiTheme="majorHAnsi"/>
          <w:szCs w:val="22"/>
          <w:lang w:val="en-US"/>
        </w:rPr>
        <w:t xml:space="preserve">the </w:t>
      </w:r>
      <w:r w:rsidR="00A7480E" w:rsidRPr="00132DAA">
        <w:rPr>
          <w:rFonts w:asciiTheme="majorHAnsi" w:eastAsiaTheme="minorEastAsia" w:hAnsiTheme="majorHAnsi"/>
          <w:szCs w:val="22"/>
          <w:lang w:val="en-US"/>
        </w:rPr>
        <w:t xml:space="preserve">review was far more limited than the spot checks undertaken by DFAT, the review found that each of the second tier partners have systems in place to regularly check the names of organisations and key individuals against </w:t>
      </w:r>
      <w:r w:rsidR="0087084A" w:rsidRPr="00132DAA">
        <w:rPr>
          <w:rFonts w:asciiTheme="majorHAnsi" w:eastAsiaTheme="minorEastAsia" w:hAnsiTheme="majorHAnsi"/>
          <w:szCs w:val="22"/>
          <w:lang w:val="en-US"/>
        </w:rPr>
        <w:t xml:space="preserve">the </w:t>
      </w:r>
      <w:r w:rsidR="0087084A" w:rsidRPr="00132DAA">
        <w:rPr>
          <w:rFonts w:asciiTheme="majorHAnsi" w:hAnsiTheme="majorHAnsi" w:cs="Times New Roman"/>
          <w:szCs w:val="22"/>
        </w:rPr>
        <w:t xml:space="preserve">Department of Foreign Affairs and Trade Consolidated List </w:t>
      </w:r>
      <w:r w:rsidR="00A7480E" w:rsidRPr="00132DAA">
        <w:rPr>
          <w:rFonts w:asciiTheme="majorHAnsi" w:hAnsiTheme="majorHAnsi"/>
          <w:szCs w:val="22"/>
        </w:rPr>
        <w:t>and</w:t>
      </w:r>
      <w:r w:rsidR="0087084A" w:rsidRPr="00132DAA">
        <w:rPr>
          <w:rFonts w:asciiTheme="majorHAnsi" w:hAnsiTheme="majorHAnsi"/>
          <w:szCs w:val="22"/>
        </w:rPr>
        <w:t xml:space="preserve"> the</w:t>
      </w:r>
      <w:r w:rsidR="00A7480E" w:rsidRPr="00132DAA">
        <w:rPr>
          <w:rFonts w:asciiTheme="majorHAnsi" w:hAnsiTheme="majorHAnsi"/>
          <w:szCs w:val="22"/>
        </w:rPr>
        <w:t xml:space="preserve"> </w:t>
      </w:r>
      <w:r w:rsidR="0087084A" w:rsidRPr="00132DAA">
        <w:rPr>
          <w:rFonts w:asciiTheme="majorHAnsi" w:hAnsiTheme="majorHAnsi" w:cs="Times New Roman"/>
          <w:szCs w:val="22"/>
        </w:rPr>
        <w:t>Attorney General Department’s list under the Criminal Code</w:t>
      </w:r>
      <w:r w:rsidR="00A7480E" w:rsidRPr="00132DAA">
        <w:rPr>
          <w:rFonts w:asciiTheme="majorHAnsi" w:hAnsiTheme="majorHAnsi" w:cs="Times New Roman"/>
          <w:szCs w:val="22"/>
        </w:rPr>
        <w:t xml:space="preserve">. </w:t>
      </w:r>
      <w:r w:rsidR="00300F6C" w:rsidRPr="00132DAA">
        <w:rPr>
          <w:rFonts w:asciiTheme="majorHAnsi" w:hAnsiTheme="majorHAnsi" w:cs="Times New Roman"/>
          <w:szCs w:val="22"/>
        </w:rPr>
        <w:t xml:space="preserve">All second tier partners </w:t>
      </w:r>
      <w:r w:rsidR="00242A4B" w:rsidRPr="00132DAA">
        <w:rPr>
          <w:rFonts w:asciiTheme="majorHAnsi" w:hAnsiTheme="majorHAnsi" w:cs="Times New Roman"/>
          <w:szCs w:val="22"/>
        </w:rPr>
        <w:t xml:space="preserve">also </w:t>
      </w:r>
      <w:r w:rsidR="00300F6C" w:rsidRPr="00132DAA">
        <w:rPr>
          <w:rFonts w:asciiTheme="majorHAnsi" w:hAnsiTheme="majorHAnsi" w:cs="Times New Roman"/>
          <w:szCs w:val="22"/>
        </w:rPr>
        <w:t xml:space="preserve">described informal systems through which they become aware of changes to key individuals of third tier partners, which they are then able to check. </w:t>
      </w:r>
    </w:p>
    <w:p w:rsidR="00242A4B" w:rsidRPr="00132DAA" w:rsidRDefault="00242A4B" w:rsidP="00242A4B">
      <w:pPr>
        <w:pStyle w:val="NoSpacing"/>
        <w:numPr>
          <w:ilvl w:val="0"/>
          <w:numId w:val="0"/>
        </w:numPr>
        <w:rPr>
          <w:rFonts w:asciiTheme="majorHAnsi" w:hAnsiTheme="majorHAnsi" w:cs="Times New Roman"/>
          <w:szCs w:val="22"/>
        </w:rPr>
      </w:pPr>
    </w:p>
    <w:p w:rsidR="00F522EB" w:rsidRPr="00132DAA" w:rsidRDefault="00A4262F" w:rsidP="00242A4B">
      <w:pPr>
        <w:pStyle w:val="NoSpacing"/>
        <w:numPr>
          <w:ilvl w:val="0"/>
          <w:numId w:val="0"/>
        </w:numPr>
        <w:rPr>
          <w:rFonts w:asciiTheme="majorHAnsi" w:eastAsiaTheme="minorEastAsia" w:hAnsiTheme="majorHAnsi" w:cs="Times"/>
          <w:szCs w:val="22"/>
          <w:lang w:val="en-US"/>
        </w:rPr>
      </w:pPr>
      <w:r w:rsidRPr="00132DAA">
        <w:rPr>
          <w:rFonts w:asciiTheme="majorHAnsi" w:hAnsiTheme="majorHAnsi" w:cs="Times New Roman"/>
          <w:szCs w:val="22"/>
        </w:rPr>
        <w:t xml:space="preserve">The Risk Management Review found that the assessments made during DFAT spot checks in relation to financial controls were consistent with the descriptions provided by </w:t>
      </w:r>
      <w:r w:rsidR="003A5F9D">
        <w:rPr>
          <w:rFonts w:asciiTheme="majorHAnsi" w:hAnsiTheme="majorHAnsi" w:cs="Times New Roman"/>
          <w:szCs w:val="22"/>
        </w:rPr>
        <w:t>second tier partners</w:t>
      </w:r>
      <w:r w:rsidR="003A5F9D" w:rsidRPr="00132DAA">
        <w:rPr>
          <w:rFonts w:asciiTheme="majorHAnsi" w:hAnsiTheme="majorHAnsi" w:cs="Times New Roman"/>
          <w:szCs w:val="22"/>
        </w:rPr>
        <w:t xml:space="preserve"> </w:t>
      </w:r>
      <w:r w:rsidRPr="00132DAA">
        <w:rPr>
          <w:rFonts w:asciiTheme="majorHAnsi" w:hAnsiTheme="majorHAnsi" w:cs="Times New Roman"/>
          <w:szCs w:val="22"/>
        </w:rPr>
        <w:t>and the sample financial documentation provided</w:t>
      </w:r>
      <w:r w:rsidR="00414D40">
        <w:rPr>
          <w:rFonts w:asciiTheme="majorHAnsi" w:hAnsiTheme="majorHAnsi" w:cs="Times New Roman"/>
          <w:szCs w:val="22"/>
        </w:rPr>
        <w:t xml:space="preserve"> during the review</w:t>
      </w:r>
      <w:r w:rsidRPr="00132DAA">
        <w:rPr>
          <w:rFonts w:asciiTheme="majorHAnsi" w:hAnsiTheme="majorHAnsi" w:cs="Times New Roman"/>
          <w:szCs w:val="22"/>
        </w:rPr>
        <w:t>. In</w:t>
      </w:r>
      <w:r w:rsidR="00F522EB" w:rsidRPr="00132DAA">
        <w:rPr>
          <w:rFonts w:asciiTheme="majorHAnsi" w:hAnsiTheme="majorHAnsi" w:cs="Times New Roman"/>
          <w:szCs w:val="22"/>
        </w:rPr>
        <w:t>terestingly, in</w:t>
      </w:r>
      <w:r w:rsidRPr="00132DAA">
        <w:rPr>
          <w:rFonts w:asciiTheme="majorHAnsi" w:hAnsiTheme="majorHAnsi" w:cs="Times New Roman"/>
          <w:szCs w:val="22"/>
        </w:rPr>
        <w:t xml:space="preserve"> some cases, </w:t>
      </w:r>
      <w:r w:rsidRPr="00132DAA">
        <w:rPr>
          <w:rFonts w:asciiTheme="majorHAnsi" w:eastAsiaTheme="minorEastAsia" w:hAnsiTheme="majorHAnsi" w:cs="Times"/>
          <w:szCs w:val="22"/>
          <w:lang w:val="en-US"/>
        </w:rPr>
        <w:t xml:space="preserve">the administrative effort </w:t>
      </w:r>
      <w:r w:rsidR="00F522EB" w:rsidRPr="00132DAA">
        <w:rPr>
          <w:rFonts w:asciiTheme="majorHAnsi" w:eastAsiaTheme="minorEastAsia" w:hAnsiTheme="majorHAnsi" w:cs="Times"/>
          <w:szCs w:val="22"/>
          <w:lang w:val="en-US"/>
        </w:rPr>
        <w:t xml:space="preserve">that is made by </w:t>
      </w:r>
      <w:r w:rsidR="003A5F9D">
        <w:rPr>
          <w:rFonts w:asciiTheme="majorHAnsi" w:eastAsiaTheme="minorEastAsia" w:hAnsiTheme="majorHAnsi" w:cs="Times"/>
          <w:szCs w:val="22"/>
          <w:lang w:val="en-US"/>
        </w:rPr>
        <w:t>second tier partners</w:t>
      </w:r>
      <w:r w:rsidR="003A5F9D" w:rsidRPr="00132DAA">
        <w:rPr>
          <w:rFonts w:asciiTheme="majorHAnsi" w:eastAsiaTheme="minorEastAsia" w:hAnsiTheme="majorHAnsi" w:cs="Times"/>
          <w:szCs w:val="22"/>
          <w:lang w:val="en-US"/>
        </w:rPr>
        <w:t xml:space="preserve"> </w:t>
      </w:r>
      <w:r w:rsidR="00F522EB" w:rsidRPr="00132DAA">
        <w:rPr>
          <w:rFonts w:asciiTheme="majorHAnsi" w:eastAsiaTheme="minorEastAsia" w:hAnsiTheme="majorHAnsi" w:cs="Times"/>
          <w:szCs w:val="22"/>
          <w:lang w:val="en-US"/>
        </w:rPr>
        <w:t xml:space="preserve">to demonstrate strong financial management appears to be duplicative. </w:t>
      </w:r>
      <w:r w:rsidR="003A5F9D">
        <w:rPr>
          <w:rFonts w:asciiTheme="majorHAnsi" w:eastAsiaTheme="minorEastAsia" w:hAnsiTheme="majorHAnsi" w:cs="Times"/>
          <w:szCs w:val="22"/>
          <w:lang w:val="en-US"/>
        </w:rPr>
        <w:t>Partners</w:t>
      </w:r>
      <w:r w:rsidR="003A5F9D" w:rsidRPr="00132DAA">
        <w:rPr>
          <w:rFonts w:asciiTheme="majorHAnsi" w:eastAsiaTheme="minorEastAsia" w:hAnsiTheme="majorHAnsi" w:cs="Times"/>
          <w:szCs w:val="22"/>
          <w:lang w:val="en-US"/>
        </w:rPr>
        <w:t xml:space="preserve"> </w:t>
      </w:r>
      <w:r w:rsidR="00F522EB" w:rsidRPr="00132DAA">
        <w:rPr>
          <w:rFonts w:asciiTheme="majorHAnsi" w:eastAsiaTheme="minorEastAsia" w:hAnsiTheme="majorHAnsi" w:cs="Times"/>
          <w:szCs w:val="22"/>
          <w:lang w:val="en-US"/>
        </w:rPr>
        <w:t xml:space="preserve">responded that their review of every single transaction made by </w:t>
      </w:r>
      <w:r w:rsidR="003A5F9D">
        <w:rPr>
          <w:rFonts w:asciiTheme="majorHAnsi" w:eastAsiaTheme="minorEastAsia" w:hAnsiTheme="majorHAnsi" w:cs="Times"/>
          <w:szCs w:val="22"/>
          <w:lang w:val="en-US"/>
        </w:rPr>
        <w:t>third tier partners</w:t>
      </w:r>
      <w:r w:rsidR="00F522EB" w:rsidRPr="00132DAA">
        <w:rPr>
          <w:rFonts w:asciiTheme="majorHAnsi" w:eastAsiaTheme="minorEastAsia" w:hAnsiTheme="majorHAnsi" w:cs="Times"/>
          <w:szCs w:val="22"/>
          <w:lang w:val="en-US"/>
        </w:rPr>
        <w:t xml:space="preserve"> provides them with assurance that funds are appropriately managed and supporting documentation of this nature is required by local auditors</w:t>
      </w:r>
      <w:r w:rsidR="00242A4B" w:rsidRPr="00132DAA">
        <w:rPr>
          <w:rFonts w:asciiTheme="majorHAnsi" w:eastAsiaTheme="minorEastAsia" w:hAnsiTheme="majorHAnsi" w:cs="Times"/>
          <w:szCs w:val="22"/>
          <w:lang w:val="en-US"/>
        </w:rPr>
        <w:t xml:space="preserve"> in any case</w:t>
      </w:r>
      <w:r w:rsidR="00F522EB" w:rsidRPr="00132DAA">
        <w:rPr>
          <w:rFonts w:asciiTheme="majorHAnsi" w:eastAsiaTheme="minorEastAsia" w:hAnsiTheme="majorHAnsi" w:cs="Times"/>
          <w:szCs w:val="22"/>
          <w:lang w:val="en-US"/>
        </w:rPr>
        <w:t xml:space="preserve">. </w:t>
      </w:r>
    </w:p>
    <w:p w:rsidR="00242A4B" w:rsidRPr="00132DAA" w:rsidRDefault="00242A4B" w:rsidP="00242A4B">
      <w:pPr>
        <w:pStyle w:val="NoSpacing"/>
        <w:numPr>
          <w:ilvl w:val="0"/>
          <w:numId w:val="0"/>
        </w:numPr>
        <w:rPr>
          <w:rFonts w:asciiTheme="majorHAnsi" w:hAnsiTheme="majorHAnsi"/>
          <w:szCs w:val="22"/>
        </w:rPr>
      </w:pPr>
    </w:p>
    <w:p w:rsidR="00242A4B" w:rsidRPr="00132DAA" w:rsidRDefault="00A4262F" w:rsidP="00242A4B">
      <w:pPr>
        <w:pStyle w:val="NoSpacing"/>
        <w:numPr>
          <w:ilvl w:val="0"/>
          <w:numId w:val="0"/>
        </w:numPr>
        <w:rPr>
          <w:rFonts w:asciiTheme="majorHAnsi" w:eastAsiaTheme="minorEastAsia" w:hAnsiTheme="majorHAnsi" w:cs="Times"/>
          <w:szCs w:val="22"/>
          <w:lang w:val="en-US"/>
        </w:rPr>
      </w:pPr>
      <w:r w:rsidRPr="00132DAA">
        <w:rPr>
          <w:rFonts w:asciiTheme="majorHAnsi" w:hAnsiTheme="majorHAnsi"/>
          <w:szCs w:val="22"/>
        </w:rPr>
        <w:t xml:space="preserve">While the requirements outlined in the 2013 DFAT Amendment are more prescriptive for the AMENCA program than in any other DFAT funded program, at least two of the </w:t>
      </w:r>
      <w:r w:rsidR="003A5F9D">
        <w:rPr>
          <w:rFonts w:asciiTheme="majorHAnsi" w:hAnsiTheme="majorHAnsi"/>
          <w:szCs w:val="22"/>
        </w:rPr>
        <w:t xml:space="preserve">second tier partners </w:t>
      </w:r>
      <w:r w:rsidRPr="00132DAA">
        <w:rPr>
          <w:rFonts w:asciiTheme="majorHAnsi" w:hAnsiTheme="majorHAnsi"/>
          <w:szCs w:val="22"/>
        </w:rPr>
        <w:t xml:space="preserve">indicated that these requirements did not exceed their own organisational requirements. In one case, this is because the </w:t>
      </w:r>
      <w:r w:rsidR="003A5F9D">
        <w:rPr>
          <w:rFonts w:asciiTheme="majorHAnsi" w:hAnsiTheme="majorHAnsi"/>
          <w:szCs w:val="22"/>
        </w:rPr>
        <w:t>second tier partner</w:t>
      </w:r>
      <w:r w:rsidR="003A5F9D" w:rsidRPr="00132DAA">
        <w:rPr>
          <w:rFonts w:asciiTheme="majorHAnsi" w:eastAsiaTheme="minorEastAsia" w:hAnsiTheme="majorHAnsi" w:cs="Times"/>
          <w:szCs w:val="22"/>
          <w:lang w:val="en-US"/>
        </w:rPr>
        <w:t xml:space="preserve"> </w:t>
      </w:r>
      <w:r w:rsidRPr="00132DAA">
        <w:rPr>
          <w:rFonts w:asciiTheme="majorHAnsi" w:eastAsiaTheme="minorEastAsia" w:hAnsiTheme="majorHAnsi" w:cs="Times"/>
          <w:szCs w:val="22"/>
          <w:lang w:val="en-US"/>
        </w:rPr>
        <w:t xml:space="preserve">has developed systems </w:t>
      </w:r>
      <w:r w:rsidR="006B2664" w:rsidRPr="00132DAA">
        <w:rPr>
          <w:rFonts w:asciiTheme="majorHAnsi" w:eastAsiaTheme="minorEastAsia" w:hAnsiTheme="majorHAnsi" w:cs="Times"/>
          <w:szCs w:val="22"/>
          <w:lang w:val="en-US"/>
        </w:rPr>
        <w:t>according to the state in which the</w:t>
      </w:r>
      <w:r w:rsidRPr="00132DAA">
        <w:rPr>
          <w:rFonts w:asciiTheme="majorHAnsi" w:eastAsiaTheme="minorEastAsia" w:hAnsiTheme="majorHAnsi" w:cs="Times"/>
          <w:szCs w:val="22"/>
          <w:lang w:val="en-US"/>
        </w:rPr>
        <w:t>ir international organization is registered, which has more prescriptive counter terrorism requirements than those imposed by DFAT. In the case of another, the organization has developed its own systems in response to its interpretation of Australian legislation.</w:t>
      </w:r>
    </w:p>
    <w:p w:rsidR="00242A4B" w:rsidRPr="00132DAA" w:rsidRDefault="00242A4B" w:rsidP="00242A4B">
      <w:pPr>
        <w:pStyle w:val="NoSpacing"/>
        <w:numPr>
          <w:ilvl w:val="0"/>
          <w:numId w:val="0"/>
        </w:numPr>
        <w:rPr>
          <w:rFonts w:asciiTheme="majorHAnsi" w:eastAsiaTheme="minorEastAsia" w:hAnsiTheme="majorHAnsi" w:cs="Times"/>
          <w:szCs w:val="22"/>
          <w:lang w:val="en-US"/>
        </w:rPr>
      </w:pPr>
    </w:p>
    <w:p w:rsidR="00242A4B" w:rsidRPr="00132DAA" w:rsidRDefault="00242A4B" w:rsidP="00242A4B">
      <w:pPr>
        <w:pStyle w:val="NoSpacing"/>
        <w:numPr>
          <w:ilvl w:val="0"/>
          <w:numId w:val="0"/>
        </w:numPr>
        <w:rPr>
          <w:rFonts w:asciiTheme="majorHAnsi" w:eastAsiaTheme="minorEastAsia" w:hAnsiTheme="majorHAnsi" w:cs="Times"/>
          <w:color w:val="auto"/>
          <w:szCs w:val="22"/>
          <w:lang w:val="en-US"/>
        </w:rPr>
      </w:pPr>
      <w:r w:rsidRPr="00132DAA">
        <w:rPr>
          <w:rFonts w:asciiTheme="majorHAnsi" w:eastAsiaTheme="minorEastAsia" w:hAnsiTheme="majorHAnsi" w:cs="Times"/>
          <w:color w:val="auto"/>
          <w:szCs w:val="22"/>
          <w:lang w:val="en-US"/>
        </w:rPr>
        <w:t>In addition to the risk management mechanisms outlined above, it should be noted that t</w:t>
      </w:r>
      <w:r w:rsidR="008472DB" w:rsidRPr="00132DAA">
        <w:rPr>
          <w:rFonts w:asciiTheme="majorHAnsi" w:eastAsiaTheme="minorEastAsia" w:hAnsiTheme="majorHAnsi" w:cs="Times"/>
          <w:color w:val="auto"/>
          <w:szCs w:val="22"/>
          <w:lang w:val="en-US"/>
        </w:rPr>
        <w:t>he AME</w:t>
      </w:r>
      <w:r w:rsidRPr="00132DAA">
        <w:rPr>
          <w:rFonts w:asciiTheme="majorHAnsi" w:eastAsiaTheme="minorEastAsia" w:hAnsiTheme="majorHAnsi" w:cs="Times"/>
          <w:color w:val="auto"/>
          <w:szCs w:val="22"/>
          <w:lang w:val="en-US"/>
        </w:rPr>
        <w:t>N</w:t>
      </w:r>
      <w:r w:rsidR="008472DB" w:rsidRPr="00132DAA">
        <w:rPr>
          <w:rFonts w:asciiTheme="majorHAnsi" w:eastAsiaTheme="minorEastAsia" w:hAnsiTheme="majorHAnsi" w:cs="Times"/>
          <w:color w:val="auto"/>
          <w:szCs w:val="22"/>
          <w:lang w:val="en-US"/>
        </w:rPr>
        <w:t>CA</w:t>
      </w:r>
      <w:r w:rsidR="005D7E0A" w:rsidRPr="00132DAA">
        <w:rPr>
          <w:rFonts w:asciiTheme="majorHAnsi" w:eastAsiaTheme="minorEastAsia" w:hAnsiTheme="majorHAnsi" w:cs="Times"/>
          <w:color w:val="auto"/>
          <w:szCs w:val="22"/>
          <w:lang w:val="en-US"/>
        </w:rPr>
        <w:t xml:space="preserve"> Program </w:t>
      </w:r>
      <w:r w:rsidRPr="00132DAA">
        <w:rPr>
          <w:rFonts w:asciiTheme="majorHAnsi" w:eastAsiaTheme="minorEastAsia" w:hAnsiTheme="majorHAnsi" w:cs="Times"/>
          <w:color w:val="auto"/>
          <w:szCs w:val="22"/>
          <w:lang w:val="en-US"/>
        </w:rPr>
        <w:t>has only partnered with</w:t>
      </w:r>
      <w:r w:rsidR="005D7E0A" w:rsidRPr="00132DAA">
        <w:rPr>
          <w:rFonts w:asciiTheme="majorHAnsi" w:eastAsiaTheme="minorEastAsia" w:hAnsiTheme="majorHAnsi" w:cs="Times"/>
          <w:color w:val="auto"/>
          <w:szCs w:val="22"/>
          <w:lang w:val="en-US"/>
        </w:rPr>
        <w:t xml:space="preserve"> accredited Australian non-government organisations. </w:t>
      </w:r>
      <w:r w:rsidR="0030544C" w:rsidRPr="00132DAA">
        <w:rPr>
          <w:rFonts w:asciiTheme="majorHAnsi" w:eastAsiaTheme="minorEastAsia" w:hAnsiTheme="majorHAnsi" w:cs="Times"/>
          <w:color w:val="auto"/>
          <w:szCs w:val="22"/>
          <w:lang w:val="en-US"/>
        </w:rPr>
        <w:t xml:space="preserve">Accreditation assesses the systems and </w:t>
      </w:r>
      <w:r w:rsidRPr="00132DAA">
        <w:rPr>
          <w:rFonts w:asciiTheme="majorHAnsi" w:eastAsiaTheme="minorEastAsia" w:hAnsiTheme="majorHAnsi" w:cs="Times"/>
          <w:color w:val="auto"/>
          <w:szCs w:val="22"/>
          <w:lang w:val="en-US"/>
        </w:rPr>
        <w:t>practices</w:t>
      </w:r>
      <w:r w:rsidR="004A182E" w:rsidRPr="00132DAA">
        <w:rPr>
          <w:rFonts w:asciiTheme="majorHAnsi" w:eastAsiaTheme="minorEastAsia" w:hAnsiTheme="majorHAnsi" w:cs="Times"/>
          <w:color w:val="auto"/>
          <w:szCs w:val="22"/>
          <w:lang w:val="en-US"/>
        </w:rPr>
        <w:t xml:space="preserve"> used by NGOs, including </w:t>
      </w:r>
      <w:r w:rsidR="009E16EE" w:rsidRPr="00132DAA">
        <w:rPr>
          <w:rFonts w:asciiTheme="majorHAnsi" w:eastAsiaTheme="minorEastAsia" w:hAnsiTheme="majorHAnsi" w:cs="Times"/>
          <w:color w:val="auto"/>
          <w:szCs w:val="22"/>
          <w:lang w:val="en-US"/>
        </w:rPr>
        <w:t>ensuring</w:t>
      </w:r>
      <w:r w:rsidR="0030544C" w:rsidRPr="00132DAA">
        <w:rPr>
          <w:rFonts w:asciiTheme="majorHAnsi" w:eastAsiaTheme="minorEastAsia" w:hAnsiTheme="majorHAnsi" w:cs="Times"/>
          <w:color w:val="auto"/>
          <w:szCs w:val="22"/>
          <w:lang w:val="en-US"/>
        </w:rPr>
        <w:t xml:space="preserve"> that they do not provide support to organisations or individuals associated with terrorism. This includes a review of the systems and processes us</w:t>
      </w:r>
      <w:r w:rsidRPr="00132DAA">
        <w:rPr>
          <w:rFonts w:asciiTheme="majorHAnsi" w:eastAsiaTheme="minorEastAsia" w:hAnsiTheme="majorHAnsi" w:cs="Times"/>
          <w:color w:val="auto"/>
          <w:szCs w:val="22"/>
          <w:lang w:val="en-US"/>
        </w:rPr>
        <w:t>ed by NGOs such as formal anti-</w:t>
      </w:r>
      <w:r w:rsidR="0030544C" w:rsidRPr="00132DAA">
        <w:rPr>
          <w:rFonts w:asciiTheme="majorHAnsi" w:eastAsiaTheme="minorEastAsia" w:hAnsiTheme="majorHAnsi" w:cs="Times"/>
          <w:color w:val="auto"/>
          <w:szCs w:val="22"/>
          <w:lang w:val="en-US"/>
        </w:rPr>
        <w:t>terrorism policies ratified by the governing body, the screening of partners and how anti-terrorism requirements are passed on to partners through agreements and communications.</w:t>
      </w:r>
    </w:p>
    <w:p w:rsidR="00242A4B" w:rsidRPr="00132DAA" w:rsidRDefault="00242A4B" w:rsidP="00242A4B">
      <w:pPr>
        <w:pStyle w:val="NoSpacing"/>
        <w:numPr>
          <w:ilvl w:val="0"/>
          <w:numId w:val="0"/>
        </w:numPr>
        <w:rPr>
          <w:rFonts w:asciiTheme="majorHAnsi" w:eastAsiaTheme="minorEastAsia" w:hAnsiTheme="majorHAnsi" w:cs="Times"/>
          <w:color w:val="auto"/>
          <w:szCs w:val="22"/>
          <w:lang w:val="en-US"/>
        </w:rPr>
      </w:pPr>
    </w:p>
    <w:p w:rsidR="0030544C" w:rsidRDefault="0030544C" w:rsidP="00242A4B">
      <w:pPr>
        <w:pStyle w:val="NoSpacing"/>
        <w:numPr>
          <w:ilvl w:val="0"/>
          <w:numId w:val="0"/>
        </w:numPr>
        <w:rPr>
          <w:rFonts w:asciiTheme="majorHAnsi" w:eastAsiaTheme="minorEastAsia" w:hAnsiTheme="majorHAnsi" w:cs="Times"/>
          <w:color w:val="auto"/>
          <w:szCs w:val="22"/>
          <w:lang w:val="en-US"/>
        </w:rPr>
      </w:pPr>
      <w:r w:rsidRPr="00132DAA">
        <w:rPr>
          <w:rFonts w:asciiTheme="majorHAnsi" w:eastAsiaTheme="minorEastAsia" w:hAnsiTheme="majorHAnsi" w:cs="Times"/>
          <w:color w:val="auto"/>
          <w:szCs w:val="22"/>
          <w:lang w:val="en-US"/>
        </w:rPr>
        <w:t>A p</w:t>
      </w:r>
      <w:r w:rsidR="005D7E0A" w:rsidRPr="00132DAA">
        <w:rPr>
          <w:rFonts w:asciiTheme="majorHAnsi" w:eastAsiaTheme="minorEastAsia" w:hAnsiTheme="majorHAnsi" w:cs="Times"/>
          <w:color w:val="auto"/>
          <w:szCs w:val="22"/>
          <w:lang w:val="en-US"/>
        </w:rPr>
        <w:t>re-requisite</w:t>
      </w:r>
      <w:r w:rsidRPr="00132DAA">
        <w:rPr>
          <w:rFonts w:asciiTheme="majorHAnsi" w:eastAsiaTheme="minorEastAsia" w:hAnsiTheme="majorHAnsi" w:cs="Times"/>
          <w:color w:val="auto"/>
          <w:szCs w:val="22"/>
          <w:lang w:val="en-US"/>
        </w:rPr>
        <w:t xml:space="preserve"> for accreditation also includes NGO partners to be a compliant signatory to the Australian Council for International Development (ACFID) Code of Conduct for Non-Government Development Organizations. This is a voluntary, self-regulatory industry code that reflects agreed standards of good practice and aims to improve the transparency and accountability of signatory organisations.</w:t>
      </w:r>
      <w:r w:rsidRPr="00132DAA">
        <w:rPr>
          <w:rFonts w:asciiTheme="majorHAnsi" w:eastAsiaTheme="minorEastAsia" w:hAnsiTheme="majorHAnsi" w:cs="Times"/>
          <w:color w:val="auto"/>
          <w:position w:val="12"/>
          <w:szCs w:val="22"/>
          <w:lang w:val="en-US"/>
        </w:rPr>
        <w:t xml:space="preserve"> </w:t>
      </w:r>
      <w:r w:rsidR="005D7E0A" w:rsidRPr="00132DAA">
        <w:rPr>
          <w:rFonts w:asciiTheme="majorHAnsi" w:eastAsiaTheme="minorEastAsia" w:hAnsiTheme="majorHAnsi" w:cs="Times"/>
          <w:color w:val="auto"/>
          <w:szCs w:val="22"/>
          <w:lang w:val="en-US"/>
        </w:rPr>
        <w:t>It is a</w:t>
      </w:r>
      <w:r w:rsidRPr="00132DAA">
        <w:rPr>
          <w:rFonts w:asciiTheme="majorHAnsi" w:eastAsiaTheme="minorEastAsia" w:hAnsiTheme="majorHAnsi" w:cs="Times"/>
          <w:color w:val="auto"/>
          <w:szCs w:val="22"/>
          <w:lang w:val="en-US"/>
        </w:rPr>
        <w:t xml:space="preserve"> DFAT requirement that organisations be signatories to the Code before they can be accredited with </w:t>
      </w:r>
      <w:r w:rsidR="005D7E0A" w:rsidRPr="00132DAA">
        <w:rPr>
          <w:rFonts w:asciiTheme="majorHAnsi" w:eastAsiaTheme="minorEastAsia" w:hAnsiTheme="majorHAnsi" w:cs="Times"/>
          <w:color w:val="auto"/>
          <w:szCs w:val="22"/>
          <w:lang w:val="en-US"/>
        </w:rPr>
        <w:t>DFAT</w:t>
      </w:r>
      <w:r w:rsidRPr="00132DAA">
        <w:rPr>
          <w:rFonts w:asciiTheme="majorHAnsi" w:eastAsiaTheme="minorEastAsia" w:hAnsiTheme="majorHAnsi" w:cs="Times"/>
          <w:color w:val="auto"/>
          <w:szCs w:val="22"/>
          <w:lang w:val="en-US"/>
        </w:rPr>
        <w:t xml:space="preserve"> and receive funding under the ANCP</w:t>
      </w:r>
      <w:r w:rsidR="003A5F9D">
        <w:rPr>
          <w:rStyle w:val="FootnoteReference"/>
          <w:rFonts w:asciiTheme="majorHAnsi" w:eastAsiaTheme="minorEastAsia" w:hAnsiTheme="majorHAnsi" w:cs="Times"/>
          <w:color w:val="auto"/>
          <w:szCs w:val="22"/>
          <w:lang w:val="en-US"/>
        </w:rPr>
        <w:footnoteReference w:id="8"/>
      </w:r>
      <w:r w:rsidRPr="00132DAA">
        <w:rPr>
          <w:rFonts w:asciiTheme="majorHAnsi" w:eastAsiaTheme="minorEastAsia" w:hAnsiTheme="majorHAnsi" w:cs="Times"/>
          <w:color w:val="auto"/>
          <w:szCs w:val="22"/>
          <w:lang w:val="en-US"/>
        </w:rPr>
        <w:t>. The Code inc</w:t>
      </w:r>
      <w:r w:rsidR="00242A4B" w:rsidRPr="00132DAA">
        <w:rPr>
          <w:rFonts w:asciiTheme="majorHAnsi" w:eastAsiaTheme="minorEastAsia" w:hAnsiTheme="majorHAnsi" w:cs="Times"/>
          <w:color w:val="auto"/>
          <w:szCs w:val="22"/>
          <w:lang w:val="en-US"/>
        </w:rPr>
        <w:t>ludes a commitment that ‘</w:t>
      </w:r>
      <w:r w:rsidRPr="00132DAA">
        <w:rPr>
          <w:rFonts w:asciiTheme="majorHAnsi" w:eastAsiaTheme="minorEastAsia" w:hAnsiTheme="majorHAnsi" w:cs="Times"/>
          <w:color w:val="auto"/>
          <w:szCs w:val="22"/>
          <w:lang w:val="en-US"/>
        </w:rPr>
        <w:t>funds or resources will be disbursed in accordance with relevant laws including taxation, counter-terrorism financing and anti-mon</w:t>
      </w:r>
      <w:r w:rsidR="00287BD2" w:rsidRPr="00132DAA">
        <w:rPr>
          <w:rFonts w:asciiTheme="majorHAnsi" w:eastAsiaTheme="minorEastAsia" w:hAnsiTheme="majorHAnsi" w:cs="Times"/>
          <w:color w:val="auto"/>
          <w:szCs w:val="22"/>
          <w:lang w:val="en-US"/>
        </w:rPr>
        <w:t>ey laundering legislation</w:t>
      </w:r>
      <w:r w:rsidR="00242A4B" w:rsidRPr="00132DAA">
        <w:rPr>
          <w:rFonts w:asciiTheme="majorHAnsi" w:eastAsiaTheme="minorEastAsia" w:hAnsiTheme="majorHAnsi" w:cs="Times"/>
          <w:color w:val="auto"/>
          <w:szCs w:val="22"/>
          <w:lang w:val="en-US"/>
        </w:rPr>
        <w:t>’</w:t>
      </w:r>
      <w:r w:rsidRPr="00132DAA">
        <w:rPr>
          <w:rFonts w:asciiTheme="majorHAnsi" w:eastAsiaTheme="minorEastAsia" w:hAnsiTheme="majorHAnsi" w:cs="Times"/>
          <w:color w:val="auto"/>
          <w:szCs w:val="22"/>
          <w:lang w:val="en-US"/>
        </w:rPr>
        <w:t>.</w:t>
      </w:r>
    </w:p>
    <w:p w:rsidR="0014559F" w:rsidRPr="00132DAA" w:rsidRDefault="0014559F" w:rsidP="00242A4B">
      <w:pPr>
        <w:pStyle w:val="NoSpacing"/>
        <w:numPr>
          <w:ilvl w:val="0"/>
          <w:numId w:val="0"/>
        </w:numPr>
        <w:rPr>
          <w:rFonts w:asciiTheme="majorHAnsi" w:eastAsiaTheme="minorEastAsia" w:hAnsiTheme="majorHAnsi" w:cs="Times"/>
          <w:szCs w:val="22"/>
          <w:lang w:val="en-US"/>
        </w:rPr>
      </w:pPr>
    </w:p>
    <w:p w:rsidR="00132DAA" w:rsidRPr="00132DAA" w:rsidRDefault="00132DAA" w:rsidP="00132DAA">
      <w:pPr>
        <w:shd w:val="clear" w:color="auto" w:fill="4F81BD" w:themeFill="accent1"/>
        <w:ind w:left="0" w:firstLine="0"/>
        <w:rPr>
          <w:rFonts w:asciiTheme="majorHAnsi" w:hAnsiTheme="majorHAnsi"/>
          <w:b/>
          <w:color w:val="FFFFFF" w:themeColor="background1"/>
          <w:sz w:val="24"/>
          <w:szCs w:val="24"/>
        </w:rPr>
      </w:pPr>
      <w:r w:rsidRPr="00132DAA">
        <w:rPr>
          <w:b/>
          <w:color w:val="FFFFFF" w:themeColor="background1"/>
          <w:sz w:val="24"/>
          <w:szCs w:val="24"/>
          <w:shd w:val="clear" w:color="auto" w:fill="4F81BD" w:themeFill="accent1"/>
        </w:rPr>
        <w:t>Donor Approac</w:t>
      </w:r>
      <w:r w:rsidRPr="00132DAA">
        <w:rPr>
          <w:b/>
          <w:color w:val="FFFFFF" w:themeColor="background1"/>
          <w:sz w:val="24"/>
          <w:szCs w:val="24"/>
        </w:rPr>
        <w:t>hes</w:t>
      </w:r>
    </w:p>
    <w:p w:rsidR="00132DAA" w:rsidRDefault="00132DAA" w:rsidP="00132DAA">
      <w:pPr>
        <w:pStyle w:val="NoSpacing"/>
        <w:numPr>
          <w:ilvl w:val="0"/>
          <w:numId w:val="0"/>
        </w:numPr>
        <w:rPr>
          <w:rFonts w:asciiTheme="majorHAnsi" w:hAnsiTheme="majorHAnsi"/>
        </w:rPr>
      </w:pPr>
      <w:r w:rsidRPr="00132DAA">
        <w:rPr>
          <w:rFonts w:asciiTheme="majorHAnsi" w:hAnsiTheme="majorHAnsi"/>
        </w:rPr>
        <w:t xml:space="preserve">There is significant variance </w:t>
      </w:r>
      <w:r w:rsidR="008F5F20" w:rsidRPr="00132DAA">
        <w:rPr>
          <w:rFonts w:asciiTheme="majorHAnsi" w:hAnsiTheme="majorHAnsi"/>
        </w:rPr>
        <w:t xml:space="preserve">in approaches taken by other donors in the Palestinian Territories. </w:t>
      </w:r>
      <w:r w:rsidR="00B01607" w:rsidRPr="00132DAA">
        <w:rPr>
          <w:rFonts w:asciiTheme="majorHAnsi" w:hAnsiTheme="majorHAnsi"/>
        </w:rPr>
        <w:t xml:space="preserve">It should be noted that the </w:t>
      </w:r>
      <w:r w:rsidR="008A780C" w:rsidRPr="00132DAA">
        <w:rPr>
          <w:rFonts w:asciiTheme="majorHAnsi" w:hAnsiTheme="majorHAnsi"/>
        </w:rPr>
        <w:t xml:space="preserve">differing </w:t>
      </w:r>
      <w:r w:rsidR="00B01607" w:rsidRPr="00132DAA">
        <w:rPr>
          <w:rFonts w:asciiTheme="majorHAnsi" w:hAnsiTheme="majorHAnsi"/>
        </w:rPr>
        <w:t xml:space="preserve">legislation between the </w:t>
      </w:r>
      <w:r w:rsidR="008A780C" w:rsidRPr="00132DAA">
        <w:rPr>
          <w:rFonts w:asciiTheme="majorHAnsi" w:hAnsiTheme="majorHAnsi"/>
        </w:rPr>
        <w:t>jurisdictions</w:t>
      </w:r>
      <w:r w:rsidR="00B01607" w:rsidRPr="00132DAA">
        <w:rPr>
          <w:rFonts w:asciiTheme="majorHAnsi" w:hAnsiTheme="majorHAnsi"/>
        </w:rPr>
        <w:t xml:space="preserve"> of donors</w:t>
      </w:r>
      <w:r w:rsidR="008A780C" w:rsidRPr="00132DAA">
        <w:rPr>
          <w:rStyle w:val="FootnoteReference"/>
          <w:rFonts w:asciiTheme="majorHAnsi" w:hAnsiTheme="majorHAnsi"/>
        </w:rPr>
        <w:footnoteReference w:id="9"/>
      </w:r>
      <w:r w:rsidR="008A780C" w:rsidRPr="00132DAA">
        <w:rPr>
          <w:rFonts w:asciiTheme="majorHAnsi" w:hAnsiTheme="majorHAnsi"/>
        </w:rPr>
        <w:t xml:space="preserve"> and </w:t>
      </w:r>
      <w:r w:rsidR="00B01607" w:rsidRPr="00132DAA">
        <w:rPr>
          <w:rFonts w:asciiTheme="majorHAnsi" w:hAnsiTheme="majorHAnsi"/>
        </w:rPr>
        <w:t xml:space="preserve">varying levels of scrutiny from within donor jurisdictions on the issue of support for terrorists in the Palestinian Territories have a significant impact on the measures that have been undertaken by donors. </w:t>
      </w:r>
    </w:p>
    <w:p w:rsidR="00132DAA" w:rsidRDefault="00132DAA" w:rsidP="00132DAA">
      <w:pPr>
        <w:pStyle w:val="NoSpacing"/>
        <w:numPr>
          <w:ilvl w:val="0"/>
          <w:numId w:val="0"/>
        </w:numPr>
        <w:rPr>
          <w:rFonts w:asciiTheme="majorHAnsi" w:hAnsiTheme="majorHAnsi"/>
        </w:rPr>
      </w:pPr>
    </w:p>
    <w:p w:rsidR="00627D38" w:rsidRDefault="00B01607" w:rsidP="00132DAA">
      <w:pPr>
        <w:pStyle w:val="NoSpacing"/>
        <w:numPr>
          <w:ilvl w:val="0"/>
          <w:numId w:val="0"/>
        </w:numPr>
        <w:rPr>
          <w:rFonts w:asciiTheme="majorHAnsi" w:hAnsiTheme="majorHAnsi"/>
          <w:szCs w:val="22"/>
        </w:rPr>
      </w:pPr>
      <w:r w:rsidRPr="00132DAA">
        <w:rPr>
          <w:rFonts w:asciiTheme="majorHAnsi" w:hAnsiTheme="majorHAnsi"/>
          <w:szCs w:val="22"/>
        </w:rPr>
        <w:t xml:space="preserve">At a donor meeting in Jerusalem in April 2014, donors from the United Kingdom, the European Union, Norway, Canada, and the United States met with Australia to share information about their approaches. </w:t>
      </w:r>
      <w:r w:rsidR="00627D38" w:rsidRPr="00132DAA">
        <w:rPr>
          <w:rFonts w:asciiTheme="majorHAnsi" w:hAnsiTheme="majorHAnsi"/>
          <w:szCs w:val="22"/>
        </w:rPr>
        <w:t xml:space="preserve">This meeting revealed that there is variance among donors and that while some have </w:t>
      </w:r>
      <w:r w:rsidR="008A780C" w:rsidRPr="00132DAA">
        <w:rPr>
          <w:rFonts w:asciiTheme="majorHAnsi" w:hAnsiTheme="majorHAnsi"/>
          <w:szCs w:val="22"/>
        </w:rPr>
        <w:t>very prescriptive and well</w:t>
      </w:r>
      <w:r w:rsidR="00627D38" w:rsidRPr="00132DAA">
        <w:rPr>
          <w:rFonts w:asciiTheme="majorHAnsi" w:hAnsiTheme="majorHAnsi"/>
          <w:szCs w:val="22"/>
        </w:rPr>
        <w:t xml:space="preserve"> established procedures, others are exploring what the most appropriate approach would be based on the likely risk, their own legislation, the interests of their </w:t>
      </w:r>
      <w:r w:rsidR="008A780C" w:rsidRPr="00132DAA">
        <w:rPr>
          <w:rFonts w:asciiTheme="majorHAnsi" w:hAnsiTheme="majorHAnsi"/>
          <w:szCs w:val="22"/>
        </w:rPr>
        <w:t>own donor constituency, and the</w:t>
      </w:r>
      <w:r w:rsidR="00627D38" w:rsidRPr="00132DAA">
        <w:rPr>
          <w:rFonts w:asciiTheme="majorHAnsi" w:hAnsiTheme="majorHAnsi"/>
          <w:szCs w:val="22"/>
        </w:rPr>
        <w:t xml:space="preserve"> type of programs they are supporting in </w:t>
      </w:r>
      <w:r w:rsidR="00242A4B" w:rsidRPr="00132DAA">
        <w:rPr>
          <w:rFonts w:asciiTheme="majorHAnsi" w:hAnsiTheme="majorHAnsi"/>
          <w:szCs w:val="22"/>
        </w:rPr>
        <w:t>the Palestinian Territories</w:t>
      </w:r>
      <w:r w:rsidR="00627D38" w:rsidRPr="00132DAA">
        <w:rPr>
          <w:rFonts w:asciiTheme="majorHAnsi" w:hAnsiTheme="majorHAnsi"/>
          <w:szCs w:val="22"/>
        </w:rPr>
        <w:t xml:space="preserve">. </w:t>
      </w:r>
    </w:p>
    <w:p w:rsidR="0078339A" w:rsidRPr="00132DAA" w:rsidRDefault="0078339A" w:rsidP="00132DAA">
      <w:pPr>
        <w:pStyle w:val="NoSpacing"/>
        <w:numPr>
          <w:ilvl w:val="0"/>
          <w:numId w:val="0"/>
        </w:numPr>
        <w:rPr>
          <w:rFonts w:asciiTheme="majorHAnsi" w:hAnsiTheme="majorHAnsi"/>
        </w:rPr>
      </w:pPr>
    </w:p>
    <w:p w:rsidR="007C4777" w:rsidRPr="00132DAA" w:rsidRDefault="00242A4B" w:rsidP="00242A4B">
      <w:pPr>
        <w:pStyle w:val="NoSpacing"/>
        <w:numPr>
          <w:ilvl w:val="0"/>
          <w:numId w:val="0"/>
        </w:numPr>
        <w:rPr>
          <w:rFonts w:asciiTheme="majorHAnsi" w:hAnsiTheme="majorHAnsi"/>
          <w:szCs w:val="22"/>
        </w:rPr>
      </w:pPr>
      <w:r w:rsidRPr="00132DAA">
        <w:rPr>
          <w:rFonts w:asciiTheme="majorHAnsi" w:hAnsiTheme="majorHAnsi"/>
          <w:szCs w:val="22"/>
        </w:rPr>
        <w:t>At the more prescriptive end of the spectrum, t</w:t>
      </w:r>
      <w:r w:rsidR="00B01607" w:rsidRPr="00132DAA">
        <w:rPr>
          <w:rFonts w:asciiTheme="majorHAnsi" w:hAnsiTheme="majorHAnsi"/>
          <w:szCs w:val="22"/>
        </w:rPr>
        <w:t xml:space="preserve">he United States has a very regulated approach that is supported by </w:t>
      </w:r>
      <w:r w:rsidR="001E41C6" w:rsidRPr="00132DAA">
        <w:rPr>
          <w:rFonts w:asciiTheme="majorHAnsi" w:hAnsiTheme="majorHAnsi"/>
          <w:szCs w:val="22"/>
        </w:rPr>
        <w:t xml:space="preserve">clearly documented procedures and established </w:t>
      </w:r>
      <w:r w:rsidR="00B01607" w:rsidRPr="00132DAA">
        <w:rPr>
          <w:rFonts w:asciiTheme="majorHAnsi" w:hAnsiTheme="majorHAnsi"/>
          <w:szCs w:val="22"/>
        </w:rPr>
        <w:t>system</w:t>
      </w:r>
      <w:r w:rsidR="001E41C6" w:rsidRPr="00132DAA">
        <w:rPr>
          <w:rFonts w:asciiTheme="majorHAnsi" w:hAnsiTheme="majorHAnsi"/>
          <w:szCs w:val="22"/>
        </w:rPr>
        <w:t>s</w:t>
      </w:r>
      <w:r w:rsidR="00B01607" w:rsidRPr="00132DAA">
        <w:rPr>
          <w:rFonts w:asciiTheme="majorHAnsi" w:hAnsiTheme="majorHAnsi"/>
          <w:szCs w:val="22"/>
        </w:rPr>
        <w:t xml:space="preserve">. The details of </w:t>
      </w:r>
      <w:r w:rsidR="0039451F" w:rsidRPr="00132DAA">
        <w:rPr>
          <w:rFonts w:asciiTheme="majorHAnsi" w:hAnsiTheme="majorHAnsi"/>
          <w:szCs w:val="22"/>
        </w:rPr>
        <w:t>the</w:t>
      </w:r>
      <w:r w:rsidR="00B01607" w:rsidRPr="00132DAA">
        <w:rPr>
          <w:rFonts w:asciiTheme="majorHAnsi" w:hAnsiTheme="majorHAnsi"/>
          <w:szCs w:val="22"/>
        </w:rPr>
        <w:t xml:space="preserve"> counter terrorism procedures </w:t>
      </w:r>
      <w:r w:rsidR="00627D38" w:rsidRPr="00132DAA">
        <w:rPr>
          <w:rFonts w:asciiTheme="majorHAnsi" w:hAnsiTheme="majorHAnsi"/>
          <w:szCs w:val="22"/>
        </w:rPr>
        <w:t xml:space="preserve">are outlined in a public document </w:t>
      </w:r>
      <w:r w:rsidR="007721A3" w:rsidRPr="00132DAA">
        <w:rPr>
          <w:rFonts w:asciiTheme="majorHAnsi" w:hAnsiTheme="majorHAnsi"/>
          <w:szCs w:val="22"/>
        </w:rPr>
        <w:t>known as ‘Mission Order No. 21’</w:t>
      </w:r>
      <w:r w:rsidR="007721A3">
        <w:rPr>
          <w:rStyle w:val="FootnoteReference"/>
        </w:rPr>
        <w:footnoteReference w:id="10"/>
      </w:r>
      <w:r w:rsidR="007721A3">
        <w:t xml:space="preserve">. </w:t>
      </w:r>
      <w:r w:rsidR="0039451F" w:rsidRPr="00132DAA">
        <w:rPr>
          <w:rFonts w:asciiTheme="majorHAnsi" w:hAnsiTheme="majorHAnsi"/>
          <w:szCs w:val="22"/>
        </w:rPr>
        <w:t xml:space="preserve">Essentially, this Mission Order </w:t>
      </w:r>
      <w:r w:rsidR="007F01BD" w:rsidRPr="00132DAA">
        <w:rPr>
          <w:rFonts w:asciiTheme="majorHAnsi" w:hAnsiTheme="majorHAnsi"/>
          <w:szCs w:val="22"/>
        </w:rPr>
        <w:t>requires that</w:t>
      </w:r>
      <w:r w:rsidR="0039451F" w:rsidRPr="00132DAA">
        <w:rPr>
          <w:rFonts w:asciiTheme="majorHAnsi" w:hAnsiTheme="majorHAnsi"/>
          <w:szCs w:val="22"/>
        </w:rPr>
        <w:t xml:space="preserve"> vetting procedures </w:t>
      </w:r>
      <w:r w:rsidR="007F01BD" w:rsidRPr="00132DAA">
        <w:rPr>
          <w:rFonts w:asciiTheme="majorHAnsi" w:hAnsiTheme="majorHAnsi"/>
          <w:szCs w:val="22"/>
        </w:rPr>
        <w:t xml:space="preserve">are </w:t>
      </w:r>
      <w:r w:rsidR="0039451F" w:rsidRPr="00132DAA">
        <w:rPr>
          <w:rFonts w:asciiTheme="majorHAnsi" w:hAnsiTheme="majorHAnsi"/>
          <w:szCs w:val="22"/>
        </w:rPr>
        <w:t>conducted by USAID on all non-US organisations</w:t>
      </w:r>
      <w:r w:rsidR="00BC7AFE">
        <w:rPr>
          <w:rFonts w:asciiTheme="majorHAnsi" w:hAnsiTheme="majorHAnsi"/>
          <w:szCs w:val="22"/>
        </w:rPr>
        <w:t xml:space="preserve"> and non-US individual beneficiaries</w:t>
      </w:r>
      <w:r w:rsidR="0039451F" w:rsidRPr="00132DAA">
        <w:rPr>
          <w:rFonts w:asciiTheme="majorHAnsi" w:hAnsiTheme="majorHAnsi"/>
          <w:szCs w:val="22"/>
        </w:rPr>
        <w:t xml:space="preserve"> </w:t>
      </w:r>
      <w:r w:rsidR="00BC7AFE">
        <w:rPr>
          <w:rFonts w:asciiTheme="majorHAnsi" w:hAnsiTheme="majorHAnsi"/>
          <w:szCs w:val="22"/>
        </w:rPr>
        <w:t>when certain monetary thresholds are exceeded.  For example, individual beneficiaries of in-kind assistance are vetted when the value of the assistance is more than</w:t>
      </w:r>
      <w:r w:rsidR="00163F53">
        <w:rPr>
          <w:rFonts w:asciiTheme="majorHAnsi" w:hAnsiTheme="majorHAnsi"/>
          <w:szCs w:val="22"/>
        </w:rPr>
        <w:t xml:space="preserve"> </w:t>
      </w:r>
      <w:r w:rsidR="0039451F" w:rsidRPr="00132DAA">
        <w:rPr>
          <w:rFonts w:asciiTheme="majorHAnsi" w:hAnsiTheme="majorHAnsi"/>
          <w:szCs w:val="22"/>
        </w:rPr>
        <w:t xml:space="preserve">$1,000 </w:t>
      </w:r>
      <w:r w:rsidR="00BC7AFE">
        <w:rPr>
          <w:rFonts w:asciiTheme="majorHAnsi" w:hAnsiTheme="majorHAnsi"/>
          <w:szCs w:val="22"/>
        </w:rPr>
        <w:t xml:space="preserve">per occasion. </w:t>
      </w:r>
      <w:r w:rsidR="0039451F" w:rsidRPr="00132DAA">
        <w:rPr>
          <w:rFonts w:asciiTheme="majorHAnsi" w:hAnsiTheme="majorHAnsi"/>
          <w:szCs w:val="22"/>
        </w:rPr>
        <w:t xml:space="preserve"> </w:t>
      </w:r>
      <w:r w:rsidR="007F01BD" w:rsidRPr="00132DAA">
        <w:rPr>
          <w:rFonts w:asciiTheme="majorHAnsi" w:hAnsiTheme="majorHAnsi"/>
          <w:szCs w:val="22"/>
        </w:rPr>
        <w:t xml:space="preserve">Whenever an organisation is required to be vetted, each of the organisation’s ‘key individuals’ must also be vetted. All information is collected by USAID’s </w:t>
      </w:r>
      <w:r w:rsidR="00BC7AFE">
        <w:rPr>
          <w:rFonts w:asciiTheme="majorHAnsi" w:hAnsiTheme="majorHAnsi"/>
          <w:szCs w:val="22"/>
        </w:rPr>
        <w:t xml:space="preserve">implementing </w:t>
      </w:r>
      <w:r w:rsidR="002E0FB8">
        <w:rPr>
          <w:rFonts w:asciiTheme="majorHAnsi" w:hAnsiTheme="majorHAnsi"/>
          <w:szCs w:val="22"/>
        </w:rPr>
        <w:t>partners and</w:t>
      </w:r>
      <w:r w:rsidR="00BC7AFE">
        <w:rPr>
          <w:rFonts w:asciiTheme="majorHAnsi" w:hAnsiTheme="majorHAnsi"/>
          <w:szCs w:val="22"/>
        </w:rPr>
        <w:t xml:space="preserve"> submitted to USAID’s </w:t>
      </w:r>
      <w:r w:rsidR="007F01BD" w:rsidRPr="00132DAA">
        <w:rPr>
          <w:rFonts w:asciiTheme="majorHAnsi" w:hAnsiTheme="majorHAnsi"/>
          <w:szCs w:val="22"/>
        </w:rPr>
        <w:t xml:space="preserve">Program </w:t>
      </w:r>
      <w:r w:rsidR="00FB552C">
        <w:rPr>
          <w:rFonts w:asciiTheme="majorHAnsi" w:hAnsiTheme="majorHAnsi"/>
          <w:szCs w:val="22"/>
        </w:rPr>
        <w:t>S</w:t>
      </w:r>
      <w:r w:rsidR="007F01BD" w:rsidRPr="00132DAA">
        <w:rPr>
          <w:rFonts w:asciiTheme="majorHAnsi" w:hAnsiTheme="majorHAnsi"/>
          <w:szCs w:val="22"/>
        </w:rPr>
        <w:t>upport Unit</w:t>
      </w:r>
      <w:r w:rsidR="00BC7AFE">
        <w:rPr>
          <w:rFonts w:asciiTheme="majorHAnsi" w:hAnsiTheme="majorHAnsi"/>
          <w:szCs w:val="22"/>
        </w:rPr>
        <w:t xml:space="preserve"> where the information is verified and sent</w:t>
      </w:r>
      <w:r w:rsidR="007F01BD" w:rsidRPr="00132DAA">
        <w:rPr>
          <w:rFonts w:asciiTheme="majorHAnsi" w:hAnsiTheme="majorHAnsi"/>
          <w:szCs w:val="22"/>
        </w:rPr>
        <w:t xml:space="preserve"> to a USAID Vetting Centre in Washington. New vetting is required whenever there is a change in an organisation’s key individuals. </w:t>
      </w:r>
      <w:r w:rsidR="00136361" w:rsidRPr="00132DAA">
        <w:rPr>
          <w:rFonts w:asciiTheme="majorHAnsi" w:hAnsiTheme="majorHAnsi"/>
          <w:szCs w:val="22"/>
        </w:rPr>
        <w:t xml:space="preserve">USAID has three full time staff that </w:t>
      </w:r>
      <w:r w:rsidR="002E0FB8" w:rsidRPr="00132DAA">
        <w:rPr>
          <w:rFonts w:asciiTheme="majorHAnsi" w:hAnsiTheme="majorHAnsi"/>
          <w:szCs w:val="22"/>
        </w:rPr>
        <w:t>manage</w:t>
      </w:r>
      <w:r w:rsidR="00BC7AFE">
        <w:rPr>
          <w:rFonts w:asciiTheme="majorHAnsi" w:hAnsiTheme="majorHAnsi"/>
          <w:szCs w:val="22"/>
        </w:rPr>
        <w:t xml:space="preserve"> the</w:t>
      </w:r>
      <w:r w:rsidR="00136361" w:rsidRPr="00132DAA">
        <w:rPr>
          <w:rFonts w:asciiTheme="majorHAnsi" w:hAnsiTheme="majorHAnsi"/>
          <w:szCs w:val="22"/>
        </w:rPr>
        <w:t xml:space="preserve"> vetting </w:t>
      </w:r>
      <w:r w:rsidR="008A780C" w:rsidRPr="00132DAA">
        <w:rPr>
          <w:rFonts w:asciiTheme="majorHAnsi" w:hAnsiTheme="majorHAnsi"/>
          <w:szCs w:val="22"/>
        </w:rPr>
        <w:t>processes in its local Program S</w:t>
      </w:r>
      <w:r w:rsidR="00136361" w:rsidRPr="00132DAA">
        <w:rPr>
          <w:rFonts w:asciiTheme="majorHAnsi" w:hAnsiTheme="majorHAnsi"/>
          <w:szCs w:val="22"/>
        </w:rPr>
        <w:t xml:space="preserve">upport Office in Israel. </w:t>
      </w:r>
    </w:p>
    <w:p w:rsidR="007721A3" w:rsidRPr="00132DAA" w:rsidRDefault="007721A3" w:rsidP="007721A3">
      <w:pPr>
        <w:pStyle w:val="NoSpacing"/>
        <w:numPr>
          <w:ilvl w:val="0"/>
          <w:numId w:val="0"/>
        </w:numPr>
        <w:rPr>
          <w:rFonts w:asciiTheme="majorHAnsi" w:hAnsiTheme="majorHAnsi"/>
          <w:szCs w:val="22"/>
        </w:rPr>
      </w:pPr>
    </w:p>
    <w:p w:rsidR="00691F07" w:rsidRDefault="007F01BD" w:rsidP="00691F07">
      <w:pPr>
        <w:pStyle w:val="PlainText"/>
      </w:pPr>
      <w:r w:rsidRPr="00132DAA">
        <w:rPr>
          <w:rFonts w:asciiTheme="majorHAnsi" w:hAnsiTheme="majorHAnsi"/>
          <w:szCs w:val="22"/>
        </w:rPr>
        <w:t xml:space="preserve">In addition to vetting procedures, USAID </w:t>
      </w:r>
      <w:r w:rsidR="00334A08">
        <w:rPr>
          <w:rFonts w:asciiTheme="majorHAnsi" w:hAnsiTheme="majorHAnsi"/>
          <w:szCs w:val="22"/>
        </w:rPr>
        <w:t xml:space="preserve">makes </w:t>
      </w:r>
      <w:r w:rsidR="00136361" w:rsidRPr="00132DAA">
        <w:rPr>
          <w:rFonts w:asciiTheme="majorHAnsi" w:hAnsiTheme="majorHAnsi"/>
          <w:szCs w:val="22"/>
        </w:rPr>
        <w:t xml:space="preserve"> a ‘Responsibility </w:t>
      </w:r>
      <w:r w:rsidR="002E0FB8">
        <w:rPr>
          <w:rFonts w:asciiTheme="majorHAnsi" w:hAnsiTheme="majorHAnsi"/>
          <w:szCs w:val="22"/>
        </w:rPr>
        <w:t>Determination</w:t>
      </w:r>
      <w:r w:rsidR="00136361" w:rsidRPr="00132DAA">
        <w:rPr>
          <w:rFonts w:asciiTheme="majorHAnsi" w:hAnsiTheme="majorHAnsi"/>
          <w:szCs w:val="22"/>
        </w:rPr>
        <w:t xml:space="preserve">’ before any award is made to an organisation. USAID also </w:t>
      </w:r>
      <w:r w:rsidRPr="00132DAA">
        <w:rPr>
          <w:rFonts w:asciiTheme="majorHAnsi" w:hAnsiTheme="majorHAnsi"/>
          <w:szCs w:val="22"/>
        </w:rPr>
        <w:t xml:space="preserve">requires all US and non-US organisations to certify, before being awarded a grant or cooperative agreement </w:t>
      </w:r>
      <w:r w:rsidR="002E0FB8">
        <w:rPr>
          <w:rFonts w:asciiTheme="majorHAnsi" w:hAnsiTheme="majorHAnsi"/>
          <w:szCs w:val="22"/>
        </w:rPr>
        <w:t>by</w:t>
      </w:r>
      <w:r w:rsidR="002E0FB8" w:rsidRPr="00132DAA">
        <w:rPr>
          <w:rFonts w:asciiTheme="majorHAnsi" w:hAnsiTheme="majorHAnsi"/>
          <w:szCs w:val="22"/>
        </w:rPr>
        <w:t xml:space="preserve"> </w:t>
      </w:r>
      <w:r w:rsidRPr="00132DAA">
        <w:rPr>
          <w:rFonts w:asciiTheme="majorHAnsi" w:hAnsiTheme="majorHAnsi"/>
          <w:szCs w:val="22"/>
        </w:rPr>
        <w:t xml:space="preserve">USAID, that the organisation does not provide material support or resources for terrorism. It includes mandatory clauses relating to terrorism in all solicitations and awards for contracts, grants and cooperative agreements. </w:t>
      </w:r>
      <w:r w:rsidR="00136361" w:rsidRPr="00132DAA">
        <w:rPr>
          <w:rFonts w:asciiTheme="majorHAnsi" w:hAnsiTheme="majorHAnsi"/>
          <w:szCs w:val="22"/>
        </w:rPr>
        <w:t>It</w:t>
      </w:r>
      <w:r w:rsidRPr="00132DAA">
        <w:rPr>
          <w:rFonts w:asciiTheme="majorHAnsi" w:hAnsiTheme="majorHAnsi"/>
          <w:szCs w:val="22"/>
        </w:rPr>
        <w:t xml:space="preserve"> also undertakes </w:t>
      </w:r>
      <w:r w:rsidR="008A780C" w:rsidRPr="00132DAA">
        <w:rPr>
          <w:rFonts w:asciiTheme="majorHAnsi" w:hAnsiTheme="majorHAnsi"/>
          <w:szCs w:val="22"/>
        </w:rPr>
        <w:t xml:space="preserve">annual </w:t>
      </w:r>
      <w:r w:rsidRPr="00132DAA">
        <w:rPr>
          <w:rFonts w:asciiTheme="majorHAnsi" w:hAnsiTheme="majorHAnsi"/>
          <w:szCs w:val="22"/>
        </w:rPr>
        <w:t xml:space="preserve">financial audits on 100% of its </w:t>
      </w:r>
      <w:r w:rsidR="00334A08">
        <w:rPr>
          <w:rFonts w:asciiTheme="majorHAnsi" w:hAnsiTheme="majorHAnsi"/>
          <w:szCs w:val="22"/>
        </w:rPr>
        <w:t xml:space="preserve">prime </w:t>
      </w:r>
      <w:r w:rsidRPr="00132DAA">
        <w:rPr>
          <w:rFonts w:asciiTheme="majorHAnsi" w:hAnsiTheme="majorHAnsi"/>
          <w:szCs w:val="22"/>
        </w:rPr>
        <w:t>partners</w:t>
      </w:r>
      <w:r w:rsidR="00334A08">
        <w:rPr>
          <w:rFonts w:asciiTheme="majorHAnsi" w:hAnsiTheme="majorHAnsi"/>
          <w:szCs w:val="22"/>
        </w:rPr>
        <w:t xml:space="preserve"> and significant</w:t>
      </w:r>
      <w:r w:rsidR="002E0FB8">
        <w:rPr>
          <w:rFonts w:asciiTheme="majorHAnsi" w:hAnsiTheme="majorHAnsi"/>
          <w:szCs w:val="22"/>
        </w:rPr>
        <w:t xml:space="preserve"> </w:t>
      </w:r>
      <w:r w:rsidR="00334A08">
        <w:rPr>
          <w:rFonts w:asciiTheme="majorHAnsi" w:hAnsiTheme="majorHAnsi"/>
          <w:szCs w:val="22"/>
        </w:rPr>
        <w:t>sub-award</w:t>
      </w:r>
      <w:r w:rsidR="002E0FB8">
        <w:rPr>
          <w:rFonts w:asciiTheme="majorHAnsi" w:hAnsiTheme="majorHAnsi"/>
          <w:szCs w:val="22"/>
        </w:rPr>
        <w:t>ee</w:t>
      </w:r>
      <w:r w:rsidR="000E54D7">
        <w:rPr>
          <w:rFonts w:asciiTheme="majorHAnsi" w:hAnsiTheme="majorHAnsi"/>
          <w:szCs w:val="22"/>
        </w:rPr>
        <w:t>s</w:t>
      </w:r>
      <w:r w:rsidRPr="00132DAA">
        <w:rPr>
          <w:rFonts w:asciiTheme="majorHAnsi" w:hAnsiTheme="majorHAnsi"/>
          <w:szCs w:val="22"/>
        </w:rPr>
        <w:t xml:space="preserve">. </w:t>
      </w:r>
      <w:r w:rsidR="00136361" w:rsidRPr="00132DAA">
        <w:rPr>
          <w:rFonts w:asciiTheme="majorHAnsi" w:hAnsiTheme="majorHAnsi"/>
          <w:szCs w:val="22"/>
        </w:rPr>
        <w:t xml:space="preserve">USAID recognises that there is significant administrative </w:t>
      </w:r>
      <w:r w:rsidR="00334A08">
        <w:rPr>
          <w:rFonts w:asciiTheme="majorHAnsi" w:hAnsiTheme="majorHAnsi"/>
          <w:szCs w:val="22"/>
        </w:rPr>
        <w:t xml:space="preserve">burden </w:t>
      </w:r>
      <w:r w:rsidR="00136361" w:rsidRPr="00132DAA">
        <w:rPr>
          <w:rFonts w:asciiTheme="majorHAnsi" w:hAnsiTheme="majorHAnsi"/>
          <w:szCs w:val="22"/>
        </w:rPr>
        <w:t xml:space="preserve">required by its partners to </w:t>
      </w:r>
      <w:r w:rsidR="00C85473" w:rsidRPr="00132DAA">
        <w:rPr>
          <w:rFonts w:asciiTheme="majorHAnsi" w:hAnsiTheme="majorHAnsi"/>
          <w:szCs w:val="22"/>
        </w:rPr>
        <w:t>comply with its requirements</w:t>
      </w:r>
      <w:r w:rsidR="00136361" w:rsidRPr="00132DAA">
        <w:rPr>
          <w:rFonts w:asciiTheme="majorHAnsi" w:hAnsiTheme="majorHAnsi"/>
          <w:szCs w:val="22"/>
        </w:rPr>
        <w:t xml:space="preserve"> and </w:t>
      </w:r>
      <w:r w:rsidR="00BC59F9">
        <w:rPr>
          <w:rFonts w:asciiTheme="majorHAnsi" w:hAnsiTheme="majorHAnsi"/>
          <w:szCs w:val="22"/>
        </w:rPr>
        <w:t>allows those costs to be included in the contract.</w:t>
      </w:r>
      <w:r w:rsidR="00136361" w:rsidRPr="00132DAA">
        <w:rPr>
          <w:rFonts w:asciiTheme="majorHAnsi" w:hAnsiTheme="majorHAnsi"/>
          <w:szCs w:val="22"/>
        </w:rPr>
        <w:t xml:space="preserve"> </w:t>
      </w:r>
      <w:r w:rsidR="00691F07">
        <w:t>The US is the only donor country to regularly require beneficiary vetting (though the EU PEGASE Trust Fund vets salary and social transfer recipients for that program only).</w:t>
      </w:r>
    </w:p>
    <w:p w:rsidR="00136361" w:rsidRPr="003A5F9D" w:rsidRDefault="00136361" w:rsidP="007721A3">
      <w:pPr>
        <w:pStyle w:val="NoSpacing"/>
        <w:numPr>
          <w:ilvl w:val="0"/>
          <w:numId w:val="0"/>
        </w:numPr>
        <w:rPr>
          <w:rFonts w:asciiTheme="majorHAnsi" w:hAnsiTheme="majorHAnsi"/>
          <w:szCs w:val="22"/>
          <w:lang w:val="en-AU"/>
        </w:rPr>
      </w:pPr>
    </w:p>
    <w:p w:rsidR="00691F07" w:rsidRPr="004D57C9" w:rsidRDefault="00691F07" w:rsidP="00691F07">
      <w:pPr>
        <w:pStyle w:val="PlainText"/>
      </w:pPr>
      <w:r w:rsidRPr="004D57C9">
        <w:t>Australia's approach is broadly similar to Canada</w:t>
      </w:r>
      <w:r w:rsidR="00414D40">
        <w:t>’s</w:t>
      </w:r>
      <w:r w:rsidR="00F154B0" w:rsidRPr="004D57C9">
        <w:t xml:space="preserve"> in that: </w:t>
      </w:r>
    </w:p>
    <w:p w:rsidR="00691F07" w:rsidRPr="004D57C9" w:rsidRDefault="00691F07" w:rsidP="00163B20">
      <w:pPr>
        <w:pStyle w:val="PlainText"/>
        <w:numPr>
          <w:ilvl w:val="0"/>
          <w:numId w:val="28"/>
        </w:numPr>
      </w:pPr>
      <w:r w:rsidRPr="004D57C9">
        <w:t>both Australia and Canada work primarily with NGOs from their own country, who in turn partner with local Palestinian NGOs</w:t>
      </w:r>
      <w:r w:rsidR="00FB4E8C" w:rsidRPr="004D57C9">
        <w:rPr>
          <w:rStyle w:val="FootnoteReference"/>
        </w:rPr>
        <w:footnoteReference w:id="11"/>
      </w:r>
    </w:p>
    <w:p w:rsidR="00691F07" w:rsidRPr="004D57C9" w:rsidRDefault="00691F07" w:rsidP="00163B20">
      <w:pPr>
        <w:pStyle w:val="PlainText"/>
        <w:numPr>
          <w:ilvl w:val="0"/>
          <w:numId w:val="28"/>
        </w:numPr>
      </w:pPr>
      <w:r w:rsidRPr="004D57C9">
        <w:t xml:space="preserve">both Australia and Canada </w:t>
      </w:r>
      <w:r w:rsidR="009E16EE" w:rsidRPr="004D57C9">
        <w:t>include</w:t>
      </w:r>
      <w:r w:rsidRPr="004D57C9">
        <w:t xml:space="preserve"> standard counter-terrorism clauses </w:t>
      </w:r>
      <w:r w:rsidR="009E16EE" w:rsidRPr="004D57C9">
        <w:t xml:space="preserve">in their agreements with first tier partners </w:t>
      </w:r>
      <w:r w:rsidRPr="004D57C9">
        <w:t xml:space="preserve">and </w:t>
      </w:r>
      <w:r w:rsidR="009E16EE" w:rsidRPr="004D57C9">
        <w:t xml:space="preserve">require that </w:t>
      </w:r>
      <w:r w:rsidRPr="004D57C9">
        <w:t xml:space="preserve">similar clauses </w:t>
      </w:r>
      <w:r w:rsidR="009E16EE" w:rsidRPr="004D57C9">
        <w:t xml:space="preserve">are passed on </w:t>
      </w:r>
      <w:r w:rsidRPr="004D57C9">
        <w:t>to second tier partners (accepting these clauses can be tailored to local circumstances)</w:t>
      </w:r>
    </w:p>
    <w:p w:rsidR="00F154B0" w:rsidRPr="004D57C9" w:rsidRDefault="00691F07" w:rsidP="00163B20">
      <w:pPr>
        <w:pStyle w:val="PlainText"/>
        <w:numPr>
          <w:ilvl w:val="0"/>
          <w:numId w:val="28"/>
        </w:numPr>
      </w:pPr>
      <w:r w:rsidRPr="004D57C9">
        <w:t xml:space="preserve">Australia and Canada both require vetting of board members and key personnel of NGOs. </w:t>
      </w:r>
    </w:p>
    <w:p w:rsidR="00F154B0" w:rsidRPr="004D57C9" w:rsidRDefault="00F154B0" w:rsidP="00691F07">
      <w:pPr>
        <w:pStyle w:val="PlainText"/>
      </w:pPr>
    </w:p>
    <w:p w:rsidR="00691F07" w:rsidRDefault="00F154B0" w:rsidP="00691F07">
      <w:pPr>
        <w:pStyle w:val="PlainText"/>
      </w:pPr>
      <w:r w:rsidRPr="004D57C9">
        <w:t xml:space="preserve">The only difference in approach </w:t>
      </w:r>
      <w:r w:rsidR="0022230C" w:rsidRPr="004D57C9">
        <w:t>i</w:t>
      </w:r>
      <w:r w:rsidRPr="004D57C9">
        <w:t xml:space="preserve">s that </w:t>
      </w:r>
      <w:r w:rsidR="0022230C" w:rsidRPr="004D57C9">
        <w:t>Canada</w:t>
      </w:r>
      <w:r w:rsidR="00691F07" w:rsidRPr="004D57C9">
        <w:t xml:space="preserve"> collects lists of names of sub-contracted organisations and key personnel which it checks directly, either in Ramallah or through a central office in Ottowa where vetting is conducted</w:t>
      </w:r>
      <w:r w:rsidR="0022230C" w:rsidRPr="004D57C9">
        <w:t>;</w:t>
      </w:r>
      <w:r w:rsidRPr="004D57C9">
        <w:t xml:space="preserve"> whereas</w:t>
      </w:r>
      <w:r w:rsidR="00691F07" w:rsidRPr="004D57C9">
        <w:t xml:space="preserve"> Australia requires NGOs to conduct their own vetting, but carries out regular checks to ensure vetting is being carried out to a high standard.</w:t>
      </w:r>
    </w:p>
    <w:p w:rsidR="007721A3" w:rsidRPr="00AE3AD1" w:rsidRDefault="007721A3" w:rsidP="007721A3">
      <w:pPr>
        <w:pStyle w:val="NoSpacing"/>
        <w:numPr>
          <w:ilvl w:val="0"/>
          <w:numId w:val="0"/>
        </w:numPr>
        <w:rPr>
          <w:rFonts w:asciiTheme="majorHAnsi" w:hAnsiTheme="majorHAnsi"/>
          <w:szCs w:val="22"/>
          <w:lang w:val="en-AU"/>
        </w:rPr>
      </w:pPr>
    </w:p>
    <w:p w:rsidR="00691F07" w:rsidRDefault="00691F07" w:rsidP="00FB4E8C">
      <w:pPr>
        <w:pStyle w:val="NoSpacing"/>
        <w:numPr>
          <w:ilvl w:val="0"/>
          <w:numId w:val="0"/>
        </w:numPr>
        <w:rPr>
          <w:rFonts w:asciiTheme="majorHAnsi" w:hAnsiTheme="majorHAnsi"/>
          <w:szCs w:val="22"/>
        </w:rPr>
      </w:pPr>
      <w:r w:rsidRPr="0090228C">
        <w:rPr>
          <w:rFonts w:asciiTheme="majorHAnsi" w:hAnsiTheme="majorHAnsi"/>
          <w:szCs w:val="22"/>
        </w:rPr>
        <w:t>The E</w:t>
      </w:r>
      <w:r w:rsidR="00F154B0">
        <w:rPr>
          <w:rFonts w:asciiTheme="majorHAnsi" w:hAnsiTheme="majorHAnsi"/>
          <w:szCs w:val="22"/>
        </w:rPr>
        <w:t xml:space="preserve">uropean </w:t>
      </w:r>
      <w:r w:rsidRPr="0090228C">
        <w:rPr>
          <w:rFonts w:asciiTheme="majorHAnsi" w:hAnsiTheme="majorHAnsi"/>
          <w:szCs w:val="22"/>
        </w:rPr>
        <w:t>U</w:t>
      </w:r>
      <w:r w:rsidR="00F154B0">
        <w:rPr>
          <w:rFonts w:asciiTheme="majorHAnsi" w:hAnsiTheme="majorHAnsi"/>
          <w:szCs w:val="22"/>
        </w:rPr>
        <w:t>nion</w:t>
      </w:r>
      <w:r w:rsidRPr="0090228C">
        <w:rPr>
          <w:rFonts w:asciiTheme="majorHAnsi" w:hAnsiTheme="majorHAnsi"/>
          <w:szCs w:val="22"/>
        </w:rPr>
        <w:t>’s</w:t>
      </w:r>
      <w:r w:rsidR="00F154B0">
        <w:rPr>
          <w:rFonts w:asciiTheme="majorHAnsi" w:hAnsiTheme="majorHAnsi"/>
          <w:szCs w:val="22"/>
        </w:rPr>
        <w:t xml:space="preserve"> (EU)</w:t>
      </w:r>
      <w:r w:rsidRPr="0090228C">
        <w:rPr>
          <w:rFonts w:asciiTheme="majorHAnsi" w:hAnsiTheme="majorHAnsi"/>
          <w:szCs w:val="22"/>
        </w:rPr>
        <w:t xml:space="preserve"> </w:t>
      </w:r>
      <w:r w:rsidR="0090228C" w:rsidRPr="0090228C">
        <w:rPr>
          <w:rFonts w:asciiTheme="majorHAnsi" w:hAnsiTheme="majorHAnsi"/>
          <w:szCs w:val="22"/>
        </w:rPr>
        <w:t xml:space="preserve">approach to counter-terrorism clauses and vetting varies widely depending on the type of program being delivered. For example, direct funding provided to the Palestinian Authority through the PEGASE Direct Financial Support mechanism set up in 2008 is paid against a list of 80,000 employees and 50,000 beneficiaries of social allowances. </w:t>
      </w:r>
      <w:r w:rsidR="009E16EE" w:rsidRPr="0090228C">
        <w:rPr>
          <w:rFonts w:asciiTheme="majorHAnsi" w:hAnsiTheme="majorHAnsi"/>
          <w:szCs w:val="22"/>
        </w:rPr>
        <w:t>An international audit company vets this list on a monthly basis</w:t>
      </w:r>
      <w:r w:rsidR="0090228C" w:rsidRPr="0090228C">
        <w:rPr>
          <w:rFonts w:asciiTheme="majorHAnsi" w:hAnsiTheme="majorHAnsi"/>
          <w:szCs w:val="22"/>
        </w:rPr>
        <w:t xml:space="preserve">. </w:t>
      </w:r>
      <w:r w:rsidR="0090228C" w:rsidRPr="00AE3AD1">
        <w:rPr>
          <w:rFonts w:asciiTheme="majorHAnsi" w:hAnsiTheme="majorHAnsi"/>
          <w:szCs w:val="22"/>
        </w:rPr>
        <w:t xml:space="preserve">A European Court of Auditors report on the program in December 2013 found that these verification procedures were generally robust, </w:t>
      </w:r>
      <w:r w:rsidR="0090228C" w:rsidRPr="0090228C">
        <w:rPr>
          <w:rFonts w:asciiTheme="majorHAnsi" w:hAnsiTheme="majorHAnsi"/>
          <w:szCs w:val="22"/>
        </w:rPr>
        <w:t xml:space="preserve">but there </w:t>
      </w:r>
      <w:r w:rsidR="0090228C" w:rsidRPr="00AE3AD1">
        <w:rPr>
          <w:rFonts w:asciiTheme="majorHAnsi" w:hAnsiTheme="majorHAnsi"/>
          <w:szCs w:val="22"/>
        </w:rPr>
        <w:t xml:space="preserve">was scope to improve the efficiency of the </w:t>
      </w:r>
      <w:r w:rsidR="0090228C" w:rsidRPr="0090228C">
        <w:rPr>
          <w:rFonts w:asciiTheme="majorHAnsi" w:hAnsiTheme="majorHAnsi"/>
          <w:szCs w:val="22"/>
        </w:rPr>
        <w:t>system (the checks require the involvement of 16 full-time</w:t>
      </w:r>
      <w:r w:rsidR="0090228C">
        <w:rPr>
          <w:rFonts w:asciiTheme="majorHAnsi" w:hAnsiTheme="majorHAnsi"/>
          <w:szCs w:val="22"/>
        </w:rPr>
        <w:t xml:space="preserve"> </w:t>
      </w:r>
      <w:r w:rsidR="0090228C" w:rsidRPr="0090228C">
        <w:rPr>
          <w:rFonts w:asciiTheme="majorHAnsi" w:hAnsiTheme="majorHAnsi"/>
          <w:szCs w:val="22"/>
        </w:rPr>
        <w:t>equivalent employees</w:t>
      </w:r>
      <w:r w:rsidR="00FB4E8C">
        <w:rPr>
          <w:rFonts w:asciiTheme="majorHAnsi" w:hAnsiTheme="majorHAnsi"/>
          <w:szCs w:val="22"/>
        </w:rPr>
        <w:t>, costing in excess of EU1 million per year)</w:t>
      </w:r>
      <w:r w:rsidR="0090228C">
        <w:rPr>
          <w:rFonts w:asciiTheme="majorHAnsi" w:hAnsiTheme="majorHAnsi"/>
          <w:szCs w:val="22"/>
        </w:rPr>
        <w:t>.</w:t>
      </w:r>
      <w:r w:rsidR="00FB4E8C">
        <w:rPr>
          <w:rFonts w:asciiTheme="majorHAnsi" w:hAnsiTheme="majorHAnsi"/>
          <w:szCs w:val="22"/>
        </w:rPr>
        <w:t xml:space="preserve"> Other EU programs rely on the counter terrorism mechanisms employed by partners, such as UN agencies. EU humanitarian funding provided through the European Commission Humanitarian Organization does not include any counter-terrorism clauses or vetting, in accordance with the European Consensus on Humanitarian aid.</w:t>
      </w:r>
    </w:p>
    <w:p w:rsidR="00FB4E8C" w:rsidRDefault="00FB4E8C" w:rsidP="00FB4E8C">
      <w:pPr>
        <w:pStyle w:val="NoSpacing"/>
        <w:numPr>
          <w:ilvl w:val="0"/>
          <w:numId w:val="0"/>
        </w:numPr>
        <w:rPr>
          <w:rFonts w:asciiTheme="majorHAnsi" w:hAnsiTheme="majorHAnsi"/>
          <w:szCs w:val="22"/>
        </w:rPr>
      </w:pPr>
    </w:p>
    <w:p w:rsidR="00FB4E8C" w:rsidRDefault="00FB4E8C" w:rsidP="00FB4E8C">
      <w:pPr>
        <w:pStyle w:val="NoSpacing"/>
        <w:numPr>
          <w:ilvl w:val="0"/>
          <w:numId w:val="0"/>
        </w:numPr>
        <w:rPr>
          <w:rFonts w:asciiTheme="majorHAnsi" w:hAnsiTheme="majorHAnsi"/>
          <w:szCs w:val="22"/>
        </w:rPr>
      </w:pPr>
      <w:r>
        <w:rPr>
          <w:rFonts w:asciiTheme="majorHAnsi" w:hAnsiTheme="majorHAnsi"/>
          <w:szCs w:val="22"/>
        </w:rPr>
        <w:t xml:space="preserve">For the UK Department for International Development (DFID), UK law is generally interpreted as imposing a requirement on organisations. Work is currently underway within DFID to provide further guidance on how this requirement should be implemented at the program level. DFID generally manages counter-terrorism as part </w:t>
      </w:r>
      <w:r w:rsidR="00DF3A84">
        <w:rPr>
          <w:rFonts w:asciiTheme="majorHAnsi" w:hAnsiTheme="majorHAnsi"/>
          <w:szCs w:val="22"/>
        </w:rPr>
        <w:t>of its standard risk management, including through</w:t>
      </w:r>
      <w:r w:rsidR="009E16EE">
        <w:rPr>
          <w:rFonts w:asciiTheme="majorHAnsi" w:hAnsiTheme="majorHAnsi"/>
          <w:szCs w:val="22"/>
        </w:rPr>
        <w:t>:</w:t>
      </w:r>
    </w:p>
    <w:p w:rsidR="00DF3A84" w:rsidRDefault="00DF3A84" w:rsidP="00AE3AD1">
      <w:pPr>
        <w:pStyle w:val="NoSpacing"/>
        <w:numPr>
          <w:ilvl w:val="0"/>
          <w:numId w:val="41"/>
        </w:numPr>
        <w:rPr>
          <w:rFonts w:asciiTheme="majorHAnsi" w:hAnsiTheme="majorHAnsi"/>
          <w:szCs w:val="22"/>
        </w:rPr>
      </w:pPr>
      <w:r>
        <w:rPr>
          <w:rFonts w:asciiTheme="majorHAnsi" w:hAnsiTheme="majorHAnsi"/>
          <w:szCs w:val="22"/>
        </w:rPr>
        <w:t>a due diligence assessment that is used with partners when initiating a funding agreement, and</w:t>
      </w:r>
    </w:p>
    <w:p w:rsidR="00DF3A84" w:rsidRDefault="00DF3A84" w:rsidP="00AE3AD1">
      <w:pPr>
        <w:pStyle w:val="NoSpacing"/>
        <w:numPr>
          <w:ilvl w:val="0"/>
          <w:numId w:val="41"/>
        </w:numPr>
        <w:rPr>
          <w:rFonts w:asciiTheme="majorHAnsi" w:hAnsiTheme="majorHAnsi"/>
          <w:szCs w:val="22"/>
        </w:rPr>
      </w:pPr>
      <w:r>
        <w:rPr>
          <w:rFonts w:asciiTheme="majorHAnsi" w:hAnsiTheme="majorHAnsi"/>
          <w:szCs w:val="22"/>
        </w:rPr>
        <w:t>annual reviews and improvement plans carried out as part of routine program monitoring.</w:t>
      </w:r>
    </w:p>
    <w:p w:rsidR="0090228C" w:rsidRPr="00132DAA" w:rsidRDefault="0090228C" w:rsidP="0090228C">
      <w:pPr>
        <w:pStyle w:val="NoSpacing"/>
        <w:numPr>
          <w:ilvl w:val="0"/>
          <w:numId w:val="0"/>
        </w:numPr>
        <w:rPr>
          <w:rFonts w:asciiTheme="majorHAnsi" w:hAnsiTheme="majorHAnsi"/>
          <w:szCs w:val="22"/>
        </w:rPr>
      </w:pPr>
    </w:p>
    <w:p w:rsidR="0014559F" w:rsidRDefault="00E94D9D" w:rsidP="00E94D9D">
      <w:pPr>
        <w:widowControl w:val="0"/>
        <w:suppressAutoHyphens w:val="0"/>
        <w:spacing w:before="0" w:after="240" w:line="240" w:lineRule="auto"/>
        <w:ind w:left="0" w:firstLine="0"/>
        <w:jc w:val="left"/>
        <w:textAlignment w:val="auto"/>
        <w:rPr>
          <w:rFonts w:asciiTheme="majorHAnsi" w:eastAsiaTheme="minorEastAsia" w:hAnsiTheme="majorHAnsi" w:cs="Times"/>
          <w:color w:val="auto"/>
          <w:szCs w:val="22"/>
          <w:lang w:val="en-US"/>
        </w:rPr>
      </w:pPr>
      <w:r w:rsidRPr="00132DAA">
        <w:rPr>
          <w:rFonts w:asciiTheme="majorHAnsi" w:hAnsiTheme="majorHAnsi"/>
          <w:szCs w:val="22"/>
        </w:rPr>
        <w:t xml:space="preserve">While Australia does not have similar procedural guidance to that of USAID, it appears to have the second most clearly developed set of guidance for partners relating to counter-terrorism. This includes the </w:t>
      </w:r>
      <w:r w:rsidRPr="00132DAA">
        <w:rPr>
          <w:rFonts w:asciiTheme="majorHAnsi" w:eastAsiaTheme="minorEastAsia" w:hAnsiTheme="majorHAnsi" w:cs="Times"/>
          <w:color w:val="auto"/>
          <w:szCs w:val="22"/>
          <w:lang w:val="en-US"/>
        </w:rPr>
        <w:t>Guidelines for Strengthening Counter-Terrorism Measures in the Australian Aid Program, general guidance for non-profit organisations “Safeguarding your organization against terrorist financing: a guidance for Non-profit organizations”, and the minimum standards outlined in the AMENCA contract amendment.</w:t>
      </w:r>
    </w:p>
    <w:p w:rsidR="0014559F" w:rsidRDefault="0014559F">
      <w:pPr>
        <w:suppressAutoHyphens w:val="0"/>
        <w:autoSpaceDE/>
        <w:autoSpaceDN/>
        <w:adjustRightInd/>
        <w:spacing w:before="0" w:after="0" w:line="240" w:lineRule="auto"/>
        <w:ind w:left="0" w:firstLine="0"/>
        <w:jc w:val="left"/>
        <w:textAlignment w:val="auto"/>
        <w:rPr>
          <w:rFonts w:asciiTheme="majorHAnsi" w:eastAsiaTheme="minorEastAsia" w:hAnsiTheme="majorHAnsi" w:cs="Times"/>
          <w:color w:val="auto"/>
          <w:szCs w:val="22"/>
          <w:lang w:val="en-US"/>
        </w:rPr>
      </w:pPr>
      <w:r>
        <w:rPr>
          <w:rFonts w:asciiTheme="majorHAnsi" w:eastAsiaTheme="minorEastAsia" w:hAnsiTheme="majorHAnsi" w:cs="Times"/>
          <w:lang w:val="en-US"/>
        </w:rPr>
        <w:br w:type="page"/>
      </w:r>
    </w:p>
    <w:p w:rsidR="00E94D9D" w:rsidRPr="0014559F" w:rsidRDefault="0014559F" w:rsidP="0014559F">
      <w:pPr>
        <w:pStyle w:val="ListParagraph"/>
        <w:widowControl w:val="0"/>
        <w:numPr>
          <w:ilvl w:val="0"/>
          <w:numId w:val="14"/>
        </w:numPr>
        <w:spacing w:after="240" w:line="240" w:lineRule="auto"/>
        <w:jc w:val="left"/>
        <w:rPr>
          <w:rFonts w:asciiTheme="majorHAnsi" w:eastAsiaTheme="minorEastAsia" w:hAnsiTheme="majorHAnsi" w:cs="Times"/>
          <w:lang w:val="en-US"/>
        </w:rPr>
      </w:pPr>
      <w:r>
        <w:rPr>
          <w:rFonts w:asciiTheme="majorHAnsi" w:eastAsiaTheme="minorEastAsia" w:hAnsiTheme="majorHAnsi" w:cs="Times"/>
          <w:lang w:val="en-US"/>
        </w:rPr>
        <w:t>CONCLUSIONS AND RECOMMENDATIONS</w:t>
      </w:r>
    </w:p>
    <w:p w:rsidR="00E94D9D" w:rsidRPr="0014559F" w:rsidRDefault="00132DAA" w:rsidP="00846FF1">
      <w:pPr>
        <w:widowControl w:val="0"/>
        <w:shd w:val="clear" w:color="auto" w:fill="4F81BD" w:themeFill="accent1"/>
        <w:suppressAutoHyphens w:val="0"/>
        <w:spacing w:before="0" w:after="240" w:line="240" w:lineRule="auto"/>
        <w:ind w:left="0" w:firstLine="0"/>
        <w:jc w:val="left"/>
        <w:textAlignment w:val="auto"/>
        <w:rPr>
          <w:rFonts w:asciiTheme="minorHAnsi" w:hAnsiTheme="minorHAnsi"/>
          <w:b/>
          <w:color w:val="FFFFFF" w:themeColor="background1"/>
          <w:sz w:val="24"/>
          <w:szCs w:val="24"/>
        </w:rPr>
      </w:pPr>
      <w:r w:rsidRPr="0014559F">
        <w:rPr>
          <w:rFonts w:asciiTheme="minorHAnsi" w:hAnsiTheme="minorHAnsi"/>
          <w:b/>
          <w:color w:val="FFFFFF" w:themeColor="background1"/>
          <w:sz w:val="24"/>
          <w:szCs w:val="24"/>
        </w:rPr>
        <w:t>Conclusions</w:t>
      </w:r>
    </w:p>
    <w:p w:rsidR="00AD4094" w:rsidRPr="00564830" w:rsidRDefault="00846FF1" w:rsidP="004E160B">
      <w:pPr>
        <w:widowControl w:val="0"/>
        <w:suppressAutoHyphens w:val="0"/>
        <w:spacing w:before="0" w:after="240" w:line="240" w:lineRule="auto"/>
        <w:ind w:left="0" w:firstLine="0"/>
        <w:jc w:val="left"/>
        <w:textAlignment w:val="auto"/>
        <w:rPr>
          <w:rFonts w:asciiTheme="majorHAnsi" w:hAnsiTheme="majorHAnsi"/>
        </w:rPr>
      </w:pPr>
      <w:r w:rsidRPr="00564830">
        <w:rPr>
          <w:rFonts w:asciiTheme="majorHAnsi" w:hAnsiTheme="majorHAnsi"/>
        </w:rPr>
        <w:t xml:space="preserve">The Risk Management Review found that: </w:t>
      </w:r>
    </w:p>
    <w:p w:rsidR="00846FF1" w:rsidRDefault="00846FF1" w:rsidP="00564830">
      <w:pPr>
        <w:pStyle w:val="ListParagraph"/>
        <w:widowControl w:val="0"/>
        <w:numPr>
          <w:ilvl w:val="0"/>
          <w:numId w:val="31"/>
        </w:numPr>
        <w:spacing w:after="240" w:line="240" w:lineRule="auto"/>
        <w:jc w:val="left"/>
        <w:rPr>
          <w:rFonts w:asciiTheme="majorHAnsi" w:hAnsiTheme="majorHAnsi"/>
        </w:rPr>
      </w:pPr>
      <w:r w:rsidRPr="00564830">
        <w:rPr>
          <w:rFonts w:asciiTheme="majorHAnsi" w:hAnsiTheme="majorHAnsi"/>
        </w:rPr>
        <w:t>Risk management systems within AMENCA appear to be comprehensive and appropriate for the program</w:t>
      </w:r>
      <w:r w:rsidR="009E16EE">
        <w:rPr>
          <w:rFonts w:asciiTheme="majorHAnsi" w:hAnsiTheme="majorHAnsi"/>
        </w:rPr>
        <w:t>.</w:t>
      </w:r>
    </w:p>
    <w:p w:rsidR="00564830" w:rsidRPr="00564830" w:rsidRDefault="00564830" w:rsidP="00564830">
      <w:pPr>
        <w:pStyle w:val="ListParagraph"/>
        <w:widowControl w:val="0"/>
        <w:tabs>
          <w:tab w:val="clear" w:pos="454"/>
        </w:tabs>
        <w:spacing w:after="240" w:line="240" w:lineRule="auto"/>
        <w:ind w:left="360" w:firstLine="0"/>
        <w:jc w:val="left"/>
        <w:rPr>
          <w:rFonts w:asciiTheme="majorHAnsi" w:hAnsiTheme="majorHAnsi"/>
        </w:rPr>
      </w:pPr>
    </w:p>
    <w:p w:rsidR="00564830" w:rsidRPr="004D57C9" w:rsidRDefault="00846FF1" w:rsidP="00564830">
      <w:pPr>
        <w:pStyle w:val="ListParagraph"/>
        <w:widowControl w:val="0"/>
        <w:numPr>
          <w:ilvl w:val="0"/>
          <w:numId w:val="31"/>
        </w:numPr>
        <w:spacing w:after="240" w:line="240" w:lineRule="auto"/>
        <w:jc w:val="left"/>
        <w:rPr>
          <w:rFonts w:asciiTheme="majorHAnsi" w:hAnsiTheme="majorHAnsi"/>
        </w:rPr>
      </w:pPr>
      <w:r w:rsidRPr="004D57C9">
        <w:rPr>
          <w:rFonts w:asciiTheme="majorHAnsi" w:hAnsiTheme="majorHAnsi"/>
        </w:rPr>
        <w:t xml:space="preserve">Financial management systems of </w:t>
      </w:r>
      <w:r w:rsidR="009E16EE" w:rsidRPr="004D57C9">
        <w:rPr>
          <w:rFonts w:asciiTheme="majorHAnsi" w:hAnsiTheme="majorHAnsi"/>
        </w:rPr>
        <w:t>implementing partners</w:t>
      </w:r>
      <w:r w:rsidRPr="004D57C9">
        <w:rPr>
          <w:rFonts w:asciiTheme="majorHAnsi" w:hAnsiTheme="majorHAnsi"/>
        </w:rPr>
        <w:t xml:space="preserve"> appear to be well documented, robust and heavily scrutinised by a variety of authorities</w:t>
      </w:r>
      <w:r w:rsidR="009E16EE" w:rsidRPr="004D57C9">
        <w:rPr>
          <w:rFonts w:asciiTheme="majorHAnsi" w:hAnsiTheme="majorHAnsi"/>
        </w:rPr>
        <w:t>.</w:t>
      </w:r>
    </w:p>
    <w:p w:rsidR="00564830" w:rsidRPr="004D57C9" w:rsidRDefault="00564830" w:rsidP="00564830">
      <w:pPr>
        <w:pStyle w:val="ListParagraph"/>
        <w:widowControl w:val="0"/>
        <w:tabs>
          <w:tab w:val="clear" w:pos="454"/>
        </w:tabs>
        <w:spacing w:after="240" w:line="240" w:lineRule="auto"/>
        <w:ind w:left="360" w:firstLine="0"/>
        <w:jc w:val="left"/>
        <w:rPr>
          <w:rFonts w:asciiTheme="majorHAnsi" w:hAnsiTheme="majorHAnsi"/>
        </w:rPr>
      </w:pPr>
    </w:p>
    <w:p w:rsidR="00846FF1" w:rsidRPr="004D57C9" w:rsidRDefault="00846FF1" w:rsidP="00564830">
      <w:pPr>
        <w:pStyle w:val="ListParagraph"/>
        <w:widowControl w:val="0"/>
        <w:numPr>
          <w:ilvl w:val="0"/>
          <w:numId w:val="31"/>
        </w:numPr>
        <w:spacing w:after="240" w:line="240" w:lineRule="auto"/>
        <w:jc w:val="left"/>
        <w:rPr>
          <w:rFonts w:asciiTheme="majorHAnsi" w:hAnsiTheme="majorHAnsi"/>
        </w:rPr>
      </w:pPr>
      <w:r w:rsidRPr="004D57C9">
        <w:rPr>
          <w:rFonts w:asciiTheme="majorHAnsi" w:hAnsiTheme="majorHAnsi"/>
        </w:rPr>
        <w:t xml:space="preserve">DFAT’s approach to counter terrorism has acknowledged the sensitivity of the issue in the context of the Palestinian Territories and has been able to achieve a comprehensive approach to the management of counter terrorism risk in consultation with its partners. </w:t>
      </w:r>
    </w:p>
    <w:p w:rsidR="00564830" w:rsidRPr="004D57C9" w:rsidRDefault="00564830" w:rsidP="00564830">
      <w:pPr>
        <w:pStyle w:val="ListParagraph"/>
        <w:widowControl w:val="0"/>
        <w:tabs>
          <w:tab w:val="clear" w:pos="454"/>
        </w:tabs>
        <w:spacing w:after="240" w:line="240" w:lineRule="auto"/>
        <w:ind w:left="360" w:firstLine="0"/>
        <w:jc w:val="left"/>
        <w:rPr>
          <w:rFonts w:asciiTheme="majorHAnsi" w:hAnsiTheme="majorHAnsi"/>
        </w:rPr>
      </w:pPr>
    </w:p>
    <w:p w:rsidR="00846FF1" w:rsidRPr="004D57C9" w:rsidRDefault="00F154B0" w:rsidP="00564830">
      <w:pPr>
        <w:pStyle w:val="ListParagraph"/>
        <w:widowControl w:val="0"/>
        <w:numPr>
          <w:ilvl w:val="0"/>
          <w:numId w:val="31"/>
        </w:numPr>
        <w:spacing w:after="240" w:line="240" w:lineRule="auto"/>
        <w:jc w:val="left"/>
        <w:rPr>
          <w:rFonts w:asciiTheme="majorHAnsi" w:hAnsiTheme="majorHAnsi"/>
        </w:rPr>
      </w:pPr>
      <w:r w:rsidRPr="004D57C9">
        <w:rPr>
          <w:rFonts w:asciiTheme="majorHAnsi" w:hAnsiTheme="majorHAnsi"/>
        </w:rPr>
        <w:t xml:space="preserve">There are some </w:t>
      </w:r>
      <w:r w:rsidR="00846FF1" w:rsidRPr="004D57C9">
        <w:rPr>
          <w:rFonts w:asciiTheme="majorHAnsi" w:hAnsiTheme="majorHAnsi"/>
        </w:rPr>
        <w:t xml:space="preserve">contractual obligations </w:t>
      </w:r>
      <w:r w:rsidRPr="004D57C9">
        <w:rPr>
          <w:rFonts w:asciiTheme="majorHAnsi" w:hAnsiTheme="majorHAnsi"/>
        </w:rPr>
        <w:t xml:space="preserve">which </w:t>
      </w:r>
      <w:r w:rsidR="009E16EE" w:rsidRPr="004D57C9">
        <w:rPr>
          <w:rFonts w:asciiTheme="majorHAnsi" w:hAnsiTheme="majorHAnsi"/>
        </w:rPr>
        <w:t>are not</w:t>
      </w:r>
      <w:r w:rsidRPr="004D57C9">
        <w:rPr>
          <w:rFonts w:asciiTheme="majorHAnsi" w:hAnsiTheme="majorHAnsi"/>
        </w:rPr>
        <w:t xml:space="preserve"> </w:t>
      </w:r>
      <w:r w:rsidR="00AE3AD1" w:rsidRPr="004D57C9">
        <w:rPr>
          <w:rFonts w:asciiTheme="majorHAnsi" w:hAnsiTheme="majorHAnsi"/>
        </w:rPr>
        <w:t>explicitly addressed</w:t>
      </w:r>
      <w:r w:rsidRPr="004D57C9">
        <w:rPr>
          <w:rFonts w:asciiTheme="majorHAnsi" w:hAnsiTheme="majorHAnsi"/>
        </w:rPr>
        <w:t xml:space="preserve"> in agreements with </w:t>
      </w:r>
      <w:r w:rsidR="009E16EE" w:rsidRPr="004D57C9">
        <w:rPr>
          <w:rFonts w:asciiTheme="majorHAnsi" w:hAnsiTheme="majorHAnsi"/>
        </w:rPr>
        <w:t>second and third tier partners</w:t>
      </w:r>
      <w:r w:rsidR="00AE3AD1" w:rsidRPr="004D57C9">
        <w:rPr>
          <w:rFonts w:asciiTheme="majorHAnsi" w:hAnsiTheme="majorHAnsi"/>
        </w:rPr>
        <w:t xml:space="preserve"> – these relate to the risk areas of fraud, corruption, conflict of interest and mandatory incident reporting</w:t>
      </w:r>
      <w:r w:rsidR="00846FF1" w:rsidRPr="004D57C9">
        <w:rPr>
          <w:rFonts w:asciiTheme="majorHAnsi" w:hAnsiTheme="majorHAnsi"/>
        </w:rPr>
        <w:t xml:space="preserve">. In the absence of these contractual clauses, Australian NGOs and </w:t>
      </w:r>
      <w:r w:rsidR="009E16EE" w:rsidRPr="004D57C9">
        <w:rPr>
          <w:rFonts w:asciiTheme="majorHAnsi" w:hAnsiTheme="majorHAnsi"/>
        </w:rPr>
        <w:t>implementing partners</w:t>
      </w:r>
      <w:r w:rsidR="00846FF1" w:rsidRPr="004D57C9">
        <w:rPr>
          <w:rFonts w:asciiTheme="majorHAnsi" w:hAnsiTheme="majorHAnsi"/>
        </w:rPr>
        <w:t xml:space="preserve"> have demonstrated their awareness of key obligations and </w:t>
      </w:r>
      <w:r w:rsidR="00FB552C" w:rsidRPr="004D57C9">
        <w:rPr>
          <w:rFonts w:asciiTheme="majorHAnsi" w:hAnsiTheme="majorHAnsi"/>
        </w:rPr>
        <w:t xml:space="preserve">described </w:t>
      </w:r>
      <w:r w:rsidR="00846FF1" w:rsidRPr="004D57C9">
        <w:rPr>
          <w:rFonts w:asciiTheme="majorHAnsi" w:hAnsiTheme="majorHAnsi"/>
        </w:rPr>
        <w:t xml:space="preserve">risk management systems that would enable them to meet DFAT contractual requirements. </w:t>
      </w:r>
    </w:p>
    <w:p w:rsidR="00564830" w:rsidRPr="004D57C9" w:rsidRDefault="00564830" w:rsidP="00564830">
      <w:pPr>
        <w:pStyle w:val="ListParagraph"/>
        <w:widowControl w:val="0"/>
        <w:tabs>
          <w:tab w:val="clear" w:pos="454"/>
        </w:tabs>
        <w:spacing w:after="240" w:line="240" w:lineRule="auto"/>
        <w:ind w:left="360" w:firstLine="0"/>
        <w:jc w:val="left"/>
        <w:rPr>
          <w:rFonts w:asciiTheme="majorHAnsi" w:hAnsiTheme="majorHAnsi"/>
        </w:rPr>
      </w:pPr>
    </w:p>
    <w:p w:rsidR="00846FF1" w:rsidRPr="0014559F" w:rsidRDefault="00163B20" w:rsidP="00564830">
      <w:pPr>
        <w:pStyle w:val="ListParagraph"/>
        <w:widowControl w:val="0"/>
        <w:numPr>
          <w:ilvl w:val="0"/>
          <w:numId w:val="31"/>
        </w:numPr>
        <w:spacing w:after="240" w:line="240" w:lineRule="auto"/>
        <w:jc w:val="left"/>
      </w:pPr>
      <w:r w:rsidRPr="004D57C9">
        <w:rPr>
          <w:rFonts w:asciiTheme="majorHAnsi" w:hAnsiTheme="majorHAnsi"/>
        </w:rPr>
        <w:t>Australia’</w:t>
      </w:r>
      <w:r w:rsidR="009D4323" w:rsidRPr="004D57C9">
        <w:rPr>
          <w:rFonts w:asciiTheme="majorHAnsi" w:hAnsiTheme="majorHAnsi"/>
        </w:rPr>
        <w:t xml:space="preserve">s approach to </w:t>
      </w:r>
      <w:r w:rsidR="003A5F9D" w:rsidRPr="004D57C9">
        <w:rPr>
          <w:rFonts w:asciiTheme="majorHAnsi" w:hAnsiTheme="majorHAnsi"/>
        </w:rPr>
        <w:t>counter terrorism</w:t>
      </w:r>
      <w:r w:rsidR="009D4323" w:rsidRPr="004D57C9">
        <w:rPr>
          <w:rFonts w:asciiTheme="majorHAnsi" w:hAnsiTheme="majorHAnsi"/>
        </w:rPr>
        <w:t xml:space="preserve"> is similar to that of Canada. In both cases, vetting of organisations and key individuals is a requirement</w:t>
      </w:r>
      <w:r w:rsidR="003A5F9D" w:rsidRPr="004D57C9">
        <w:rPr>
          <w:rFonts w:asciiTheme="majorHAnsi" w:hAnsiTheme="majorHAnsi"/>
        </w:rPr>
        <w:t xml:space="preserve"> and first tier partners are expected to include counter terrorism clauses in their agreements with second tier partners</w:t>
      </w:r>
      <w:r w:rsidR="009D4323" w:rsidRPr="004D57C9">
        <w:rPr>
          <w:rFonts w:asciiTheme="majorHAnsi" w:hAnsiTheme="majorHAnsi"/>
        </w:rPr>
        <w:t xml:space="preserve">. </w:t>
      </w:r>
    </w:p>
    <w:p w:rsidR="00414D40" w:rsidRPr="0014559F" w:rsidRDefault="00414D40" w:rsidP="0014559F">
      <w:pPr>
        <w:pStyle w:val="ListParagraph"/>
        <w:widowControl w:val="0"/>
        <w:tabs>
          <w:tab w:val="clear" w:pos="454"/>
        </w:tabs>
        <w:spacing w:after="240" w:line="240" w:lineRule="auto"/>
        <w:ind w:left="360" w:firstLine="0"/>
        <w:jc w:val="left"/>
        <w:rPr>
          <w:rFonts w:asciiTheme="minorHAnsi" w:hAnsiTheme="minorHAnsi"/>
          <w:b/>
        </w:rPr>
      </w:pPr>
    </w:p>
    <w:p w:rsidR="00414D40" w:rsidRPr="0014559F" w:rsidRDefault="00414D40" w:rsidP="00414D40">
      <w:pPr>
        <w:widowControl w:val="0"/>
        <w:shd w:val="clear" w:color="auto" w:fill="4F81BD" w:themeFill="accent1"/>
        <w:suppressAutoHyphens w:val="0"/>
        <w:spacing w:before="0" w:after="240" w:line="240" w:lineRule="auto"/>
        <w:ind w:left="0" w:firstLine="0"/>
        <w:jc w:val="left"/>
        <w:textAlignment w:val="auto"/>
        <w:rPr>
          <w:rFonts w:asciiTheme="minorHAnsi" w:hAnsiTheme="minorHAnsi"/>
          <w:b/>
          <w:color w:val="FFFFFF" w:themeColor="background1"/>
          <w:sz w:val="24"/>
          <w:szCs w:val="24"/>
        </w:rPr>
      </w:pPr>
      <w:r w:rsidRPr="0014559F">
        <w:rPr>
          <w:rFonts w:asciiTheme="minorHAnsi" w:hAnsiTheme="minorHAnsi"/>
          <w:b/>
          <w:color w:val="FFFFFF" w:themeColor="background1"/>
          <w:sz w:val="24"/>
          <w:szCs w:val="24"/>
        </w:rPr>
        <w:t xml:space="preserve">Recommendations </w:t>
      </w:r>
    </w:p>
    <w:p w:rsidR="00414D40" w:rsidRPr="004D57C9" w:rsidRDefault="00414D40" w:rsidP="0014559F">
      <w:pPr>
        <w:widowControl w:val="0"/>
        <w:spacing w:after="240" w:line="240" w:lineRule="auto"/>
        <w:jc w:val="left"/>
      </w:pPr>
      <w:r>
        <w:t xml:space="preserve">The Risk Management Review has identified only one recommendation: </w:t>
      </w:r>
    </w:p>
    <w:p w:rsidR="00414D40" w:rsidRPr="004D57C9" w:rsidRDefault="00414D40" w:rsidP="00414D40">
      <w:pPr>
        <w:pStyle w:val="ListParagraph"/>
        <w:widowControl w:val="0"/>
        <w:numPr>
          <w:ilvl w:val="0"/>
          <w:numId w:val="31"/>
        </w:numPr>
        <w:spacing w:after="240" w:line="240" w:lineRule="auto"/>
        <w:jc w:val="left"/>
        <w:rPr>
          <w:rFonts w:asciiTheme="majorHAnsi" w:hAnsiTheme="majorHAnsi"/>
        </w:rPr>
      </w:pPr>
      <w:r>
        <w:rPr>
          <w:rFonts w:asciiTheme="majorHAnsi" w:hAnsiTheme="majorHAnsi"/>
        </w:rPr>
        <w:t xml:space="preserve">That </w:t>
      </w:r>
      <w:r w:rsidRPr="004D57C9">
        <w:rPr>
          <w:rFonts w:asciiTheme="majorHAnsi" w:hAnsiTheme="majorHAnsi"/>
        </w:rPr>
        <w:t xml:space="preserve">AMENCA </w:t>
      </w:r>
      <w:r>
        <w:rPr>
          <w:rFonts w:asciiTheme="majorHAnsi" w:hAnsiTheme="majorHAnsi"/>
        </w:rPr>
        <w:t xml:space="preserve">should </w:t>
      </w:r>
      <w:r w:rsidR="00C211A7">
        <w:rPr>
          <w:rFonts w:asciiTheme="majorHAnsi" w:hAnsiTheme="majorHAnsi"/>
        </w:rPr>
        <w:t xml:space="preserve">work with ANGO partners to </w:t>
      </w:r>
      <w:r>
        <w:rPr>
          <w:rFonts w:asciiTheme="majorHAnsi" w:hAnsiTheme="majorHAnsi"/>
        </w:rPr>
        <w:t>undertake a</w:t>
      </w:r>
      <w:r w:rsidRPr="004D57C9">
        <w:rPr>
          <w:rFonts w:asciiTheme="majorHAnsi" w:hAnsiTheme="majorHAnsi"/>
        </w:rPr>
        <w:t xml:space="preserve"> risk assessment related to child protection and </w:t>
      </w:r>
      <w:r>
        <w:rPr>
          <w:rFonts w:asciiTheme="majorHAnsi" w:hAnsiTheme="majorHAnsi"/>
        </w:rPr>
        <w:t>increase capacity among implementing partners</w:t>
      </w:r>
      <w:r w:rsidR="00C211A7">
        <w:rPr>
          <w:rFonts w:asciiTheme="majorHAnsi" w:hAnsiTheme="majorHAnsi"/>
        </w:rPr>
        <w:t xml:space="preserve">. </w:t>
      </w:r>
      <w:r>
        <w:rPr>
          <w:rFonts w:asciiTheme="majorHAnsi" w:hAnsiTheme="majorHAnsi"/>
        </w:rPr>
        <w:t xml:space="preserve"> </w:t>
      </w:r>
    </w:p>
    <w:p w:rsidR="00414D40" w:rsidRPr="004D57C9" w:rsidRDefault="00414D40" w:rsidP="00414D40">
      <w:pPr>
        <w:pStyle w:val="ListParagraph"/>
        <w:widowControl w:val="0"/>
        <w:tabs>
          <w:tab w:val="clear" w:pos="454"/>
        </w:tabs>
        <w:spacing w:after="240" w:line="240" w:lineRule="auto"/>
        <w:ind w:left="360" w:firstLine="0"/>
        <w:jc w:val="left"/>
      </w:pPr>
    </w:p>
    <w:p w:rsidR="00846FF1" w:rsidRDefault="00846FF1" w:rsidP="004E160B">
      <w:pPr>
        <w:widowControl w:val="0"/>
        <w:suppressAutoHyphens w:val="0"/>
        <w:spacing w:before="0" w:after="240" w:line="240" w:lineRule="auto"/>
        <w:ind w:left="0" w:firstLine="0"/>
        <w:jc w:val="left"/>
        <w:textAlignment w:val="auto"/>
      </w:pPr>
    </w:p>
    <w:p w:rsidR="00846FF1" w:rsidRPr="004E160B" w:rsidRDefault="00846FF1" w:rsidP="004E160B">
      <w:pPr>
        <w:widowControl w:val="0"/>
        <w:suppressAutoHyphens w:val="0"/>
        <w:spacing w:before="0" w:after="240" w:line="240" w:lineRule="auto"/>
        <w:ind w:left="0" w:firstLine="0"/>
        <w:jc w:val="left"/>
        <w:textAlignment w:val="auto"/>
      </w:pPr>
    </w:p>
    <w:p w:rsidR="007F01BD" w:rsidRPr="004E160B" w:rsidRDefault="007F01BD" w:rsidP="008F5F20">
      <w:pPr>
        <w:ind w:left="0" w:firstLine="0"/>
      </w:pPr>
    </w:p>
    <w:p w:rsidR="007F01BD" w:rsidRDefault="007F01BD" w:rsidP="008F5F20">
      <w:pPr>
        <w:ind w:left="0" w:firstLine="0"/>
        <w:rPr>
          <w:rFonts w:asciiTheme="majorHAnsi" w:hAnsiTheme="majorHAnsi"/>
        </w:rPr>
      </w:pPr>
      <w:r>
        <w:rPr>
          <w:rFonts w:asciiTheme="majorHAnsi" w:hAnsiTheme="majorHAnsi"/>
        </w:rPr>
        <w:t xml:space="preserve"> </w:t>
      </w:r>
    </w:p>
    <w:p w:rsidR="0039451F" w:rsidRDefault="0039451F" w:rsidP="008F5F20">
      <w:pPr>
        <w:ind w:left="0" w:firstLine="0"/>
        <w:rPr>
          <w:rFonts w:asciiTheme="majorHAnsi" w:hAnsiTheme="majorHAnsi"/>
        </w:rPr>
      </w:pPr>
    </w:p>
    <w:p w:rsidR="003F54E0" w:rsidRDefault="003F54E0" w:rsidP="00B14A64">
      <w:pPr>
        <w:suppressAutoHyphens w:val="0"/>
        <w:autoSpaceDE/>
        <w:autoSpaceDN/>
        <w:adjustRightInd/>
        <w:spacing w:before="0" w:after="0" w:line="240" w:lineRule="auto"/>
        <w:ind w:left="0" w:firstLine="0"/>
        <w:jc w:val="left"/>
        <w:textAlignment w:val="auto"/>
      </w:pPr>
      <w:r>
        <w:br w:type="page"/>
      </w:r>
    </w:p>
    <w:p w:rsidR="00F13F84" w:rsidRDefault="00F13F84" w:rsidP="003F54E0">
      <w:pPr>
        <w:ind w:left="0" w:firstLine="0"/>
      </w:pPr>
    </w:p>
    <w:p w:rsidR="005E6356" w:rsidRPr="005E6356" w:rsidRDefault="005E6356" w:rsidP="00A67642">
      <w:pPr>
        <w:pStyle w:val="Heading1"/>
        <w:shd w:val="clear" w:color="auto" w:fill="4F81BD" w:themeFill="accent1"/>
        <w:ind w:left="0" w:firstLine="0"/>
        <w:jc w:val="left"/>
        <w:rPr>
          <w:rFonts w:asciiTheme="minorHAnsi" w:hAnsiTheme="minorHAnsi" w:cstheme="minorHAnsi"/>
          <w:b w:val="0"/>
          <w:color w:val="FFFFFF" w:themeColor="background1"/>
          <w:spacing w:val="5"/>
          <w:kern w:val="28"/>
          <w:sz w:val="24"/>
          <w:szCs w:val="24"/>
        </w:rPr>
      </w:pPr>
      <w:r w:rsidRPr="005E6356">
        <w:rPr>
          <w:color w:val="FFFFFF" w:themeColor="background1"/>
          <w:sz w:val="24"/>
          <w:szCs w:val="24"/>
        </w:rPr>
        <w:t>Annex A - Risk Management Review of the Austra</w:t>
      </w:r>
      <w:r>
        <w:rPr>
          <w:color w:val="FFFFFF" w:themeColor="background1"/>
          <w:sz w:val="24"/>
          <w:szCs w:val="24"/>
        </w:rPr>
        <w:t xml:space="preserve">lia Middle–East NGO Cooperation Agreement </w:t>
      </w:r>
      <w:r w:rsidRPr="005E6356">
        <w:rPr>
          <w:color w:val="FFFFFF" w:themeColor="background1"/>
          <w:sz w:val="24"/>
          <w:szCs w:val="24"/>
        </w:rPr>
        <w:t>Review Plan</w:t>
      </w:r>
    </w:p>
    <w:p w:rsidR="005E6356" w:rsidRPr="005E6356" w:rsidRDefault="005E6356" w:rsidP="005E6356">
      <w:pPr>
        <w:pStyle w:val="Heading1"/>
        <w:rPr>
          <w:sz w:val="22"/>
          <w:szCs w:val="22"/>
        </w:rPr>
      </w:pPr>
      <w:bookmarkStart w:id="0" w:name="_Toc365446350"/>
      <w:r w:rsidRPr="005E6356">
        <w:rPr>
          <w:sz w:val="22"/>
          <w:szCs w:val="22"/>
        </w:rPr>
        <w:t>Introduction</w:t>
      </w:r>
      <w:bookmarkEnd w:id="0"/>
    </w:p>
    <w:p w:rsidR="005E6356" w:rsidRPr="005E6356" w:rsidRDefault="005E6356" w:rsidP="005E6356">
      <w:pPr>
        <w:numPr>
          <w:ilvl w:val="0"/>
          <w:numId w:val="3"/>
        </w:numPr>
        <w:ind w:left="720"/>
        <w:rPr>
          <w:szCs w:val="22"/>
        </w:rPr>
      </w:pPr>
      <w:r w:rsidRPr="005E6356">
        <w:rPr>
          <w:szCs w:val="22"/>
        </w:rPr>
        <w:t xml:space="preserve">This Review Plan describes the focus and scope of the risk management review and the methods that will be used to generate evidence to address the review purpose and answer the review questions. It builds on the Terms of Reference, a preliminary review of background documents, and initial briefings from Department of Foreign Affairs and Trade staff. </w:t>
      </w:r>
    </w:p>
    <w:p w:rsidR="005E6356" w:rsidRPr="005E6356" w:rsidRDefault="005E6356" w:rsidP="005E6356">
      <w:pPr>
        <w:numPr>
          <w:ilvl w:val="0"/>
          <w:numId w:val="3"/>
        </w:numPr>
        <w:ind w:left="720"/>
        <w:rPr>
          <w:szCs w:val="22"/>
        </w:rPr>
      </w:pPr>
      <w:r w:rsidRPr="005E6356">
        <w:rPr>
          <w:szCs w:val="22"/>
        </w:rPr>
        <w:t xml:space="preserve">This risk management review will focus on assessing and understanding the effectiveness of the risk management and financial accountability systems between Australian NGOs (ANGOs) and their Palestinian partners in providing assurance to DFAT that program risks are identified and managed. The effectiveness of systems will be examined through focussing on four main areas: risk management measures within AMENCA partner agreements; ANGO and Palestinian partner systems to ensure compliance with Counter-Terrorism requirements; systems within the program to identify and mitigate risks; and the application of risk management requirements at the project and program level. </w:t>
      </w:r>
    </w:p>
    <w:p w:rsidR="005E6356" w:rsidRPr="005E6356" w:rsidRDefault="005E6356" w:rsidP="005E6356">
      <w:pPr>
        <w:numPr>
          <w:ilvl w:val="0"/>
          <w:numId w:val="3"/>
        </w:numPr>
        <w:ind w:left="720"/>
        <w:rPr>
          <w:szCs w:val="22"/>
        </w:rPr>
      </w:pPr>
      <w:r w:rsidRPr="005E6356">
        <w:rPr>
          <w:szCs w:val="22"/>
        </w:rPr>
        <w:t xml:space="preserve">The review will also explore what risk management systems are acceptable to other key donors. In particular, the review will examine whether other donors have systems for undertaking checks against a proscribed list, vetting partner organisation and key individuals, registration renewal, expenditure control, and financial audits. </w:t>
      </w:r>
    </w:p>
    <w:p w:rsidR="005E6356" w:rsidRPr="005E6356" w:rsidRDefault="005E6356" w:rsidP="005E6356">
      <w:pPr>
        <w:numPr>
          <w:ilvl w:val="0"/>
          <w:numId w:val="3"/>
        </w:numPr>
        <w:ind w:left="720"/>
        <w:rPr>
          <w:szCs w:val="22"/>
        </w:rPr>
      </w:pPr>
      <w:r w:rsidRPr="005E6356">
        <w:rPr>
          <w:szCs w:val="22"/>
        </w:rPr>
        <w:t xml:space="preserve">The review plan sets out the descriptive mixed methods approach, founded on a systems approach to review. Multiple methods and data sources will be used to provide evidence of risk management, both by Australian NGOs and their Palestinian partners. The in-country component of the review will include in-depth, semi-structured interviews of DFAT stakeholders in the PTs; and staff of the counterpart Palestinian NGOs. It will also include a review of program documentation, systems and practices undertaken by ANGOs and their Palestinian partners. On return from the PTs, follow-up phone interviews with Australian NGOs may be held as required. </w:t>
      </w:r>
    </w:p>
    <w:p w:rsidR="005E6356" w:rsidRPr="005E6356" w:rsidRDefault="005E6356" w:rsidP="005E6356">
      <w:pPr>
        <w:pStyle w:val="Heading2"/>
        <w:rPr>
          <w:sz w:val="22"/>
          <w:szCs w:val="22"/>
        </w:rPr>
      </w:pPr>
      <w:bookmarkStart w:id="1" w:name="_Toc365446351"/>
      <w:r w:rsidRPr="005E6356">
        <w:rPr>
          <w:sz w:val="22"/>
          <w:szCs w:val="22"/>
        </w:rPr>
        <w:t>Background</w:t>
      </w:r>
      <w:bookmarkEnd w:id="1"/>
    </w:p>
    <w:p w:rsidR="005E6356" w:rsidRPr="005E6356" w:rsidRDefault="005E6356" w:rsidP="005E6356">
      <w:pPr>
        <w:numPr>
          <w:ilvl w:val="0"/>
          <w:numId w:val="3"/>
        </w:numPr>
        <w:ind w:left="720"/>
        <w:rPr>
          <w:rFonts w:asciiTheme="minorHAnsi" w:hAnsiTheme="minorHAnsi"/>
          <w:szCs w:val="22"/>
        </w:rPr>
      </w:pPr>
      <w:r w:rsidRPr="005E6356">
        <w:rPr>
          <w:szCs w:val="22"/>
        </w:rPr>
        <w:t xml:space="preserve">As part of Australia’s overall contribution to the Palestinian Territories, the Australia Middle-East NGOs Cooperation Agreement (AMENCA) is a $35.4 </w:t>
      </w:r>
      <w:r w:rsidRPr="005E6356">
        <w:rPr>
          <w:rFonts w:asciiTheme="minorHAnsi" w:hAnsiTheme="minorHAnsi"/>
          <w:szCs w:val="22"/>
        </w:rPr>
        <w:t xml:space="preserve">million program, representing a significant sized NGO program. </w:t>
      </w:r>
    </w:p>
    <w:p w:rsidR="005E6356" w:rsidRPr="005E6356" w:rsidRDefault="005E6356" w:rsidP="005E6356">
      <w:pPr>
        <w:numPr>
          <w:ilvl w:val="0"/>
          <w:numId w:val="3"/>
        </w:numPr>
        <w:ind w:left="720"/>
        <w:rPr>
          <w:rFonts w:asciiTheme="minorHAnsi" w:hAnsiTheme="minorHAnsi"/>
          <w:szCs w:val="22"/>
        </w:rPr>
      </w:pPr>
      <w:r w:rsidRPr="005E6356">
        <w:rPr>
          <w:rFonts w:asciiTheme="minorHAnsi" w:hAnsiTheme="minorHAnsi"/>
          <w:szCs w:val="22"/>
        </w:rPr>
        <w:t>The AMENCA program began in 2006 and is currently in the fifth of its six-year second phase. The AMENCA program’s objective is to improve livelihoods to reduce the socio-economic vulnerability of the Palestinian people</w:t>
      </w:r>
      <w:r w:rsidRPr="005E6356" w:rsidDel="002865A5">
        <w:rPr>
          <w:rFonts w:asciiTheme="minorHAnsi" w:hAnsiTheme="minorHAnsi"/>
          <w:szCs w:val="22"/>
        </w:rPr>
        <w:t xml:space="preserve"> </w:t>
      </w:r>
      <w:r w:rsidRPr="005E6356">
        <w:rPr>
          <w:rFonts w:asciiTheme="minorHAnsi" w:hAnsiTheme="minorHAnsi"/>
          <w:szCs w:val="22"/>
        </w:rPr>
        <w:t>with priority focus on women, youth and farmers. Activities focus on providing rural livelihoods and building the capacity of community based organisations to address development needs in their communities.</w:t>
      </w:r>
    </w:p>
    <w:p w:rsidR="005E6356" w:rsidRPr="005E6356" w:rsidRDefault="005E6356" w:rsidP="005E6356">
      <w:pPr>
        <w:numPr>
          <w:ilvl w:val="0"/>
          <w:numId w:val="3"/>
        </w:numPr>
        <w:ind w:left="720"/>
        <w:rPr>
          <w:rFonts w:asciiTheme="minorHAnsi" w:hAnsiTheme="minorHAnsi"/>
          <w:szCs w:val="22"/>
        </w:rPr>
      </w:pPr>
      <w:r w:rsidRPr="005E6356">
        <w:rPr>
          <w:rFonts w:asciiTheme="minorHAnsi" w:hAnsiTheme="minorHAnsi"/>
          <w:szCs w:val="22"/>
        </w:rPr>
        <w:t xml:space="preserve">The AMENCA program is delivered through the following four Australian NGOs and their Palestinian Partners: </w:t>
      </w:r>
    </w:p>
    <w:p w:rsidR="005E6356" w:rsidRPr="005E6356" w:rsidRDefault="005E6356" w:rsidP="005E6356">
      <w:pPr>
        <w:pStyle w:val="ListParagraph"/>
        <w:keepNext/>
        <w:numPr>
          <w:ilvl w:val="0"/>
          <w:numId w:val="8"/>
        </w:numPr>
        <w:spacing w:before="120" w:after="120"/>
        <w:ind w:left="1080"/>
        <w:jc w:val="left"/>
        <w:outlineLvl w:val="1"/>
        <w:rPr>
          <w:rFonts w:asciiTheme="minorHAnsi" w:eastAsia="Times New Roman" w:hAnsiTheme="minorHAnsi"/>
          <w:iCs/>
          <w:lang w:eastAsia="en-AU"/>
        </w:rPr>
      </w:pPr>
      <w:r w:rsidRPr="005E6356">
        <w:rPr>
          <w:rFonts w:asciiTheme="minorHAnsi" w:eastAsia="Times New Roman" w:hAnsiTheme="minorHAnsi"/>
          <w:b/>
          <w:iCs/>
          <w:lang w:eastAsia="en-AU"/>
        </w:rPr>
        <w:t>World Vision Australia/International</w:t>
      </w:r>
      <w:r w:rsidRPr="005E6356">
        <w:rPr>
          <w:rFonts w:asciiTheme="minorHAnsi" w:eastAsia="Times New Roman" w:hAnsiTheme="minorHAnsi"/>
          <w:iCs/>
          <w:lang w:eastAsia="en-AU"/>
        </w:rPr>
        <w:t xml:space="preserve"> –in partnership with the Union of Agricultural Working Committees (UAWC)</w:t>
      </w:r>
    </w:p>
    <w:p w:rsidR="005E6356" w:rsidRPr="005E6356" w:rsidRDefault="005E6356" w:rsidP="005E6356">
      <w:pPr>
        <w:pStyle w:val="ListParagraph"/>
        <w:keepNext/>
        <w:numPr>
          <w:ilvl w:val="0"/>
          <w:numId w:val="8"/>
        </w:numPr>
        <w:spacing w:before="120" w:after="120"/>
        <w:ind w:left="1080"/>
        <w:jc w:val="left"/>
        <w:outlineLvl w:val="1"/>
        <w:rPr>
          <w:rFonts w:asciiTheme="minorHAnsi" w:eastAsia="Times New Roman" w:hAnsiTheme="minorHAnsi"/>
          <w:iCs/>
          <w:lang w:eastAsia="en-AU"/>
        </w:rPr>
      </w:pPr>
      <w:r w:rsidRPr="005E6356">
        <w:rPr>
          <w:rFonts w:asciiTheme="minorHAnsi" w:eastAsia="Times New Roman" w:hAnsiTheme="minorHAnsi"/>
          <w:b/>
          <w:iCs/>
          <w:lang w:eastAsia="en-AU"/>
        </w:rPr>
        <w:t xml:space="preserve">CARE Australia/International </w:t>
      </w:r>
      <w:r w:rsidRPr="005E6356">
        <w:rPr>
          <w:rFonts w:asciiTheme="minorHAnsi" w:eastAsia="Times New Roman" w:hAnsiTheme="minorHAnsi"/>
          <w:iCs/>
          <w:lang w:eastAsia="en-AU"/>
        </w:rPr>
        <w:t>- in partnership with the Applied research Institute (ARIJ) &amp; Economic and Social Development Centre (ESDC)</w:t>
      </w:r>
    </w:p>
    <w:p w:rsidR="005E6356" w:rsidRPr="005E6356" w:rsidRDefault="005E6356" w:rsidP="005E6356">
      <w:pPr>
        <w:pStyle w:val="ListParagraph"/>
        <w:keepNext/>
        <w:numPr>
          <w:ilvl w:val="0"/>
          <w:numId w:val="8"/>
        </w:numPr>
        <w:spacing w:before="120" w:after="120"/>
        <w:ind w:left="1080"/>
        <w:jc w:val="left"/>
        <w:outlineLvl w:val="1"/>
        <w:rPr>
          <w:rFonts w:asciiTheme="minorHAnsi" w:eastAsia="Times New Roman" w:hAnsiTheme="minorHAnsi"/>
          <w:iCs/>
          <w:lang w:eastAsia="en-AU"/>
        </w:rPr>
      </w:pPr>
      <w:r w:rsidRPr="005E6356">
        <w:rPr>
          <w:rFonts w:asciiTheme="minorHAnsi" w:eastAsia="Times New Roman" w:hAnsiTheme="minorHAnsi"/>
          <w:b/>
          <w:iCs/>
          <w:lang w:eastAsia="en-AU"/>
        </w:rPr>
        <w:t>ActionAID Australia/International</w:t>
      </w:r>
      <w:r w:rsidRPr="005E6356">
        <w:rPr>
          <w:rFonts w:asciiTheme="minorHAnsi" w:eastAsia="Times New Roman" w:hAnsiTheme="minorHAnsi"/>
          <w:iCs/>
          <w:lang w:eastAsia="en-AU"/>
        </w:rPr>
        <w:t xml:space="preserve"> – in partnership with the Palestinian Businesswomen’s Association (ASALA), Institute for Community Partnership (ICP)</w:t>
      </w:r>
    </w:p>
    <w:p w:rsidR="005E6356" w:rsidRPr="005E6356" w:rsidRDefault="005E6356" w:rsidP="005E6356">
      <w:pPr>
        <w:pStyle w:val="ListParagraph"/>
        <w:numPr>
          <w:ilvl w:val="0"/>
          <w:numId w:val="8"/>
        </w:numPr>
        <w:ind w:left="1080"/>
        <w:rPr>
          <w:rFonts w:asciiTheme="minorHAnsi" w:hAnsiTheme="minorHAnsi"/>
        </w:rPr>
      </w:pPr>
      <w:r w:rsidRPr="005E6356">
        <w:rPr>
          <w:rFonts w:asciiTheme="minorHAnsi" w:hAnsiTheme="minorHAnsi"/>
          <w:b/>
          <w:iCs/>
          <w:lang w:eastAsia="en-AU"/>
        </w:rPr>
        <w:t>Union Aid Abroad APHEDA</w:t>
      </w:r>
      <w:r w:rsidRPr="005E6356">
        <w:rPr>
          <w:rFonts w:asciiTheme="minorHAnsi" w:hAnsiTheme="minorHAnsi"/>
          <w:iCs/>
          <w:lang w:eastAsia="en-AU"/>
        </w:rPr>
        <w:t xml:space="preserve"> – </w:t>
      </w:r>
      <w:r w:rsidRPr="005E6356">
        <w:rPr>
          <w:rFonts w:asciiTheme="minorHAnsi" w:eastAsia="Times New Roman" w:hAnsiTheme="minorHAnsi"/>
          <w:iCs/>
          <w:lang w:eastAsia="en-AU"/>
        </w:rPr>
        <w:t xml:space="preserve">in partnership with the </w:t>
      </w:r>
      <w:r w:rsidRPr="005E6356">
        <w:rPr>
          <w:rFonts w:asciiTheme="minorHAnsi" w:hAnsiTheme="minorHAnsi"/>
          <w:iCs/>
          <w:lang w:eastAsia="en-AU"/>
        </w:rPr>
        <w:t>MA’AN Development Centre</w:t>
      </w:r>
    </w:p>
    <w:p w:rsidR="005E6356" w:rsidRPr="005E6356" w:rsidRDefault="005E6356" w:rsidP="005E6356">
      <w:pPr>
        <w:numPr>
          <w:ilvl w:val="0"/>
          <w:numId w:val="3"/>
        </w:numPr>
        <w:ind w:left="720"/>
        <w:rPr>
          <w:rFonts w:asciiTheme="minorHAnsi" w:hAnsiTheme="minorHAnsi"/>
          <w:szCs w:val="22"/>
        </w:rPr>
      </w:pPr>
      <w:r w:rsidRPr="005E6356">
        <w:rPr>
          <w:rFonts w:asciiTheme="minorHAnsi" w:hAnsiTheme="minorHAnsi"/>
          <w:szCs w:val="22"/>
        </w:rPr>
        <w:t xml:space="preserve">The AMENCA program has a comprehensive M&amp;E framework and an M&amp;E adviser. Each of the four Australian NGOs participating in the program commission independent mid-term and completion evaluations of their activities.  A mid-term review of AMENCA was conducted in 2011. </w:t>
      </w:r>
    </w:p>
    <w:p w:rsidR="005E6356" w:rsidRPr="005E6356" w:rsidRDefault="005E6356" w:rsidP="005E6356">
      <w:pPr>
        <w:numPr>
          <w:ilvl w:val="0"/>
          <w:numId w:val="3"/>
        </w:numPr>
        <w:ind w:left="720"/>
        <w:rPr>
          <w:rFonts w:asciiTheme="minorHAnsi" w:eastAsiaTheme="minorEastAsia" w:hAnsiTheme="minorHAnsi" w:cstheme="minorBidi"/>
          <w:color w:val="000000" w:themeColor="text1"/>
          <w:kern w:val="24"/>
          <w:szCs w:val="22"/>
          <w:lang w:eastAsia="en-GB"/>
        </w:rPr>
      </w:pPr>
      <w:r w:rsidRPr="005E6356">
        <w:rPr>
          <w:rFonts w:asciiTheme="minorHAnsi" w:hAnsiTheme="minorHAnsi"/>
          <w:szCs w:val="22"/>
        </w:rPr>
        <w:t>The AMENCA program is supported and managed by DFAT staff in Canberra and a Programme</w:t>
      </w:r>
      <w:r w:rsidRPr="005E6356">
        <w:rPr>
          <w:rFonts w:asciiTheme="minorHAnsi" w:eastAsiaTheme="minorEastAsia" w:hAnsiTheme="minorHAnsi" w:cstheme="minorBidi"/>
          <w:color w:val="000000" w:themeColor="text1"/>
          <w:kern w:val="24"/>
          <w:szCs w:val="22"/>
          <w:lang w:eastAsia="en-GB"/>
        </w:rPr>
        <w:t xml:space="preserve"> Manager present at the Australian Representative Office. </w:t>
      </w:r>
    </w:p>
    <w:p w:rsidR="005E6356" w:rsidRPr="005E6356" w:rsidRDefault="005E6356" w:rsidP="005E6356">
      <w:pPr>
        <w:pStyle w:val="Heading1"/>
        <w:rPr>
          <w:sz w:val="22"/>
          <w:szCs w:val="22"/>
        </w:rPr>
      </w:pPr>
      <w:bookmarkStart w:id="2" w:name="_Toc365446356"/>
      <w:r w:rsidRPr="005E6356">
        <w:rPr>
          <w:sz w:val="22"/>
          <w:szCs w:val="22"/>
        </w:rPr>
        <w:t>Review scope, objectives and methodology</w:t>
      </w:r>
      <w:bookmarkEnd w:id="2"/>
    </w:p>
    <w:p w:rsidR="005E6356" w:rsidRPr="005E6356" w:rsidRDefault="005E6356" w:rsidP="005E6356">
      <w:pPr>
        <w:pStyle w:val="Heading2"/>
        <w:rPr>
          <w:sz w:val="22"/>
          <w:szCs w:val="22"/>
        </w:rPr>
      </w:pPr>
      <w:bookmarkStart w:id="3" w:name="_Toc365446354"/>
      <w:bookmarkStart w:id="4" w:name="_Toc365446357"/>
      <w:r w:rsidRPr="005E6356">
        <w:rPr>
          <w:sz w:val="22"/>
          <w:szCs w:val="22"/>
        </w:rPr>
        <w:t xml:space="preserve">Rationale for the </w:t>
      </w:r>
      <w:bookmarkEnd w:id="3"/>
      <w:r w:rsidRPr="005E6356">
        <w:rPr>
          <w:sz w:val="22"/>
          <w:szCs w:val="22"/>
        </w:rPr>
        <w:t>review</w:t>
      </w:r>
    </w:p>
    <w:p w:rsidR="005E6356" w:rsidRPr="005E6356" w:rsidRDefault="005E6356" w:rsidP="005E6356">
      <w:pPr>
        <w:numPr>
          <w:ilvl w:val="0"/>
          <w:numId w:val="3"/>
        </w:numPr>
        <w:ind w:left="720"/>
        <w:rPr>
          <w:rFonts w:asciiTheme="majorHAnsi" w:hAnsiTheme="majorHAnsi"/>
          <w:szCs w:val="22"/>
        </w:rPr>
      </w:pPr>
      <w:r w:rsidRPr="005E6356">
        <w:rPr>
          <w:rFonts w:asciiTheme="majorHAnsi" w:hAnsiTheme="majorHAnsi"/>
          <w:szCs w:val="22"/>
        </w:rPr>
        <w:t xml:space="preserve">Given the sensitivity of the context in which the AMENCA program operates, and the size of the program, it is important that the Australian Government has assessed that appropriate risk management systems are established and operational within the program. </w:t>
      </w:r>
      <w:bookmarkStart w:id="5" w:name="_Toc365446355"/>
    </w:p>
    <w:p w:rsidR="005E6356" w:rsidRPr="005E6356" w:rsidRDefault="005E6356" w:rsidP="005E6356">
      <w:pPr>
        <w:pStyle w:val="Heading2"/>
        <w:rPr>
          <w:sz w:val="22"/>
          <w:szCs w:val="22"/>
        </w:rPr>
      </w:pPr>
      <w:r w:rsidRPr="005E6356">
        <w:rPr>
          <w:sz w:val="22"/>
          <w:szCs w:val="22"/>
        </w:rPr>
        <w:t>Overall purpose</w:t>
      </w:r>
      <w:bookmarkEnd w:id="5"/>
    </w:p>
    <w:p w:rsidR="005E6356" w:rsidRPr="005E6356" w:rsidRDefault="005E6356" w:rsidP="005E6356">
      <w:pPr>
        <w:numPr>
          <w:ilvl w:val="0"/>
          <w:numId w:val="3"/>
        </w:numPr>
        <w:ind w:left="720"/>
        <w:rPr>
          <w:szCs w:val="22"/>
        </w:rPr>
      </w:pPr>
      <w:r w:rsidRPr="005E6356">
        <w:rPr>
          <w:szCs w:val="22"/>
        </w:rPr>
        <w:t xml:space="preserve">The purpose of the review is to </w:t>
      </w:r>
      <w:r w:rsidRPr="005E6356">
        <w:rPr>
          <w:rFonts w:ascii="Times New Roman" w:hAnsi="Times New Roman" w:cs="Times New Roman"/>
          <w:bCs/>
          <w:szCs w:val="22"/>
        </w:rPr>
        <w:t xml:space="preserve">provide assurance to DFAT that program risks are appropriately identified and managed. </w:t>
      </w:r>
    </w:p>
    <w:p w:rsidR="005E6356" w:rsidRPr="005E6356" w:rsidRDefault="005E6356" w:rsidP="005E6356">
      <w:pPr>
        <w:pStyle w:val="Heading2"/>
        <w:rPr>
          <w:sz w:val="22"/>
          <w:szCs w:val="22"/>
        </w:rPr>
      </w:pPr>
      <w:r w:rsidRPr="005E6356">
        <w:rPr>
          <w:sz w:val="22"/>
          <w:szCs w:val="22"/>
        </w:rPr>
        <w:t>Objectives and scope</w:t>
      </w:r>
      <w:bookmarkEnd w:id="4"/>
    </w:p>
    <w:p w:rsidR="005E6356" w:rsidRPr="005E6356" w:rsidRDefault="005E6356" w:rsidP="005E6356">
      <w:pPr>
        <w:numPr>
          <w:ilvl w:val="0"/>
          <w:numId w:val="3"/>
        </w:numPr>
        <w:ind w:left="720"/>
        <w:rPr>
          <w:szCs w:val="22"/>
        </w:rPr>
      </w:pPr>
      <w:r w:rsidRPr="005E6356">
        <w:rPr>
          <w:szCs w:val="22"/>
        </w:rPr>
        <w:t xml:space="preserve">The objective of the risk management review is to make an assessment of the appropriateness of risk management and financial accountability systems within the AMENCA program. </w:t>
      </w:r>
    </w:p>
    <w:p w:rsidR="005E6356" w:rsidRPr="005E6356" w:rsidRDefault="005E6356" w:rsidP="005E6356">
      <w:pPr>
        <w:pStyle w:val="Heading2"/>
        <w:rPr>
          <w:sz w:val="22"/>
          <w:szCs w:val="22"/>
        </w:rPr>
      </w:pPr>
      <w:bookmarkStart w:id="6" w:name="_Toc365446358"/>
      <w:r w:rsidRPr="005E6356">
        <w:rPr>
          <w:sz w:val="22"/>
          <w:szCs w:val="22"/>
        </w:rPr>
        <w:t>Review questions</w:t>
      </w:r>
      <w:bookmarkEnd w:id="6"/>
    </w:p>
    <w:p w:rsidR="005E6356" w:rsidRPr="005E6356" w:rsidRDefault="005E6356" w:rsidP="005E6356">
      <w:pPr>
        <w:numPr>
          <w:ilvl w:val="0"/>
          <w:numId w:val="3"/>
        </w:numPr>
        <w:ind w:left="720"/>
        <w:rPr>
          <w:szCs w:val="22"/>
        </w:rPr>
      </w:pPr>
      <w:r w:rsidRPr="005E6356">
        <w:rPr>
          <w:szCs w:val="22"/>
        </w:rPr>
        <w:t>The questions for the review fall into five categories.</w:t>
      </w:r>
    </w:p>
    <w:p w:rsidR="005E6356" w:rsidRPr="005E6356" w:rsidRDefault="005E6356" w:rsidP="005E6356">
      <w:pPr>
        <w:numPr>
          <w:ilvl w:val="0"/>
          <w:numId w:val="4"/>
        </w:numPr>
        <w:rPr>
          <w:szCs w:val="22"/>
        </w:rPr>
      </w:pPr>
      <w:r w:rsidRPr="005E6356">
        <w:rPr>
          <w:szCs w:val="22"/>
        </w:rPr>
        <w:t xml:space="preserve">Risk Identification: How effective is the program at identifying risks before they occur in addition to mitigating them. </w:t>
      </w:r>
    </w:p>
    <w:p w:rsidR="005E6356" w:rsidRPr="005E6356" w:rsidRDefault="005E6356" w:rsidP="005E6356">
      <w:pPr>
        <w:numPr>
          <w:ilvl w:val="0"/>
          <w:numId w:val="4"/>
        </w:numPr>
        <w:rPr>
          <w:szCs w:val="22"/>
        </w:rPr>
      </w:pPr>
      <w:r w:rsidRPr="005E6356">
        <w:rPr>
          <w:szCs w:val="22"/>
        </w:rPr>
        <w:t>Partner Agreements: Are the risk management and financial accountability measures included in AMENCA partner agreements robust enough to ensure funding is used for intended purposes in  the high-risk Palestinian context?</w:t>
      </w:r>
      <w:r w:rsidRPr="005E6356">
        <w:rPr>
          <w:b/>
          <w:bCs/>
          <w:szCs w:val="22"/>
        </w:rPr>
        <w:t xml:space="preserve"> </w:t>
      </w:r>
      <w:r w:rsidRPr="005E6356">
        <w:rPr>
          <w:szCs w:val="22"/>
        </w:rPr>
        <w:t xml:space="preserve"> </w:t>
      </w:r>
    </w:p>
    <w:p w:rsidR="005E6356" w:rsidRPr="005E6356" w:rsidRDefault="005E6356" w:rsidP="005E6356">
      <w:pPr>
        <w:numPr>
          <w:ilvl w:val="0"/>
          <w:numId w:val="4"/>
        </w:numPr>
        <w:rPr>
          <w:szCs w:val="22"/>
        </w:rPr>
      </w:pPr>
      <w:r w:rsidRPr="005E6356">
        <w:rPr>
          <w:szCs w:val="22"/>
        </w:rPr>
        <w:t>Counter-terrorism: Do the Australian NGOs/Palestinian partners have systems to ensure compliance with ‘Guidelines for Strengthening Counter-Terrorism Measures in the Australian Aid Program?</w:t>
      </w:r>
    </w:p>
    <w:p w:rsidR="005E6356" w:rsidRPr="005E6356" w:rsidRDefault="005E6356" w:rsidP="005E6356">
      <w:pPr>
        <w:numPr>
          <w:ilvl w:val="0"/>
          <w:numId w:val="4"/>
        </w:numPr>
        <w:rPr>
          <w:bCs/>
          <w:szCs w:val="22"/>
        </w:rPr>
      </w:pPr>
      <w:r w:rsidRPr="005E6356">
        <w:rPr>
          <w:szCs w:val="22"/>
        </w:rPr>
        <w:t>Risk Management Systems: To what extent have risk management requirements been understood and implemented at the project and program level?</w:t>
      </w:r>
    </w:p>
    <w:p w:rsidR="005E6356" w:rsidRPr="005E6356" w:rsidRDefault="005E6356" w:rsidP="005E6356">
      <w:pPr>
        <w:numPr>
          <w:ilvl w:val="0"/>
          <w:numId w:val="4"/>
        </w:numPr>
        <w:rPr>
          <w:rFonts w:asciiTheme="majorHAnsi" w:hAnsiTheme="majorHAnsi"/>
          <w:szCs w:val="22"/>
        </w:rPr>
      </w:pPr>
      <w:r w:rsidRPr="005E6356">
        <w:rPr>
          <w:szCs w:val="22"/>
        </w:rPr>
        <w:t>Donor Approaches: What risk management systems are acceptable to other key donors? Do they have checks against a proscribed list, vetting of partner organisation and key individuals, registration renewal, expenditure control systems, financial audits undertaken?</w:t>
      </w:r>
      <w:bookmarkStart w:id="7" w:name="_Toc365446363"/>
    </w:p>
    <w:p w:rsidR="005E6356" w:rsidRPr="005E6356" w:rsidRDefault="005E6356" w:rsidP="005E6356">
      <w:pPr>
        <w:pStyle w:val="Heading2"/>
        <w:rPr>
          <w:sz w:val="22"/>
          <w:szCs w:val="22"/>
        </w:rPr>
      </w:pPr>
      <w:r w:rsidRPr="005E6356">
        <w:rPr>
          <w:sz w:val="22"/>
          <w:szCs w:val="22"/>
        </w:rPr>
        <w:t>Methods</w:t>
      </w:r>
      <w:bookmarkEnd w:id="7"/>
    </w:p>
    <w:p w:rsidR="005E6356" w:rsidRPr="005E6356" w:rsidRDefault="005E6356" w:rsidP="005E6356">
      <w:pPr>
        <w:numPr>
          <w:ilvl w:val="0"/>
          <w:numId w:val="3"/>
        </w:numPr>
        <w:ind w:left="720"/>
        <w:rPr>
          <w:szCs w:val="22"/>
        </w:rPr>
      </w:pPr>
      <w:r w:rsidRPr="005E6356">
        <w:rPr>
          <w:szCs w:val="22"/>
        </w:rPr>
        <w:t xml:space="preserve">The review will take a descriptive, mixed methods approach guided by a systems review to explore the extent to which ANGOs and their Palestinian Partners have developed systems that are appropriate to context. Multiple methods and data sources will be used to provide evidence of systems in practice. The methods are: </w:t>
      </w:r>
    </w:p>
    <w:p w:rsidR="005E6356" w:rsidRPr="005E6356" w:rsidRDefault="005E6356" w:rsidP="005E6356">
      <w:pPr>
        <w:numPr>
          <w:ilvl w:val="0"/>
          <w:numId w:val="33"/>
        </w:numPr>
        <w:rPr>
          <w:szCs w:val="22"/>
        </w:rPr>
      </w:pPr>
      <w:r w:rsidRPr="005E6356">
        <w:rPr>
          <w:szCs w:val="22"/>
        </w:rPr>
        <w:t xml:space="preserve">document review </w:t>
      </w:r>
    </w:p>
    <w:p w:rsidR="005E6356" w:rsidRPr="005E6356" w:rsidRDefault="005E6356" w:rsidP="005E6356">
      <w:pPr>
        <w:numPr>
          <w:ilvl w:val="0"/>
          <w:numId w:val="33"/>
        </w:numPr>
        <w:rPr>
          <w:szCs w:val="22"/>
        </w:rPr>
      </w:pPr>
      <w:r w:rsidRPr="005E6356">
        <w:rPr>
          <w:szCs w:val="22"/>
        </w:rPr>
        <w:t xml:space="preserve">discussion with staff </w:t>
      </w:r>
    </w:p>
    <w:p w:rsidR="005E6356" w:rsidRPr="005E6356" w:rsidRDefault="005E6356" w:rsidP="005E6356">
      <w:pPr>
        <w:numPr>
          <w:ilvl w:val="0"/>
          <w:numId w:val="33"/>
        </w:numPr>
        <w:rPr>
          <w:szCs w:val="22"/>
        </w:rPr>
      </w:pPr>
      <w:r w:rsidRPr="005E6356">
        <w:rPr>
          <w:szCs w:val="22"/>
        </w:rPr>
        <w:t>review of organisational policies</w:t>
      </w:r>
    </w:p>
    <w:p w:rsidR="005E6356" w:rsidRPr="005E6356" w:rsidRDefault="005E6356" w:rsidP="005E6356">
      <w:pPr>
        <w:numPr>
          <w:ilvl w:val="0"/>
          <w:numId w:val="33"/>
        </w:numPr>
        <w:rPr>
          <w:szCs w:val="22"/>
        </w:rPr>
      </w:pPr>
      <w:r w:rsidRPr="005E6356">
        <w:rPr>
          <w:szCs w:val="22"/>
        </w:rPr>
        <w:t>review of systems</w:t>
      </w:r>
    </w:p>
    <w:p w:rsidR="005E6356" w:rsidRPr="005E6356" w:rsidRDefault="005E6356" w:rsidP="005E6356">
      <w:pPr>
        <w:numPr>
          <w:ilvl w:val="0"/>
          <w:numId w:val="33"/>
        </w:numPr>
        <w:rPr>
          <w:szCs w:val="22"/>
        </w:rPr>
      </w:pPr>
      <w:r w:rsidRPr="005E6356">
        <w:rPr>
          <w:szCs w:val="22"/>
        </w:rPr>
        <w:t>review of a sample of program documentation for each partner</w:t>
      </w:r>
    </w:p>
    <w:p w:rsidR="005E6356" w:rsidRPr="005E6356" w:rsidRDefault="005E6356" w:rsidP="005E6356">
      <w:pPr>
        <w:numPr>
          <w:ilvl w:val="0"/>
          <w:numId w:val="33"/>
        </w:numPr>
        <w:rPr>
          <w:szCs w:val="22"/>
        </w:rPr>
      </w:pPr>
      <w:r w:rsidRPr="005E6356">
        <w:rPr>
          <w:szCs w:val="22"/>
        </w:rPr>
        <w:t>roundtable discussion with donors</w:t>
      </w:r>
    </w:p>
    <w:p w:rsidR="005E6356" w:rsidRPr="005E6356" w:rsidRDefault="005E6356" w:rsidP="005E6356">
      <w:pPr>
        <w:pStyle w:val="Heading2"/>
        <w:rPr>
          <w:sz w:val="22"/>
          <w:szCs w:val="22"/>
        </w:rPr>
      </w:pPr>
      <w:bookmarkStart w:id="8" w:name="_Toc365446364"/>
      <w:r w:rsidRPr="005E6356">
        <w:rPr>
          <w:sz w:val="22"/>
          <w:szCs w:val="22"/>
        </w:rPr>
        <w:t>Document review</w:t>
      </w:r>
      <w:bookmarkEnd w:id="8"/>
    </w:p>
    <w:p w:rsidR="005E6356" w:rsidRPr="005E6356" w:rsidRDefault="005E6356" w:rsidP="005E6356">
      <w:pPr>
        <w:numPr>
          <w:ilvl w:val="0"/>
          <w:numId w:val="3"/>
        </w:numPr>
        <w:ind w:left="720"/>
        <w:rPr>
          <w:szCs w:val="22"/>
        </w:rPr>
      </w:pPr>
      <w:r w:rsidRPr="005E6356">
        <w:rPr>
          <w:szCs w:val="22"/>
        </w:rPr>
        <w:t xml:space="preserve">The review of documents will focus on existing evidence that demonstrates the management of risk within the AMENCA program and the key contractual agreements in place that set out the conditions for funding and the roles and responsibilities of respective partners.  </w:t>
      </w:r>
    </w:p>
    <w:p w:rsidR="005E6356" w:rsidRPr="005E6356" w:rsidRDefault="005E6356" w:rsidP="005E6356">
      <w:pPr>
        <w:numPr>
          <w:ilvl w:val="0"/>
          <w:numId w:val="3"/>
        </w:numPr>
        <w:ind w:left="720"/>
        <w:rPr>
          <w:szCs w:val="22"/>
        </w:rPr>
      </w:pPr>
      <w:r w:rsidRPr="005E6356">
        <w:rPr>
          <w:rFonts w:eastAsia="MS Mincho"/>
          <w:szCs w:val="22"/>
          <w:lang w:val="en-US" w:eastAsia="en-AU"/>
        </w:rPr>
        <w:t xml:space="preserve">In addition to assessing the risk management provisions within formal contractual agreements, the review seeks to assess to what extent ANGOs and their partners have developed systems to accommodate and respond to risk management requirements. </w:t>
      </w:r>
      <w:r w:rsidRPr="005E6356">
        <w:rPr>
          <w:szCs w:val="22"/>
        </w:rPr>
        <w:t>Documentation review will include evidence provided by ANGO and Palestinian partners to verify the application of risk management practices, as outlined in the table of questions above.</w:t>
      </w:r>
    </w:p>
    <w:p w:rsidR="005E6356" w:rsidRPr="005E6356" w:rsidRDefault="005E6356" w:rsidP="005E6356">
      <w:pPr>
        <w:pStyle w:val="Heading2"/>
        <w:rPr>
          <w:sz w:val="22"/>
          <w:szCs w:val="22"/>
        </w:rPr>
      </w:pPr>
      <w:bookmarkStart w:id="9" w:name="_Toc336592317"/>
      <w:bookmarkStart w:id="10" w:name="_Toc365446368"/>
      <w:r w:rsidRPr="005E6356">
        <w:rPr>
          <w:sz w:val="22"/>
          <w:szCs w:val="22"/>
        </w:rPr>
        <w:t>In-country fieldwork</w:t>
      </w:r>
      <w:bookmarkEnd w:id="9"/>
      <w:bookmarkEnd w:id="10"/>
    </w:p>
    <w:p w:rsidR="005E6356" w:rsidRPr="005E6356" w:rsidRDefault="005E6356" w:rsidP="005E6356">
      <w:pPr>
        <w:numPr>
          <w:ilvl w:val="0"/>
          <w:numId w:val="3"/>
        </w:numPr>
        <w:ind w:left="720"/>
        <w:rPr>
          <w:szCs w:val="22"/>
        </w:rPr>
      </w:pPr>
      <w:r w:rsidRPr="005E6356">
        <w:rPr>
          <w:szCs w:val="22"/>
        </w:rPr>
        <w:t xml:space="preserve">The primary purpose of the in-country fieldwork is to explore the risk management systems and practices of Palestinian partners. The approach that will be taken is a systems approach – that is, the review of systems that are established and limited sampling to demonstrate that systems are in practice. </w:t>
      </w:r>
    </w:p>
    <w:p w:rsidR="005E6356" w:rsidRPr="005E6356" w:rsidRDefault="005E6356" w:rsidP="005E6356">
      <w:pPr>
        <w:numPr>
          <w:ilvl w:val="0"/>
          <w:numId w:val="3"/>
        </w:numPr>
        <w:ind w:left="720"/>
        <w:rPr>
          <w:szCs w:val="22"/>
        </w:rPr>
      </w:pPr>
      <w:r w:rsidRPr="005E6356">
        <w:rPr>
          <w:szCs w:val="22"/>
        </w:rPr>
        <w:t xml:space="preserve">In the first instance, the review will explore how ANGOs undertake their own verification of partner systems and practice. </w:t>
      </w:r>
      <w:r w:rsidRPr="005E6356">
        <w:rPr>
          <w:rFonts w:eastAsia="MS Mincho"/>
          <w:szCs w:val="22"/>
          <w:lang w:val="en-US" w:eastAsia="en-AU"/>
        </w:rPr>
        <w:t xml:space="preserve">The review will seek to verify that the Australian NGO has verified and documented that adequate internal controls are operating in Partner organisations to ensure accountability of DFAT funds. Evidence may be demonstrated through monitoring visit reports, checklist results, field trip reports, or other program documentation. </w:t>
      </w:r>
      <w:r w:rsidRPr="005E6356">
        <w:rPr>
          <w:rFonts w:eastAsia="MS Mincho" w:cs="Times"/>
          <w:szCs w:val="22"/>
          <w:lang w:val="en-US" w:eastAsia="en-AU"/>
        </w:rPr>
        <w:t> </w:t>
      </w:r>
      <w:r w:rsidRPr="005E6356">
        <w:rPr>
          <w:rFonts w:eastAsia="MS Mincho"/>
          <w:szCs w:val="22"/>
          <w:lang w:val="en-US" w:eastAsia="en-AU"/>
        </w:rPr>
        <w:t xml:space="preserve"> </w:t>
      </w:r>
    </w:p>
    <w:p w:rsidR="005E6356" w:rsidRPr="005E6356" w:rsidRDefault="005E6356" w:rsidP="005E6356">
      <w:pPr>
        <w:numPr>
          <w:ilvl w:val="0"/>
          <w:numId w:val="3"/>
        </w:numPr>
        <w:ind w:left="720"/>
        <w:rPr>
          <w:szCs w:val="22"/>
        </w:rPr>
      </w:pPr>
      <w:r w:rsidRPr="005E6356">
        <w:rPr>
          <w:rFonts w:eastAsia="MS Mincho"/>
          <w:szCs w:val="22"/>
          <w:lang w:val="en-US" w:eastAsia="en-AU"/>
        </w:rPr>
        <w:t xml:space="preserve">The review will also include interviews with partner staff and the appraisal of sample evidence from partners to provide an indication of the extent to which </w:t>
      </w:r>
      <w:r w:rsidRPr="005E6356">
        <w:rPr>
          <w:szCs w:val="22"/>
        </w:rPr>
        <w:t xml:space="preserve">risk management is understood and has been integrated into its systems and practices. </w:t>
      </w:r>
    </w:p>
    <w:p w:rsidR="005E6356" w:rsidRPr="005E6356" w:rsidRDefault="005E6356" w:rsidP="005E6356">
      <w:pPr>
        <w:numPr>
          <w:ilvl w:val="0"/>
          <w:numId w:val="3"/>
        </w:numPr>
        <w:ind w:left="720"/>
        <w:rPr>
          <w:szCs w:val="22"/>
        </w:rPr>
      </w:pPr>
      <w:r w:rsidRPr="005E6356">
        <w:rPr>
          <w:szCs w:val="22"/>
        </w:rPr>
        <w:t>Engagement with other donors in this review will seek to understand their approach to risk assessment considerations including the capacity of the NGO, the type of operation, the operational context, and how far downstream their risk management requirements are applied.</w:t>
      </w:r>
    </w:p>
    <w:p w:rsidR="005E6356" w:rsidRPr="005E6356" w:rsidRDefault="005E6356" w:rsidP="005E6356">
      <w:pPr>
        <w:numPr>
          <w:ilvl w:val="0"/>
          <w:numId w:val="3"/>
        </w:numPr>
        <w:ind w:left="720"/>
        <w:rPr>
          <w:szCs w:val="22"/>
        </w:rPr>
      </w:pPr>
      <w:r w:rsidRPr="005E6356">
        <w:rPr>
          <w:szCs w:val="22"/>
        </w:rPr>
        <w:t xml:space="preserve">The location and timing of the fieldwork is being coordinated by DFAT in conjunction with ANGO and Palestinian partners. </w:t>
      </w:r>
    </w:p>
    <w:p w:rsidR="005E6356" w:rsidRPr="005E6356" w:rsidRDefault="005E6356" w:rsidP="005E6356">
      <w:pPr>
        <w:numPr>
          <w:ilvl w:val="0"/>
          <w:numId w:val="3"/>
        </w:numPr>
        <w:ind w:left="720"/>
        <w:rPr>
          <w:szCs w:val="22"/>
        </w:rPr>
      </w:pPr>
      <w:r w:rsidRPr="005E6356">
        <w:rPr>
          <w:szCs w:val="22"/>
        </w:rPr>
        <w:t xml:space="preserve">The fieldwork will consist of interviews with </w:t>
      </w:r>
      <w:r w:rsidRPr="005E6356">
        <w:rPr>
          <w:szCs w:val="22"/>
          <w:lang w:eastAsia="en-AU"/>
        </w:rPr>
        <w:t>ANGO representatives present in-country</w:t>
      </w:r>
      <w:r w:rsidRPr="005E6356">
        <w:rPr>
          <w:szCs w:val="22"/>
        </w:rPr>
        <w:t>, Palestinian partner staff  and DFAT staff. A roundtable discussion will also be held with other donors. Fieldwork is scheduled over five working days. A draft program for the conduct of the field-work has been developed by DFAT.</w:t>
      </w:r>
    </w:p>
    <w:p w:rsidR="005E6356" w:rsidRPr="005E6356" w:rsidRDefault="005E6356" w:rsidP="005E6356">
      <w:pPr>
        <w:numPr>
          <w:ilvl w:val="0"/>
          <w:numId w:val="3"/>
        </w:numPr>
        <w:ind w:left="720"/>
        <w:rPr>
          <w:szCs w:val="22"/>
        </w:rPr>
      </w:pPr>
      <w:r w:rsidRPr="005E6356">
        <w:rPr>
          <w:szCs w:val="22"/>
        </w:rPr>
        <w:t xml:space="preserve">To prepare for interviews with Palestinian partner staff, the questions in the table above will be shared. The Reviewer has prepared worksheets to help collect and distil information methodically. </w:t>
      </w:r>
    </w:p>
    <w:p w:rsidR="005E6356" w:rsidRPr="005E6356" w:rsidRDefault="005E6356" w:rsidP="005E6356">
      <w:pPr>
        <w:pStyle w:val="Heading2"/>
        <w:rPr>
          <w:sz w:val="22"/>
          <w:szCs w:val="22"/>
        </w:rPr>
      </w:pPr>
      <w:bookmarkStart w:id="11" w:name="_Toc365446382"/>
      <w:r w:rsidRPr="005E6356">
        <w:rPr>
          <w:sz w:val="22"/>
          <w:szCs w:val="22"/>
        </w:rPr>
        <w:t>Oversight and quality control</w:t>
      </w:r>
      <w:bookmarkEnd w:id="11"/>
    </w:p>
    <w:p w:rsidR="005E6356" w:rsidRPr="005E6356" w:rsidRDefault="005E6356" w:rsidP="005E6356">
      <w:pPr>
        <w:numPr>
          <w:ilvl w:val="0"/>
          <w:numId w:val="3"/>
        </w:numPr>
        <w:ind w:left="720"/>
        <w:rPr>
          <w:szCs w:val="22"/>
        </w:rPr>
      </w:pPr>
      <w:r w:rsidRPr="005E6356">
        <w:rPr>
          <w:szCs w:val="22"/>
        </w:rPr>
        <w:t xml:space="preserve">The Reviewer is committed to fully meeting DFAT requirements for this review through sound review process, analysis and appropriate quality controls. </w:t>
      </w:r>
    </w:p>
    <w:p w:rsidR="005E6356" w:rsidRPr="005E6356" w:rsidRDefault="005E6356" w:rsidP="005E6356">
      <w:pPr>
        <w:numPr>
          <w:ilvl w:val="0"/>
          <w:numId w:val="3"/>
        </w:numPr>
        <w:ind w:left="720"/>
        <w:rPr>
          <w:szCs w:val="22"/>
        </w:rPr>
      </w:pPr>
      <w:r w:rsidRPr="005E6356">
        <w:rPr>
          <w:szCs w:val="22"/>
        </w:rPr>
        <w:t xml:space="preserve">The Reviewer will maintain regular contact with DFAT throughout the project. The Reviewer will bring any issues that may impact on the successful completion of the project within the agreed timeframe and budget to the attention of DFAT as they arise. If DFAT has any issues or concerns about the review, it is expected that these will also be raised with the Reviewer as they arise. </w:t>
      </w:r>
    </w:p>
    <w:p w:rsidR="005E6356" w:rsidRPr="005E6356" w:rsidRDefault="005E6356" w:rsidP="005E6356">
      <w:pPr>
        <w:pStyle w:val="Heading2"/>
        <w:rPr>
          <w:sz w:val="22"/>
          <w:szCs w:val="22"/>
        </w:rPr>
      </w:pPr>
      <w:bookmarkStart w:id="12" w:name="_Toc365446383"/>
      <w:r w:rsidRPr="005E6356">
        <w:rPr>
          <w:sz w:val="22"/>
          <w:szCs w:val="22"/>
        </w:rPr>
        <w:t>Ethical standards</w:t>
      </w:r>
      <w:bookmarkEnd w:id="12"/>
    </w:p>
    <w:p w:rsidR="005E6356" w:rsidRPr="005E6356" w:rsidRDefault="005E6356" w:rsidP="005E6356">
      <w:pPr>
        <w:numPr>
          <w:ilvl w:val="0"/>
          <w:numId w:val="3"/>
        </w:numPr>
        <w:ind w:left="720"/>
        <w:rPr>
          <w:szCs w:val="22"/>
        </w:rPr>
      </w:pPr>
      <w:r w:rsidRPr="005E6356">
        <w:rPr>
          <w:szCs w:val="22"/>
        </w:rPr>
        <w:t>The review will be conducted, especially the in-country fieldwork in line with the key principles of independence, impartiality, integrity and respect for individuals.</w:t>
      </w:r>
    </w:p>
    <w:p w:rsidR="005E6356" w:rsidRPr="005E6356" w:rsidRDefault="005E6356" w:rsidP="005E6356">
      <w:pPr>
        <w:numPr>
          <w:ilvl w:val="0"/>
          <w:numId w:val="3"/>
        </w:numPr>
        <w:ind w:left="720"/>
        <w:rPr>
          <w:szCs w:val="22"/>
          <w:lang w:val="en-US"/>
        </w:rPr>
      </w:pPr>
      <w:r w:rsidRPr="005E6356">
        <w:rPr>
          <w:szCs w:val="22"/>
        </w:rPr>
        <w:t xml:space="preserve">The Reviewer recognises the sensitivity of the project and will maintain strict confidentiality of all data, information and documentation provided or obtained during the course of the project. The Reviewer is aware of the Privacy Act 1988 and the Privacy Amendment (Private Sector) Act 2000. </w:t>
      </w:r>
    </w:p>
    <w:p w:rsidR="005E6356" w:rsidRPr="005E6356" w:rsidRDefault="005E6356" w:rsidP="005E6356">
      <w:pPr>
        <w:pStyle w:val="Heading2"/>
        <w:rPr>
          <w:sz w:val="22"/>
          <w:szCs w:val="22"/>
          <w:lang w:val="en-US"/>
        </w:rPr>
      </w:pPr>
      <w:bookmarkStart w:id="13" w:name="_Toc365446379"/>
      <w:r w:rsidRPr="005E6356">
        <w:rPr>
          <w:sz w:val="22"/>
          <w:szCs w:val="22"/>
          <w:lang w:val="en-US"/>
        </w:rPr>
        <w:t>Timeframe</w:t>
      </w:r>
      <w:bookmarkEnd w:id="13"/>
      <w:r w:rsidRPr="005E6356">
        <w:rPr>
          <w:sz w:val="22"/>
          <w:szCs w:val="22"/>
          <w:lang w:val="en-US"/>
        </w:rPr>
        <w:t xml:space="preserve"> </w:t>
      </w:r>
    </w:p>
    <w:p w:rsidR="005E6356" w:rsidRPr="005E6356" w:rsidRDefault="005E6356" w:rsidP="005E6356">
      <w:pPr>
        <w:numPr>
          <w:ilvl w:val="0"/>
          <w:numId w:val="3"/>
        </w:numPr>
        <w:ind w:left="720"/>
        <w:rPr>
          <w:szCs w:val="22"/>
        </w:rPr>
      </w:pPr>
      <w:r w:rsidRPr="005E6356">
        <w:rPr>
          <w:szCs w:val="22"/>
        </w:rPr>
        <w:t xml:space="preserve">The review will be completed during April 2014, with five days allocated to a field visit. </w:t>
      </w:r>
    </w:p>
    <w:p w:rsidR="005E6356" w:rsidRPr="005E6356" w:rsidRDefault="005E6356" w:rsidP="005E6356">
      <w:pPr>
        <w:numPr>
          <w:ilvl w:val="0"/>
          <w:numId w:val="3"/>
        </w:numPr>
        <w:ind w:left="720"/>
        <w:rPr>
          <w:szCs w:val="22"/>
        </w:rPr>
      </w:pPr>
      <w:r w:rsidRPr="005E6356">
        <w:rPr>
          <w:szCs w:val="22"/>
        </w:rPr>
        <w:t xml:space="preserve">A draft report will be provided to DFAT by 2 May, 2014. </w:t>
      </w:r>
    </w:p>
    <w:p w:rsidR="005E6356" w:rsidRDefault="005E6356">
      <w:pPr>
        <w:suppressAutoHyphens w:val="0"/>
        <w:autoSpaceDE/>
        <w:autoSpaceDN/>
        <w:adjustRightInd/>
        <w:spacing w:before="0" w:after="0" w:line="240" w:lineRule="auto"/>
        <w:ind w:left="0" w:firstLine="0"/>
        <w:jc w:val="left"/>
        <w:textAlignment w:val="auto"/>
        <w:rPr>
          <w:rFonts w:asciiTheme="majorHAnsi" w:hAnsiTheme="majorHAnsi"/>
          <w:noProof/>
          <w:color w:val="FFFFFF" w:themeColor="background1"/>
          <w:sz w:val="24"/>
          <w:szCs w:val="24"/>
          <w:lang w:val="en-US"/>
        </w:rPr>
      </w:pPr>
      <w:r>
        <w:rPr>
          <w:rFonts w:asciiTheme="majorHAnsi" w:hAnsiTheme="majorHAnsi"/>
          <w:noProof/>
          <w:color w:val="FFFFFF" w:themeColor="background1"/>
          <w:sz w:val="24"/>
          <w:szCs w:val="24"/>
          <w:lang w:val="en-US"/>
        </w:rPr>
        <w:br w:type="page"/>
      </w:r>
    </w:p>
    <w:p w:rsidR="008C2AF6" w:rsidRPr="00456554" w:rsidRDefault="007C24CE" w:rsidP="00132DAA">
      <w:pPr>
        <w:shd w:val="clear" w:color="auto" w:fill="4F81BD" w:themeFill="accent1"/>
        <w:ind w:left="0" w:firstLine="0"/>
        <w:rPr>
          <w:rFonts w:asciiTheme="majorHAnsi" w:hAnsiTheme="majorHAnsi"/>
          <w:b/>
          <w:color w:val="FFFFFF" w:themeColor="background1"/>
          <w:sz w:val="24"/>
          <w:szCs w:val="24"/>
        </w:rPr>
      </w:pPr>
      <w:r w:rsidRPr="00456554">
        <w:rPr>
          <w:rFonts w:asciiTheme="majorHAnsi" w:hAnsiTheme="majorHAnsi"/>
          <w:b/>
          <w:color w:val="FFFFFF" w:themeColor="background1"/>
          <w:sz w:val="24"/>
          <w:szCs w:val="24"/>
        </w:rPr>
        <w:t>Annex B –</w:t>
      </w:r>
      <w:r w:rsidR="008C2AF6" w:rsidRPr="00456554">
        <w:rPr>
          <w:rFonts w:asciiTheme="majorHAnsi" w:hAnsiTheme="majorHAnsi"/>
          <w:b/>
          <w:color w:val="FFFFFF" w:themeColor="background1"/>
          <w:sz w:val="24"/>
          <w:szCs w:val="24"/>
        </w:rPr>
        <w:t xml:space="preserve"> </w:t>
      </w:r>
      <w:r w:rsidR="000B2070" w:rsidRPr="00456554">
        <w:rPr>
          <w:rFonts w:asciiTheme="majorHAnsi" w:hAnsiTheme="majorHAnsi"/>
          <w:b/>
          <w:color w:val="FFFFFF" w:themeColor="background1"/>
          <w:sz w:val="24"/>
          <w:szCs w:val="24"/>
        </w:rPr>
        <w:t xml:space="preserve">Minimum Vetting Requirements for </w:t>
      </w:r>
      <w:r w:rsidR="00A7480E" w:rsidRPr="00456554">
        <w:rPr>
          <w:rFonts w:asciiTheme="majorHAnsi" w:hAnsiTheme="majorHAnsi"/>
          <w:b/>
          <w:color w:val="FFFFFF" w:themeColor="background1"/>
          <w:sz w:val="24"/>
          <w:szCs w:val="24"/>
        </w:rPr>
        <w:t>demonstrating</w:t>
      </w:r>
      <w:r w:rsidR="000B2070" w:rsidRPr="00456554">
        <w:rPr>
          <w:rFonts w:asciiTheme="majorHAnsi" w:hAnsiTheme="majorHAnsi"/>
          <w:b/>
          <w:color w:val="FFFFFF" w:themeColor="background1"/>
          <w:sz w:val="24"/>
          <w:szCs w:val="24"/>
        </w:rPr>
        <w:t xml:space="preserve"> counter-terrorism risk management in AMENCA </w:t>
      </w:r>
    </w:p>
    <w:tbl>
      <w:tblPr>
        <w:tblStyle w:val="TableGrid"/>
        <w:tblW w:w="0" w:type="auto"/>
        <w:tblLook w:val="04A0" w:firstRow="1" w:lastRow="0" w:firstColumn="1" w:lastColumn="0" w:noHBand="0" w:noVBand="1"/>
      </w:tblPr>
      <w:tblGrid>
        <w:gridCol w:w="3506"/>
        <w:gridCol w:w="4389"/>
      </w:tblGrid>
      <w:tr w:rsidR="008C2AF6" w:rsidRPr="0036037C" w:rsidTr="005356EE">
        <w:trPr>
          <w:tblHeader/>
        </w:trPr>
        <w:tc>
          <w:tcPr>
            <w:tcW w:w="7895" w:type="dxa"/>
            <w:gridSpan w:val="2"/>
          </w:tcPr>
          <w:p w:rsidR="008C2AF6" w:rsidRPr="0036037C" w:rsidRDefault="008C2AF6" w:rsidP="008C2AF6">
            <w:pPr>
              <w:pStyle w:val="Heading3"/>
            </w:pPr>
            <w:r w:rsidRPr="0036037C">
              <w:t>Partner organisations</w:t>
            </w:r>
          </w:p>
        </w:tc>
      </w:tr>
      <w:tr w:rsidR="008C2AF6" w:rsidRPr="0036037C" w:rsidTr="008C2AF6">
        <w:tc>
          <w:tcPr>
            <w:tcW w:w="3506" w:type="dxa"/>
          </w:tcPr>
          <w:p w:rsidR="008C2AF6" w:rsidRPr="0036037C" w:rsidRDefault="008C2AF6" w:rsidP="008C2AF6">
            <w:pPr>
              <w:spacing w:after="200" w:line="276" w:lineRule="auto"/>
              <w:rPr>
                <w:b/>
                <w:bCs/>
              </w:rPr>
            </w:pPr>
            <w:r w:rsidRPr="0036037C">
              <w:rPr>
                <w:b/>
                <w:bCs/>
              </w:rPr>
              <w:t>Who should be vetted?</w:t>
            </w:r>
          </w:p>
        </w:tc>
        <w:tc>
          <w:tcPr>
            <w:tcW w:w="4389" w:type="dxa"/>
          </w:tcPr>
          <w:p w:rsidR="008C2AF6" w:rsidRPr="0036037C" w:rsidRDefault="008C2AF6" w:rsidP="008C2AF6">
            <w:pPr>
              <w:spacing w:after="200" w:line="276" w:lineRule="auto"/>
              <w:rPr>
                <w:b/>
                <w:bCs/>
              </w:rPr>
            </w:pPr>
            <w:r w:rsidRPr="0036037C">
              <w:rPr>
                <w:b/>
                <w:bCs/>
              </w:rPr>
              <w:t>Possible methods</w:t>
            </w:r>
          </w:p>
        </w:tc>
      </w:tr>
      <w:tr w:rsidR="008C2AF6" w:rsidRPr="0036037C" w:rsidTr="008C2AF6">
        <w:trPr>
          <w:trHeight w:val="740"/>
        </w:trPr>
        <w:tc>
          <w:tcPr>
            <w:tcW w:w="3506" w:type="dxa"/>
            <w:vMerge w:val="restart"/>
          </w:tcPr>
          <w:p w:rsidR="008C2AF6" w:rsidRPr="00492E99" w:rsidRDefault="008C2AF6" w:rsidP="008C2AF6">
            <w:pPr>
              <w:rPr>
                <w:rFonts w:ascii="Times New Roman" w:hAnsi="Times New Roman" w:cs="Times New Roman"/>
              </w:rPr>
            </w:pPr>
            <w:r w:rsidRPr="00492E99">
              <w:rPr>
                <w:rFonts w:ascii="Times New Roman" w:hAnsi="Times New Roman" w:cs="Times New Roman"/>
                <w:b/>
                <w:bCs/>
              </w:rPr>
              <w:t>All</w:t>
            </w:r>
            <w:r w:rsidRPr="00492E99">
              <w:rPr>
                <w:rFonts w:ascii="Times New Roman" w:hAnsi="Times New Roman" w:cs="Times New Roman"/>
              </w:rPr>
              <w:t xml:space="preserve"> partner organisations (NGOs, Civil Society Organisations (CSOs) receiving Australian aid </w:t>
            </w: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Check organisation name against Australian lists (Bridger/Watchdog plus)</w:t>
            </w:r>
          </w:p>
        </w:tc>
      </w:tr>
      <w:tr w:rsidR="008C2AF6" w:rsidRPr="0036037C" w:rsidTr="008C2AF6">
        <w:trPr>
          <w:trHeight w:val="412"/>
        </w:trPr>
        <w:tc>
          <w:tcPr>
            <w:tcW w:w="3506" w:type="dxa"/>
            <w:vMerge/>
          </w:tcPr>
          <w:p w:rsidR="008C2AF6" w:rsidRPr="00492E99" w:rsidRDefault="008C2AF6" w:rsidP="008C2AF6">
            <w:pPr>
              <w:spacing w:after="200" w:line="276" w:lineRule="auto"/>
              <w:rPr>
                <w:rFonts w:ascii="Times New Roman" w:hAnsi="Times New Roman" w:cs="Times New Roman"/>
                <w:b/>
                <w:bCs/>
              </w:rPr>
            </w:pP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Use of internet search engines to check organisation name for current or previous affiliations with proscribed organisations</w:t>
            </w:r>
          </w:p>
        </w:tc>
      </w:tr>
      <w:tr w:rsidR="008C2AF6" w:rsidRPr="0036037C" w:rsidTr="008C2AF6">
        <w:trPr>
          <w:trHeight w:val="278"/>
        </w:trPr>
        <w:tc>
          <w:tcPr>
            <w:tcW w:w="3506" w:type="dxa"/>
            <w:vMerge w:val="restart"/>
          </w:tcPr>
          <w:p w:rsidR="008C2AF6" w:rsidRPr="00492E99" w:rsidRDefault="008C2AF6" w:rsidP="008C2AF6">
            <w:pPr>
              <w:rPr>
                <w:rFonts w:ascii="Times New Roman" w:hAnsi="Times New Roman" w:cs="Times New Roman"/>
              </w:rPr>
            </w:pPr>
            <w:r w:rsidRPr="00492E99">
              <w:rPr>
                <w:rFonts w:ascii="Times New Roman" w:hAnsi="Times New Roman" w:cs="Times New Roman"/>
              </w:rPr>
              <w:t xml:space="preserve">Private businesses receiving </w:t>
            </w:r>
            <w:r>
              <w:rPr>
                <w:rFonts w:ascii="Times New Roman" w:hAnsi="Times New Roman" w:cs="Times New Roman"/>
              </w:rPr>
              <w:t xml:space="preserve">large </w:t>
            </w:r>
            <w:r w:rsidRPr="00492E99">
              <w:rPr>
                <w:rFonts w:ascii="Times New Roman" w:hAnsi="Times New Roman" w:cs="Times New Roman"/>
              </w:rPr>
              <w:t xml:space="preserve">amounts of Australian </w:t>
            </w:r>
            <w:r>
              <w:rPr>
                <w:rFonts w:ascii="Times New Roman" w:hAnsi="Times New Roman" w:cs="Times New Roman"/>
              </w:rPr>
              <w:t>G</w:t>
            </w:r>
            <w:r w:rsidRPr="00492E99">
              <w:rPr>
                <w:rFonts w:ascii="Times New Roman" w:hAnsi="Times New Roman" w:cs="Times New Roman"/>
              </w:rPr>
              <w:t>overnment funding (</w:t>
            </w:r>
            <w:r>
              <w:rPr>
                <w:rFonts w:ascii="Times New Roman" w:hAnsi="Times New Roman" w:cs="Times New Roman"/>
              </w:rPr>
              <w:t xml:space="preserve">e.g. </w:t>
            </w:r>
            <w:r w:rsidRPr="00492E99">
              <w:rPr>
                <w:rFonts w:ascii="Times New Roman" w:hAnsi="Times New Roman" w:cs="Times New Roman"/>
              </w:rPr>
              <w:t>over $10,000)</w:t>
            </w: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Check business name against Australian lists (or use Bridger/Watchdog plus)</w:t>
            </w:r>
          </w:p>
        </w:tc>
      </w:tr>
      <w:tr w:rsidR="008C2AF6" w:rsidRPr="0036037C" w:rsidTr="008C2AF6">
        <w:trPr>
          <w:trHeight w:val="277"/>
        </w:trPr>
        <w:tc>
          <w:tcPr>
            <w:tcW w:w="3506" w:type="dxa"/>
            <w:vMerge/>
          </w:tcPr>
          <w:p w:rsidR="008C2AF6" w:rsidRPr="00492E99" w:rsidRDefault="008C2AF6" w:rsidP="008C2AF6">
            <w:pPr>
              <w:spacing w:after="200" w:line="276" w:lineRule="auto"/>
              <w:rPr>
                <w:rFonts w:ascii="Times New Roman" w:hAnsi="Times New Roman" w:cs="Times New Roman"/>
              </w:rPr>
            </w:pP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Use of internet search engines to check for current or previous affiliations with proscribed organisations</w:t>
            </w:r>
          </w:p>
        </w:tc>
      </w:tr>
      <w:tr w:rsidR="008C2AF6" w:rsidRPr="0036037C" w:rsidTr="008C2AF6">
        <w:tc>
          <w:tcPr>
            <w:tcW w:w="3506"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Other organisations with the ability to influence the use of Australian aid on a risk assessed basis</w:t>
            </w: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Depending on outcome of the risk assessment</w:t>
            </w:r>
          </w:p>
        </w:tc>
      </w:tr>
      <w:tr w:rsidR="008C2AF6" w:rsidRPr="0036037C" w:rsidTr="008C2AF6">
        <w:trPr>
          <w:cantSplit/>
        </w:trPr>
        <w:tc>
          <w:tcPr>
            <w:tcW w:w="7895" w:type="dxa"/>
            <w:gridSpan w:val="2"/>
          </w:tcPr>
          <w:p w:rsidR="008C2AF6" w:rsidRPr="0036037C" w:rsidRDefault="008C2AF6" w:rsidP="008C2AF6">
            <w:pPr>
              <w:pStyle w:val="Heading3"/>
            </w:pPr>
            <w:r w:rsidRPr="0036037C">
              <w:t>Key personnel</w:t>
            </w:r>
          </w:p>
        </w:tc>
      </w:tr>
      <w:tr w:rsidR="008C2AF6" w:rsidRPr="0036037C" w:rsidTr="008C2AF6">
        <w:trPr>
          <w:cantSplit/>
        </w:trPr>
        <w:tc>
          <w:tcPr>
            <w:tcW w:w="3506" w:type="dxa"/>
          </w:tcPr>
          <w:p w:rsidR="008C2AF6" w:rsidRPr="0036037C" w:rsidRDefault="008C2AF6" w:rsidP="008C2AF6">
            <w:pPr>
              <w:spacing w:after="200" w:line="276" w:lineRule="auto"/>
              <w:rPr>
                <w:b/>
                <w:bCs/>
              </w:rPr>
            </w:pPr>
            <w:r w:rsidRPr="0036037C">
              <w:rPr>
                <w:b/>
                <w:bCs/>
              </w:rPr>
              <w:t>Who should be vetted?</w:t>
            </w:r>
          </w:p>
        </w:tc>
        <w:tc>
          <w:tcPr>
            <w:tcW w:w="4389" w:type="dxa"/>
          </w:tcPr>
          <w:p w:rsidR="008C2AF6" w:rsidRPr="0036037C" w:rsidRDefault="008C2AF6" w:rsidP="008C2AF6">
            <w:pPr>
              <w:spacing w:after="200" w:line="276" w:lineRule="auto"/>
              <w:rPr>
                <w:b/>
                <w:bCs/>
              </w:rPr>
            </w:pPr>
            <w:r w:rsidRPr="0036037C">
              <w:rPr>
                <w:b/>
                <w:bCs/>
              </w:rPr>
              <w:t>Possible methods</w:t>
            </w:r>
          </w:p>
        </w:tc>
      </w:tr>
      <w:tr w:rsidR="008C2AF6" w:rsidRPr="0036037C" w:rsidTr="008C2AF6">
        <w:trPr>
          <w:cantSplit/>
        </w:trPr>
        <w:tc>
          <w:tcPr>
            <w:tcW w:w="3506"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Board members of partner NGOs</w:t>
            </w: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Check names against Australian lists (or use Bridger/Watchdog plus), Internet Checking or other independent sources of information</w:t>
            </w:r>
          </w:p>
        </w:tc>
      </w:tr>
      <w:tr w:rsidR="008C2AF6" w:rsidRPr="0036037C" w:rsidTr="008C2AF6">
        <w:trPr>
          <w:cantSplit/>
        </w:trPr>
        <w:tc>
          <w:tcPr>
            <w:tcW w:w="3506"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 xml:space="preserve">Senior Executive staff of partner NGOs </w:t>
            </w: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Check names against Australian lists (or use Bridger/Watchdog plus) Internet Checking or other independent sources of information</w:t>
            </w:r>
          </w:p>
        </w:tc>
      </w:tr>
      <w:tr w:rsidR="008C2AF6" w:rsidRPr="0036037C" w:rsidTr="008C2AF6">
        <w:trPr>
          <w:cantSplit/>
        </w:trPr>
        <w:tc>
          <w:tcPr>
            <w:tcW w:w="3506"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Financial staff of partner NGOs</w:t>
            </w: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Check names against Australian lists (or use Bridger/Watchdog plus) Internet Checking or other independent sources of information</w:t>
            </w:r>
          </w:p>
        </w:tc>
      </w:tr>
      <w:tr w:rsidR="008C2AF6" w:rsidRPr="0036037C" w:rsidTr="008C2AF6">
        <w:trPr>
          <w:cantSplit/>
        </w:trPr>
        <w:tc>
          <w:tcPr>
            <w:tcW w:w="3506"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Board members and staff of CBOs or private sector partners on a risk assessed basis, taking into account their role in recommending or approving the use of Australian funds</w:t>
            </w: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Depending on outcome of the risk assessment</w:t>
            </w:r>
          </w:p>
        </w:tc>
      </w:tr>
      <w:tr w:rsidR="008C2AF6" w:rsidRPr="0036037C" w:rsidDel="00856B55" w:rsidTr="008C2AF6">
        <w:trPr>
          <w:cantSplit/>
        </w:trPr>
        <w:tc>
          <w:tcPr>
            <w:tcW w:w="7895" w:type="dxa"/>
            <w:gridSpan w:val="2"/>
          </w:tcPr>
          <w:p w:rsidR="008C2AF6" w:rsidRPr="0036037C" w:rsidDel="00856B55" w:rsidRDefault="008C2AF6" w:rsidP="008C2AF6">
            <w:pPr>
              <w:pStyle w:val="Heading3"/>
            </w:pPr>
            <w:r w:rsidRPr="0036037C" w:rsidDel="00856B55">
              <w:t>The following organisations and individuals do not require vetting</w:t>
            </w:r>
          </w:p>
        </w:tc>
      </w:tr>
      <w:tr w:rsidR="008C2AF6" w:rsidRPr="0036037C" w:rsidTr="008C2AF6">
        <w:trPr>
          <w:cantSplit/>
        </w:trPr>
        <w:tc>
          <w:tcPr>
            <w:tcW w:w="3506"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Beneficiaries – aid is provided based on need</w:t>
            </w: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No vetting – however NGOs should have documented and defensible systems for assessing and targeting need.  They should also understand the beneficiary group and the local context in which Australian funds are being provided.</w:t>
            </w:r>
          </w:p>
        </w:tc>
      </w:tr>
      <w:tr w:rsidR="008C2AF6" w:rsidRPr="0036037C" w:rsidTr="008C2AF6">
        <w:trPr>
          <w:cantSplit/>
        </w:trPr>
        <w:tc>
          <w:tcPr>
            <w:tcW w:w="3506"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Accredited Australian NGOs and their staff</w:t>
            </w:r>
          </w:p>
        </w:tc>
        <w:tc>
          <w:tcPr>
            <w:tcW w:w="4389" w:type="dxa"/>
          </w:tcPr>
          <w:p w:rsidR="008C2AF6" w:rsidRPr="00492E99" w:rsidRDefault="008C2AF6" w:rsidP="008C2AF6">
            <w:pPr>
              <w:spacing w:after="200" w:line="276" w:lineRule="auto"/>
              <w:rPr>
                <w:rFonts w:ascii="Times New Roman" w:hAnsi="Times New Roman" w:cs="Times New Roman"/>
              </w:rPr>
            </w:pPr>
            <w:r w:rsidRPr="00492E99">
              <w:rPr>
                <w:rFonts w:ascii="Times New Roman" w:hAnsi="Times New Roman" w:cs="Times New Roman"/>
              </w:rPr>
              <w:t>No vetting – these NGOs are vetted through Australia’s NGO accreditation process</w:t>
            </w:r>
          </w:p>
        </w:tc>
      </w:tr>
    </w:tbl>
    <w:p w:rsidR="000B2070" w:rsidRDefault="000B2070" w:rsidP="000B2070">
      <w:pPr>
        <w:ind w:left="0" w:firstLine="0"/>
      </w:pPr>
    </w:p>
    <w:p w:rsidR="000B2070" w:rsidRDefault="000B2070">
      <w:pPr>
        <w:suppressAutoHyphens w:val="0"/>
        <w:autoSpaceDE/>
        <w:autoSpaceDN/>
        <w:adjustRightInd/>
        <w:spacing w:before="0" w:after="0" w:line="240" w:lineRule="auto"/>
        <w:ind w:left="0" w:firstLine="0"/>
        <w:jc w:val="left"/>
        <w:textAlignment w:val="auto"/>
      </w:pPr>
      <w:r>
        <w:br w:type="page"/>
      </w:r>
    </w:p>
    <w:p w:rsidR="000B2070" w:rsidRPr="00132DAA" w:rsidRDefault="000B2070" w:rsidP="00132DAA">
      <w:pPr>
        <w:shd w:val="clear" w:color="auto" w:fill="4F81BD" w:themeFill="accent1"/>
        <w:ind w:left="0" w:firstLine="0"/>
        <w:rPr>
          <w:rFonts w:asciiTheme="majorHAnsi" w:hAnsiTheme="majorHAnsi"/>
          <w:b/>
          <w:color w:val="FFFFFF" w:themeColor="background1"/>
          <w:sz w:val="24"/>
          <w:szCs w:val="24"/>
        </w:rPr>
      </w:pPr>
      <w:r w:rsidRPr="00132DAA">
        <w:rPr>
          <w:rFonts w:asciiTheme="majorHAnsi" w:hAnsiTheme="majorHAnsi"/>
          <w:b/>
          <w:color w:val="FFFFFF" w:themeColor="background1"/>
          <w:sz w:val="24"/>
          <w:szCs w:val="24"/>
        </w:rPr>
        <w:t xml:space="preserve">Annex C - Minimum Documentation Requirements for demonstrating counter-terrorism risk management in AMENCA </w:t>
      </w:r>
    </w:p>
    <w:p w:rsidR="008C2AF6" w:rsidRPr="008C2AF6" w:rsidRDefault="008C2AF6" w:rsidP="008C2AF6">
      <w:pPr>
        <w:spacing w:after="0" w:line="240" w:lineRule="auto"/>
        <w:ind w:left="0" w:firstLine="0"/>
        <w:jc w:val="left"/>
        <w:rPr>
          <w:rFonts w:ascii="Times New Roman" w:hAnsi="Times New Roman"/>
          <w:sz w:val="24"/>
          <w:szCs w:val="24"/>
        </w:rPr>
      </w:pPr>
    </w:p>
    <w:tbl>
      <w:tblPr>
        <w:tblStyle w:val="TableGrid"/>
        <w:tblW w:w="0" w:type="auto"/>
        <w:tblLook w:val="04A0" w:firstRow="1" w:lastRow="0" w:firstColumn="1" w:lastColumn="0" w:noHBand="0" w:noVBand="1"/>
      </w:tblPr>
      <w:tblGrid>
        <w:gridCol w:w="8516"/>
      </w:tblGrid>
      <w:tr w:rsidR="008C2AF6" w:rsidRPr="0036037C" w:rsidTr="005356EE">
        <w:trPr>
          <w:trHeight w:val="40"/>
          <w:tblHeader/>
        </w:trPr>
        <w:tc>
          <w:tcPr>
            <w:tcW w:w="8528" w:type="dxa"/>
          </w:tcPr>
          <w:p w:rsidR="008C2AF6" w:rsidRPr="00287BD2" w:rsidRDefault="008C2AF6" w:rsidP="008C2AF6">
            <w:pPr>
              <w:pStyle w:val="Heading3"/>
            </w:pPr>
            <w:r w:rsidRPr="00287BD2">
              <w:t>Minimum counter-terrorism due diligence documentation</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Evidence of vetting of key organisations and personnel (paragraph 20) (e.g. a signed statement by the vetting officer or a report from vetting software)</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color w:val="808080" w:themeColor="text1" w:themeTint="7F"/>
              </w:rPr>
            </w:pPr>
            <w:r w:rsidRPr="00287BD2">
              <w:rPr>
                <w:rFonts w:asciiTheme="majorHAnsi" w:hAnsiTheme="majorHAnsi" w:cs="Times New Roman"/>
              </w:rPr>
              <w:t>Details of key personnel (name, date of birth, occupation, ID number)</w:t>
            </w:r>
            <w:r w:rsidRPr="00287BD2">
              <w:rPr>
                <w:rFonts w:asciiTheme="majorHAnsi" w:hAnsiTheme="majorHAnsi" w:cs="Times New Roman"/>
                <w:color w:val="808080" w:themeColor="text1" w:themeTint="7F"/>
              </w:rPr>
              <w:t xml:space="preserve"> </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color w:val="808080" w:themeColor="text1" w:themeTint="7F"/>
              </w:rPr>
            </w:pPr>
            <w:r w:rsidRPr="00287BD2">
              <w:rPr>
                <w:rFonts w:asciiTheme="majorHAnsi" w:hAnsiTheme="majorHAnsi" w:cs="Times New Roman"/>
              </w:rPr>
              <w:t>Registration documents for key organisations (paragraph 21)</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color w:val="808080" w:themeColor="text1" w:themeTint="7F"/>
              </w:rPr>
            </w:pPr>
            <w:r w:rsidRPr="00287BD2">
              <w:rPr>
                <w:rFonts w:asciiTheme="majorHAnsi" w:hAnsiTheme="majorHAnsi" w:cs="Times New Roman"/>
              </w:rPr>
              <w:t>Evidence that registration is up to date (e.g. receipts for registration payments)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 xml:space="preserve">Due diligence assessments for any </w:t>
            </w:r>
            <w:r w:rsidRPr="00287BD2">
              <w:rPr>
                <w:rFonts w:asciiTheme="majorHAnsi" w:hAnsiTheme="majorHAnsi" w:cs="Times New Roman"/>
                <w:b/>
                <w:u w:val="single"/>
              </w:rPr>
              <w:t>new</w:t>
            </w:r>
            <w:r w:rsidRPr="00287BD2">
              <w:rPr>
                <w:rFonts w:asciiTheme="majorHAnsi" w:hAnsiTheme="majorHAnsi" w:cs="Times New Roman"/>
                <w:b/>
              </w:rPr>
              <w:t xml:space="preserve"> </w:t>
            </w:r>
            <w:r w:rsidRPr="00287BD2">
              <w:rPr>
                <w:rFonts w:asciiTheme="majorHAnsi" w:hAnsiTheme="majorHAnsi" w:cs="Times New Roman"/>
              </w:rPr>
              <w:t>NGO</w:t>
            </w:r>
            <w:r w:rsidRPr="00287BD2">
              <w:rPr>
                <w:rFonts w:asciiTheme="majorHAnsi" w:hAnsiTheme="majorHAnsi" w:cs="Times New Roman"/>
                <w:b/>
              </w:rPr>
              <w:t xml:space="preserve"> </w:t>
            </w:r>
            <w:r w:rsidRPr="00287BD2">
              <w:rPr>
                <w:rFonts w:asciiTheme="majorHAnsi" w:hAnsiTheme="majorHAnsi" w:cs="Times New Roman"/>
              </w:rPr>
              <w:t>partnerships taking into account AusAID’s due diligence guidance (draft expected late February)</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Evidence of robust systems for selecting beneficiaries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Minutes of board meetings (showing active governance processes)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Partner constitutions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Annual reports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Documented policies and procedures related to counter-terrorism</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Documented recruitment process addressing the issue of counter-terrorism</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Staff employment contract template and partner agreements including clauses relating to counter-terrorism, including sub-contract clause</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Evidence that partners have been trained/briefed on counter-terrorism requirements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iCs/>
                <w:color w:val="808080" w:themeColor="text1" w:themeTint="7F"/>
              </w:rPr>
            </w:pPr>
            <w:r w:rsidRPr="00287BD2">
              <w:rPr>
                <w:rFonts w:asciiTheme="majorHAnsi" w:eastAsiaTheme="majorEastAsia" w:hAnsiTheme="majorHAnsi" w:cstheme="majorBidi"/>
                <w:b/>
                <w:bCs/>
                <w:color w:val="4F81BD" w:themeColor="accent1"/>
              </w:rPr>
              <w:t>Minimum finance documentation</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A clearly documented paper trail for all AMENCA transactions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Appropriate controls over expenditure (e.g. transactions approved at an appropriately senior level)</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Documented procurement processes (appropriate to the amount of the transaction)</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Evidence payments have been processed through the banking system (e.g. bank statements)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Audited financial statements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Independent audits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Financial management policies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Fraud control policies</w:t>
            </w:r>
          </w:p>
        </w:tc>
      </w:tr>
      <w:tr w:rsidR="008C2AF6" w:rsidRPr="0036037C" w:rsidTr="008C2AF6">
        <w:tc>
          <w:tcPr>
            <w:tcW w:w="8528" w:type="dxa"/>
          </w:tcPr>
          <w:p w:rsidR="008C2AF6" w:rsidRPr="00287BD2" w:rsidRDefault="008C2AF6" w:rsidP="008C2AF6">
            <w:pPr>
              <w:spacing w:after="200" w:line="276" w:lineRule="auto"/>
              <w:rPr>
                <w:rFonts w:asciiTheme="majorHAnsi" w:hAnsiTheme="majorHAnsi" w:cs="Times New Roman"/>
              </w:rPr>
            </w:pPr>
            <w:r w:rsidRPr="00287BD2">
              <w:rPr>
                <w:rFonts w:asciiTheme="majorHAnsi" w:hAnsiTheme="majorHAnsi" w:cs="Times New Roman"/>
              </w:rPr>
              <w:t>Contractual arrangements or MoUs with partner NGOs/CBOs demonstrating financial management processes and fraud controls</w:t>
            </w:r>
          </w:p>
        </w:tc>
      </w:tr>
    </w:tbl>
    <w:p w:rsidR="000B2070" w:rsidRDefault="000B2070" w:rsidP="00287BD2">
      <w:pPr>
        <w:pStyle w:val="Heading2"/>
        <w:keepLines/>
        <w:spacing w:before="200" w:after="0" w:line="276" w:lineRule="auto"/>
      </w:pPr>
    </w:p>
    <w:p w:rsidR="000B2070" w:rsidRDefault="000B2070">
      <w:pPr>
        <w:suppressAutoHyphens w:val="0"/>
        <w:autoSpaceDE/>
        <w:autoSpaceDN/>
        <w:adjustRightInd/>
        <w:spacing w:before="0" w:after="0" w:line="240" w:lineRule="auto"/>
        <w:ind w:left="0" w:firstLine="0"/>
        <w:jc w:val="left"/>
        <w:textAlignment w:val="auto"/>
        <w:rPr>
          <w:rFonts w:ascii="Calibri" w:eastAsia="MS Gothic" w:hAnsi="Calibri" w:cs="Times New Roman"/>
          <w:b/>
          <w:bCs/>
          <w:color w:val="DD6021"/>
          <w:sz w:val="24"/>
          <w:szCs w:val="32"/>
        </w:rPr>
      </w:pPr>
      <w:r>
        <w:br w:type="page"/>
      </w:r>
    </w:p>
    <w:p w:rsidR="000B2070" w:rsidRPr="00132DAA" w:rsidRDefault="000B2070" w:rsidP="00132DAA">
      <w:pPr>
        <w:pStyle w:val="Heading2"/>
        <w:keepLines/>
        <w:shd w:val="clear" w:color="auto" w:fill="4F81BD" w:themeFill="accent1"/>
        <w:spacing w:before="200" w:after="0" w:line="276" w:lineRule="auto"/>
        <w:rPr>
          <w:rFonts w:asciiTheme="majorHAnsi" w:hAnsiTheme="majorHAnsi"/>
          <w:color w:val="FFFFFF" w:themeColor="background1"/>
          <w:szCs w:val="24"/>
        </w:rPr>
      </w:pPr>
      <w:r w:rsidRPr="00132DAA">
        <w:rPr>
          <w:rFonts w:asciiTheme="majorHAnsi" w:hAnsiTheme="majorHAnsi"/>
          <w:color w:val="FFFFFF" w:themeColor="background1"/>
        </w:rPr>
        <w:t>Annex D – Annual Counter-Terrorism Risk Management</w:t>
      </w:r>
      <w:r w:rsidRPr="00132DAA">
        <w:rPr>
          <w:rFonts w:asciiTheme="majorHAnsi" w:hAnsiTheme="majorHAnsi"/>
          <w:color w:val="FFFFFF" w:themeColor="background1"/>
          <w:szCs w:val="24"/>
        </w:rPr>
        <w:t xml:space="preserve"> Report</w:t>
      </w:r>
    </w:p>
    <w:p w:rsidR="008C2AF6" w:rsidRPr="00287BD2" w:rsidRDefault="000B2070" w:rsidP="000B2070">
      <w:pPr>
        <w:pStyle w:val="Heading2"/>
        <w:keepLines/>
        <w:spacing w:before="200" w:after="0" w:line="276" w:lineRule="auto"/>
        <w:rPr>
          <w:rFonts w:asciiTheme="majorHAnsi" w:hAnsiTheme="majorHAnsi"/>
          <w:b w:val="0"/>
          <w:color w:val="0D0D0D" w:themeColor="text1" w:themeTint="F2"/>
          <w:sz w:val="22"/>
          <w:szCs w:val="22"/>
        </w:rPr>
      </w:pPr>
      <w:r w:rsidRPr="00287BD2">
        <w:rPr>
          <w:rFonts w:asciiTheme="majorHAnsi" w:hAnsiTheme="majorHAnsi"/>
          <w:b w:val="0"/>
          <w:color w:val="0D0D0D" w:themeColor="text1" w:themeTint="F2"/>
          <w:sz w:val="22"/>
          <w:szCs w:val="22"/>
        </w:rPr>
        <w:t xml:space="preserve">The AMENCA Program Manager in the Australian NGO </w:t>
      </w:r>
      <w:r w:rsidR="002F4911" w:rsidRPr="00287BD2">
        <w:rPr>
          <w:rFonts w:asciiTheme="majorHAnsi" w:hAnsiTheme="majorHAnsi"/>
          <w:b w:val="0"/>
          <w:color w:val="0D0D0D" w:themeColor="text1" w:themeTint="F2"/>
          <w:sz w:val="22"/>
          <w:szCs w:val="22"/>
        </w:rPr>
        <w:t xml:space="preserve">will report each year on the following: </w:t>
      </w:r>
      <w:r w:rsidRPr="00287BD2">
        <w:rPr>
          <w:rFonts w:asciiTheme="majorHAnsi" w:hAnsiTheme="majorHAnsi"/>
          <w:b w:val="0"/>
          <w:color w:val="0D0D0D" w:themeColor="text1" w:themeTint="F2"/>
          <w:sz w:val="22"/>
          <w:szCs w:val="22"/>
        </w:rPr>
        <w:t xml:space="preserve"> </w:t>
      </w:r>
    </w:p>
    <w:p w:rsidR="008C2AF6" w:rsidRPr="00287BD2" w:rsidRDefault="008C2AF6" w:rsidP="00287BD2">
      <w:pPr>
        <w:pStyle w:val="ListParagraph"/>
        <w:numPr>
          <w:ilvl w:val="0"/>
          <w:numId w:val="29"/>
        </w:numPr>
        <w:jc w:val="left"/>
        <w:rPr>
          <w:rFonts w:asciiTheme="majorHAnsi" w:hAnsiTheme="majorHAnsi"/>
          <w:color w:val="0D0D0D" w:themeColor="text1" w:themeTint="F2"/>
        </w:rPr>
      </w:pPr>
      <w:r w:rsidRPr="00287BD2">
        <w:rPr>
          <w:rFonts w:asciiTheme="majorHAnsi" w:hAnsiTheme="majorHAnsi"/>
          <w:color w:val="0D0D0D" w:themeColor="text1" w:themeTint="F2"/>
        </w:rPr>
        <w:t>all suspected linkages were promptly reported to AusAID</w:t>
      </w:r>
    </w:p>
    <w:p w:rsidR="008C2AF6" w:rsidRPr="00287BD2" w:rsidRDefault="008C2AF6" w:rsidP="00287BD2">
      <w:pPr>
        <w:pStyle w:val="ListParagraph"/>
        <w:numPr>
          <w:ilvl w:val="0"/>
          <w:numId w:val="29"/>
        </w:numPr>
        <w:jc w:val="left"/>
        <w:rPr>
          <w:rFonts w:asciiTheme="majorHAnsi" w:hAnsiTheme="majorHAnsi"/>
          <w:color w:val="0D0D0D" w:themeColor="text1" w:themeTint="F2"/>
        </w:rPr>
      </w:pPr>
      <w:r w:rsidRPr="00287BD2">
        <w:rPr>
          <w:rFonts w:asciiTheme="majorHAnsi" w:hAnsiTheme="majorHAnsi"/>
          <w:color w:val="0D0D0D" w:themeColor="text1" w:themeTint="F2"/>
        </w:rPr>
        <w:t xml:space="preserve">counter-terrorism due diligence key documents are up to date, in accordance with the minimum documentation requirements </w:t>
      </w:r>
    </w:p>
    <w:p w:rsidR="008C2AF6" w:rsidRPr="00287BD2" w:rsidRDefault="008C2AF6" w:rsidP="00287BD2">
      <w:pPr>
        <w:pStyle w:val="ListParagraph"/>
        <w:numPr>
          <w:ilvl w:val="0"/>
          <w:numId w:val="29"/>
        </w:numPr>
        <w:jc w:val="left"/>
        <w:rPr>
          <w:rFonts w:asciiTheme="majorHAnsi" w:hAnsiTheme="majorHAnsi"/>
          <w:color w:val="0D0D0D" w:themeColor="text1" w:themeTint="F2"/>
        </w:rPr>
      </w:pPr>
      <w:r w:rsidRPr="00287BD2">
        <w:rPr>
          <w:rFonts w:asciiTheme="majorHAnsi" w:hAnsiTheme="majorHAnsi"/>
          <w:color w:val="0D0D0D" w:themeColor="text1" w:themeTint="F2"/>
        </w:rPr>
        <w:t xml:space="preserve">finance documentation is robust and up to date, in accordance with the minimum standards </w:t>
      </w:r>
    </w:p>
    <w:p w:rsidR="008C2AF6" w:rsidRPr="00287BD2" w:rsidRDefault="008C2AF6" w:rsidP="00287BD2">
      <w:pPr>
        <w:pStyle w:val="ListParagraph"/>
        <w:numPr>
          <w:ilvl w:val="0"/>
          <w:numId w:val="29"/>
        </w:numPr>
        <w:jc w:val="left"/>
        <w:rPr>
          <w:rFonts w:asciiTheme="majorHAnsi" w:hAnsiTheme="majorHAnsi"/>
          <w:color w:val="0D0D0D" w:themeColor="text1" w:themeTint="F2"/>
        </w:rPr>
      </w:pPr>
      <w:r w:rsidRPr="00287BD2">
        <w:rPr>
          <w:rFonts w:asciiTheme="majorHAnsi" w:hAnsiTheme="majorHAnsi"/>
          <w:color w:val="0D0D0D" w:themeColor="text1" w:themeTint="F2"/>
        </w:rPr>
        <w:t>the organisation has appropriate measures in place, including appropriate arrangements with partner organisations, to ensure Australian funding has not been diverted to terrorism, and</w:t>
      </w:r>
    </w:p>
    <w:p w:rsidR="000B2070" w:rsidRPr="00287BD2" w:rsidRDefault="008C2AF6" w:rsidP="00287BD2">
      <w:pPr>
        <w:pStyle w:val="ListParagraph"/>
        <w:numPr>
          <w:ilvl w:val="0"/>
          <w:numId w:val="29"/>
        </w:numPr>
        <w:jc w:val="left"/>
        <w:rPr>
          <w:rFonts w:asciiTheme="majorHAnsi" w:hAnsiTheme="majorHAnsi"/>
        </w:rPr>
      </w:pPr>
      <w:r w:rsidRPr="00287BD2">
        <w:rPr>
          <w:rFonts w:asciiTheme="majorHAnsi" w:hAnsiTheme="majorHAnsi"/>
          <w:color w:val="0D0D0D" w:themeColor="text1" w:themeTint="F2"/>
        </w:rPr>
        <w:t>appropriate measures are in</w:t>
      </w:r>
      <w:r w:rsidRPr="00287BD2">
        <w:rPr>
          <w:rFonts w:asciiTheme="majorHAnsi" w:hAnsiTheme="majorHAnsi"/>
        </w:rPr>
        <w:t xml:space="preserve"> place to protect the privacy of the</w:t>
      </w:r>
      <w:r w:rsidR="000B2070" w:rsidRPr="00287BD2">
        <w:rPr>
          <w:rFonts w:asciiTheme="majorHAnsi" w:hAnsiTheme="majorHAnsi"/>
        </w:rPr>
        <w:t xml:space="preserve"> information</w:t>
      </w:r>
    </w:p>
    <w:p w:rsidR="008C2AF6" w:rsidRDefault="008C2AF6" w:rsidP="003F54E0">
      <w:pPr>
        <w:ind w:left="0" w:firstLine="0"/>
        <w:rPr>
          <w:noProof/>
          <w:lang w:val="en-US"/>
        </w:rPr>
        <w:sectPr w:rsidR="008C2AF6" w:rsidSect="005E6356">
          <w:type w:val="continuous"/>
          <w:pgSz w:w="11900" w:h="16840"/>
          <w:pgMar w:top="1440" w:right="1800" w:bottom="1440" w:left="1800" w:header="708" w:footer="708" w:gutter="0"/>
          <w:pgNumType w:start="2"/>
          <w:cols w:space="708"/>
          <w:docGrid w:linePitch="360"/>
        </w:sectPr>
      </w:pPr>
    </w:p>
    <w:p w:rsidR="00643464" w:rsidRPr="00132DAA" w:rsidRDefault="00287BD2" w:rsidP="00132DAA">
      <w:pPr>
        <w:shd w:val="clear" w:color="auto" w:fill="4F81BD" w:themeFill="accent1"/>
        <w:ind w:left="0" w:firstLine="0"/>
        <w:rPr>
          <w:rFonts w:asciiTheme="majorHAnsi" w:hAnsiTheme="majorHAnsi"/>
          <w:b/>
          <w:noProof/>
          <w:color w:val="FFFFFF" w:themeColor="background1"/>
          <w:lang w:val="en-US"/>
        </w:rPr>
      </w:pPr>
      <w:r w:rsidRPr="00132DAA">
        <w:rPr>
          <w:rFonts w:asciiTheme="majorHAnsi" w:hAnsiTheme="majorHAnsi"/>
          <w:b/>
          <w:noProof/>
          <w:color w:val="FFFFFF" w:themeColor="background1"/>
          <w:lang w:val="en-US"/>
        </w:rPr>
        <w:t>Annex E</w:t>
      </w:r>
      <w:r w:rsidR="00325449" w:rsidRPr="00132DAA">
        <w:rPr>
          <w:rFonts w:asciiTheme="majorHAnsi" w:hAnsiTheme="majorHAnsi"/>
          <w:b/>
          <w:noProof/>
          <w:color w:val="FFFFFF" w:themeColor="background1"/>
          <w:lang w:val="en-US"/>
        </w:rPr>
        <w:t xml:space="preserve"> –</w:t>
      </w:r>
      <w:r w:rsidR="00325449" w:rsidRPr="00132DAA">
        <w:rPr>
          <w:rFonts w:asciiTheme="majorHAnsi" w:hAnsiTheme="majorHAnsi"/>
          <w:noProof/>
          <w:color w:val="FFFFFF" w:themeColor="background1"/>
          <w:lang w:val="en-US"/>
        </w:rPr>
        <w:t xml:space="preserve"> </w:t>
      </w:r>
      <w:r w:rsidR="00325449" w:rsidRPr="00132DAA">
        <w:rPr>
          <w:rFonts w:asciiTheme="majorHAnsi" w:hAnsiTheme="majorHAnsi"/>
          <w:b/>
          <w:noProof/>
          <w:color w:val="FFFFFF" w:themeColor="background1"/>
          <w:lang w:val="en-US"/>
        </w:rPr>
        <w:t xml:space="preserve">Inclusion of </w:t>
      </w:r>
      <w:r w:rsidR="00325449" w:rsidRPr="00132DAA">
        <w:rPr>
          <w:rFonts w:asciiTheme="majorHAnsi" w:hAnsiTheme="majorHAnsi"/>
          <w:b/>
          <w:color w:val="FFFFFF" w:themeColor="background1"/>
          <w:lang w:val="en-AU"/>
        </w:rPr>
        <w:t>DFAT Head Agreement C</w:t>
      </w:r>
      <w:r w:rsidR="00643464" w:rsidRPr="00132DAA">
        <w:rPr>
          <w:rFonts w:asciiTheme="majorHAnsi" w:hAnsiTheme="majorHAnsi"/>
          <w:b/>
          <w:color w:val="FFFFFF" w:themeColor="background1"/>
          <w:lang w:val="en-AU"/>
        </w:rPr>
        <w:t xml:space="preserve">lauses </w:t>
      </w:r>
      <w:r w:rsidR="00325449" w:rsidRPr="00132DAA">
        <w:rPr>
          <w:rFonts w:asciiTheme="majorHAnsi" w:hAnsiTheme="majorHAnsi"/>
          <w:b/>
          <w:color w:val="FFFFFF" w:themeColor="background1"/>
          <w:lang w:val="en-AU"/>
        </w:rPr>
        <w:t xml:space="preserve">in second tier partnership agreements </w:t>
      </w:r>
      <w:r w:rsidR="00643464" w:rsidRPr="00132DAA">
        <w:rPr>
          <w:rFonts w:asciiTheme="majorHAnsi" w:hAnsiTheme="majorHAnsi"/>
          <w:b/>
          <w:color w:val="FFFFFF" w:themeColor="background1"/>
          <w:lang w:val="en-AU"/>
        </w:rPr>
        <w:t xml:space="preserve"> </w:t>
      </w:r>
    </w:p>
    <w:tbl>
      <w:tblPr>
        <w:tblStyle w:val="TableGrid"/>
        <w:tblW w:w="5000" w:type="pct"/>
        <w:tblLayout w:type="fixed"/>
        <w:tblLook w:val="04A0" w:firstRow="1" w:lastRow="0" w:firstColumn="1" w:lastColumn="0" w:noHBand="0" w:noVBand="1"/>
      </w:tblPr>
      <w:tblGrid>
        <w:gridCol w:w="3311"/>
        <w:gridCol w:w="2658"/>
        <w:gridCol w:w="2658"/>
        <w:gridCol w:w="2613"/>
        <w:gridCol w:w="2916"/>
      </w:tblGrid>
      <w:tr w:rsidR="00163B20" w:rsidRPr="006F7747" w:rsidTr="005356EE">
        <w:trPr>
          <w:tblHeader/>
        </w:trPr>
        <w:tc>
          <w:tcPr>
            <w:tcW w:w="1169" w:type="pct"/>
          </w:tcPr>
          <w:p w:rsidR="00163B20" w:rsidRPr="006F7747" w:rsidRDefault="00163B20" w:rsidP="00D42363">
            <w:pPr>
              <w:ind w:firstLine="0"/>
              <w:rPr>
                <w:lang w:val="en-AU"/>
              </w:rPr>
            </w:pPr>
          </w:p>
        </w:tc>
        <w:tc>
          <w:tcPr>
            <w:tcW w:w="939" w:type="pct"/>
          </w:tcPr>
          <w:p w:rsidR="00163B20" w:rsidRPr="006F7747" w:rsidRDefault="00163B20" w:rsidP="00D42363">
            <w:pPr>
              <w:rPr>
                <w:b/>
                <w:lang w:val="en-AU"/>
              </w:rPr>
            </w:pPr>
            <w:r>
              <w:rPr>
                <w:b/>
                <w:lang w:val="en-AU"/>
              </w:rPr>
              <w:t>ActionAid</w:t>
            </w:r>
            <w:r w:rsidR="00C211A7">
              <w:rPr>
                <w:rStyle w:val="FootnoteReference"/>
                <w:b/>
                <w:lang w:val="en-AU"/>
              </w:rPr>
              <w:footnoteReference w:id="12"/>
            </w:r>
          </w:p>
        </w:tc>
        <w:tc>
          <w:tcPr>
            <w:tcW w:w="939" w:type="pct"/>
          </w:tcPr>
          <w:p w:rsidR="00163B20" w:rsidRPr="006F7747" w:rsidRDefault="00163B20" w:rsidP="00D42363">
            <w:pPr>
              <w:rPr>
                <w:b/>
                <w:lang w:val="en-AU"/>
              </w:rPr>
            </w:pPr>
            <w:r>
              <w:rPr>
                <w:b/>
                <w:lang w:val="en-AU"/>
              </w:rPr>
              <w:t>APHEDA</w:t>
            </w:r>
          </w:p>
        </w:tc>
        <w:tc>
          <w:tcPr>
            <w:tcW w:w="923" w:type="pct"/>
          </w:tcPr>
          <w:p w:rsidR="00163B20" w:rsidRPr="006F7747" w:rsidRDefault="00163B20" w:rsidP="00D42363">
            <w:pPr>
              <w:rPr>
                <w:b/>
                <w:lang w:val="en-AU"/>
              </w:rPr>
            </w:pPr>
            <w:r>
              <w:rPr>
                <w:b/>
                <w:lang w:val="en-AU"/>
              </w:rPr>
              <w:t>CARE</w:t>
            </w:r>
          </w:p>
        </w:tc>
        <w:tc>
          <w:tcPr>
            <w:tcW w:w="1030" w:type="pct"/>
          </w:tcPr>
          <w:p w:rsidR="00163B20" w:rsidRPr="006F7747" w:rsidRDefault="00163B20" w:rsidP="00D42363">
            <w:pPr>
              <w:ind w:left="34" w:hanging="34"/>
              <w:rPr>
                <w:b/>
                <w:lang w:val="en-AU"/>
              </w:rPr>
            </w:pPr>
            <w:r>
              <w:rPr>
                <w:b/>
                <w:lang w:val="en-AU"/>
              </w:rPr>
              <w:t>World Vision</w:t>
            </w:r>
          </w:p>
        </w:tc>
      </w:tr>
      <w:tr w:rsidR="005B7E5D" w:rsidTr="00163B20">
        <w:tc>
          <w:tcPr>
            <w:tcW w:w="1169" w:type="pct"/>
          </w:tcPr>
          <w:p w:rsidR="005B7E5D" w:rsidRPr="006F7747" w:rsidRDefault="005B7E5D" w:rsidP="005B7E5D">
            <w:pPr>
              <w:ind w:left="0" w:firstLine="0"/>
              <w:rPr>
                <w:lang w:val="en-AU"/>
              </w:rPr>
            </w:pPr>
            <w:r w:rsidRPr="00FD19E7">
              <w:rPr>
                <w:lang w:val="en-AU"/>
              </w:rPr>
              <w:t>Ensure no links to terrorism</w:t>
            </w:r>
          </w:p>
        </w:tc>
        <w:tc>
          <w:tcPr>
            <w:tcW w:w="939" w:type="pct"/>
          </w:tcPr>
          <w:p w:rsidR="005B7E5D" w:rsidRPr="00163B20" w:rsidRDefault="00C211A7" w:rsidP="005B7E5D">
            <w:pPr>
              <w:ind w:firstLine="0"/>
              <w:rPr>
                <w:lang w:val="en-AU"/>
              </w:rPr>
            </w:pPr>
            <w:r>
              <w:rPr>
                <w:lang w:val="en-AU"/>
              </w:rPr>
              <w:t>N/A</w:t>
            </w:r>
          </w:p>
        </w:tc>
        <w:tc>
          <w:tcPr>
            <w:tcW w:w="939" w:type="pct"/>
          </w:tcPr>
          <w:p w:rsidR="005B7E5D" w:rsidRPr="00163B20" w:rsidRDefault="005B7E5D" w:rsidP="005B7E5D">
            <w:pPr>
              <w:ind w:left="0" w:firstLine="0"/>
              <w:rPr>
                <w:lang w:val="en-AU"/>
              </w:rPr>
            </w:pPr>
            <w:r w:rsidRPr="00163B20">
              <w:rPr>
                <w:lang w:val="en-AU"/>
              </w:rPr>
              <w:t>Yes</w:t>
            </w:r>
          </w:p>
        </w:tc>
        <w:tc>
          <w:tcPr>
            <w:tcW w:w="923" w:type="pct"/>
          </w:tcPr>
          <w:p w:rsidR="005B7E5D" w:rsidRPr="00163B20" w:rsidRDefault="005B7E5D" w:rsidP="005B7E5D">
            <w:pPr>
              <w:ind w:firstLine="0"/>
              <w:rPr>
                <w:lang w:val="en-AU"/>
              </w:rPr>
            </w:pPr>
            <w:r w:rsidRPr="00163B20">
              <w:rPr>
                <w:lang w:val="en-AU"/>
              </w:rPr>
              <w:t>Yes</w:t>
            </w:r>
          </w:p>
        </w:tc>
        <w:tc>
          <w:tcPr>
            <w:tcW w:w="1030" w:type="pct"/>
          </w:tcPr>
          <w:p w:rsidR="005B7E5D" w:rsidRPr="00163B20" w:rsidRDefault="005B7E5D" w:rsidP="005B7E5D">
            <w:pPr>
              <w:ind w:firstLine="0"/>
              <w:rPr>
                <w:lang w:val="en-AU"/>
              </w:rPr>
            </w:pPr>
            <w:r w:rsidRPr="00163B20">
              <w:rPr>
                <w:lang w:val="en-AU"/>
              </w:rPr>
              <w:t>Yes</w:t>
            </w:r>
          </w:p>
        </w:tc>
      </w:tr>
      <w:tr w:rsidR="00C211A7" w:rsidTr="00163B20">
        <w:tc>
          <w:tcPr>
            <w:tcW w:w="1169" w:type="pct"/>
          </w:tcPr>
          <w:p w:rsidR="00C211A7" w:rsidRPr="00FD19E7" w:rsidRDefault="00C211A7" w:rsidP="005B7E5D">
            <w:pPr>
              <w:ind w:left="0" w:firstLine="0"/>
              <w:rPr>
                <w:lang w:val="en-AU"/>
              </w:rPr>
            </w:pPr>
            <w:r>
              <w:rPr>
                <w:lang w:val="en-AU"/>
              </w:rPr>
              <w:t>Child Protection</w:t>
            </w:r>
          </w:p>
        </w:tc>
        <w:tc>
          <w:tcPr>
            <w:tcW w:w="939" w:type="pct"/>
          </w:tcPr>
          <w:p w:rsidR="00C211A7" w:rsidRPr="00163B20" w:rsidRDefault="00C211A7" w:rsidP="005B7E5D">
            <w:pPr>
              <w:ind w:firstLine="0"/>
              <w:rPr>
                <w:lang w:val="en-AU"/>
              </w:rPr>
            </w:pPr>
            <w:r w:rsidRPr="006571D7">
              <w:rPr>
                <w:lang w:val="en-AU"/>
              </w:rPr>
              <w:t>N/A</w:t>
            </w:r>
          </w:p>
        </w:tc>
        <w:tc>
          <w:tcPr>
            <w:tcW w:w="939" w:type="pct"/>
          </w:tcPr>
          <w:p w:rsidR="00C211A7" w:rsidRPr="00163B20" w:rsidRDefault="00C211A7" w:rsidP="005B7E5D">
            <w:pPr>
              <w:ind w:left="0" w:firstLine="0"/>
              <w:rPr>
                <w:lang w:val="en-AU"/>
              </w:rPr>
            </w:pPr>
            <w:r w:rsidRPr="00163B20">
              <w:rPr>
                <w:lang w:val="en-AU"/>
              </w:rPr>
              <w:t>Yes</w:t>
            </w:r>
          </w:p>
        </w:tc>
        <w:tc>
          <w:tcPr>
            <w:tcW w:w="923" w:type="pct"/>
          </w:tcPr>
          <w:p w:rsidR="00C211A7" w:rsidRPr="00163B20" w:rsidRDefault="00C211A7" w:rsidP="005B7E5D">
            <w:pPr>
              <w:ind w:firstLine="0"/>
              <w:rPr>
                <w:lang w:val="en-AU"/>
              </w:rPr>
            </w:pPr>
            <w:r w:rsidRPr="00163B20">
              <w:rPr>
                <w:lang w:val="en-AU"/>
              </w:rPr>
              <w:t>Yes</w:t>
            </w:r>
          </w:p>
        </w:tc>
        <w:tc>
          <w:tcPr>
            <w:tcW w:w="1030" w:type="pct"/>
          </w:tcPr>
          <w:p w:rsidR="00C211A7" w:rsidRPr="00163B20" w:rsidRDefault="00C211A7" w:rsidP="005B7E5D">
            <w:pPr>
              <w:ind w:firstLine="0"/>
              <w:rPr>
                <w:lang w:val="en-AU"/>
              </w:rPr>
            </w:pPr>
            <w:r w:rsidRPr="00163B20">
              <w:rPr>
                <w:lang w:val="en-AU"/>
              </w:rPr>
              <w:t>Yes</w:t>
            </w:r>
          </w:p>
        </w:tc>
      </w:tr>
      <w:tr w:rsidR="00C211A7" w:rsidTr="00163B20">
        <w:tc>
          <w:tcPr>
            <w:tcW w:w="1169" w:type="pct"/>
          </w:tcPr>
          <w:p w:rsidR="00C211A7" w:rsidRPr="00FD19E7" w:rsidRDefault="00C211A7" w:rsidP="005B7E5D">
            <w:pPr>
              <w:ind w:left="0" w:firstLine="0"/>
              <w:rPr>
                <w:lang w:val="en-AU"/>
              </w:rPr>
            </w:pPr>
            <w:r w:rsidRPr="00FD19E7">
              <w:rPr>
                <w:lang w:val="en-AU"/>
              </w:rPr>
              <w:t xml:space="preserve">Child protection – must notify DFAT </w:t>
            </w:r>
          </w:p>
        </w:tc>
        <w:tc>
          <w:tcPr>
            <w:tcW w:w="939" w:type="pct"/>
          </w:tcPr>
          <w:p w:rsidR="00C211A7" w:rsidRPr="00163B20" w:rsidRDefault="00C211A7" w:rsidP="005B7E5D">
            <w:pPr>
              <w:ind w:firstLine="0"/>
              <w:rPr>
                <w:lang w:val="en-AU"/>
              </w:rPr>
            </w:pPr>
            <w:r w:rsidRPr="006571D7">
              <w:rPr>
                <w:lang w:val="en-AU"/>
              </w:rPr>
              <w:t>N/A</w:t>
            </w:r>
          </w:p>
        </w:tc>
        <w:tc>
          <w:tcPr>
            <w:tcW w:w="939" w:type="pct"/>
          </w:tcPr>
          <w:p w:rsidR="00C211A7" w:rsidRPr="00163B20" w:rsidRDefault="00C211A7" w:rsidP="005B7E5D">
            <w:pPr>
              <w:ind w:left="0" w:firstLine="0"/>
              <w:rPr>
                <w:lang w:val="en-AU"/>
              </w:rPr>
            </w:pPr>
            <w:r w:rsidRPr="00163B20">
              <w:rPr>
                <w:lang w:val="en-AU"/>
              </w:rPr>
              <w:t>No</w:t>
            </w:r>
          </w:p>
        </w:tc>
        <w:tc>
          <w:tcPr>
            <w:tcW w:w="923" w:type="pct"/>
          </w:tcPr>
          <w:p w:rsidR="00C211A7" w:rsidRPr="00163B20" w:rsidRDefault="00C211A7" w:rsidP="005B7E5D">
            <w:pPr>
              <w:ind w:firstLine="0"/>
              <w:rPr>
                <w:lang w:val="en-AU"/>
              </w:rPr>
            </w:pPr>
            <w:r w:rsidRPr="00163B20">
              <w:rPr>
                <w:lang w:val="en-AU"/>
              </w:rPr>
              <w:t>No</w:t>
            </w:r>
          </w:p>
        </w:tc>
        <w:tc>
          <w:tcPr>
            <w:tcW w:w="1030" w:type="pct"/>
          </w:tcPr>
          <w:p w:rsidR="00C211A7" w:rsidRPr="00163B20" w:rsidRDefault="00C211A7" w:rsidP="005B7E5D">
            <w:pPr>
              <w:ind w:firstLine="0"/>
              <w:rPr>
                <w:lang w:val="en-AU"/>
              </w:rPr>
            </w:pPr>
            <w:r>
              <w:rPr>
                <w:lang w:val="en-AU"/>
              </w:rPr>
              <w:t>Yes</w:t>
            </w:r>
          </w:p>
        </w:tc>
      </w:tr>
      <w:tr w:rsidR="00C211A7" w:rsidTr="00163B20">
        <w:tc>
          <w:tcPr>
            <w:tcW w:w="1169" w:type="pct"/>
          </w:tcPr>
          <w:p w:rsidR="00C211A7" w:rsidRPr="00FD19E7" w:rsidRDefault="00C211A7" w:rsidP="005B7E5D">
            <w:pPr>
              <w:ind w:left="0" w:firstLine="0"/>
              <w:rPr>
                <w:lang w:val="en-AU"/>
              </w:rPr>
            </w:pPr>
            <w:r>
              <w:rPr>
                <w:lang w:val="en-AU"/>
              </w:rPr>
              <w:t xml:space="preserve">Fraud </w:t>
            </w:r>
          </w:p>
        </w:tc>
        <w:tc>
          <w:tcPr>
            <w:tcW w:w="939" w:type="pct"/>
          </w:tcPr>
          <w:p w:rsidR="00C211A7" w:rsidRPr="00163B20" w:rsidRDefault="00C211A7" w:rsidP="005B7E5D">
            <w:pPr>
              <w:ind w:firstLine="0"/>
              <w:rPr>
                <w:lang w:val="en-AU"/>
              </w:rPr>
            </w:pPr>
            <w:r w:rsidRPr="006571D7">
              <w:rPr>
                <w:lang w:val="en-AU"/>
              </w:rPr>
              <w:t>N/A</w:t>
            </w:r>
          </w:p>
        </w:tc>
        <w:tc>
          <w:tcPr>
            <w:tcW w:w="939" w:type="pct"/>
          </w:tcPr>
          <w:p w:rsidR="00C211A7" w:rsidRPr="00163B20" w:rsidRDefault="00C211A7" w:rsidP="005B7E5D">
            <w:pPr>
              <w:ind w:left="0" w:firstLine="0"/>
              <w:rPr>
                <w:lang w:val="en-AU"/>
              </w:rPr>
            </w:pPr>
            <w:r w:rsidRPr="00163B20">
              <w:rPr>
                <w:lang w:val="en-AU"/>
              </w:rPr>
              <w:t>No</w:t>
            </w:r>
          </w:p>
        </w:tc>
        <w:tc>
          <w:tcPr>
            <w:tcW w:w="923" w:type="pct"/>
          </w:tcPr>
          <w:p w:rsidR="00C211A7" w:rsidRPr="00163B20" w:rsidRDefault="00C211A7" w:rsidP="005B7E5D">
            <w:pPr>
              <w:ind w:firstLine="0"/>
              <w:rPr>
                <w:lang w:val="en-AU"/>
              </w:rPr>
            </w:pPr>
            <w:r w:rsidRPr="00163B20">
              <w:rPr>
                <w:lang w:val="en-AU"/>
              </w:rPr>
              <w:t>No</w:t>
            </w:r>
          </w:p>
        </w:tc>
        <w:tc>
          <w:tcPr>
            <w:tcW w:w="1030" w:type="pct"/>
          </w:tcPr>
          <w:p w:rsidR="00C211A7" w:rsidRPr="00163B20" w:rsidRDefault="00C211A7" w:rsidP="005B7E5D">
            <w:pPr>
              <w:ind w:firstLine="0"/>
              <w:rPr>
                <w:lang w:val="en-AU"/>
              </w:rPr>
            </w:pPr>
            <w:r w:rsidRPr="00163B20">
              <w:rPr>
                <w:lang w:val="en-AU"/>
              </w:rPr>
              <w:t>Yes</w:t>
            </w:r>
          </w:p>
        </w:tc>
      </w:tr>
      <w:tr w:rsidR="00C211A7" w:rsidTr="00163B20">
        <w:tc>
          <w:tcPr>
            <w:tcW w:w="1169" w:type="pct"/>
          </w:tcPr>
          <w:p w:rsidR="00C211A7" w:rsidRPr="00FD19E7" w:rsidRDefault="00C211A7" w:rsidP="005B7E5D">
            <w:pPr>
              <w:ind w:left="0" w:firstLine="0"/>
              <w:rPr>
                <w:lang w:val="en-AU"/>
              </w:rPr>
            </w:pPr>
            <w:r>
              <w:rPr>
                <w:lang w:val="en-AU"/>
              </w:rPr>
              <w:t>Corruption</w:t>
            </w:r>
          </w:p>
        </w:tc>
        <w:tc>
          <w:tcPr>
            <w:tcW w:w="939" w:type="pct"/>
          </w:tcPr>
          <w:p w:rsidR="00C211A7" w:rsidRPr="00163B20" w:rsidRDefault="00C211A7" w:rsidP="005B7E5D">
            <w:pPr>
              <w:ind w:firstLine="0"/>
              <w:rPr>
                <w:lang w:val="en-AU"/>
              </w:rPr>
            </w:pPr>
            <w:r w:rsidRPr="006571D7">
              <w:rPr>
                <w:lang w:val="en-AU"/>
              </w:rPr>
              <w:t>N/A</w:t>
            </w:r>
          </w:p>
        </w:tc>
        <w:tc>
          <w:tcPr>
            <w:tcW w:w="939" w:type="pct"/>
          </w:tcPr>
          <w:p w:rsidR="00C211A7" w:rsidRPr="00163B20" w:rsidRDefault="00C211A7" w:rsidP="005B7E5D">
            <w:pPr>
              <w:ind w:left="0" w:firstLine="0"/>
              <w:rPr>
                <w:lang w:val="en-AU"/>
              </w:rPr>
            </w:pPr>
            <w:r w:rsidRPr="00163B20">
              <w:rPr>
                <w:lang w:val="en-AU"/>
              </w:rPr>
              <w:t>No</w:t>
            </w:r>
          </w:p>
        </w:tc>
        <w:tc>
          <w:tcPr>
            <w:tcW w:w="923" w:type="pct"/>
          </w:tcPr>
          <w:p w:rsidR="00C211A7" w:rsidRPr="00163B20" w:rsidRDefault="00C211A7" w:rsidP="005B7E5D">
            <w:pPr>
              <w:ind w:firstLine="0"/>
              <w:rPr>
                <w:lang w:val="en-AU"/>
              </w:rPr>
            </w:pPr>
            <w:r w:rsidRPr="00163B20">
              <w:rPr>
                <w:lang w:val="en-AU"/>
              </w:rPr>
              <w:t>No</w:t>
            </w:r>
          </w:p>
        </w:tc>
        <w:tc>
          <w:tcPr>
            <w:tcW w:w="1030" w:type="pct"/>
          </w:tcPr>
          <w:p w:rsidR="00C211A7" w:rsidRPr="00163B20" w:rsidRDefault="00C211A7" w:rsidP="005B7E5D">
            <w:pPr>
              <w:ind w:firstLine="0"/>
              <w:rPr>
                <w:lang w:val="en-AU"/>
              </w:rPr>
            </w:pPr>
            <w:r w:rsidRPr="00163B20">
              <w:rPr>
                <w:lang w:val="en-AU"/>
              </w:rPr>
              <w:t>No</w:t>
            </w:r>
          </w:p>
        </w:tc>
      </w:tr>
      <w:tr w:rsidR="00C211A7" w:rsidTr="00163B20">
        <w:tc>
          <w:tcPr>
            <w:tcW w:w="1169" w:type="pct"/>
          </w:tcPr>
          <w:p w:rsidR="00C211A7" w:rsidRDefault="00C211A7" w:rsidP="005B7E5D">
            <w:pPr>
              <w:ind w:left="0" w:firstLine="0"/>
              <w:rPr>
                <w:lang w:val="en-AU"/>
              </w:rPr>
            </w:pPr>
            <w:r w:rsidRPr="00FD19E7">
              <w:rPr>
                <w:lang w:val="en-AU"/>
              </w:rPr>
              <w:t>Financial management</w:t>
            </w:r>
          </w:p>
        </w:tc>
        <w:tc>
          <w:tcPr>
            <w:tcW w:w="939" w:type="pct"/>
          </w:tcPr>
          <w:p w:rsidR="00C211A7" w:rsidRPr="00163B20" w:rsidRDefault="00C211A7" w:rsidP="005B7E5D">
            <w:pPr>
              <w:ind w:firstLine="0"/>
              <w:rPr>
                <w:lang w:val="en-AU"/>
              </w:rPr>
            </w:pPr>
            <w:r w:rsidRPr="006571D7">
              <w:rPr>
                <w:lang w:val="en-AU"/>
              </w:rPr>
              <w:t>N/A</w:t>
            </w:r>
          </w:p>
        </w:tc>
        <w:tc>
          <w:tcPr>
            <w:tcW w:w="939" w:type="pct"/>
          </w:tcPr>
          <w:p w:rsidR="00C211A7" w:rsidRPr="00163B20" w:rsidRDefault="00C211A7" w:rsidP="005B7E5D">
            <w:pPr>
              <w:ind w:left="0" w:firstLine="0"/>
              <w:rPr>
                <w:lang w:val="en-AU"/>
              </w:rPr>
            </w:pPr>
            <w:r w:rsidRPr="00163B20">
              <w:rPr>
                <w:lang w:val="en-AU"/>
              </w:rPr>
              <w:t>Yes</w:t>
            </w:r>
          </w:p>
        </w:tc>
        <w:tc>
          <w:tcPr>
            <w:tcW w:w="923" w:type="pct"/>
          </w:tcPr>
          <w:p w:rsidR="00C211A7" w:rsidRPr="00163B20" w:rsidRDefault="00C211A7" w:rsidP="005B7E5D">
            <w:pPr>
              <w:ind w:firstLine="0"/>
              <w:rPr>
                <w:lang w:val="en-AU"/>
              </w:rPr>
            </w:pPr>
            <w:r w:rsidRPr="00163B20">
              <w:rPr>
                <w:lang w:val="en-AU"/>
              </w:rPr>
              <w:t>Yes</w:t>
            </w:r>
          </w:p>
        </w:tc>
        <w:tc>
          <w:tcPr>
            <w:tcW w:w="1030" w:type="pct"/>
          </w:tcPr>
          <w:p w:rsidR="00C211A7" w:rsidRPr="00163B20" w:rsidRDefault="00C211A7" w:rsidP="005B7E5D">
            <w:pPr>
              <w:ind w:firstLine="0"/>
              <w:rPr>
                <w:lang w:val="en-AU"/>
              </w:rPr>
            </w:pPr>
            <w:r w:rsidRPr="00163B20">
              <w:rPr>
                <w:lang w:val="en-AU"/>
              </w:rPr>
              <w:t>Yes</w:t>
            </w:r>
          </w:p>
        </w:tc>
      </w:tr>
      <w:tr w:rsidR="00C211A7" w:rsidTr="00163B20">
        <w:tc>
          <w:tcPr>
            <w:tcW w:w="1169" w:type="pct"/>
          </w:tcPr>
          <w:p w:rsidR="00C211A7" w:rsidRPr="00FD19E7" w:rsidRDefault="00C211A7" w:rsidP="005B7E5D">
            <w:pPr>
              <w:ind w:left="0" w:firstLine="0"/>
              <w:rPr>
                <w:lang w:val="en-AU"/>
              </w:rPr>
            </w:pPr>
            <w:r>
              <w:rPr>
                <w:lang w:val="en-AU"/>
              </w:rPr>
              <w:t>Monitoring and reporting</w:t>
            </w:r>
          </w:p>
        </w:tc>
        <w:tc>
          <w:tcPr>
            <w:tcW w:w="939" w:type="pct"/>
          </w:tcPr>
          <w:p w:rsidR="00C211A7" w:rsidRPr="00163B20" w:rsidRDefault="00C211A7" w:rsidP="005B7E5D">
            <w:pPr>
              <w:ind w:firstLine="0"/>
              <w:rPr>
                <w:lang w:val="en-AU"/>
              </w:rPr>
            </w:pPr>
            <w:r w:rsidRPr="006571D7">
              <w:rPr>
                <w:lang w:val="en-AU"/>
              </w:rPr>
              <w:t>N/A</w:t>
            </w:r>
          </w:p>
        </w:tc>
        <w:tc>
          <w:tcPr>
            <w:tcW w:w="939" w:type="pct"/>
          </w:tcPr>
          <w:p w:rsidR="00C211A7" w:rsidRPr="00163B20" w:rsidRDefault="00C211A7" w:rsidP="005B7E5D">
            <w:pPr>
              <w:ind w:left="0" w:firstLine="0"/>
              <w:rPr>
                <w:lang w:val="en-AU"/>
              </w:rPr>
            </w:pPr>
            <w:r w:rsidRPr="00163B20">
              <w:rPr>
                <w:lang w:val="en-AU"/>
              </w:rPr>
              <w:t>Yes</w:t>
            </w:r>
          </w:p>
        </w:tc>
        <w:tc>
          <w:tcPr>
            <w:tcW w:w="923" w:type="pct"/>
          </w:tcPr>
          <w:p w:rsidR="00C211A7" w:rsidRPr="00163B20" w:rsidRDefault="00C211A7" w:rsidP="005B7E5D">
            <w:pPr>
              <w:ind w:firstLine="0"/>
              <w:rPr>
                <w:lang w:val="en-AU"/>
              </w:rPr>
            </w:pPr>
            <w:r w:rsidRPr="00163B20">
              <w:rPr>
                <w:lang w:val="en-AU"/>
              </w:rPr>
              <w:t>Yes</w:t>
            </w:r>
          </w:p>
        </w:tc>
        <w:tc>
          <w:tcPr>
            <w:tcW w:w="1030" w:type="pct"/>
          </w:tcPr>
          <w:p w:rsidR="00C211A7" w:rsidRPr="00163B20" w:rsidRDefault="00C211A7" w:rsidP="005B7E5D">
            <w:pPr>
              <w:ind w:firstLine="0"/>
              <w:rPr>
                <w:lang w:val="en-AU"/>
              </w:rPr>
            </w:pPr>
            <w:r w:rsidRPr="00163B20">
              <w:rPr>
                <w:lang w:val="en-AU"/>
              </w:rPr>
              <w:t>Yes</w:t>
            </w:r>
          </w:p>
        </w:tc>
      </w:tr>
      <w:tr w:rsidR="00C211A7" w:rsidTr="00163B20">
        <w:tc>
          <w:tcPr>
            <w:tcW w:w="1169" w:type="pct"/>
          </w:tcPr>
          <w:p w:rsidR="00C211A7" w:rsidRPr="00FD19E7" w:rsidRDefault="00C211A7" w:rsidP="005B7E5D">
            <w:pPr>
              <w:ind w:left="0" w:firstLine="0"/>
              <w:rPr>
                <w:lang w:val="en-AU"/>
              </w:rPr>
            </w:pPr>
            <w:r>
              <w:rPr>
                <w:lang w:val="en-AU"/>
              </w:rPr>
              <w:t>Conflict of Interest</w:t>
            </w:r>
          </w:p>
        </w:tc>
        <w:tc>
          <w:tcPr>
            <w:tcW w:w="939" w:type="pct"/>
          </w:tcPr>
          <w:p w:rsidR="00C211A7" w:rsidRPr="00163B20" w:rsidRDefault="00C211A7" w:rsidP="005B7E5D">
            <w:pPr>
              <w:ind w:firstLine="0"/>
              <w:rPr>
                <w:lang w:val="en-AU"/>
              </w:rPr>
            </w:pPr>
            <w:r w:rsidRPr="006571D7">
              <w:rPr>
                <w:lang w:val="en-AU"/>
              </w:rPr>
              <w:t>N/A</w:t>
            </w:r>
          </w:p>
        </w:tc>
        <w:tc>
          <w:tcPr>
            <w:tcW w:w="939" w:type="pct"/>
          </w:tcPr>
          <w:p w:rsidR="00C211A7" w:rsidRPr="00163B20" w:rsidRDefault="00C211A7" w:rsidP="005B7E5D">
            <w:pPr>
              <w:ind w:left="0" w:firstLine="0"/>
              <w:rPr>
                <w:lang w:val="en-AU"/>
              </w:rPr>
            </w:pPr>
            <w:r w:rsidRPr="00163B20">
              <w:rPr>
                <w:lang w:val="en-AU"/>
              </w:rPr>
              <w:t>No</w:t>
            </w:r>
          </w:p>
        </w:tc>
        <w:tc>
          <w:tcPr>
            <w:tcW w:w="923" w:type="pct"/>
          </w:tcPr>
          <w:p w:rsidR="00C211A7" w:rsidRPr="00163B20" w:rsidRDefault="00C211A7" w:rsidP="005B7E5D">
            <w:pPr>
              <w:ind w:firstLine="0"/>
              <w:rPr>
                <w:lang w:val="en-AU"/>
              </w:rPr>
            </w:pPr>
            <w:r w:rsidRPr="00163B20">
              <w:rPr>
                <w:lang w:val="en-AU"/>
              </w:rPr>
              <w:t>No</w:t>
            </w:r>
          </w:p>
        </w:tc>
        <w:tc>
          <w:tcPr>
            <w:tcW w:w="1030" w:type="pct"/>
          </w:tcPr>
          <w:p w:rsidR="00C211A7" w:rsidRPr="00163B20" w:rsidRDefault="00C211A7" w:rsidP="005B7E5D">
            <w:pPr>
              <w:ind w:firstLine="0"/>
              <w:rPr>
                <w:lang w:val="en-AU"/>
              </w:rPr>
            </w:pPr>
            <w:r w:rsidRPr="00163B20">
              <w:rPr>
                <w:lang w:val="en-AU"/>
              </w:rPr>
              <w:t>Yes</w:t>
            </w:r>
          </w:p>
        </w:tc>
      </w:tr>
      <w:tr w:rsidR="00C211A7" w:rsidTr="00163B20">
        <w:tc>
          <w:tcPr>
            <w:tcW w:w="1169" w:type="pct"/>
          </w:tcPr>
          <w:p w:rsidR="00C211A7" w:rsidRDefault="00C211A7" w:rsidP="005B7E5D">
            <w:pPr>
              <w:ind w:left="0" w:firstLine="0"/>
              <w:rPr>
                <w:lang w:val="en-AU"/>
              </w:rPr>
            </w:pPr>
            <w:r>
              <w:rPr>
                <w:lang w:val="en-AU"/>
              </w:rPr>
              <w:t xml:space="preserve">Termination </w:t>
            </w:r>
          </w:p>
        </w:tc>
        <w:tc>
          <w:tcPr>
            <w:tcW w:w="939" w:type="pct"/>
          </w:tcPr>
          <w:p w:rsidR="00C211A7" w:rsidRPr="00163B20" w:rsidRDefault="00C211A7" w:rsidP="005B7E5D">
            <w:pPr>
              <w:ind w:firstLine="0"/>
              <w:rPr>
                <w:lang w:val="en-AU"/>
              </w:rPr>
            </w:pPr>
            <w:r w:rsidRPr="006571D7">
              <w:rPr>
                <w:lang w:val="en-AU"/>
              </w:rPr>
              <w:t>N/A</w:t>
            </w:r>
          </w:p>
        </w:tc>
        <w:tc>
          <w:tcPr>
            <w:tcW w:w="939" w:type="pct"/>
          </w:tcPr>
          <w:p w:rsidR="00C211A7" w:rsidRPr="00163B20" w:rsidRDefault="00C211A7" w:rsidP="005B7E5D">
            <w:pPr>
              <w:ind w:left="0" w:firstLine="0"/>
              <w:rPr>
                <w:lang w:val="en-AU"/>
              </w:rPr>
            </w:pPr>
            <w:r w:rsidRPr="00163B20">
              <w:rPr>
                <w:lang w:val="en-AU"/>
              </w:rPr>
              <w:t>Yes</w:t>
            </w:r>
          </w:p>
        </w:tc>
        <w:tc>
          <w:tcPr>
            <w:tcW w:w="923" w:type="pct"/>
          </w:tcPr>
          <w:p w:rsidR="00C211A7" w:rsidRPr="00163B20" w:rsidRDefault="00C211A7" w:rsidP="005B7E5D">
            <w:pPr>
              <w:ind w:firstLine="0"/>
              <w:rPr>
                <w:lang w:val="en-AU"/>
              </w:rPr>
            </w:pPr>
            <w:r w:rsidRPr="00163B20">
              <w:rPr>
                <w:lang w:val="en-AU"/>
              </w:rPr>
              <w:t>Yes</w:t>
            </w:r>
          </w:p>
        </w:tc>
        <w:tc>
          <w:tcPr>
            <w:tcW w:w="1030" w:type="pct"/>
          </w:tcPr>
          <w:p w:rsidR="00C211A7" w:rsidRPr="00163B20" w:rsidRDefault="00C211A7" w:rsidP="005B7E5D">
            <w:pPr>
              <w:ind w:firstLine="0"/>
              <w:rPr>
                <w:lang w:val="en-AU"/>
              </w:rPr>
            </w:pPr>
            <w:r w:rsidRPr="00163B20">
              <w:rPr>
                <w:lang w:val="en-AU"/>
              </w:rPr>
              <w:t>Yes</w:t>
            </w:r>
          </w:p>
        </w:tc>
      </w:tr>
    </w:tbl>
    <w:p w:rsidR="00AE3AD1" w:rsidRDefault="00AE3AD1">
      <w:pPr>
        <w:suppressAutoHyphens w:val="0"/>
        <w:autoSpaceDE/>
        <w:autoSpaceDN/>
        <w:adjustRightInd/>
        <w:spacing w:before="0" w:after="0" w:line="240" w:lineRule="auto"/>
        <w:ind w:left="0" w:firstLine="0"/>
        <w:jc w:val="left"/>
        <w:textAlignment w:val="auto"/>
        <w:rPr>
          <w:rFonts w:asciiTheme="majorHAnsi" w:hAnsiTheme="majorHAnsi"/>
          <w:b/>
          <w:noProof/>
          <w:color w:val="FFFFFF" w:themeColor="background1"/>
          <w:lang w:val="en-US"/>
        </w:rPr>
      </w:pPr>
    </w:p>
    <w:p w:rsidR="005356EE" w:rsidRDefault="005356EE">
      <w:pPr>
        <w:suppressAutoHyphens w:val="0"/>
        <w:autoSpaceDE/>
        <w:autoSpaceDN/>
        <w:adjustRightInd/>
        <w:spacing w:before="0" w:after="0" w:line="240" w:lineRule="auto"/>
        <w:ind w:left="0" w:firstLine="0"/>
        <w:jc w:val="left"/>
        <w:textAlignment w:val="auto"/>
        <w:rPr>
          <w:rFonts w:asciiTheme="majorHAnsi" w:hAnsiTheme="majorHAnsi"/>
          <w:b/>
          <w:noProof/>
          <w:color w:val="FFFFFF" w:themeColor="background1"/>
          <w:lang w:val="en-US"/>
        </w:rPr>
      </w:pPr>
    </w:p>
    <w:p w:rsidR="00C1763A" w:rsidRPr="00132DAA" w:rsidRDefault="00C1763A" w:rsidP="00C1763A">
      <w:pPr>
        <w:shd w:val="clear" w:color="auto" w:fill="4F81BD" w:themeFill="accent1"/>
        <w:ind w:left="0" w:firstLine="0"/>
        <w:rPr>
          <w:rFonts w:asciiTheme="majorHAnsi" w:hAnsiTheme="majorHAnsi"/>
          <w:b/>
          <w:noProof/>
          <w:color w:val="FFFFFF" w:themeColor="background1"/>
          <w:lang w:val="en-US"/>
        </w:rPr>
      </w:pPr>
      <w:r>
        <w:rPr>
          <w:rFonts w:asciiTheme="majorHAnsi" w:hAnsiTheme="majorHAnsi"/>
          <w:b/>
          <w:noProof/>
          <w:color w:val="FFFFFF" w:themeColor="background1"/>
          <w:lang w:val="en-US"/>
        </w:rPr>
        <w:t>Annex F</w:t>
      </w:r>
      <w:r w:rsidRPr="00132DAA">
        <w:rPr>
          <w:rFonts w:asciiTheme="majorHAnsi" w:hAnsiTheme="majorHAnsi"/>
          <w:b/>
          <w:noProof/>
          <w:color w:val="FFFFFF" w:themeColor="background1"/>
          <w:lang w:val="en-US"/>
        </w:rPr>
        <w:t xml:space="preserve"> –</w:t>
      </w:r>
      <w:r w:rsidRPr="00132DAA">
        <w:rPr>
          <w:rFonts w:asciiTheme="majorHAnsi" w:hAnsiTheme="majorHAnsi"/>
          <w:noProof/>
          <w:color w:val="FFFFFF" w:themeColor="background1"/>
          <w:lang w:val="en-US"/>
        </w:rPr>
        <w:t xml:space="preserve"> </w:t>
      </w:r>
      <w:r w:rsidRPr="00132DAA">
        <w:rPr>
          <w:rFonts w:asciiTheme="majorHAnsi" w:hAnsiTheme="majorHAnsi"/>
          <w:b/>
          <w:noProof/>
          <w:color w:val="FFFFFF" w:themeColor="background1"/>
          <w:lang w:val="en-US"/>
        </w:rPr>
        <w:t xml:space="preserve">Inclusion of </w:t>
      </w:r>
      <w:r w:rsidRPr="00132DAA">
        <w:rPr>
          <w:rFonts w:asciiTheme="majorHAnsi" w:hAnsiTheme="majorHAnsi"/>
          <w:b/>
          <w:color w:val="FFFFFF" w:themeColor="background1"/>
          <w:lang w:val="en-AU"/>
        </w:rPr>
        <w:t xml:space="preserve">DFAT Head Agreement Clauses in </w:t>
      </w:r>
      <w:r>
        <w:rPr>
          <w:rFonts w:asciiTheme="majorHAnsi" w:hAnsiTheme="majorHAnsi"/>
          <w:b/>
          <w:color w:val="FFFFFF" w:themeColor="background1"/>
          <w:lang w:val="en-AU"/>
        </w:rPr>
        <w:t>third</w:t>
      </w:r>
      <w:r w:rsidRPr="00132DAA">
        <w:rPr>
          <w:rFonts w:asciiTheme="majorHAnsi" w:hAnsiTheme="majorHAnsi"/>
          <w:b/>
          <w:color w:val="FFFFFF" w:themeColor="background1"/>
          <w:lang w:val="en-AU"/>
        </w:rPr>
        <w:t xml:space="preserve"> tier partnership agreements  </w:t>
      </w:r>
    </w:p>
    <w:p w:rsidR="00C1763A" w:rsidRDefault="00C1763A" w:rsidP="003A5F9D">
      <w:pPr>
        <w:ind w:left="0" w:firstLine="0"/>
        <w:jc w:val="left"/>
      </w:pPr>
    </w:p>
    <w:tbl>
      <w:tblPr>
        <w:tblStyle w:val="TableGrid"/>
        <w:tblW w:w="4906" w:type="pct"/>
        <w:tblLayout w:type="fixed"/>
        <w:tblLook w:val="04A0" w:firstRow="1" w:lastRow="0" w:firstColumn="1" w:lastColumn="0" w:noHBand="0" w:noVBand="1"/>
      </w:tblPr>
      <w:tblGrid>
        <w:gridCol w:w="3311"/>
        <w:gridCol w:w="2659"/>
        <w:gridCol w:w="2659"/>
        <w:gridCol w:w="2500"/>
        <w:gridCol w:w="2761"/>
      </w:tblGrid>
      <w:tr w:rsidR="00C1763A" w:rsidRPr="006F7747" w:rsidTr="005356EE">
        <w:trPr>
          <w:tblHeader/>
        </w:trPr>
        <w:tc>
          <w:tcPr>
            <w:tcW w:w="1192" w:type="pct"/>
          </w:tcPr>
          <w:p w:rsidR="00C1763A" w:rsidRPr="006F7747" w:rsidRDefault="00C1763A" w:rsidP="00C1763A">
            <w:pPr>
              <w:ind w:firstLine="0"/>
              <w:rPr>
                <w:lang w:val="en-AU"/>
              </w:rPr>
            </w:pPr>
          </w:p>
        </w:tc>
        <w:tc>
          <w:tcPr>
            <w:tcW w:w="957" w:type="pct"/>
          </w:tcPr>
          <w:p w:rsidR="00C1763A" w:rsidRPr="006F7747" w:rsidRDefault="00C1763A" w:rsidP="00C1763A">
            <w:pPr>
              <w:rPr>
                <w:b/>
                <w:lang w:val="en-AU"/>
              </w:rPr>
            </w:pPr>
            <w:r>
              <w:rPr>
                <w:b/>
                <w:lang w:val="en-AU"/>
              </w:rPr>
              <w:t>ActionAid</w:t>
            </w:r>
            <w:bookmarkStart w:id="14" w:name="_GoBack"/>
            <w:bookmarkEnd w:id="14"/>
          </w:p>
        </w:tc>
        <w:tc>
          <w:tcPr>
            <w:tcW w:w="957" w:type="pct"/>
          </w:tcPr>
          <w:p w:rsidR="00C1763A" w:rsidRPr="006F7747" w:rsidRDefault="00C1763A" w:rsidP="00C1763A">
            <w:pPr>
              <w:rPr>
                <w:b/>
                <w:lang w:val="en-AU"/>
              </w:rPr>
            </w:pPr>
            <w:r>
              <w:rPr>
                <w:b/>
                <w:lang w:val="en-AU"/>
              </w:rPr>
              <w:t>APHEDA</w:t>
            </w:r>
          </w:p>
        </w:tc>
        <w:tc>
          <w:tcPr>
            <w:tcW w:w="900" w:type="pct"/>
          </w:tcPr>
          <w:p w:rsidR="00C1763A" w:rsidRPr="006F7747" w:rsidRDefault="00C1763A" w:rsidP="00C1763A">
            <w:pPr>
              <w:rPr>
                <w:b/>
                <w:lang w:val="en-AU"/>
              </w:rPr>
            </w:pPr>
            <w:r>
              <w:rPr>
                <w:b/>
                <w:lang w:val="en-AU"/>
              </w:rPr>
              <w:t>CARE</w:t>
            </w:r>
          </w:p>
        </w:tc>
        <w:tc>
          <w:tcPr>
            <w:tcW w:w="994" w:type="pct"/>
          </w:tcPr>
          <w:p w:rsidR="00C1763A" w:rsidRPr="006F7747" w:rsidRDefault="00C1763A" w:rsidP="00C1763A">
            <w:pPr>
              <w:ind w:left="34" w:hanging="34"/>
              <w:rPr>
                <w:b/>
                <w:lang w:val="en-AU"/>
              </w:rPr>
            </w:pPr>
            <w:r>
              <w:rPr>
                <w:b/>
                <w:lang w:val="en-AU"/>
              </w:rPr>
              <w:t>World Vision</w:t>
            </w:r>
          </w:p>
        </w:tc>
      </w:tr>
      <w:tr w:rsidR="00C1763A" w:rsidRPr="006F7747" w:rsidTr="003A5F9D">
        <w:tc>
          <w:tcPr>
            <w:tcW w:w="1192" w:type="pct"/>
          </w:tcPr>
          <w:p w:rsidR="00C1763A" w:rsidRPr="006F7747" w:rsidRDefault="00C1763A" w:rsidP="00C1763A">
            <w:pPr>
              <w:ind w:left="0" w:firstLine="0"/>
              <w:rPr>
                <w:lang w:val="en-AU"/>
              </w:rPr>
            </w:pPr>
            <w:r w:rsidRPr="00FD19E7">
              <w:rPr>
                <w:lang w:val="en-AU"/>
              </w:rPr>
              <w:t>Ensure no links to terrorism</w:t>
            </w:r>
          </w:p>
        </w:tc>
        <w:tc>
          <w:tcPr>
            <w:tcW w:w="957" w:type="pct"/>
          </w:tcPr>
          <w:p w:rsidR="00C1763A" w:rsidRPr="00163B20" w:rsidRDefault="00C1763A" w:rsidP="00C1763A">
            <w:pPr>
              <w:ind w:firstLine="0"/>
              <w:rPr>
                <w:lang w:val="en-AU"/>
              </w:rPr>
            </w:pPr>
            <w:r w:rsidRPr="00163B20">
              <w:rPr>
                <w:lang w:val="en-AU"/>
              </w:rPr>
              <w:t>Yes</w:t>
            </w:r>
          </w:p>
        </w:tc>
        <w:tc>
          <w:tcPr>
            <w:tcW w:w="957" w:type="pct"/>
          </w:tcPr>
          <w:p w:rsidR="00C1763A" w:rsidRPr="00163B20" w:rsidRDefault="00C1763A" w:rsidP="00C1763A">
            <w:pPr>
              <w:ind w:left="0" w:firstLine="0"/>
              <w:rPr>
                <w:lang w:val="en-AU"/>
              </w:rPr>
            </w:pPr>
            <w:r w:rsidRPr="00163B20">
              <w:rPr>
                <w:lang w:val="en-AU"/>
              </w:rPr>
              <w:t>No third tier partners</w:t>
            </w:r>
          </w:p>
        </w:tc>
        <w:tc>
          <w:tcPr>
            <w:tcW w:w="900" w:type="pct"/>
          </w:tcPr>
          <w:p w:rsidR="00C1763A" w:rsidRPr="00163B20" w:rsidRDefault="00C1763A" w:rsidP="00C1763A">
            <w:pPr>
              <w:ind w:firstLine="0"/>
              <w:rPr>
                <w:lang w:val="en-AU"/>
              </w:rPr>
            </w:pPr>
            <w:r w:rsidRPr="00163B20">
              <w:rPr>
                <w:lang w:val="en-AU"/>
              </w:rPr>
              <w:t>Yes</w:t>
            </w:r>
          </w:p>
        </w:tc>
        <w:tc>
          <w:tcPr>
            <w:tcW w:w="994" w:type="pct"/>
          </w:tcPr>
          <w:p w:rsidR="00C1763A" w:rsidRPr="00163B20" w:rsidRDefault="00C1763A" w:rsidP="00C1763A">
            <w:pPr>
              <w:ind w:firstLine="0"/>
              <w:rPr>
                <w:lang w:val="en-AU"/>
              </w:rPr>
            </w:pPr>
            <w:r w:rsidRPr="00163B20">
              <w:rPr>
                <w:lang w:val="en-AU"/>
              </w:rPr>
              <w:t>Yes</w:t>
            </w:r>
          </w:p>
        </w:tc>
      </w:tr>
      <w:tr w:rsidR="00C1763A" w:rsidRPr="006F7747" w:rsidTr="003A5F9D">
        <w:tc>
          <w:tcPr>
            <w:tcW w:w="1192" w:type="pct"/>
          </w:tcPr>
          <w:p w:rsidR="00C1763A" w:rsidRPr="00FD19E7" w:rsidRDefault="00C1763A" w:rsidP="00C1763A">
            <w:pPr>
              <w:ind w:left="0" w:firstLine="0"/>
              <w:rPr>
                <w:lang w:val="en-AU"/>
              </w:rPr>
            </w:pPr>
            <w:r>
              <w:rPr>
                <w:lang w:val="en-AU"/>
              </w:rPr>
              <w:t>Child Protection</w:t>
            </w:r>
          </w:p>
        </w:tc>
        <w:tc>
          <w:tcPr>
            <w:tcW w:w="957" w:type="pct"/>
          </w:tcPr>
          <w:p w:rsidR="00C1763A" w:rsidRPr="00163B20" w:rsidRDefault="00C1763A" w:rsidP="00C1763A">
            <w:pPr>
              <w:ind w:firstLine="0"/>
              <w:rPr>
                <w:lang w:val="en-AU"/>
              </w:rPr>
            </w:pPr>
            <w:r w:rsidRPr="00163B20">
              <w:rPr>
                <w:lang w:val="en-AU"/>
              </w:rPr>
              <w:t>Yes</w:t>
            </w:r>
          </w:p>
        </w:tc>
        <w:tc>
          <w:tcPr>
            <w:tcW w:w="957" w:type="pct"/>
          </w:tcPr>
          <w:p w:rsidR="00C1763A" w:rsidRPr="00163B20" w:rsidRDefault="00C1763A" w:rsidP="00C1763A">
            <w:pPr>
              <w:ind w:left="0" w:firstLine="0"/>
              <w:rPr>
                <w:lang w:val="en-AU"/>
              </w:rPr>
            </w:pPr>
            <w:r w:rsidRPr="00163B20">
              <w:rPr>
                <w:lang w:val="en-AU"/>
              </w:rPr>
              <w:t>N/A</w:t>
            </w:r>
          </w:p>
        </w:tc>
        <w:tc>
          <w:tcPr>
            <w:tcW w:w="900" w:type="pct"/>
          </w:tcPr>
          <w:p w:rsidR="00C1763A" w:rsidRPr="00163B20" w:rsidRDefault="00C1763A" w:rsidP="00C1763A">
            <w:pPr>
              <w:ind w:firstLine="0"/>
              <w:rPr>
                <w:lang w:val="en-AU"/>
              </w:rPr>
            </w:pPr>
            <w:r w:rsidRPr="00163B20">
              <w:rPr>
                <w:lang w:val="en-AU"/>
              </w:rPr>
              <w:t>Yes</w:t>
            </w:r>
          </w:p>
        </w:tc>
        <w:tc>
          <w:tcPr>
            <w:tcW w:w="994" w:type="pct"/>
          </w:tcPr>
          <w:p w:rsidR="00C1763A" w:rsidRPr="00163B20" w:rsidRDefault="00C1763A" w:rsidP="00C1763A">
            <w:pPr>
              <w:ind w:firstLine="0"/>
              <w:rPr>
                <w:lang w:val="en-AU"/>
              </w:rPr>
            </w:pPr>
            <w:r w:rsidRPr="00163B20">
              <w:rPr>
                <w:lang w:val="en-AU"/>
              </w:rPr>
              <w:t>Yes</w:t>
            </w:r>
          </w:p>
        </w:tc>
      </w:tr>
      <w:tr w:rsidR="00C1763A" w:rsidRPr="006F7747" w:rsidTr="003A5F9D">
        <w:tc>
          <w:tcPr>
            <w:tcW w:w="1192" w:type="pct"/>
          </w:tcPr>
          <w:p w:rsidR="00C1763A" w:rsidRPr="00FD19E7" w:rsidRDefault="00C1763A" w:rsidP="00C1763A">
            <w:pPr>
              <w:ind w:left="0" w:firstLine="0"/>
              <w:rPr>
                <w:lang w:val="en-AU"/>
              </w:rPr>
            </w:pPr>
            <w:r w:rsidRPr="00FD19E7">
              <w:rPr>
                <w:lang w:val="en-AU"/>
              </w:rPr>
              <w:t xml:space="preserve">Child protection – must notify DFAT </w:t>
            </w:r>
          </w:p>
        </w:tc>
        <w:tc>
          <w:tcPr>
            <w:tcW w:w="957" w:type="pct"/>
          </w:tcPr>
          <w:p w:rsidR="00C1763A" w:rsidRPr="00163B20" w:rsidRDefault="00C1763A" w:rsidP="00C1763A">
            <w:pPr>
              <w:ind w:firstLine="0"/>
              <w:rPr>
                <w:lang w:val="en-AU"/>
              </w:rPr>
            </w:pPr>
            <w:r w:rsidRPr="00163B20">
              <w:rPr>
                <w:lang w:val="en-AU"/>
              </w:rPr>
              <w:t>No</w:t>
            </w:r>
          </w:p>
        </w:tc>
        <w:tc>
          <w:tcPr>
            <w:tcW w:w="957" w:type="pct"/>
          </w:tcPr>
          <w:p w:rsidR="00C1763A" w:rsidRPr="00163B20" w:rsidRDefault="00C1763A" w:rsidP="00C1763A">
            <w:pPr>
              <w:ind w:left="0" w:firstLine="0"/>
              <w:rPr>
                <w:lang w:val="en-AU"/>
              </w:rPr>
            </w:pPr>
            <w:r w:rsidRPr="00163B20">
              <w:rPr>
                <w:lang w:val="en-AU"/>
              </w:rPr>
              <w:t>N/A</w:t>
            </w:r>
          </w:p>
        </w:tc>
        <w:tc>
          <w:tcPr>
            <w:tcW w:w="900" w:type="pct"/>
          </w:tcPr>
          <w:p w:rsidR="00C1763A" w:rsidRPr="00163B20" w:rsidRDefault="00C1763A" w:rsidP="00C1763A">
            <w:pPr>
              <w:ind w:firstLine="0"/>
              <w:rPr>
                <w:lang w:val="en-AU"/>
              </w:rPr>
            </w:pPr>
            <w:r w:rsidRPr="00163B20">
              <w:rPr>
                <w:lang w:val="en-AU"/>
              </w:rPr>
              <w:t>No</w:t>
            </w:r>
          </w:p>
        </w:tc>
        <w:tc>
          <w:tcPr>
            <w:tcW w:w="994" w:type="pct"/>
          </w:tcPr>
          <w:p w:rsidR="00C1763A" w:rsidRPr="00163B20" w:rsidRDefault="00C1763A" w:rsidP="00C1763A">
            <w:pPr>
              <w:ind w:firstLine="0"/>
              <w:rPr>
                <w:lang w:val="en-AU"/>
              </w:rPr>
            </w:pPr>
            <w:r w:rsidRPr="00163B20">
              <w:rPr>
                <w:lang w:val="en-AU"/>
              </w:rPr>
              <w:t>No</w:t>
            </w:r>
          </w:p>
        </w:tc>
      </w:tr>
      <w:tr w:rsidR="00C1763A" w:rsidRPr="006F7747" w:rsidTr="003A5F9D">
        <w:tc>
          <w:tcPr>
            <w:tcW w:w="1192" w:type="pct"/>
          </w:tcPr>
          <w:p w:rsidR="00C1763A" w:rsidRPr="00FD19E7" w:rsidRDefault="00C1763A" w:rsidP="00C1763A">
            <w:pPr>
              <w:ind w:left="0" w:firstLine="0"/>
              <w:rPr>
                <w:lang w:val="en-AU"/>
              </w:rPr>
            </w:pPr>
            <w:r>
              <w:rPr>
                <w:lang w:val="en-AU"/>
              </w:rPr>
              <w:t xml:space="preserve">Fraud </w:t>
            </w:r>
          </w:p>
        </w:tc>
        <w:tc>
          <w:tcPr>
            <w:tcW w:w="957" w:type="pct"/>
          </w:tcPr>
          <w:p w:rsidR="00C1763A" w:rsidRPr="00163B20" w:rsidRDefault="00C1763A" w:rsidP="00C1763A">
            <w:pPr>
              <w:ind w:firstLine="0"/>
              <w:rPr>
                <w:lang w:val="en-AU"/>
              </w:rPr>
            </w:pPr>
            <w:r w:rsidRPr="00163B20">
              <w:rPr>
                <w:lang w:val="en-AU"/>
              </w:rPr>
              <w:t>No</w:t>
            </w:r>
          </w:p>
        </w:tc>
        <w:tc>
          <w:tcPr>
            <w:tcW w:w="957" w:type="pct"/>
          </w:tcPr>
          <w:p w:rsidR="00C1763A" w:rsidRPr="00163B20" w:rsidRDefault="00C1763A" w:rsidP="00C1763A">
            <w:pPr>
              <w:ind w:left="0" w:firstLine="0"/>
              <w:rPr>
                <w:lang w:val="en-AU"/>
              </w:rPr>
            </w:pPr>
            <w:r w:rsidRPr="00163B20">
              <w:rPr>
                <w:lang w:val="en-AU"/>
              </w:rPr>
              <w:t>N/A</w:t>
            </w:r>
          </w:p>
        </w:tc>
        <w:tc>
          <w:tcPr>
            <w:tcW w:w="900" w:type="pct"/>
          </w:tcPr>
          <w:p w:rsidR="00C1763A" w:rsidRPr="00163B20" w:rsidRDefault="00C1763A" w:rsidP="00C1763A">
            <w:pPr>
              <w:ind w:firstLine="0"/>
              <w:rPr>
                <w:lang w:val="en-AU"/>
              </w:rPr>
            </w:pPr>
            <w:r w:rsidRPr="00163B20">
              <w:rPr>
                <w:lang w:val="en-AU"/>
              </w:rPr>
              <w:t>No</w:t>
            </w:r>
          </w:p>
        </w:tc>
        <w:tc>
          <w:tcPr>
            <w:tcW w:w="994" w:type="pct"/>
          </w:tcPr>
          <w:p w:rsidR="00C1763A" w:rsidRPr="00163B20" w:rsidRDefault="00C1763A" w:rsidP="00C1763A">
            <w:pPr>
              <w:ind w:firstLine="0"/>
              <w:rPr>
                <w:lang w:val="en-AU"/>
              </w:rPr>
            </w:pPr>
            <w:r w:rsidRPr="00163B20">
              <w:rPr>
                <w:lang w:val="en-AU"/>
              </w:rPr>
              <w:t>Yes</w:t>
            </w:r>
          </w:p>
        </w:tc>
      </w:tr>
      <w:tr w:rsidR="00C1763A" w:rsidRPr="006F7747" w:rsidTr="003A5F9D">
        <w:tc>
          <w:tcPr>
            <w:tcW w:w="1192" w:type="pct"/>
          </w:tcPr>
          <w:p w:rsidR="00C1763A" w:rsidRPr="00FD19E7" w:rsidRDefault="00C1763A" w:rsidP="00C1763A">
            <w:pPr>
              <w:ind w:left="0" w:firstLine="0"/>
              <w:rPr>
                <w:lang w:val="en-AU"/>
              </w:rPr>
            </w:pPr>
            <w:r>
              <w:rPr>
                <w:lang w:val="en-AU"/>
              </w:rPr>
              <w:t>Corruption</w:t>
            </w:r>
          </w:p>
        </w:tc>
        <w:tc>
          <w:tcPr>
            <w:tcW w:w="957" w:type="pct"/>
          </w:tcPr>
          <w:p w:rsidR="00C1763A" w:rsidRPr="00163B20" w:rsidRDefault="00C1763A" w:rsidP="00C1763A">
            <w:pPr>
              <w:ind w:firstLine="0"/>
              <w:rPr>
                <w:lang w:val="en-AU"/>
              </w:rPr>
            </w:pPr>
            <w:r w:rsidRPr="00163B20">
              <w:rPr>
                <w:lang w:val="en-AU"/>
              </w:rPr>
              <w:t>No</w:t>
            </w:r>
          </w:p>
        </w:tc>
        <w:tc>
          <w:tcPr>
            <w:tcW w:w="957" w:type="pct"/>
          </w:tcPr>
          <w:p w:rsidR="00C1763A" w:rsidRPr="00163B20" w:rsidRDefault="00C1763A" w:rsidP="00C1763A">
            <w:pPr>
              <w:ind w:left="0" w:firstLine="0"/>
              <w:rPr>
                <w:lang w:val="en-AU"/>
              </w:rPr>
            </w:pPr>
            <w:r w:rsidRPr="00163B20">
              <w:rPr>
                <w:lang w:val="en-AU"/>
              </w:rPr>
              <w:t>N/A</w:t>
            </w:r>
          </w:p>
        </w:tc>
        <w:tc>
          <w:tcPr>
            <w:tcW w:w="900" w:type="pct"/>
          </w:tcPr>
          <w:p w:rsidR="00C1763A" w:rsidRPr="00163B20" w:rsidRDefault="00C1763A" w:rsidP="00C1763A">
            <w:pPr>
              <w:ind w:firstLine="0"/>
              <w:rPr>
                <w:lang w:val="en-AU"/>
              </w:rPr>
            </w:pPr>
            <w:r w:rsidRPr="00163B20">
              <w:rPr>
                <w:lang w:val="en-AU"/>
              </w:rPr>
              <w:t>No</w:t>
            </w:r>
          </w:p>
        </w:tc>
        <w:tc>
          <w:tcPr>
            <w:tcW w:w="994" w:type="pct"/>
          </w:tcPr>
          <w:p w:rsidR="00C1763A" w:rsidRPr="00163B20" w:rsidRDefault="00C1763A" w:rsidP="00C1763A">
            <w:pPr>
              <w:ind w:firstLine="0"/>
              <w:rPr>
                <w:lang w:val="en-AU"/>
              </w:rPr>
            </w:pPr>
            <w:r w:rsidRPr="00163B20">
              <w:rPr>
                <w:lang w:val="en-AU"/>
              </w:rPr>
              <w:t>No</w:t>
            </w:r>
          </w:p>
        </w:tc>
      </w:tr>
      <w:tr w:rsidR="00C1763A" w:rsidRPr="006F7747" w:rsidTr="003A5F9D">
        <w:tc>
          <w:tcPr>
            <w:tcW w:w="1192" w:type="pct"/>
          </w:tcPr>
          <w:p w:rsidR="00C1763A" w:rsidRDefault="00C1763A" w:rsidP="00C1763A">
            <w:pPr>
              <w:ind w:left="0" w:firstLine="0"/>
              <w:rPr>
                <w:lang w:val="en-AU"/>
              </w:rPr>
            </w:pPr>
            <w:r w:rsidRPr="00FD19E7">
              <w:rPr>
                <w:lang w:val="en-AU"/>
              </w:rPr>
              <w:t>Financial management</w:t>
            </w:r>
          </w:p>
        </w:tc>
        <w:tc>
          <w:tcPr>
            <w:tcW w:w="957" w:type="pct"/>
          </w:tcPr>
          <w:p w:rsidR="00C1763A" w:rsidRPr="00163B20" w:rsidRDefault="00C1763A" w:rsidP="00C1763A">
            <w:pPr>
              <w:ind w:firstLine="0"/>
              <w:rPr>
                <w:lang w:val="en-AU"/>
              </w:rPr>
            </w:pPr>
            <w:r w:rsidRPr="00163B20">
              <w:rPr>
                <w:lang w:val="en-AU"/>
              </w:rPr>
              <w:t>Yes</w:t>
            </w:r>
          </w:p>
        </w:tc>
        <w:tc>
          <w:tcPr>
            <w:tcW w:w="957" w:type="pct"/>
          </w:tcPr>
          <w:p w:rsidR="00C1763A" w:rsidRPr="00163B20" w:rsidRDefault="00C1763A" w:rsidP="00C1763A">
            <w:pPr>
              <w:ind w:left="0" w:firstLine="0"/>
              <w:rPr>
                <w:lang w:val="en-AU"/>
              </w:rPr>
            </w:pPr>
            <w:r w:rsidRPr="00163B20">
              <w:rPr>
                <w:lang w:val="en-AU"/>
              </w:rPr>
              <w:t>N/A</w:t>
            </w:r>
          </w:p>
        </w:tc>
        <w:tc>
          <w:tcPr>
            <w:tcW w:w="900" w:type="pct"/>
          </w:tcPr>
          <w:p w:rsidR="00C1763A" w:rsidRPr="00163B20" w:rsidRDefault="00C1763A" w:rsidP="00C1763A">
            <w:pPr>
              <w:ind w:firstLine="0"/>
              <w:rPr>
                <w:lang w:val="en-AU"/>
              </w:rPr>
            </w:pPr>
            <w:r w:rsidRPr="00163B20">
              <w:rPr>
                <w:lang w:val="en-AU"/>
              </w:rPr>
              <w:t>Yes</w:t>
            </w:r>
          </w:p>
        </w:tc>
        <w:tc>
          <w:tcPr>
            <w:tcW w:w="994" w:type="pct"/>
          </w:tcPr>
          <w:p w:rsidR="00C1763A" w:rsidRPr="00163B20" w:rsidRDefault="00C1763A" w:rsidP="00C1763A">
            <w:pPr>
              <w:ind w:firstLine="0"/>
              <w:rPr>
                <w:lang w:val="en-AU"/>
              </w:rPr>
            </w:pPr>
            <w:r w:rsidRPr="00163B20">
              <w:rPr>
                <w:lang w:val="en-AU"/>
              </w:rPr>
              <w:t>Yes</w:t>
            </w:r>
          </w:p>
        </w:tc>
      </w:tr>
      <w:tr w:rsidR="00C1763A" w:rsidRPr="006F7747" w:rsidTr="00C1763A">
        <w:tc>
          <w:tcPr>
            <w:tcW w:w="1192" w:type="pct"/>
          </w:tcPr>
          <w:p w:rsidR="00C1763A" w:rsidRPr="00FD19E7" w:rsidRDefault="00C1763A" w:rsidP="00C1763A">
            <w:pPr>
              <w:ind w:left="0" w:firstLine="0"/>
              <w:rPr>
                <w:lang w:val="en-AU"/>
              </w:rPr>
            </w:pPr>
            <w:r>
              <w:rPr>
                <w:lang w:val="en-AU"/>
              </w:rPr>
              <w:t>Monitoring and reporting</w:t>
            </w:r>
          </w:p>
        </w:tc>
        <w:tc>
          <w:tcPr>
            <w:tcW w:w="957" w:type="pct"/>
          </w:tcPr>
          <w:p w:rsidR="00C1763A" w:rsidRPr="00163B20" w:rsidRDefault="00C1763A" w:rsidP="00C1763A">
            <w:pPr>
              <w:ind w:firstLine="0"/>
              <w:rPr>
                <w:lang w:val="en-AU"/>
              </w:rPr>
            </w:pPr>
            <w:r w:rsidRPr="00163B20">
              <w:rPr>
                <w:lang w:val="en-AU"/>
              </w:rPr>
              <w:t>Yes</w:t>
            </w:r>
          </w:p>
        </w:tc>
        <w:tc>
          <w:tcPr>
            <w:tcW w:w="957" w:type="pct"/>
          </w:tcPr>
          <w:p w:rsidR="00C1763A" w:rsidRPr="00163B20" w:rsidRDefault="00C1763A" w:rsidP="00C1763A">
            <w:pPr>
              <w:ind w:left="0" w:firstLine="0"/>
              <w:rPr>
                <w:lang w:val="en-AU"/>
              </w:rPr>
            </w:pPr>
            <w:r w:rsidRPr="00163B20">
              <w:rPr>
                <w:lang w:val="en-AU"/>
              </w:rPr>
              <w:t>N/A</w:t>
            </w:r>
          </w:p>
        </w:tc>
        <w:tc>
          <w:tcPr>
            <w:tcW w:w="900" w:type="pct"/>
          </w:tcPr>
          <w:p w:rsidR="00C1763A" w:rsidRPr="00163B20" w:rsidRDefault="00C1763A" w:rsidP="00C1763A">
            <w:pPr>
              <w:ind w:firstLine="0"/>
              <w:rPr>
                <w:lang w:val="en-AU"/>
              </w:rPr>
            </w:pPr>
          </w:p>
        </w:tc>
        <w:tc>
          <w:tcPr>
            <w:tcW w:w="994" w:type="pct"/>
          </w:tcPr>
          <w:p w:rsidR="00C1763A" w:rsidRPr="00163B20" w:rsidRDefault="00C1763A" w:rsidP="00C1763A">
            <w:pPr>
              <w:ind w:firstLine="0"/>
              <w:rPr>
                <w:lang w:val="en-AU"/>
              </w:rPr>
            </w:pPr>
            <w:r w:rsidRPr="00163B20">
              <w:rPr>
                <w:lang w:val="en-AU"/>
              </w:rPr>
              <w:t>Yes</w:t>
            </w:r>
          </w:p>
        </w:tc>
      </w:tr>
      <w:tr w:rsidR="00C1763A" w:rsidRPr="006F7747" w:rsidTr="003A5F9D">
        <w:tc>
          <w:tcPr>
            <w:tcW w:w="1192" w:type="pct"/>
          </w:tcPr>
          <w:p w:rsidR="00C1763A" w:rsidRPr="00FD19E7" w:rsidRDefault="00C1763A" w:rsidP="00C1763A">
            <w:pPr>
              <w:ind w:left="0" w:firstLine="0"/>
              <w:rPr>
                <w:lang w:val="en-AU"/>
              </w:rPr>
            </w:pPr>
            <w:r>
              <w:rPr>
                <w:lang w:val="en-AU"/>
              </w:rPr>
              <w:t>Conflict of Interest</w:t>
            </w:r>
          </w:p>
        </w:tc>
        <w:tc>
          <w:tcPr>
            <w:tcW w:w="957" w:type="pct"/>
          </w:tcPr>
          <w:p w:rsidR="00C1763A" w:rsidRPr="00163B20" w:rsidRDefault="00C1763A" w:rsidP="00C1763A">
            <w:pPr>
              <w:ind w:firstLine="0"/>
              <w:rPr>
                <w:lang w:val="en-AU"/>
              </w:rPr>
            </w:pPr>
            <w:r w:rsidRPr="00163B20">
              <w:rPr>
                <w:lang w:val="en-AU"/>
              </w:rPr>
              <w:t>No</w:t>
            </w:r>
          </w:p>
        </w:tc>
        <w:tc>
          <w:tcPr>
            <w:tcW w:w="957" w:type="pct"/>
          </w:tcPr>
          <w:p w:rsidR="00C1763A" w:rsidRPr="00163B20" w:rsidRDefault="00C1763A" w:rsidP="00C1763A">
            <w:pPr>
              <w:ind w:left="0" w:firstLine="0"/>
              <w:rPr>
                <w:lang w:val="en-AU"/>
              </w:rPr>
            </w:pPr>
            <w:r w:rsidRPr="00163B20">
              <w:rPr>
                <w:lang w:val="en-AU"/>
              </w:rPr>
              <w:t>N/A</w:t>
            </w:r>
          </w:p>
        </w:tc>
        <w:tc>
          <w:tcPr>
            <w:tcW w:w="900" w:type="pct"/>
          </w:tcPr>
          <w:p w:rsidR="00C1763A" w:rsidRPr="00163B20" w:rsidRDefault="00C1763A" w:rsidP="00C1763A">
            <w:pPr>
              <w:ind w:firstLine="0"/>
              <w:rPr>
                <w:lang w:val="en-AU"/>
              </w:rPr>
            </w:pPr>
            <w:r w:rsidRPr="00163B20">
              <w:rPr>
                <w:lang w:val="en-AU"/>
              </w:rPr>
              <w:t>No</w:t>
            </w:r>
          </w:p>
        </w:tc>
        <w:tc>
          <w:tcPr>
            <w:tcW w:w="994" w:type="pct"/>
          </w:tcPr>
          <w:p w:rsidR="00C1763A" w:rsidRPr="00163B20" w:rsidRDefault="00C1763A" w:rsidP="00C1763A">
            <w:pPr>
              <w:ind w:firstLine="0"/>
              <w:rPr>
                <w:lang w:val="en-AU"/>
              </w:rPr>
            </w:pPr>
            <w:r w:rsidRPr="00163B20">
              <w:rPr>
                <w:lang w:val="en-AU"/>
              </w:rPr>
              <w:t>Yes</w:t>
            </w:r>
          </w:p>
        </w:tc>
      </w:tr>
      <w:tr w:rsidR="00C1763A" w:rsidRPr="006F7747" w:rsidTr="003A5F9D">
        <w:tc>
          <w:tcPr>
            <w:tcW w:w="1192" w:type="pct"/>
          </w:tcPr>
          <w:p w:rsidR="00C1763A" w:rsidRDefault="00C1763A" w:rsidP="00C1763A">
            <w:pPr>
              <w:ind w:left="0" w:firstLine="0"/>
              <w:rPr>
                <w:lang w:val="en-AU"/>
              </w:rPr>
            </w:pPr>
            <w:r>
              <w:rPr>
                <w:lang w:val="en-AU"/>
              </w:rPr>
              <w:t xml:space="preserve">Termination </w:t>
            </w:r>
          </w:p>
        </w:tc>
        <w:tc>
          <w:tcPr>
            <w:tcW w:w="957" w:type="pct"/>
          </w:tcPr>
          <w:p w:rsidR="00C1763A" w:rsidRPr="00163B20" w:rsidRDefault="00C1763A" w:rsidP="00C1763A">
            <w:pPr>
              <w:ind w:firstLine="0"/>
              <w:rPr>
                <w:lang w:val="en-AU"/>
              </w:rPr>
            </w:pPr>
            <w:r w:rsidRPr="00163B20">
              <w:rPr>
                <w:lang w:val="en-AU"/>
              </w:rPr>
              <w:t>Yes</w:t>
            </w:r>
          </w:p>
        </w:tc>
        <w:tc>
          <w:tcPr>
            <w:tcW w:w="957" w:type="pct"/>
          </w:tcPr>
          <w:p w:rsidR="00C1763A" w:rsidRPr="00163B20" w:rsidRDefault="00C1763A" w:rsidP="00C1763A">
            <w:pPr>
              <w:ind w:left="0" w:firstLine="0"/>
              <w:rPr>
                <w:lang w:val="en-AU"/>
              </w:rPr>
            </w:pPr>
            <w:r w:rsidRPr="00163B20">
              <w:rPr>
                <w:lang w:val="en-AU"/>
              </w:rPr>
              <w:t>N/A</w:t>
            </w:r>
          </w:p>
        </w:tc>
        <w:tc>
          <w:tcPr>
            <w:tcW w:w="900" w:type="pct"/>
          </w:tcPr>
          <w:p w:rsidR="00C1763A" w:rsidRPr="00163B20" w:rsidRDefault="00C1763A" w:rsidP="00C1763A">
            <w:pPr>
              <w:ind w:firstLine="0"/>
              <w:rPr>
                <w:lang w:val="en-AU"/>
              </w:rPr>
            </w:pPr>
            <w:r w:rsidRPr="00163B20">
              <w:rPr>
                <w:lang w:val="en-AU"/>
              </w:rPr>
              <w:t>Yes</w:t>
            </w:r>
          </w:p>
        </w:tc>
        <w:tc>
          <w:tcPr>
            <w:tcW w:w="994" w:type="pct"/>
          </w:tcPr>
          <w:p w:rsidR="00C1763A" w:rsidRPr="00163B20" w:rsidRDefault="00C1763A" w:rsidP="00C1763A">
            <w:pPr>
              <w:ind w:firstLine="0"/>
              <w:rPr>
                <w:lang w:val="en-AU"/>
              </w:rPr>
            </w:pPr>
            <w:r w:rsidRPr="00163B20">
              <w:rPr>
                <w:lang w:val="en-AU"/>
              </w:rPr>
              <w:t>Yes</w:t>
            </w:r>
          </w:p>
        </w:tc>
      </w:tr>
    </w:tbl>
    <w:p w:rsidR="00EF3FC0" w:rsidRDefault="00EF3FC0" w:rsidP="00643464">
      <w:pPr>
        <w:rPr>
          <w:b/>
          <w:u w:val="single"/>
          <w:lang w:val="en-AU"/>
        </w:rPr>
      </w:pPr>
    </w:p>
    <w:p w:rsidR="00643464" w:rsidRPr="00242A4B" w:rsidRDefault="00643464" w:rsidP="00C211A7">
      <w:pPr>
        <w:suppressAutoHyphens w:val="0"/>
        <w:autoSpaceDE/>
        <w:autoSpaceDN/>
        <w:adjustRightInd/>
        <w:spacing w:before="0" w:after="0" w:line="240" w:lineRule="auto"/>
        <w:ind w:left="0" w:firstLine="0"/>
        <w:jc w:val="left"/>
        <w:textAlignment w:val="auto"/>
        <w:rPr>
          <w:rFonts w:asciiTheme="majorHAnsi" w:eastAsiaTheme="minorEastAsia" w:hAnsiTheme="majorHAnsi" w:cs="Times"/>
          <w:color w:val="auto"/>
          <w:sz w:val="20"/>
          <w:szCs w:val="20"/>
          <w:lang w:val="en-US"/>
        </w:rPr>
      </w:pPr>
    </w:p>
    <w:sectPr w:rsidR="00643464" w:rsidRPr="00242A4B" w:rsidSect="00456554">
      <w:pgSz w:w="16820" w:h="11900" w:orient="landscape"/>
      <w:pgMar w:top="1800" w:right="1440" w:bottom="180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EAE" w:rsidRDefault="00462EAE" w:rsidP="00C94725">
      <w:pPr>
        <w:spacing w:before="0" w:after="0" w:line="240" w:lineRule="auto"/>
      </w:pPr>
      <w:r>
        <w:separator/>
      </w:r>
    </w:p>
  </w:endnote>
  <w:endnote w:type="continuationSeparator" w:id="0">
    <w:p w:rsidR="00462EAE" w:rsidRDefault="00462EAE" w:rsidP="00C947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oundersGrotesk-Regular">
    <w:altName w:val="Founders Grotesk 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A7" w:rsidRDefault="00C211A7" w:rsidP="00C947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1A7" w:rsidRDefault="00C211A7" w:rsidP="00C947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A7" w:rsidRDefault="00C211A7" w:rsidP="00C947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6EE">
      <w:rPr>
        <w:rStyle w:val="PageNumber"/>
        <w:noProof/>
      </w:rPr>
      <w:t>1</w:t>
    </w:r>
    <w:r>
      <w:rPr>
        <w:rStyle w:val="PageNumber"/>
      </w:rPr>
      <w:fldChar w:fldCharType="end"/>
    </w:r>
  </w:p>
  <w:p w:rsidR="00C211A7" w:rsidRDefault="00C211A7" w:rsidP="007F77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EAE" w:rsidRDefault="00462EAE" w:rsidP="00C94725">
      <w:pPr>
        <w:spacing w:before="0" w:after="0" w:line="240" w:lineRule="auto"/>
      </w:pPr>
      <w:r>
        <w:separator/>
      </w:r>
    </w:p>
  </w:footnote>
  <w:footnote w:type="continuationSeparator" w:id="0">
    <w:p w:rsidR="00462EAE" w:rsidRDefault="00462EAE" w:rsidP="00C94725">
      <w:pPr>
        <w:spacing w:before="0" w:after="0" w:line="240" w:lineRule="auto"/>
      </w:pPr>
      <w:r>
        <w:continuationSeparator/>
      </w:r>
    </w:p>
  </w:footnote>
  <w:footnote w:id="1">
    <w:p w:rsidR="00C211A7" w:rsidRPr="00AD2FD0" w:rsidRDefault="00C211A7" w:rsidP="00244CA3">
      <w:pPr>
        <w:pStyle w:val="FootnoteText"/>
        <w:ind w:firstLine="0"/>
        <w:rPr>
          <w:sz w:val="18"/>
          <w:szCs w:val="18"/>
        </w:rPr>
      </w:pPr>
      <w:r w:rsidRPr="00AD2FD0">
        <w:rPr>
          <w:rStyle w:val="FootnoteReference"/>
          <w:sz w:val="18"/>
          <w:szCs w:val="18"/>
        </w:rPr>
        <w:footnoteRef/>
      </w:r>
      <w:r w:rsidRPr="00AD2FD0">
        <w:rPr>
          <w:sz w:val="18"/>
          <w:szCs w:val="18"/>
        </w:rPr>
        <w:t xml:space="preserve"> </w:t>
      </w:r>
      <w:r w:rsidRPr="00AD2FD0">
        <w:rPr>
          <w:rFonts w:asciiTheme="majorHAnsi" w:eastAsiaTheme="minorEastAsia" w:hAnsiTheme="majorHAnsi" w:cs="Arial"/>
          <w:color w:val="auto"/>
          <w:sz w:val="18"/>
          <w:szCs w:val="18"/>
          <w:lang w:val="en-US"/>
        </w:rPr>
        <w:t>Component 2 – Capacity</w:t>
      </w:r>
      <w:r>
        <w:rPr>
          <w:rFonts w:asciiTheme="majorHAnsi" w:eastAsiaTheme="minorEastAsia" w:hAnsiTheme="majorHAnsi" w:cs="Arial"/>
          <w:color w:val="auto"/>
          <w:sz w:val="18"/>
          <w:szCs w:val="18"/>
          <w:lang w:val="en-US"/>
        </w:rPr>
        <w:t xml:space="preserve"> </w:t>
      </w:r>
      <w:r w:rsidRPr="00AD2FD0">
        <w:rPr>
          <w:rFonts w:asciiTheme="majorHAnsi" w:eastAsiaTheme="minorEastAsia" w:hAnsiTheme="majorHAnsi" w:cs="Arial"/>
          <w:color w:val="auto"/>
          <w:sz w:val="18"/>
          <w:szCs w:val="18"/>
          <w:lang w:val="en-US"/>
        </w:rPr>
        <w:t>Building</w:t>
      </w:r>
      <w:r>
        <w:rPr>
          <w:rFonts w:asciiTheme="majorHAnsi" w:eastAsiaTheme="minorEastAsia" w:hAnsiTheme="majorHAnsi" w:cs="Arial"/>
          <w:color w:val="auto"/>
          <w:sz w:val="18"/>
          <w:szCs w:val="18"/>
          <w:lang w:val="en-US"/>
        </w:rPr>
        <w:t>;</w:t>
      </w:r>
      <w:r w:rsidRPr="00AD2FD0">
        <w:rPr>
          <w:rFonts w:asciiTheme="majorHAnsi" w:eastAsiaTheme="minorEastAsia" w:hAnsiTheme="majorHAnsi" w:cs="Arial"/>
          <w:color w:val="auto"/>
          <w:sz w:val="18"/>
          <w:szCs w:val="18"/>
          <w:lang w:val="en-US"/>
        </w:rPr>
        <w:t xml:space="preserve"> Outcome 2 - Strengthened CBOs and NGOs to serve their communities to improve self-reliance and resilience; drive social and economic change (through a rights-based approach).</w:t>
      </w:r>
    </w:p>
  </w:footnote>
  <w:footnote w:id="2">
    <w:p w:rsidR="00C211A7" w:rsidRPr="00AD2FD0" w:rsidRDefault="00C211A7" w:rsidP="00244CA3">
      <w:pPr>
        <w:pStyle w:val="FootnoteText"/>
        <w:ind w:firstLine="0"/>
        <w:rPr>
          <w:rFonts w:asciiTheme="majorHAnsi" w:eastAsiaTheme="minorEastAsia" w:hAnsiTheme="majorHAnsi" w:cs="Arial"/>
          <w:color w:val="auto"/>
          <w:sz w:val="18"/>
          <w:szCs w:val="18"/>
          <w:lang w:val="en-US"/>
        </w:rPr>
      </w:pPr>
      <w:r w:rsidRPr="00AD2FD0">
        <w:rPr>
          <w:rStyle w:val="FootnoteReference"/>
          <w:sz w:val="18"/>
          <w:szCs w:val="18"/>
        </w:rPr>
        <w:footnoteRef/>
      </w:r>
      <w:r w:rsidRPr="00AD2FD0">
        <w:rPr>
          <w:sz w:val="18"/>
          <w:szCs w:val="18"/>
        </w:rPr>
        <w:t xml:space="preserve"> This is </w:t>
      </w:r>
      <w:r w:rsidRPr="00AD2FD0">
        <w:rPr>
          <w:rFonts w:asciiTheme="majorHAnsi" w:eastAsiaTheme="minorEastAsia" w:hAnsiTheme="majorHAnsi" w:cs="Arial"/>
          <w:color w:val="auto"/>
          <w:sz w:val="18"/>
          <w:szCs w:val="18"/>
          <w:lang w:val="en-US"/>
        </w:rPr>
        <w:t>listed as Key Result 9 – ‘Strengthen the governance and management of CBOs including resource mobilisation’</w:t>
      </w:r>
    </w:p>
  </w:footnote>
  <w:footnote w:id="3">
    <w:p w:rsidR="00C211A7" w:rsidRDefault="00C211A7" w:rsidP="003A5F9D">
      <w:pPr>
        <w:pStyle w:val="FootnoteText"/>
        <w:ind w:left="0" w:firstLine="0"/>
      </w:pPr>
      <w:r>
        <w:rPr>
          <w:rStyle w:val="FootnoteReference"/>
        </w:rPr>
        <w:footnoteRef/>
      </w:r>
      <w:r>
        <w:t xml:space="preserve"> </w:t>
      </w:r>
      <w:r w:rsidRPr="0056248D">
        <w:rPr>
          <w:sz w:val="18"/>
          <w:szCs w:val="18"/>
          <w:lang w:val="en-US"/>
        </w:rPr>
        <w:t>Note that a copy of this document was not reviewed within this Review.</w:t>
      </w:r>
      <w:r>
        <w:rPr>
          <w:lang w:val="en-US"/>
        </w:rPr>
        <w:t xml:space="preserve"> </w:t>
      </w:r>
    </w:p>
  </w:footnote>
  <w:footnote w:id="4">
    <w:p w:rsidR="00C211A7" w:rsidRPr="00E94D9D" w:rsidRDefault="00C211A7">
      <w:pPr>
        <w:pStyle w:val="FootnoteText"/>
        <w:rPr>
          <w:sz w:val="18"/>
          <w:szCs w:val="18"/>
        </w:rPr>
      </w:pPr>
      <w:r>
        <w:rPr>
          <w:rStyle w:val="FootnoteReference"/>
        </w:rPr>
        <w:footnoteRef/>
      </w:r>
      <w:r>
        <w:t xml:space="preserve"> </w:t>
      </w:r>
      <w:r w:rsidRPr="00E94D9D">
        <w:rPr>
          <w:sz w:val="18"/>
          <w:szCs w:val="18"/>
          <w:lang w:val="en-US"/>
        </w:rPr>
        <w:t>World Vision</w:t>
      </w:r>
    </w:p>
  </w:footnote>
  <w:footnote w:id="5">
    <w:p w:rsidR="00C211A7" w:rsidRPr="00E94D9D" w:rsidRDefault="00C211A7">
      <w:pPr>
        <w:pStyle w:val="FootnoteText"/>
        <w:rPr>
          <w:sz w:val="18"/>
          <w:szCs w:val="18"/>
        </w:rPr>
      </w:pPr>
      <w:r>
        <w:rPr>
          <w:rStyle w:val="FootnoteReference"/>
        </w:rPr>
        <w:footnoteRef/>
      </w:r>
      <w:r>
        <w:t xml:space="preserve"> </w:t>
      </w:r>
      <w:r w:rsidRPr="00E94D9D">
        <w:rPr>
          <w:sz w:val="18"/>
          <w:szCs w:val="18"/>
          <w:lang w:val="en-US"/>
        </w:rPr>
        <w:t>APHEDA and ActionAid</w:t>
      </w:r>
    </w:p>
  </w:footnote>
  <w:footnote w:id="6">
    <w:p w:rsidR="00C211A7" w:rsidRDefault="00C211A7" w:rsidP="00D24D61">
      <w:pPr>
        <w:pStyle w:val="FootnoteText"/>
      </w:pPr>
      <w:r>
        <w:rPr>
          <w:rStyle w:val="FootnoteReference"/>
        </w:rPr>
        <w:footnoteRef/>
      </w:r>
      <w:r>
        <w:t xml:space="preserve"> </w:t>
      </w:r>
      <w:r w:rsidRPr="00E94D9D">
        <w:rPr>
          <w:sz w:val="18"/>
          <w:szCs w:val="18"/>
          <w:lang w:val="en-US"/>
        </w:rPr>
        <w:t xml:space="preserve">Refer to </w:t>
      </w:r>
      <w:hyperlink r:id="rId1" w:history="1">
        <w:r w:rsidRPr="00E94D9D">
          <w:rPr>
            <w:rStyle w:val="Hyperlink"/>
            <w:sz w:val="18"/>
            <w:szCs w:val="18"/>
            <w:lang w:val="en-US"/>
          </w:rPr>
          <w:t>http://aid.dfat.gov.au/ngos/Documents/ngo-head-agreement-template-august-2011.pdf</w:t>
        </w:r>
      </w:hyperlink>
      <w:r w:rsidRPr="00E94D9D">
        <w:rPr>
          <w:sz w:val="18"/>
          <w:szCs w:val="18"/>
          <w:lang w:val="en-US"/>
        </w:rPr>
        <w:t xml:space="preserve"> for the template agreement</w:t>
      </w:r>
    </w:p>
  </w:footnote>
  <w:footnote w:id="7">
    <w:p w:rsidR="00C211A7" w:rsidRPr="003A5F9D" w:rsidRDefault="00C211A7">
      <w:pPr>
        <w:pStyle w:val="FootnoteText"/>
        <w:rPr>
          <w:lang w:val="en-US"/>
        </w:rPr>
      </w:pPr>
      <w:r>
        <w:rPr>
          <w:rStyle w:val="FootnoteReference"/>
        </w:rPr>
        <w:footnoteRef/>
      </w:r>
      <w:r>
        <w:t xml:space="preserve"> </w:t>
      </w:r>
      <w:r w:rsidRPr="003B427F">
        <w:rPr>
          <w:color w:val="000000" w:themeColor="text1"/>
          <w:sz w:val="18"/>
          <w:szCs w:val="18"/>
          <w:lang w:val="en-US"/>
        </w:rPr>
        <w:t>Guidelines for Strengthening Counter-Terrorism Measures in the Australian Aid Program</w:t>
      </w:r>
    </w:p>
  </w:footnote>
  <w:footnote w:id="8">
    <w:p w:rsidR="00C211A7" w:rsidRPr="003A5F9D" w:rsidRDefault="00C211A7">
      <w:pPr>
        <w:pStyle w:val="FootnoteText"/>
        <w:rPr>
          <w:lang w:val="en-US"/>
        </w:rPr>
      </w:pPr>
      <w:r>
        <w:rPr>
          <w:rStyle w:val="FootnoteReference"/>
        </w:rPr>
        <w:footnoteRef/>
      </w:r>
      <w:r>
        <w:t xml:space="preserve"> </w:t>
      </w:r>
      <w:r w:rsidRPr="003A5F9D">
        <w:rPr>
          <w:sz w:val="18"/>
          <w:szCs w:val="18"/>
          <w:lang w:val="en-US"/>
        </w:rPr>
        <w:t>Australian NGO Cooperation Program</w:t>
      </w:r>
      <w:r>
        <w:rPr>
          <w:lang w:val="en-US"/>
        </w:rPr>
        <w:t xml:space="preserve"> </w:t>
      </w:r>
    </w:p>
  </w:footnote>
  <w:footnote w:id="9">
    <w:p w:rsidR="00C211A7" w:rsidRPr="0030544C" w:rsidRDefault="00C211A7" w:rsidP="0030544C">
      <w:pPr>
        <w:widowControl w:val="0"/>
        <w:spacing w:after="240"/>
        <w:rPr>
          <w:rFonts w:ascii="Times" w:eastAsiaTheme="minorEastAsia" w:hAnsi="Times" w:cs="Times"/>
          <w:color w:val="auto"/>
          <w:sz w:val="26"/>
          <w:szCs w:val="26"/>
          <w:lang w:val="en-US"/>
        </w:rPr>
      </w:pPr>
      <w:r>
        <w:rPr>
          <w:rStyle w:val="FootnoteReference"/>
        </w:rPr>
        <w:footnoteRef/>
      </w:r>
      <w:r>
        <w:t xml:space="preserve"> </w:t>
      </w:r>
      <w:r w:rsidRPr="0030544C">
        <w:rPr>
          <w:sz w:val="18"/>
          <w:szCs w:val="18"/>
        </w:rPr>
        <w:t>R</w:t>
      </w:r>
      <w:r w:rsidRPr="0030544C">
        <w:rPr>
          <w:rFonts w:asciiTheme="majorHAnsi" w:hAnsiTheme="majorHAnsi"/>
          <w:sz w:val="18"/>
          <w:szCs w:val="18"/>
        </w:rPr>
        <w:t xml:space="preserve">esearch on the </w:t>
      </w:r>
      <w:r w:rsidRPr="0030544C">
        <w:rPr>
          <w:sz w:val="18"/>
          <w:szCs w:val="18"/>
        </w:rPr>
        <w:t>details of these legislative frameworks was not within the scope of this review. Reference, however, was made to the ‘Study of the Impact of Donor Counter-Terrorism Measures on Principled Humanitarian Action</w:t>
      </w:r>
      <w:r>
        <w:rPr>
          <w:sz w:val="18"/>
          <w:szCs w:val="18"/>
        </w:rPr>
        <w:t>’</w:t>
      </w:r>
      <w:r w:rsidRPr="0030544C">
        <w:rPr>
          <w:sz w:val="18"/>
          <w:szCs w:val="18"/>
        </w:rPr>
        <w:t>, commissioned by OCHA and the Norwegian Refugee Council and published in July 2013</w:t>
      </w:r>
      <w:r>
        <w:rPr>
          <w:sz w:val="18"/>
          <w:szCs w:val="18"/>
        </w:rPr>
        <w:t xml:space="preserve">. This study provides </w:t>
      </w:r>
      <w:r w:rsidRPr="0030544C">
        <w:rPr>
          <w:sz w:val="18"/>
          <w:szCs w:val="18"/>
        </w:rPr>
        <w:t xml:space="preserve">an overview of donor counter-terrorism laws </w:t>
      </w:r>
      <w:r>
        <w:rPr>
          <w:sz w:val="18"/>
          <w:szCs w:val="18"/>
        </w:rPr>
        <w:t>which shows</w:t>
      </w:r>
      <w:r w:rsidRPr="0030544C">
        <w:rPr>
          <w:sz w:val="18"/>
          <w:szCs w:val="18"/>
        </w:rPr>
        <w:t xml:space="preserve"> that most </w:t>
      </w:r>
      <w:r>
        <w:rPr>
          <w:sz w:val="18"/>
          <w:szCs w:val="18"/>
        </w:rPr>
        <w:t>carry</w:t>
      </w:r>
      <w:r w:rsidRPr="0030544C">
        <w:rPr>
          <w:sz w:val="18"/>
          <w:szCs w:val="18"/>
        </w:rPr>
        <w:t xml:space="preserve"> a risk of criminal liability in the context of providing humanitarian aid but that the risk varies significantly between different jurisdictions</w:t>
      </w:r>
      <w:r w:rsidRPr="0030544C">
        <w:rPr>
          <w:rFonts w:ascii="Times" w:eastAsiaTheme="minorEastAsia" w:hAnsi="Times" w:cs="Times"/>
          <w:color w:val="auto"/>
          <w:sz w:val="18"/>
          <w:szCs w:val="18"/>
          <w:lang w:val="en-US"/>
        </w:rPr>
        <w:t>.</w:t>
      </w:r>
    </w:p>
  </w:footnote>
  <w:footnote w:id="10">
    <w:p w:rsidR="00C211A7" w:rsidRPr="007721A3" w:rsidRDefault="00C211A7">
      <w:pPr>
        <w:pStyle w:val="FootnoteText"/>
        <w:rPr>
          <w:sz w:val="18"/>
          <w:szCs w:val="18"/>
        </w:rPr>
      </w:pPr>
      <w:r>
        <w:rPr>
          <w:rStyle w:val="FootnoteReference"/>
        </w:rPr>
        <w:footnoteRef/>
      </w:r>
      <w:r>
        <w:t xml:space="preserve"> </w:t>
      </w:r>
      <w:r w:rsidRPr="007721A3">
        <w:rPr>
          <w:sz w:val="18"/>
          <w:szCs w:val="18"/>
        </w:rPr>
        <w:t>http://www.usaid.gov/west-bank-and-gaza/work-with-us/partner-resources</w:t>
      </w:r>
    </w:p>
  </w:footnote>
  <w:footnote w:id="11">
    <w:p w:rsidR="00C211A7" w:rsidRPr="00AE3AD1" w:rsidRDefault="00C211A7" w:rsidP="00FB4E8C">
      <w:pPr>
        <w:pStyle w:val="FootnoteText"/>
        <w:rPr>
          <w:lang w:val="en-AU"/>
        </w:rPr>
      </w:pPr>
      <w:r w:rsidRPr="00AE3AD1">
        <w:rPr>
          <w:sz w:val="18"/>
          <w:szCs w:val="18"/>
        </w:rPr>
        <w:footnoteRef/>
      </w:r>
      <w:r w:rsidRPr="00AE3AD1">
        <w:rPr>
          <w:sz w:val="18"/>
          <w:szCs w:val="18"/>
        </w:rPr>
        <w:t xml:space="preserve"> Australia and Canada’s NGO portfolio is very similar. Australia works with four Australian NGOs who in turn work with </w:t>
      </w:r>
      <w:r>
        <w:rPr>
          <w:sz w:val="18"/>
          <w:szCs w:val="18"/>
        </w:rPr>
        <w:t>six</w:t>
      </w:r>
      <w:r w:rsidRPr="00AE3AD1">
        <w:rPr>
          <w:sz w:val="18"/>
          <w:szCs w:val="18"/>
        </w:rPr>
        <w:t xml:space="preserve"> local partners. Canada works with five Canadian NGOs who partner in turn with around 10 to 15 local NGOs.</w:t>
      </w:r>
    </w:p>
  </w:footnote>
  <w:footnote w:id="12">
    <w:p w:rsidR="00C211A7" w:rsidRPr="00456554" w:rsidRDefault="00C211A7">
      <w:pPr>
        <w:pStyle w:val="FootnoteText"/>
        <w:rPr>
          <w:sz w:val="18"/>
          <w:szCs w:val="18"/>
          <w:lang w:val="en-US"/>
        </w:rPr>
      </w:pPr>
      <w:r>
        <w:rPr>
          <w:rStyle w:val="FootnoteReference"/>
        </w:rPr>
        <w:footnoteRef/>
      </w:r>
      <w:r>
        <w:t xml:space="preserve"> </w:t>
      </w:r>
      <w:r w:rsidRPr="00456554">
        <w:rPr>
          <w:sz w:val="18"/>
          <w:szCs w:val="18"/>
          <w:lang w:val="en-US"/>
        </w:rPr>
        <w:t>ActionAid West Bank is not a separate legal entity and is regarded as part of ActionAid Australia, and is thus covered by the DFAT Head Agreement. When ActionAid West Bank becomes an autonomous entity, ActionAid Australia will develop a formal contractual agreement with Actionaid West Bank, For the purpose of the review, ActionAid West Bank has still been regarded as a ‘second tier’ or ‘implementing’ partner but is excluded from requiring an agreement given its relationship to ActionAid Australia</w:t>
      </w:r>
      <w:r w:rsidRPr="0014559F">
        <w:rPr>
          <w:sz w:val="18"/>
          <w:szCs w:val="18"/>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D885692"/>
    <w:lvl w:ilvl="0" w:tplc="00000001">
      <w:start w:val="1"/>
      <w:numFmt w:val="bullet"/>
      <w:pStyle w:val="NoSpacing"/>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C7B98"/>
    <w:multiLevelType w:val="multilevel"/>
    <w:tmpl w:val="5BB6A71C"/>
    <w:lvl w:ilvl="0">
      <w:start w:val="1"/>
      <w:numFmt w:val="upperRoman"/>
      <w:lvlText w:val="%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6F1C3E"/>
    <w:multiLevelType w:val="multilevel"/>
    <w:tmpl w:val="A860E952"/>
    <w:lvl w:ilvl="0">
      <w:start w:val="1"/>
      <w:numFmt w:val="decimal"/>
      <w:pStyle w:val="ListNumber"/>
      <w:lvlText w:val="%1."/>
      <w:lvlJc w:val="left"/>
      <w:pPr>
        <w:tabs>
          <w:tab w:val="num" w:pos="454"/>
        </w:tabs>
        <w:ind w:left="454" w:hanging="454"/>
      </w:pPr>
      <w:rPr>
        <w:rFonts w:hint="default"/>
      </w:rPr>
    </w:lvl>
    <w:lvl w:ilvl="1">
      <w:start w:val="1"/>
      <w:numFmt w:val="lowerLetter"/>
      <w:pStyle w:val="Listletterlevel2"/>
      <w:lvlText w:val="%2)"/>
      <w:lvlJc w:val="left"/>
      <w:pPr>
        <w:tabs>
          <w:tab w:val="num" w:pos="737"/>
        </w:tabs>
        <w:ind w:left="737" w:hanging="453"/>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0290716C"/>
    <w:multiLevelType w:val="multilevel"/>
    <w:tmpl w:val="AE6C0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2A115E3"/>
    <w:multiLevelType w:val="hybridMultilevel"/>
    <w:tmpl w:val="D696D5D8"/>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
    <w:nsid w:val="033A7F2A"/>
    <w:multiLevelType w:val="hybridMultilevel"/>
    <w:tmpl w:val="9D368C66"/>
    <w:lvl w:ilvl="0" w:tplc="7CEAA0C2">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A55DC2"/>
    <w:multiLevelType w:val="hybridMultilevel"/>
    <w:tmpl w:val="B308B822"/>
    <w:lvl w:ilvl="0" w:tplc="DC0EBBA4">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936DC2"/>
    <w:multiLevelType w:val="hybridMultilevel"/>
    <w:tmpl w:val="0BB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845D7"/>
    <w:multiLevelType w:val="hybridMultilevel"/>
    <w:tmpl w:val="043A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92CF2"/>
    <w:multiLevelType w:val="multilevel"/>
    <w:tmpl w:val="A860E9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736C7D"/>
    <w:multiLevelType w:val="hybridMultilevel"/>
    <w:tmpl w:val="95E26C4A"/>
    <w:lvl w:ilvl="0" w:tplc="7CEAA0C2">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344B1F"/>
    <w:multiLevelType w:val="multilevel"/>
    <w:tmpl w:val="563822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B827D21"/>
    <w:multiLevelType w:val="hybridMultilevel"/>
    <w:tmpl w:val="4B4ABF46"/>
    <w:lvl w:ilvl="0" w:tplc="7CEAA0C2">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BC5F29"/>
    <w:multiLevelType w:val="hybridMultilevel"/>
    <w:tmpl w:val="662E8296"/>
    <w:lvl w:ilvl="0" w:tplc="D4A65A78">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E8454D3"/>
    <w:multiLevelType w:val="hybridMultilevel"/>
    <w:tmpl w:val="52DC5B08"/>
    <w:lvl w:ilvl="0" w:tplc="612EBDB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331E44"/>
    <w:multiLevelType w:val="hybridMultilevel"/>
    <w:tmpl w:val="B1AEF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DC5693"/>
    <w:multiLevelType w:val="hybridMultilevel"/>
    <w:tmpl w:val="06ECE66A"/>
    <w:lvl w:ilvl="0" w:tplc="7CEAA0C2">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DB7049"/>
    <w:multiLevelType w:val="hybridMultilevel"/>
    <w:tmpl w:val="5BB6A71C"/>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167B55"/>
    <w:multiLevelType w:val="hybridMultilevel"/>
    <w:tmpl w:val="99AE356C"/>
    <w:lvl w:ilvl="0" w:tplc="EDD49200">
      <w:start w:val="1"/>
      <w:numFmt w:val="bullet"/>
      <w:lvlText w:val="-"/>
      <w:lvlJc w:val="left"/>
      <w:pPr>
        <w:ind w:left="720" w:hanging="360"/>
      </w:pPr>
      <w:rPr>
        <w:rFonts w:ascii="Cambria" w:eastAsia="Times New Roman" w:hAnsi="Cambria" w:cs="FoundersGrotesk-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933A79"/>
    <w:multiLevelType w:val="hybridMultilevel"/>
    <w:tmpl w:val="CEAACFA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F32A0"/>
    <w:multiLevelType w:val="hybridMultilevel"/>
    <w:tmpl w:val="E3140CDE"/>
    <w:lvl w:ilvl="0" w:tplc="7CEAA0C2">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860507"/>
    <w:multiLevelType w:val="hybridMultilevel"/>
    <w:tmpl w:val="1FFEB98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2">
    <w:nsid w:val="33EF1EE5"/>
    <w:multiLevelType w:val="multilevel"/>
    <w:tmpl w:val="C696F55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5B34BC3"/>
    <w:multiLevelType w:val="hybridMultilevel"/>
    <w:tmpl w:val="D01E9C74"/>
    <w:lvl w:ilvl="0" w:tplc="04090013">
      <w:start w:val="1"/>
      <w:numFmt w:val="upperRoman"/>
      <w:lvlText w:val="%1."/>
      <w:lvlJc w:val="righ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5B477F6"/>
    <w:multiLevelType w:val="hybridMultilevel"/>
    <w:tmpl w:val="C59A4D00"/>
    <w:lvl w:ilvl="0" w:tplc="47F4B984">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C9262FC"/>
    <w:multiLevelType w:val="hybridMultilevel"/>
    <w:tmpl w:val="74B490FE"/>
    <w:lvl w:ilvl="0" w:tplc="7CEAA0C2">
      <w:start w:val="3"/>
      <w:numFmt w:val="bullet"/>
      <w:lvlText w:val="-"/>
      <w:lvlJc w:val="left"/>
      <w:pPr>
        <w:ind w:left="720" w:hanging="360"/>
      </w:pPr>
      <w:rPr>
        <w:rFonts w:ascii="Cambria" w:eastAsia="Calibri" w:hAnsi="Cambria" w:cs="Times New Roman" w:hint="default"/>
      </w:rPr>
    </w:lvl>
    <w:lvl w:ilvl="1" w:tplc="7CEAA0C2">
      <w:start w:val="3"/>
      <w:numFmt w:val="bullet"/>
      <w:lvlText w:val="-"/>
      <w:lvlJc w:val="left"/>
      <w:pPr>
        <w:ind w:left="1440" w:hanging="360"/>
      </w:pPr>
      <w:rPr>
        <w:rFonts w:ascii="Cambria" w:eastAsia="Calibri" w:hAnsi="Cambria"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DFF1CA0"/>
    <w:multiLevelType w:val="hybridMultilevel"/>
    <w:tmpl w:val="C696F55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EBF56AA"/>
    <w:multiLevelType w:val="hybridMultilevel"/>
    <w:tmpl w:val="E55A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012E83"/>
    <w:multiLevelType w:val="hybridMultilevel"/>
    <w:tmpl w:val="2B5A918C"/>
    <w:lvl w:ilvl="0" w:tplc="7CEAA0C2">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591F13"/>
    <w:multiLevelType w:val="hybridMultilevel"/>
    <w:tmpl w:val="C736F256"/>
    <w:lvl w:ilvl="0" w:tplc="EDD49200">
      <w:start w:val="1"/>
      <w:numFmt w:val="bullet"/>
      <w:lvlText w:val="-"/>
      <w:lvlJc w:val="left"/>
      <w:pPr>
        <w:ind w:left="720" w:hanging="360"/>
      </w:pPr>
      <w:rPr>
        <w:rFonts w:ascii="Cambria" w:eastAsia="Times New Roman" w:hAnsi="Cambria" w:cs="FoundersGrotesk-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B36A3D"/>
    <w:multiLevelType w:val="hybridMultilevel"/>
    <w:tmpl w:val="AF980150"/>
    <w:lvl w:ilvl="0" w:tplc="7CEAA0C2">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54828"/>
    <w:multiLevelType w:val="hybridMultilevel"/>
    <w:tmpl w:val="AE6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8D7CC3"/>
    <w:multiLevelType w:val="hybridMultilevel"/>
    <w:tmpl w:val="0D7A6BC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3">
    <w:nsid w:val="4C67493A"/>
    <w:multiLevelType w:val="hybridMultilevel"/>
    <w:tmpl w:val="EC284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4">
    <w:nsid w:val="4FC914B1"/>
    <w:multiLevelType w:val="hybridMultilevel"/>
    <w:tmpl w:val="D7E86F28"/>
    <w:lvl w:ilvl="0" w:tplc="DC0EBBA4">
      <w:start w:val="2"/>
      <w:numFmt w:val="decimal"/>
      <w:lvlText w:val="%1."/>
      <w:lvlJc w:val="left"/>
      <w:pPr>
        <w:ind w:left="720" w:hanging="360"/>
      </w:pPr>
      <w:rPr>
        <w:rFonts w:hint="default"/>
      </w:rPr>
    </w:lvl>
    <w:lvl w:ilvl="1" w:tplc="7CEAA0C2">
      <w:start w:val="3"/>
      <w:numFmt w:val="bullet"/>
      <w:lvlText w:val="-"/>
      <w:lvlJc w:val="left"/>
      <w:pPr>
        <w:ind w:left="1440" w:hanging="360"/>
      </w:pPr>
      <w:rPr>
        <w:rFonts w:ascii="Cambria" w:eastAsia="Calibri" w:hAnsi="Cambria"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0E8166E"/>
    <w:multiLevelType w:val="hybridMultilevel"/>
    <w:tmpl w:val="5FAA5C98"/>
    <w:lvl w:ilvl="0" w:tplc="FA02B6DC">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6">
    <w:nsid w:val="5CA024EA"/>
    <w:multiLevelType w:val="hybridMultilevel"/>
    <w:tmpl w:val="CA1622D2"/>
    <w:lvl w:ilvl="0" w:tplc="7CEAA0C2">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5DF95145"/>
    <w:multiLevelType w:val="hybridMultilevel"/>
    <w:tmpl w:val="07FCBA5E"/>
    <w:lvl w:ilvl="0" w:tplc="7CEAA0C2">
      <w:start w:val="3"/>
      <w:numFmt w:val="bullet"/>
      <w:lvlText w:val="-"/>
      <w:lvlJc w:val="left"/>
      <w:pPr>
        <w:ind w:left="720" w:hanging="360"/>
      </w:pPr>
      <w:rPr>
        <w:rFonts w:ascii="Cambria" w:eastAsia="Calibr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AE1BAB"/>
    <w:multiLevelType w:val="hybridMultilevel"/>
    <w:tmpl w:val="56A204CE"/>
    <w:lvl w:ilvl="0" w:tplc="0A048D78">
      <w:start w:val="1"/>
      <w:numFmt w:val="decimal"/>
      <w:pStyle w:val="Caption"/>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812504C"/>
    <w:multiLevelType w:val="multilevel"/>
    <w:tmpl w:val="A860E9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737"/>
        </w:tabs>
        <w:ind w:left="737" w:hanging="453"/>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nsid w:val="6D471479"/>
    <w:multiLevelType w:val="hybridMultilevel"/>
    <w:tmpl w:val="5AD2957C"/>
    <w:lvl w:ilvl="0" w:tplc="04090003">
      <w:start w:val="1"/>
      <w:numFmt w:val="bullet"/>
      <w:lvlText w:val="o"/>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EB2620F"/>
    <w:multiLevelType w:val="hybridMultilevel"/>
    <w:tmpl w:val="5EB6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AF5A84"/>
    <w:multiLevelType w:val="hybridMultilevel"/>
    <w:tmpl w:val="616E4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132500"/>
    <w:multiLevelType w:val="hybridMultilevel"/>
    <w:tmpl w:val="3FCC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3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
  </w:num>
  <w:num w:numId="8">
    <w:abstractNumId w:val="33"/>
  </w:num>
  <w:num w:numId="9">
    <w:abstractNumId w:val="28"/>
  </w:num>
  <w:num w:numId="10">
    <w:abstractNumId w:val="5"/>
  </w:num>
  <w:num w:numId="11">
    <w:abstractNumId w:val="0"/>
  </w:num>
  <w:num w:numId="12">
    <w:abstractNumId w:val="9"/>
    <w:lvlOverride w:ilvl="0">
      <w:startOverride w:val="2"/>
    </w:lvlOverride>
  </w:num>
  <w:num w:numId="13">
    <w:abstractNumId w:val="39"/>
  </w:num>
  <w:num w:numId="14">
    <w:abstractNumId w:val="23"/>
  </w:num>
  <w:num w:numId="15">
    <w:abstractNumId w:val="17"/>
  </w:num>
  <w:num w:numId="16">
    <w:abstractNumId w:val="11"/>
  </w:num>
  <w:num w:numId="17">
    <w:abstractNumId w:val="19"/>
  </w:num>
  <w:num w:numId="18">
    <w:abstractNumId w:val="40"/>
  </w:num>
  <w:num w:numId="19">
    <w:abstractNumId w:val="1"/>
  </w:num>
  <w:num w:numId="20">
    <w:abstractNumId w:val="0"/>
  </w:num>
  <w:num w:numId="21">
    <w:abstractNumId w:val="6"/>
  </w:num>
  <w:num w:numId="22">
    <w:abstractNumId w:val="15"/>
  </w:num>
  <w:num w:numId="23">
    <w:abstractNumId w:val="27"/>
  </w:num>
  <w:num w:numId="24">
    <w:abstractNumId w:val="13"/>
  </w:num>
  <w:num w:numId="25">
    <w:abstractNumId w:val="34"/>
  </w:num>
  <w:num w:numId="26">
    <w:abstractNumId w:val="10"/>
  </w:num>
  <w:num w:numId="27">
    <w:abstractNumId w:val="20"/>
  </w:num>
  <w:num w:numId="28">
    <w:abstractNumId w:val="16"/>
  </w:num>
  <w:num w:numId="29">
    <w:abstractNumId w:val="25"/>
  </w:num>
  <w:num w:numId="30">
    <w:abstractNumId w:val="42"/>
  </w:num>
  <w:num w:numId="31">
    <w:abstractNumId w:val="36"/>
  </w:num>
  <w:num w:numId="32">
    <w:abstractNumId w:val="38"/>
  </w:num>
  <w:num w:numId="33">
    <w:abstractNumId w:val="24"/>
  </w:num>
  <w:num w:numId="34">
    <w:abstractNumId w:val="32"/>
  </w:num>
  <w:num w:numId="35">
    <w:abstractNumId w:val="8"/>
  </w:num>
  <w:num w:numId="36">
    <w:abstractNumId w:val="0"/>
  </w:num>
  <w:num w:numId="37">
    <w:abstractNumId w:val="12"/>
  </w:num>
  <w:num w:numId="38">
    <w:abstractNumId w:val="41"/>
  </w:num>
  <w:num w:numId="39">
    <w:abstractNumId w:val="37"/>
  </w:num>
  <w:num w:numId="40">
    <w:abstractNumId w:val="18"/>
  </w:num>
  <w:num w:numId="41">
    <w:abstractNumId w:val="29"/>
  </w:num>
  <w:num w:numId="42">
    <w:abstractNumId w:val="0"/>
  </w:num>
  <w:num w:numId="43">
    <w:abstractNumId w:val="31"/>
  </w:num>
  <w:num w:numId="44">
    <w:abstractNumId w:val="3"/>
  </w:num>
  <w:num w:numId="45">
    <w:abstractNumId w:val="7"/>
  </w:num>
  <w:num w:numId="46">
    <w:abstractNumId w:val="43"/>
  </w:num>
  <w:num w:numId="47">
    <w:abstractNumId w:val="2"/>
  </w:num>
  <w:num w:numId="48">
    <w:abstractNumId w:val="21"/>
  </w:num>
  <w:num w:numId="49">
    <w:abstractNumId w:val="2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D8"/>
    <w:rsid w:val="00022DFD"/>
    <w:rsid w:val="00034B60"/>
    <w:rsid w:val="000B2070"/>
    <w:rsid w:val="000C5518"/>
    <w:rsid w:val="000E54D7"/>
    <w:rsid w:val="000E7E8C"/>
    <w:rsid w:val="000F6EA7"/>
    <w:rsid w:val="001219AA"/>
    <w:rsid w:val="00132DAA"/>
    <w:rsid w:val="00136361"/>
    <w:rsid w:val="0014559F"/>
    <w:rsid w:val="00150209"/>
    <w:rsid w:val="00154309"/>
    <w:rsid w:val="00163B20"/>
    <w:rsid w:val="00163F53"/>
    <w:rsid w:val="001966AF"/>
    <w:rsid w:val="001A7FA9"/>
    <w:rsid w:val="001B719D"/>
    <w:rsid w:val="001C60A0"/>
    <w:rsid w:val="001E41C6"/>
    <w:rsid w:val="00211897"/>
    <w:rsid w:val="0022230C"/>
    <w:rsid w:val="0024158B"/>
    <w:rsid w:val="00242A4B"/>
    <w:rsid w:val="00244CA3"/>
    <w:rsid w:val="002451B9"/>
    <w:rsid w:val="00266A62"/>
    <w:rsid w:val="00287BD2"/>
    <w:rsid w:val="002B6E3E"/>
    <w:rsid w:val="002E0FB8"/>
    <w:rsid w:val="002F4911"/>
    <w:rsid w:val="002F5982"/>
    <w:rsid w:val="002F6AAF"/>
    <w:rsid w:val="00300F6C"/>
    <w:rsid w:val="0030544C"/>
    <w:rsid w:val="00314042"/>
    <w:rsid w:val="00316D32"/>
    <w:rsid w:val="0032267F"/>
    <w:rsid w:val="00325449"/>
    <w:rsid w:val="00334A08"/>
    <w:rsid w:val="00352D65"/>
    <w:rsid w:val="00362235"/>
    <w:rsid w:val="00363D62"/>
    <w:rsid w:val="00364E61"/>
    <w:rsid w:val="00370D4D"/>
    <w:rsid w:val="003848F6"/>
    <w:rsid w:val="0039162B"/>
    <w:rsid w:val="0039451F"/>
    <w:rsid w:val="003A59DF"/>
    <w:rsid w:val="003A5F9D"/>
    <w:rsid w:val="003B427F"/>
    <w:rsid w:val="003F54E0"/>
    <w:rsid w:val="00405040"/>
    <w:rsid w:val="00414D40"/>
    <w:rsid w:val="00417B2F"/>
    <w:rsid w:val="00423EC9"/>
    <w:rsid w:val="0042717F"/>
    <w:rsid w:val="00446D58"/>
    <w:rsid w:val="00456554"/>
    <w:rsid w:val="00462EAE"/>
    <w:rsid w:val="00465342"/>
    <w:rsid w:val="00466411"/>
    <w:rsid w:val="00480DDE"/>
    <w:rsid w:val="0048171D"/>
    <w:rsid w:val="00486F14"/>
    <w:rsid w:val="004A182E"/>
    <w:rsid w:val="004B6CD1"/>
    <w:rsid w:val="004D57C9"/>
    <w:rsid w:val="004E0CCB"/>
    <w:rsid w:val="004E160B"/>
    <w:rsid w:val="004E76F5"/>
    <w:rsid w:val="004F3CE2"/>
    <w:rsid w:val="00515E98"/>
    <w:rsid w:val="005201BA"/>
    <w:rsid w:val="005356EE"/>
    <w:rsid w:val="0053705A"/>
    <w:rsid w:val="0056248D"/>
    <w:rsid w:val="00563735"/>
    <w:rsid w:val="00564830"/>
    <w:rsid w:val="00571451"/>
    <w:rsid w:val="00593338"/>
    <w:rsid w:val="005A728D"/>
    <w:rsid w:val="005B7E5D"/>
    <w:rsid w:val="005C7F3B"/>
    <w:rsid w:val="005D7E0A"/>
    <w:rsid w:val="005E3868"/>
    <w:rsid w:val="005E6356"/>
    <w:rsid w:val="006101DE"/>
    <w:rsid w:val="00627D38"/>
    <w:rsid w:val="00643464"/>
    <w:rsid w:val="0066236A"/>
    <w:rsid w:val="0066713F"/>
    <w:rsid w:val="00680CD0"/>
    <w:rsid w:val="00684436"/>
    <w:rsid w:val="00691F07"/>
    <w:rsid w:val="006B2664"/>
    <w:rsid w:val="006F3233"/>
    <w:rsid w:val="00716BC5"/>
    <w:rsid w:val="007310A6"/>
    <w:rsid w:val="007721A3"/>
    <w:rsid w:val="00782894"/>
    <w:rsid w:val="00783268"/>
    <w:rsid w:val="0078339A"/>
    <w:rsid w:val="007A0008"/>
    <w:rsid w:val="007A5147"/>
    <w:rsid w:val="007C24CE"/>
    <w:rsid w:val="007C4777"/>
    <w:rsid w:val="007E2C6D"/>
    <w:rsid w:val="007F01BD"/>
    <w:rsid w:val="007F7704"/>
    <w:rsid w:val="00816C31"/>
    <w:rsid w:val="00820E41"/>
    <w:rsid w:val="008341E0"/>
    <w:rsid w:val="00846FF1"/>
    <w:rsid w:val="008472DB"/>
    <w:rsid w:val="00851B80"/>
    <w:rsid w:val="0087084A"/>
    <w:rsid w:val="00876292"/>
    <w:rsid w:val="0088133C"/>
    <w:rsid w:val="0089048F"/>
    <w:rsid w:val="008A3A51"/>
    <w:rsid w:val="008A5D6F"/>
    <w:rsid w:val="008A780C"/>
    <w:rsid w:val="008B08FB"/>
    <w:rsid w:val="008B6546"/>
    <w:rsid w:val="008C1A04"/>
    <w:rsid w:val="008C216F"/>
    <w:rsid w:val="008C2AF6"/>
    <w:rsid w:val="008E2FA2"/>
    <w:rsid w:val="008F5F20"/>
    <w:rsid w:val="0090228C"/>
    <w:rsid w:val="0091364D"/>
    <w:rsid w:val="00914EE8"/>
    <w:rsid w:val="00923EC0"/>
    <w:rsid w:val="0098481D"/>
    <w:rsid w:val="0099318A"/>
    <w:rsid w:val="009D4323"/>
    <w:rsid w:val="009D6972"/>
    <w:rsid w:val="009E16EE"/>
    <w:rsid w:val="009F6BD2"/>
    <w:rsid w:val="00A0783E"/>
    <w:rsid w:val="00A424B6"/>
    <w:rsid w:val="00A4262F"/>
    <w:rsid w:val="00A67642"/>
    <w:rsid w:val="00A7480E"/>
    <w:rsid w:val="00AD2FD0"/>
    <w:rsid w:val="00AD4094"/>
    <w:rsid w:val="00AE3AD1"/>
    <w:rsid w:val="00AF7AA0"/>
    <w:rsid w:val="00B01607"/>
    <w:rsid w:val="00B07501"/>
    <w:rsid w:val="00B110D8"/>
    <w:rsid w:val="00B131AB"/>
    <w:rsid w:val="00B14A64"/>
    <w:rsid w:val="00B3155B"/>
    <w:rsid w:val="00B650B7"/>
    <w:rsid w:val="00B76810"/>
    <w:rsid w:val="00B82844"/>
    <w:rsid w:val="00B83ED8"/>
    <w:rsid w:val="00BC59F9"/>
    <w:rsid w:val="00BC7AFE"/>
    <w:rsid w:val="00BF6A09"/>
    <w:rsid w:val="00BF6F43"/>
    <w:rsid w:val="00C1763A"/>
    <w:rsid w:val="00C211A7"/>
    <w:rsid w:val="00C263CF"/>
    <w:rsid w:val="00C315F2"/>
    <w:rsid w:val="00C359E7"/>
    <w:rsid w:val="00C82E71"/>
    <w:rsid w:val="00C8391C"/>
    <w:rsid w:val="00C85473"/>
    <w:rsid w:val="00C93153"/>
    <w:rsid w:val="00C94725"/>
    <w:rsid w:val="00CE378B"/>
    <w:rsid w:val="00D24D61"/>
    <w:rsid w:val="00D42363"/>
    <w:rsid w:val="00D45EF4"/>
    <w:rsid w:val="00D82325"/>
    <w:rsid w:val="00DA4D1A"/>
    <w:rsid w:val="00DC05FA"/>
    <w:rsid w:val="00DE5188"/>
    <w:rsid w:val="00DF21BA"/>
    <w:rsid w:val="00DF3A84"/>
    <w:rsid w:val="00E54D4B"/>
    <w:rsid w:val="00E7727E"/>
    <w:rsid w:val="00E94D9D"/>
    <w:rsid w:val="00E97A36"/>
    <w:rsid w:val="00EF3FC0"/>
    <w:rsid w:val="00F079F4"/>
    <w:rsid w:val="00F12B0C"/>
    <w:rsid w:val="00F13F84"/>
    <w:rsid w:val="00F1503E"/>
    <w:rsid w:val="00F1529C"/>
    <w:rsid w:val="00F154B0"/>
    <w:rsid w:val="00F51351"/>
    <w:rsid w:val="00F522EB"/>
    <w:rsid w:val="00F90C72"/>
    <w:rsid w:val="00FA3BEC"/>
    <w:rsid w:val="00FB4E8C"/>
    <w:rsid w:val="00FB552C"/>
    <w:rsid w:val="00FE03D3"/>
    <w:rsid w:val="00FF1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D8"/>
    <w:pPr>
      <w:suppressAutoHyphens/>
      <w:autoSpaceDE w:val="0"/>
      <w:autoSpaceDN w:val="0"/>
      <w:adjustRightInd w:val="0"/>
      <w:spacing w:before="120" w:after="120" w:line="300" w:lineRule="auto"/>
      <w:ind w:left="360" w:hanging="360"/>
      <w:jc w:val="both"/>
      <w:textAlignment w:val="center"/>
    </w:pPr>
    <w:rPr>
      <w:rFonts w:ascii="Cambria" w:eastAsia="Times New Roman" w:hAnsi="Cambria" w:cs="FoundersGrotesk-Regular"/>
      <w:color w:val="000000"/>
      <w:sz w:val="22"/>
      <w:szCs w:val="21"/>
      <w:lang w:val="en-GB"/>
    </w:rPr>
  </w:style>
  <w:style w:type="paragraph" w:styleId="Heading1">
    <w:name w:val="heading 1"/>
    <w:basedOn w:val="Normal"/>
    <w:next w:val="Normal"/>
    <w:link w:val="Heading1Char"/>
    <w:uiPriority w:val="9"/>
    <w:qFormat/>
    <w:rsid w:val="008C2AF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next w:val="Normal"/>
    <w:link w:val="Heading2Char"/>
    <w:uiPriority w:val="9"/>
    <w:qFormat/>
    <w:rsid w:val="00A424B6"/>
    <w:pPr>
      <w:keepNext/>
      <w:spacing w:before="120" w:after="120" w:line="300" w:lineRule="auto"/>
      <w:outlineLvl w:val="1"/>
    </w:pPr>
    <w:rPr>
      <w:rFonts w:ascii="Calibri" w:eastAsia="MS Gothic" w:hAnsi="Calibri" w:cs="Times New Roman"/>
      <w:b/>
      <w:bCs/>
      <w:color w:val="DD6021"/>
      <w:szCs w:val="32"/>
      <w:lang w:val="en-GB"/>
    </w:rPr>
  </w:style>
  <w:style w:type="paragraph" w:styleId="Heading3">
    <w:name w:val="heading 3"/>
    <w:basedOn w:val="Normal"/>
    <w:next w:val="Normal"/>
    <w:link w:val="Heading3Char"/>
    <w:uiPriority w:val="9"/>
    <w:unhideWhenUsed/>
    <w:qFormat/>
    <w:rsid w:val="008C2AF6"/>
    <w:pPr>
      <w:keepNext/>
      <w:keepLines/>
      <w:suppressAutoHyphens w:val="0"/>
      <w:autoSpaceDE/>
      <w:autoSpaceDN/>
      <w:adjustRightInd/>
      <w:spacing w:before="200" w:after="0" w:line="276" w:lineRule="auto"/>
      <w:ind w:left="0" w:firstLine="0"/>
      <w:jc w:val="left"/>
      <w:textAlignment w:val="auto"/>
      <w:outlineLvl w:val="2"/>
    </w:pPr>
    <w:rPr>
      <w:rFonts w:asciiTheme="majorHAnsi" w:eastAsiaTheme="majorEastAsia" w:hAnsiTheme="majorHAnsi" w:cstheme="majorBidi"/>
      <w:b/>
      <w:bCs/>
      <w:color w:val="4F81BD" w:themeColor="accent1"/>
      <w:szCs w:val="22"/>
      <w:lang w:val="en-AU" w:eastAsia="en-AU"/>
    </w:rPr>
  </w:style>
  <w:style w:type="paragraph" w:styleId="Heading6">
    <w:name w:val="heading 6"/>
    <w:basedOn w:val="Normal"/>
    <w:next w:val="Normal"/>
    <w:link w:val="Heading6Char"/>
    <w:uiPriority w:val="9"/>
    <w:unhideWhenUsed/>
    <w:qFormat/>
    <w:rsid w:val="008C2AF6"/>
    <w:pPr>
      <w:keepNext/>
      <w:keepLines/>
      <w:suppressAutoHyphens w:val="0"/>
      <w:autoSpaceDE/>
      <w:autoSpaceDN/>
      <w:adjustRightInd/>
      <w:spacing w:before="200" w:after="0" w:line="276" w:lineRule="auto"/>
      <w:ind w:left="0" w:firstLine="0"/>
      <w:jc w:val="left"/>
      <w:textAlignment w:val="auto"/>
      <w:outlineLvl w:val="5"/>
    </w:pPr>
    <w:rPr>
      <w:rFonts w:asciiTheme="majorHAnsi" w:eastAsiaTheme="majorEastAsia" w:hAnsiTheme="majorHAnsi" w:cstheme="majorBidi"/>
      <w:i/>
      <w:iCs/>
      <w:color w:val="243F60" w:themeColor="accent1" w:themeShade="7F"/>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etterlevel2">
    <w:name w:val="List letter (level 2)"/>
    <w:basedOn w:val="ListNumber"/>
    <w:qFormat/>
    <w:rsid w:val="00B110D8"/>
    <w:pPr>
      <w:numPr>
        <w:ilvl w:val="1"/>
      </w:numPr>
    </w:pPr>
  </w:style>
  <w:style w:type="paragraph" w:styleId="ListNumber">
    <w:name w:val="List Number"/>
    <w:basedOn w:val="Normal"/>
    <w:uiPriority w:val="99"/>
    <w:unhideWhenUsed/>
    <w:qFormat/>
    <w:rsid w:val="00B110D8"/>
    <w:pPr>
      <w:numPr>
        <w:numId w:val="1"/>
      </w:numPr>
      <w:suppressAutoHyphens w:val="0"/>
      <w:autoSpaceDE/>
      <w:autoSpaceDN/>
      <w:adjustRightInd/>
      <w:spacing w:before="0" w:after="0" w:line="240" w:lineRule="auto"/>
      <w:jc w:val="left"/>
      <w:textAlignment w:val="auto"/>
    </w:pPr>
    <w:rPr>
      <w:rFonts w:eastAsia="Calibri" w:cs="Times New Roman"/>
      <w:color w:val="auto"/>
      <w:sz w:val="24"/>
      <w:szCs w:val="22"/>
      <w:lang w:val="en-AU"/>
    </w:rPr>
  </w:style>
  <w:style w:type="numbering" w:customStyle="1" w:styleId="Numbers">
    <w:name w:val="Numbers"/>
    <w:uiPriority w:val="99"/>
    <w:rsid w:val="00B110D8"/>
  </w:style>
  <w:style w:type="character" w:customStyle="1" w:styleId="Heading2Char">
    <w:name w:val="Heading 2 Char"/>
    <w:basedOn w:val="DefaultParagraphFont"/>
    <w:link w:val="Heading2"/>
    <w:uiPriority w:val="9"/>
    <w:rsid w:val="00A424B6"/>
    <w:rPr>
      <w:rFonts w:ascii="Calibri" w:eastAsia="MS Gothic" w:hAnsi="Calibri" w:cs="Times New Roman"/>
      <w:b/>
      <w:bCs/>
      <w:color w:val="DD6021"/>
      <w:szCs w:val="32"/>
      <w:lang w:val="en-GB"/>
    </w:rPr>
  </w:style>
  <w:style w:type="paragraph" w:styleId="ListParagraph">
    <w:name w:val="List Paragraph"/>
    <w:basedOn w:val="Normal"/>
    <w:uiPriority w:val="34"/>
    <w:qFormat/>
    <w:rsid w:val="00034B60"/>
    <w:pPr>
      <w:tabs>
        <w:tab w:val="num" w:pos="454"/>
      </w:tabs>
      <w:suppressAutoHyphens w:val="0"/>
      <w:autoSpaceDE/>
      <w:autoSpaceDN/>
      <w:adjustRightInd/>
      <w:spacing w:before="0" w:after="200" w:line="276" w:lineRule="auto"/>
      <w:ind w:left="454" w:hanging="454"/>
      <w:contextualSpacing/>
      <w:textAlignment w:val="auto"/>
    </w:pPr>
    <w:rPr>
      <w:rFonts w:ascii="Calibri" w:eastAsia="Calibri" w:hAnsi="Calibri" w:cs="Times New Roman"/>
      <w:color w:val="auto"/>
      <w:szCs w:val="22"/>
      <w:lang w:val="en-AU"/>
    </w:rPr>
  </w:style>
  <w:style w:type="paragraph" w:styleId="Footer">
    <w:name w:val="footer"/>
    <w:basedOn w:val="Normal"/>
    <w:link w:val="FooterChar"/>
    <w:uiPriority w:val="99"/>
    <w:unhideWhenUsed/>
    <w:rsid w:val="00C94725"/>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C94725"/>
    <w:rPr>
      <w:rFonts w:ascii="Cambria" w:eastAsia="Times New Roman" w:hAnsi="Cambria" w:cs="FoundersGrotesk-Regular"/>
      <w:color w:val="000000"/>
      <w:sz w:val="22"/>
      <w:szCs w:val="21"/>
      <w:lang w:val="en-GB"/>
    </w:rPr>
  </w:style>
  <w:style w:type="character" w:styleId="PageNumber">
    <w:name w:val="page number"/>
    <w:basedOn w:val="DefaultParagraphFont"/>
    <w:uiPriority w:val="99"/>
    <w:semiHidden/>
    <w:unhideWhenUsed/>
    <w:rsid w:val="00C94725"/>
  </w:style>
  <w:style w:type="paragraph" w:styleId="Header">
    <w:name w:val="header"/>
    <w:basedOn w:val="Normal"/>
    <w:link w:val="HeaderChar"/>
    <w:uiPriority w:val="99"/>
    <w:unhideWhenUsed/>
    <w:rsid w:val="007F770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F7704"/>
    <w:rPr>
      <w:rFonts w:ascii="Cambria" w:eastAsia="Times New Roman" w:hAnsi="Cambria" w:cs="FoundersGrotesk-Regular"/>
      <w:color w:val="000000"/>
      <w:sz w:val="22"/>
      <w:szCs w:val="21"/>
      <w:lang w:val="en-GB"/>
    </w:rPr>
  </w:style>
  <w:style w:type="character" w:styleId="CommentReference">
    <w:name w:val="annotation reference"/>
    <w:basedOn w:val="DefaultParagraphFont"/>
    <w:uiPriority w:val="99"/>
    <w:semiHidden/>
    <w:unhideWhenUsed/>
    <w:rsid w:val="003F54E0"/>
    <w:rPr>
      <w:sz w:val="18"/>
      <w:szCs w:val="18"/>
    </w:rPr>
  </w:style>
  <w:style w:type="paragraph" w:styleId="CommentText">
    <w:name w:val="annotation text"/>
    <w:basedOn w:val="Normal"/>
    <w:link w:val="CommentTextChar"/>
    <w:uiPriority w:val="99"/>
    <w:unhideWhenUsed/>
    <w:rsid w:val="003F54E0"/>
    <w:pPr>
      <w:spacing w:line="240" w:lineRule="auto"/>
    </w:pPr>
    <w:rPr>
      <w:sz w:val="24"/>
      <w:szCs w:val="24"/>
    </w:rPr>
  </w:style>
  <w:style w:type="character" w:customStyle="1" w:styleId="CommentTextChar">
    <w:name w:val="Comment Text Char"/>
    <w:basedOn w:val="DefaultParagraphFont"/>
    <w:link w:val="CommentText"/>
    <w:uiPriority w:val="99"/>
    <w:rsid w:val="003F54E0"/>
    <w:rPr>
      <w:rFonts w:ascii="Cambria" w:eastAsia="Times New Roman" w:hAnsi="Cambria" w:cs="FoundersGrotesk-Regular"/>
      <w:color w:val="000000"/>
      <w:lang w:val="en-GB"/>
    </w:rPr>
  </w:style>
  <w:style w:type="paragraph" w:styleId="CommentSubject">
    <w:name w:val="annotation subject"/>
    <w:basedOn w:val="CommentText"/>
    <w:next w:val="CommentText"/>
    <w:link w:val="CommentSubjectChar"/>
    <w:uiPriority w:val="99"/>
    <w:semiHidden/>
    <w:unhideWhenUsed/>
    <w:rsid w:val="003F54E0"/>
    <w:rPr>
      <w:b/>
      <w:bCs/>
      <w:sz w:val="20"/>
      <w:szCs w:val="20"/>
    </w:rPr>
  </w:style>
  <w:style w:type="character" w:customStyle="1" w:styleId="CommentSubjectChar">
    <w:name w:val="Comment Subject Char"/>
    <w:basedOn w:val="CommentTextChar"/>
    <w:link w:val="CommentSubject"/>
    <w:uiPriority w:val="99"/>
    <w:semiHidden/>
    <w:rsid w:val="003F54E0"/>
    <w:rPr>
      <w:rFonts w:ascii="Cambria" w:eastAsia="Times New Roman" w:hAnsi="Cambria" w:cs="FoundersGrotesk-Regular"/>
      <w:b/>
      <w:bCs/>
      <w:color w:val="000000"/>
      <w:sz w:val="20"/>
      <w:szCs w:val="20"/>
      <w:lang w:val="en-GB"/>
    </w:rPr>
  </w:style>
  <w:style w:type="paragraph" w:styleId="BalloonText">
    <w:name w:val="Balloon Text"/>
    <w:basedOn w:val="Normal"/>
    <w:link w:val="BalloonTextChar"/>
    <w:uiPriority w:val="99"/>
    <w:semiHidden/>
    <w:unhideWhenUsed/>
    <w:rsid w:val="003F54E0"/>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54E0"/>
    <w:rPr>
      <w:rFonts w:ascii="Lucida Grande" w:eastAsia="Times New Roman" w:hAnsi="Lucida Grande" w:cs="Lucida Grande"/>
      <w:color w:val="000000"/>
      <w:sz w:val="18"/>
      <w:szCs w:val="18"/>
      <w:lang w:val="en-GB"/>
    </w:rPr>
  </w:style>
  <w:style w:type="paragraph" w:styleId="FootnoteText">
    <w:name w:val="footnote text"/>
    <w:basedOn w:val="Normal"/>
    <w:link w:val="FootnoteTextChar"/>
    <w:uiPriority w:val="99"/>
    <w:unhideWhenUsed/>
    <w:rsid w:val="003F54E0"/>
    <w:pPr>
      <w:spacing w:before="0" w:after="0" w:line="240" w:lineRule="auto"/>
    </w:pPr>
    <w:rPr>
      <w:sz w:val="24"/>
      <w:szCs w:val="24"/>
    </w:rPr>
  </w:style>
  <w:style w:type="character" w:customStyle="1" w:styleId="FootnoteTextChar">
    <w:name w:val="Footnote Text Char"/>
    <w:basedOn w:val="DefaultParagraphFont"/>
    <w:link w:val="FootnoteText"/>
    <w:uiPriority w:val="99"/>
    <w:rsid w:val="003F54E0"/>
    <w:rPr>
      <w:rFonts w:ascii="Cambria" w:eastAsia="Times New Roman" w:hAnsi="Cambria" w:cs="FoundersGrotesk-Regular"/>
      <w:color w:val="000000"/>
      <w:lang w:val="en-GB"/>
    </w:rPr>
  </w:style>
  <w:style w:type="character" w:styleId="FootnoteReference">
    <w:name w:val="footnote reference"/>
    <w:basedOn w:val="DefaultParagraphFont"/>
    <w:uiPriority w:val="99"/>
    <w:unhideWhenUsed/>
    <w:rsid w:val="003F54E0"/>
    <w:rPr>
      <w:vertAlign w:val="superscript"/>
    </w:rPr>
  </w:style>
  <w:style w:type="table" w:styleId="TableGrid">
    <w:name w:val="Table Grid"/>
    <w:basedOn w:val="TableNormal"/>
    <w:uiPriority w:val="59"/>
    <w:rsid w:val="0059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0B7"/>
    <w:rPr>
      <w:color w:val="0000FF" w:themeColor="hyperlink"/>
      <w:u w:val="single"/>
    </w:rPr>
  </w:style>
  <w:style w:type="character" w:customStyle="1" w:styleId="Heading1Char">
    <w:name w:val="Heading 1 Char"/>
    <w:basedOn w:val="DefaultParagraphFont"/>
    <w:link w:val="Heading1"/>
    <w:uiPriority w:val="9"/>
    <w:rsid w:val="008C2AF6"/>
    <w:rPr>
      <w:rFonts w:asciiTheme="majorHAnsi" w:eastAsiaTheme="majorEastAsia" w:hAnsiTheme="majorHAnsi" w:cstheme="majorBidi"/>
      <w:b/>
      <w:bCs/>
      <w:color w:val="345A8A" w:themeColor="accent1" w:themeShade="B5"/>
      <w:sz w:val="32"/>
      <w:szCs w:val="32"/>
      <w:lang w:val="en-GB"/>
    </w:rPr>
  </w:style>
  <w:style w:type="character" w:customStyle="1" w:styleId="Heading3Char">
    <w:name w:val="Heading 3 Char"/>
    <w:basedOn w:val="DefaultParagraphFont"/>
    <w:link w:val="Heading3"/>
    <w:uiPriority w:val="9"/>
    <w:rsid w:val="008C2AF6"/>
    <w:rPr>
      <w:rFonts w:asciiTheme="majorHAnsi" w:eastAsiaTheme="majorEastAsia" w:hAnsiTheme="majorHAnsi" w:cstheme="majorBidi"/>
      <w:b/>
      <w:bCs/>
      <w:color w:val="4F81BD" w:themeColor="accent1"/>
      <w:sz w:val="22"/>
      <w:szCs w:val="22"/>
      <w:lang w:val="en-AU" w:eastAsia="en-AU"/>
    </w:rPr>
  </w:style>
  <w:style w:type="character" w:customStyle="1" w:styleId="Heading6Char">
    <w:name w:val="Heading 6 Char"/>
    <w:basedOn w:val="DefaultParagraphFont"/>
    <w:link w:val="Heading6"/>
    <w:uiPriority w:val="9"/>
    <w:rsid w:val="008C2AF6"/>
    <w:rPr>
      <w:rFonts w:asciiTheme="majorHAnsi" w:eastAsiaTheme="majorEastAsia" w:hAnsiTheme="majorHAnsi" w:cstheme="majorBidi"/>
      <w:i/>
      <w:iCs/>
      <w:color w:val="243F60" w:themeColor="accent1" w:themeShade="7F"/>
      <w:sz w:val="22"/>
      <w:szCs w:val="22"/>
      <w:lang w:val="en-AU" w:eastAsia="en-AU"/>
    </w:rPr>
  </w:style>
  <w:style w:type="character" w:styleId="Strong">
    <w:name w:val="Strong"/>
    <w:basedOn w:val="DefaultParagraphFont"/>
    <w:uiPriority w:val="22"/>
    <w:qFormat/>
    <w:rsid w:val="008C2AF6"/>
    <w:rPr>
      <w:b/>
      <w:bCs/>
    </w:rPr>
  </w:style>
  <w:style w:type="paragraph" w:styleId="Title">
    <w:name w:val="Title"/>
    <w:basedOn w:val="Normal"/>
    <w:next w:val="Normal"/>
    <w:link w:val="TitleChar"/>
    <w:uiPriority w:val="10"/>
    <w:qFormat/>
    <w:rsid w:val="007A0008"/>
    <w:pPr>
      <w:pBdr>
        <w:bottom w:val="single" w:sz="8" w:space="4" w:color="4F81BD" w:themeColor="accent1"/>
      </w:pBdr>
      <w:suppressAutoHyphens w:val="0"/>
      <w:autoSpaceDE/>
      <w:autoSpaceDN/>
      <w:adjustRightInd/>
      <w:spacing w:before="0" w:after="300" w:line="240" w:lineRule="auto"/>
      <w:ind w:left="0" w:firstLine="0"/>
      <w:contextualSpacing/>
      <w:jc w:val="left"/>
      <w:textAlignment w:val="auto"/>
    </w:pPr>
    <w:rPr>
      <w:rFonts w:asciiTheme="majorHAnsi" w:eastAsiaTheme="majorEastAsia" w:hAnsiTheme="majorHAnsi" w:cstheme="majorBidi"/>
      <w:color w:val="17365D" w:themeColor="text2" w:themeShade="BF"/>
      <w:spacing w:val="5"/>
      <w:kern w:val="28"/>
      <w:sz w:val="52"/>
      <w:szCs w:val="52"/>
      <w:lang w:val="en-AU" w:eastAsia="en-AU"/>
    </w:rPr>
  </w:style>
  <w:style w:type="character" w:customStyle="1" w:styleId="TitleChar">
    <w:name w:val="Title Char"/>
    <w:basedOn w:val="DefaultParagraphFont"/>
    <w:link w:val="Title"/>
    <w:uiPriority w:val="10"/>
    <w:rsid w:val="007A0008"/>
    <w:rPr>
      <w:rFonts w:asciiTheme="majorHAnsi" w:eastAsiaTheme="majorEastAsia" w:hAnsiTheme="majorHAnsi" w:cstheme="majorBidi"/>
      <w:color w:val="17365D" w:themeColor="text2" w:themeShade="BF"/>
      <w:spacing w:val="5"/>
      <w:kern w:val="28"/>
      <w:sz w:val="52"/>
      <w:szCs w:val="52"/>
      <w:lang w:val="en-AU" w:eastAsia="en-AU"/>
    </w:rPr>
  </w:style>
  <w:style w:type="paragraph" w:styleId="NoSpacing">
    <w:name w:val="No Spacing"/>
    <w:uiPriority w:val="1"/>
    <w:qFormat/>
    <w:rsid w:val="00F522EB"/>
    <w:pPr>
      <w:numPr>
        <w:numId w:val="11"/>
      </w:numPr>
      <w:suppressAutoHyphens/>
      <w:autoSpaceDE w:val="0"/>
      <w:autoSpaceDN w:val="0"/>
      <w:adjustRightInd w:val="0"/>
      <w:jc w:val="both"/>
      <w:textAlignment w:val="center"/>
    </w:pPr>
    <w:rPr>
      <w:rFonts w:ascii="Cambria" w:eastAsia="Times New Roman" w:hAnsi="Cambria" w:cs="FoundersGrotesk-Regular"/>
      <w:color w:val="000000"/>
      <w:sz w:val="22"/>
      <w:szCs w:val="21"/>
      <w:lang w:val="en-GB"/>
    </w:rPr>
  </w:style>
  <w:style w:type="paragraph" w:styleId="Caption">
    <w:name w:val="caption"/>
    <w:next w:val="Normal"/>
    <w:uiPriority w:val="35"/>
    <w:unhideWhenUsed/>
    <w:qFormat/>
    <w:rsid w:val="005E6356"/>
    <w:pPr>
      <w:keepNext/>
      <w:numPr>
        <w:numId w:val="32"/>
      </w:numPr>
      <w:tabs>
        <w:tab w:val="left" w:pos="1134"/>
      </w:tabs>
      <w:spacing w:before="240"/>
      <w:ind w:left="0" w:firstLine="0"/>
    </w:pPr>
    <w:rPr>
      <w:rFonts w:ascii="Arial" w:eastAsia="Times New Roman" w:hAnsi="Arial" w:cs="FoundersGrotesk-Regular"/>
      <w:b/>
      <w:bCs/>
      <w:color w:val="000000" w:themeColor="text1"/>
      <w:sz w:val="22"/>
      <w:szCs w:val="18"/>
      <w:lang w:val="en-GB"/>
    </w:rPr>
  </w:style>
  <w:style w:type="paragraph" w:styleId="Revision">
    <w:name w:val="Revision"/>
    <w:hidden/>
    <w:uiPriority w:val="99"/>
    <w:semiHidden/>
    <w:rsid w:val="008C216F"/>
    <w:rPr>
      <w:rFonts w:ascii="Cambria" w:eastAsia="Times New Roman" w:hAnsi="Cambria" w:cs="FoundersGrotesk-Regular"/>
      <w:color w:val="000000"/>
      <w:sz w:val="22"/>
      <w:szCs w:val="21"/>
      <w:lang w:val="en-GB"/>
    </w:rPr>
  </w:style>
  <w:style w:type="paragraph" w:styleId="PlainText">
    <w:name w:val="Plain Text"/>
    <w:basedOn w:val="Normal"/>
    <w:link w:val="PlainTextChar"/>
    <w:uiPriority w:val="99"/>
    <w:unhideWhenUsed/>
    <w:rsid w:val="00423EC9"/>
    <w:pPr>
      <w:suppressAutoHyphens w:val="0"/>
      <w:autoSpaceDE/>
      <w:autoSpaceDN/>
      <w:adjustRightInd/>
      <w:spacing w:before="0" w:after="0" w:line="240" w:lineRule="auto"/>
      <w:ind w:left="0" w:firstLine="0"/>
      <w:jc w:val="left"/>
      <w:textAlignment w:val="auto"/>
    </w:pPr>
    <w:rPr>
      <w:rFonts w:ascii="Calibri" w:eastAsiaTheme="minorHAnsi" w:hAnsi="Calibri" w:cstheme="minorBidi"/>
      <w:color w:val="auto"/>
      <w:lang w:val="en-AU"/>
    </w:rPr>
  </w:style>
  <w:style w:type="character" w:customStyle="1" w:styleId="PlainTextChar">
    <w:name w:val="Plain Text Char"/>
    <w:basedOn w:val="DefaultParagraphFont"/>
    <w:link w:val="PlainText"/>
    <w:uiPriority w:val="99"/>
    <w:rsid w:val="00423EC9"/>
    <w:rPr>
      <w:rFonts w:ascii="Calibri" w:eastAsiaTheme="minorHAnsi" w:hAnsi="Calibri"/>
      <w:sz w:val="22"/>
      <w:szCs w:val="21"/>
      <w:lang w:val="en-AU"/>
    </w:rPr>
  </w:style>
  <w:style w:type="paragraph" w:customStyle="1" w:styleId="Default">
    <w:name w:val="Default"/>
    <w:rsid w:val="0090228C"/>
    <w:pPr>
      <w:autoSpaceDE w:val="0"/>
      <w:autoSpaceDN w:val="0"/>
      <w:adjustRightInd w:val="0"/>
    </w:pPr>
    <w:rPr>
      <w:rFonts w:ascii="Myriad Pro" w:hAnsi="Myriad Pro" w:cs="Myriad Pro"/>
      <w:color w:val="00000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D8"/>
    <w:pPr>
      <w:suppressAutoHyphens/>
      <w:autoSpaceDE w:val="0"/>
      <w:autoSpaceDN w:val="0"/>
      <w:adjustRightInd w:val="0"/>
      <w:spacing w:before="120" w:after="120" w:line="300" w:lineRule="auto"/>
      <w:ind w:left="360" w:hanging="360"/>
      <w:jc w:val="both"/>
      <w:textAlignment w:val="center"/>
    </w:pPr>
    <w:rPr>
      <w:rFonts w:ascii="Cambria" w:eastAsia="Times New Roman" w:hAnsi="Cambria" w:cs="FoundersGrotesk-Regular"/>
      <w:color w:val="000000"/>
      <w:sz w:val="22"/>
      <w:szCs w:val="21"/>
      <w:lang w:val="en-GB"/>
    </w:rPr>
  </w:style>
  <w:style w:type="paragraph" w:styleId="Heading1">
    <w:name w:val="heading 1"/>
    <w:basedOn w:val="Normal"/>
    <w:next w:val="Normal"/>
    <w:link w:val="Heading1Char"/>
    <w:uiPriority w:val="9"/>
    <w:qFormat/>
    <w:rsid w:val="008C2AF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next w:val="Normal"/>
    <w:link w:val="Heading2Char"/>
    <w:uiPriority w:val="9"/>
    <w:qFormat/>
    <w:rsid w:val="00A424B6"/>
    <w:pPr>
      <w:keepNext/>
      <w:spacing w:before="120" w:after="120" w:line="300" w:lineRule="auto"/>
      <w:outlineLvl w:val="1"/>
    </w:pPr>
    <w:rPr>
      <w:rFonts w:ascii="Calibri" w:eastAsia="MS Gothic" w:hAnsi="Calibri" w:cs="Times New Roman"/>
      <w:b/>
      <w:bCs/>
      <w:color w:val="DD6021"/>
      <w:szCs w:val="32"/>
      <w:lang w:val="en-GB"/>
    </w:rPr>
  </w:style>
  <w:style w:type="paragraph" w:styleId="Heading3">
    <w:name w:val="heading 3"/>
    <w:basedOn w:val="Normal"/>
    <w:next w:val="Normal"/>
    <w:link w:val="Heading3Char"/>
    <w:uiPriority w:val="9"/>
    <w:unhideWhenUsed/>
    <w:qFormat/>
    <w:rsid w:val="008C2AF6"/>
    <w:pPr>
      <w:keepNext/>
      <w:keepLines/>
      <w:suppressAutoHyphens w:val="0"/>
      <w:autoSpaceDE/>
      <w:autoSpaceDN/>
      <w:adjustRightInd/>
      <w:spacing w:before="200" w:after="0" w:line="276" w:lineRule="auto"/>
      <w:ind w:left="0" w:firstLine="0"/>
      <w:jc w:val="left"/>
      <w:textAlignment w:val="auto"/>
      <w:outlineLvl w:val="2"/>
    </w:pPr>
    <w:rPr>
      <w:rFonts w:asciiTheme="majorHAnsi" w:eastAsiaTheme="majorEastAsia" w:hAnsiTheme="majorHAnsi" w:cstheme="majorBidi"/>
      <w:b/>
      <w:bCs/>
      <w:color w:val="4F81BD" w:themeColor="accent1"/>
      <w:szCs w:val="22"/>
      <w:lang w:val="en-AU" w:eastAsia="en-AU"/>
    </w:rPr>
  </w:style>
  <w:style w:type="paragraph" w:styleId="Heading6">
    <w:name w:val="heading 6"/>
    <w:basedOn w:val="Normal"/>
    <w:next w:val="Normal"/>
    <w:link w:val="Heading6Char"/>
    <w:uiPriority w:val="9"/>
    <w:unhideWhenUsed/>
    <w:qFormat/>
    <w:rsid w:val="008C2AF6"/>
    <w:pPr>
      <w:keepNext/>
      <w:keepLines/>
      <w:suppressAutoHyphens w:val="0"/>
      <w:autoSpaceDE/>
      <w:autoSpaceDN/>
      <w:adjustRightInd/>
      <w:spacing w:before="200" w:after="0" w:line="276" w:lineRule="auto"/>
      <w:ind w:left="0" w:firstLine="0"/>
      <w:jc w:val="left"/>
      <w:textAlignment w:val="auto"/>
      <w:outlineLvl w:val="5"/>
    </w:pPr>
    <w:rPr>
      <w:rFonts w:asciiTheme="majorHAnsi" w:eastAsiaTheme="majorEastAsia" w:hAnsiTheme="majorHAnsi" w:cstheme="majorBidi"/>
      <w:i/>
      <w:iCs/>
      <w:color w:val="243F60" w:themeColor="accent1" w:themeShade="7F"/>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etterlevel2">
    <w:name w:val="List letter (level 2)"/>
    <w:basedOn w:val="ListNumber"/>
    <w:qFormat/>
    <w:rsid w:val="00B110D8"/>
    <w:pPr>
      <w:numPr>
        <w:ilvl w:val="1"/>
      </w:numPr>
    </w:pPr>
  </w:style>
  <w:style w:type="paragraph" w:styleId="ListNumber">
    <w:name w:val="List Number"/>
    <w:basedOn w:val="Normal"/>
    <w:uiPriority w:val="99"/>
    <w:unhideWhenUsed/>
    <w:qFormat/>
    <w:rsid w:val="00B110D8"/>
    <w:pPr>
      <w:numPr>
        <w:numId w:val="1"/>
      </w:numPr>
      <w:suppressAutoHyphens w:val="0"/>
      <w:autoSpaceDE/>
      <w:autoSpaceDN/>
      <w:adjustRightInd/>
      <w:spacing w:before="0" w:after="0" w:line="240" w:lineRule="auto"/>
      <w:jc w:val="left"/>
      <w:textAlignment w:val="auto"/>
    </w:pPr>
    <w:rPr>
      <w:rFonts w:eastAsia="Calibri" w:cs="Times New Roman"/>
      <w:color w:val="auto"/>
      <w:sz w:val="24"/>
      <w:szCs w:val="22"/>
      <w:lang w:val="en-AU"/>
    </w:rPr>
  </w:style>
  <w:style w:type="numbering" w:customStyle="1" w:styleId="Numbers">
    <w:name w:val="Numbers"/>
    <w:uiPriority w:val="99"/>
    <w:rsid w:val="00B110D8"/>
  </w:style>
  <w:style w:type="character" w:customStyle="1" w:styleId="Heading2Char">
    <w:name w:val="Heading 2 Char"/>
    <w:basedOn w:val="DefaultParagraphFont"/>
    <w:link w:val="Heading2"/>
    <w:uiPriority w:val="9"/>
    <w:rsid w:val="00A424B6"/>
    <w:rPr>
      <w:rFonts w:ascii="Calibri" w:eastAsia="MS Gothic" w:hAnsi="Calibri" w:cs="Times New Roman"/>
      <w:b/>
      <w:bCs/>
      <w:color w:val="DD6021"/>
      <w:szCs w:val="32"/>
      <w:lang w:val="en-GB"/>
    </w:rPr>
  </w:style>
  <w:style w:type="paragraph" w:styleId="ListParagraph">
    <w:name w:val="List Paragraph"/>
    <w:basedOn w:val="Normal"/>
    <w:uiPriority w:val="34"/>
    <w:qFormat/>
    <w:rsid w:val="00034B60"/>
    <w:pPr>
      <w:tabs>
        <w:tab w:val="num" w:pos="454"/>
      </w:tabs>
      <w:suppressAutoHyphens w:val="0"/>
      <w:autoSpaceDE/>
      <w:autoSpaceDN/>
      <w:adjustRightInd/>
      <w:spacing w:before="0" w:after="200" w:line="276" w:lineRule="auto"/>
      <w:ind w:left="454" w:hanging="454"/>
      <w:contextualSpacing/>
      <w:textAlignment w:val="auto"/>
    </w:pPr>
    <w:rPr>
      <w:rFonts w:ascii="Calibri" w:eastAsia="Calibri" w:hAnsi="Calibri" w:cs="Times New Roman"/>
      <w:color w:val="auto"/>
      <w:szCs w:val="22"/>
      <w:lang w:val="en-AU"/>
    </w:rPr>
  </w:style>
  <w:style w:type="paragraph" w:styleId="Footer">
    <w:name w:val="footer"/>
    <w:basedOn w:val="Normal"/>
    <w:link w:val="FooterChar"/>
    <w:uiPriority w:val="99"/>
    <w:unhideWhenUsed/>
    <w:rsid w:val="00C94725"/>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C94725"/>
    <w:rPr>
      <w:rFonts w:ascii="Cambria" w:eastAsia="Times New Roman" w:hAnsi="Cambria" w:cs="FoundersGrotesk-Regular"/>
      <w:color w:val="000000"/>
      <w:sz w:val="22"/>
      <w:szCs w:val="21"/>
      <w:lang w:val="en-GB"/>
    </w:rPr>
  </w:style>
  <w:style w:type="character" w:styleId="PageNumber">
    <w:name w:val="page number"/>
    <w:basedOn w:val="DefaultParagraphFont"/>
    <w:uiPriority w:val="99"/>
    <w:semiHidden/>
    <w:unhideWhenUsed/>
    <w:rsid w:val="00C94725"/>
  </w:style>
  <w:style w:type="paragraph" w:styleId="Header">
    <w:name w:val="header"/>
    <w:basedOn w:val="Normal"/>
    <w:link w:val="HeaderChar"/>
    <w:uiPriority w:val="99"/>
    <w:unhideWhenUsed/>
    <w:rsid w:val="007F770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F7704"/>
    <w:rPr>
      <w:rFonts w:ascii="Cambria" w:eastAsia="Times New Roman" w:hAnsi="Cambria" w:cs="FoundersGrotesk-Regular"/>
      <w:color w:val="000000"/>
      <w:sz w:val="22"/>
      <w:szCs w:val="21"/>
      <w:lang w:val="en-GB"/>
    </w:rPr>
  </w:style>
  <w:style w:type="character" w:styleId="CommentReference">
    <w:name w:val="annotation reference"/>
    <w:basedOn w:val="DefaultParagraphFont"/>
    <w:uiPriority w:val="99"/>
    <w:semiHidden/>
    <w:unhideWhenUsed/>
    <w:rsid w:val="003F54E0"/>
    <w:rPr>
      <w:sz w:val="18"/>
      <w:szCs w:val="18"/>
    </w:rPr>
  </w:style>
  <w:style w:type="paragraph" w:styleId="CommentText">
    <w:name w:val="annotation text"/>
    <w:basedOn w:val="Normal"/>
    <w:link w:val="CommentTextChar"/>
    <w:uiPriority w:val="99"/>
    <w:unhideWhenUsed/>
    <w:rsid w:val="003F54E0"/>
    <w:pPr>
      <w:spacing w:line="240" w:lineRule="auto"/>
    </w:pPr>
    <w:rPr>
      <w:sz w:val="24"/>
      <w:szCs w:val="24"/>
    </w:rPr>
  </w:style>
  <w:style w:type="character" w:customStyle="1" w:styleId="CommentTextChar">
    <w:name w:val="Comment Text Char"/>
    <w:basedOn w:val="DefaultParagraphFont"/>
    <w:link w:val="CommentText"/>
    <w:uiPriority w:val="99"/>
    <w:rsid w:val="003F54E0"/>
    <w:rPr>
      <w:rFonts w:ascii="Cambria" w:eastAsia="Times New Roman" w:hAnsi="Cambria" w:cs="FoundersGrotesk-Regular"/>
      <w:color w:val="000000"/>
      <w:lang w:val="en-GB"/>
    </w:rPr>
  </w:style>
  <w:style w:type="paragraph" w:styleId="CommentSubject">
    <w:name w:val="annotation subject"/>
    <w:basedOn w:val="CommentText"/>
    <w:next w:val="CommentText"/>
    <w:link w:val="CommentSubjectChar"/>
    <w:uiPriority w:val="99"/>
    <w:semiHidden/>
    <w:unhideWhenUsed/>
    <w:rsid w:val="003F54E0"/>
    <w:rPr>
      <w:b/>
      <w:bCs/>
      <w:sz w:val="20"/>
      <w:szCs w:val="20"/>
    </w:rPr>
  </w:style>
  <w:style w:type="character" w:customStyle="1" w:styleId="CommentSubjectChar">
    <w:name w:val="Comment Subject Char"/>
    <w:basedOn w:val="CommentTextChar"/>
    <w:link w:val="CommentSubject"/>
    <w:uiPriority w:val="99"/>
    <w:semiHidden/>
    <w:rsid w:val="003F54E0"/>
    <w:rPr>
      <w:rFonts w:ascii="Cambria" w:eastAsia="Times New Roman" w:hAnsi="Cambria" w:cs="FoundersGrotesk-Regular"/>
      <w:b/>
      <w:bCs/>
      <w:color w:val="000000"/>
      <w:sz w:val="20"/>
      <w:szCs w:val="20"/>
      <w:lang w:val="en-GB"/>
    </w:rPr>
  </w:style>
  <w:style w:type="paragraph" w:styleId="BalloonText">
    <w:name w:val="Balloon Text"/>
    <w:basedOn w:val="Normal"/>
    <w:link w:val="BalloonTextChar"/>
    <w:uiPriority w:val="99"/>
    <w:semiHidden/>
    <w:unhideWhenUsed/>
    <w:rsid w:val="003F54E0"/>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54E0"/>
    <w:rPr>
      <w:rFonts w:ascii="Lucida Grande" w:eastAsia="Times New Roman" w:hAnsi="Lucida Grande" w:cs="Lucida Grande"/>
      <w:color w:val="000000"/>
      <w:sz w:val="18"/>
      <w:szCs w:val="18"/>
      <w:lang w:val="en-GB"/>
    </w:rPr>
  </w:style>
  <w:style w:type="paragraph" w:styleId="FootnoteText">
    <w:name w:val="footnote text"/>
    <w:basedOn w:val="Normal"/>
    <w:link w:val="FootnoteTextChar"/>
    <w:uiPriority w:val="99"/>
    <w:unhideWhenUsed/>
    <w:rsid w:val="003F54E0"/>
    <w:pPr>
      <w:spacing w:before="0" w:after="0" w:line="240" w:lineRule="auto"/>
    </w:pPr>
    <w:rPr>
      <w:sz w:val="24"/>
      <w:szCs w:val="24"/>
    </w:rPr>
  </w:style>
  <w:style w:type="character" w:customStyle="1" w:styleId="FootnoteTextChar">
    <w:name w:val="Footnote Text Char"/>
    <w:basedOn w:val="DefaultParagraphFont"/>
    <w:link w:val="FootnoteText"/>
    <w:uiPriority w:val="99"/>
    <w:rsid w:val="003F54E0"/>
    <w:rPr>
      <w:rFonts w:ascii="Cambria" w:eastAsia="Times New Roman" w:hAnsi="Cambria" w:cs="FoundersGrotesk-Regular"/>
      <w:color w:val="000000"/>
      <w:lang w:val="en-GB"/>
    </w:rPr>
  </w:style>
  <w:style w:type="character" w:styleId="FootnoteReference">
    <w:name w:val="footnote reference"/>
    <w:basedOn w:val="DefaultParagraphFont"/>
    <w:uiPriority w:val="99"/>
    <w:unhideWhenUsed/>
    <w:rsid w:val="003F54E0"/>
    <w:rPr>
      <w:vertAlign w:val="superscript"/>
    </w:rPr>
  </w:style>
  <w:style w:type="table" w:styleId="TableGrid">
    <w:name w:val="Table Grid"/>
    <w:basedOn w:val="TableNormal"/>
    <w:uiPriority w:val="59"/>
    <w:rsid w:val="0059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0B7"/>
    <w:rPr>
      <w:color w:val="0000FF" w:themeColor="hyperlink"/>
      <w:u w:val="single"/>
    </w:rPr>
  </w:style>
  <w:style w:type="character" w:customStyle="1" w:styleId="Heading1Char">
    <w:name w:val="Heading 1 Char"/>
    <w:basedOn w:val="DefaultParagraphFont"/>
    <w:link w:val="Heading1"/>
    <w:uiPriority w:val="9"/>
    <w:rsid w:val="008C2AF6"/>
    <w:rPr>
      <w:rFonts w:asciiTheme="majorHAnsi" w:eastAsiaTheme="majorEastAsia" w:hAnsiTheme="majorHAnsi" w:cstheme="majorBidi"/>
      <w:b/>
      <w:bCs/>
      <w:color w:val="345A8A" w:themeColor="accent1" w:themeShade="B5"/>
      <w:sz w:val="32"/>
      <w:szCs w:val="32"/>
      <w:lang w:val="en-GB"/>
    </w:rPr>
  </w:style>
  <w:style w:type="character" w:customStyle="1" w:styleId="Heading3Char">
    <w:name w:val="Heading 3 Char"/>
    <w:basedOn w:val="DefaultParagraphFont"/>
    <w:link w:val="Heading3"/>
    <w:uiPriority w:val="9"/>
    <w:rsid w:val="008C2AF6"/>
    <w:rPr>
      <w:rFonts w:asciiTheme="majorHAnsi" w:eastAsiaTheme="majorEastAsia" w:hAnsiTheme="majorHAnsi" w:cstheme="majorBidi"/>
      <w:b/>
      <w:bCs/>
      <w:color w:val="4F81BD" w:themeColor="accent1"/>
      <w:sz w:val="22"/>
      <w:szCs w:val="22"/>
      <w:lang w:val="en-AU" w:eastAsia="en-AU"/>
    </w:rPr>
  </w:style>
  <w:style w:type="character" w:customStyle="1" w:styleId="Heading6Char">
    <w:name w:val="Heading 6 Char"/>
    <w:basedOn w:val="DefaultParagraphFont"/>
    <w:link w:val="Heading6"/>
    <w:uiPriority w:val="9"/>
    <w:rsid w:val="008C2AF6"/>
    <w:rPr>
      <w:rFonts w:asciiTheme="majorHAnsi" w:eastAsiaTheme="majorEastAsia" w:hAnsiTheme="majorHAnsi" w:cstheme="majorBidi"/>
      <w:i/>
      <w:iCs/>
      <w:color w:val="243F60" w:themeColor="accent1" w:themeShade="7F"/>
      <w:sz w:val="22"/>
      <w:szCs w:val="22"/>
      <w:lang w:val="en-AU" w:eastAsia="en-AU"/>
    </w:rPr>
  </w:style>
  <w:style w:type="character" w:styleId="Strong">
    <w:name w:val="Strong"/>
    <w:basedOn w:val="DefaultParagraphFont"/>
    <w:uiPriority w:val="22"/>
    <w:qFormat/>
    <w:rsid w:val="008C2AF6"/>
    <w:rPr>
      <w:b/>
      <w:bCs/>
    </w:rPr>
  </w:style>
  <w:style w:type="paragraph" w:styleId="Title">
    <w:name w:val="Title"/>
    <w:basedOn w:val="Normal"/>
    <w:next w:val="Normal"/>
    <w:link w:val="TitleChar"/>
    <w:uiPriority w:val="10"/>
    <w:qFormat/>
    <w:rsid w:val="007A0008"/>
    <w:pPr>
      <w:pBdr>
        <w:bottom w:val="single" w:sz="8" w:space="4" w:color="4F81BD" w:themeColor="accent1"/>
      </w:pBdr>
      <w:suppressAutoHyphens w:val="0"/>
      <w:autoSpaceDE/>
      <w:autoSpaceDN/>
      <w:adjustRightInd/>
      <w:spacing w:before="0" w:after="300" w:line="240" w:lineRule="auto"/>
      <w:ind w:left="0" w:firstLine="0"/>
      <w:contextualSpacing/>
      <w:jc w:val="left"/>
      <w:textAlignment w:val="auto"/>
    </w:pPr>
    <w:rPr>
      <w:rFonts w:asciiTheme="majorHAnsi" w:eastAsiaTheme="majorEastAsia" w:hAnsiTheme="majorHAnsi" w:cstheme="majorBidi"/>
      <w:color w:val="17365D" w:themeColor="text2" w:themeShade="BF"/>
      <w:spacing w:val="5"/>
      <w:kern w:val="28"/>
      <w:sz w:val="52"/>
      <w:szCs w:val="52"/>
      <w:lang w:val="en-AU" w:eastAsia="en-AU"/>
    </w:rPr>
  </w:style>
  <w:style w:type="character" w:customStyle="1" w:styleId="TitleChar">
    <w:name w:val="Title Char"/>
    <w:basedOn w:val="DefaultParagraphFont"/>
    <w:link w:val="Title"/>
    <w:uiPriority w:val="10"/>
    <w:rsid w:val="007A0008"/>
    <w:rPr>
      <w:rFonts w:asciiTheme="majorHAnsi" w:eastAsiaTheme="majorEastAsia" w:hAnsiTheme="majorHAnsi" w:cstheme="majorBidi"/>
      <w:color w:val="17365D" w:themeColor="text2" w:themeShade="BF"/>
      <w:spacing w:val="5"/>
      <w:kern w:val="28"/>
      <w:sz w:val="52"/>
      <w:szCs w:val="52"/>
      <w:lang w:val="en-AU" w:eastAsia="en-AU"/>
    </w:rPr>
  </w:style>
  <w:style w:type="paragraph" w:styleId="NoSpacing">
    <w:name w:val="No Spacing"/>
    <w:uiPriority w:val="1"/>
    <w:qFormat/>
    <w:rsid w:val="00F522EB"/>
    <w:pPr>
      <w:numPr>
        <w:numId w:val="11"/>
      </w:numPr>
      <w:suppressAutoHyphens/>
      <w:autoSpaceDE w:val="0"/>
      <w:autoSpaceDN w:val="0"/>
      <w:adjustRightInd w:val="0"/>
      <w:jc w:val="both"/>
      <w:textAlignment w:val="center"/>
    </w:pPr>
    <w:rPr>
      <w:rFonts w:ascii="Cambria" w:eastAsia="Times New Roman" w:hAnsi="Cambria" w:cs="FoundersGrotesk-Regular"/>
      <w:color w:val="000000"/>
      <w:sz w:val="22"/>
      <w:szCs w:val="21"/>
      <w:lang w:val="en-GB"/>
    </w:rPr>
  </w:style>
  <w:style w:type="paragraph" w:styleId="Caption">
    <w:name w:val="caption"/>
    <w:next w:val="Normal"/>
    <w:uiPriority w:val="35"/>
    <w:unhideWhenUsed/>
    <w:qFormat/>
    <w:rsid w:val="005E6356"/>
    <w:pPr>
      <w:keepNext/>
      <w:numPr>
        <w:numId w:val="32"/>
      </w:numPr>
      <w:tabs>
        <w:tab w:val="left" w:pos="1134"/>
      </w:tabs>
      <w:spacing w:before="240"/>
      <w:ind w:left="0" w:firstLine="0"/>
    </w:pPr>
    <w:rPr>
      <w:rFonts w:ascii="Arial" w:eastAsia="Times New Roman" w:hAnsi="Arial" w:cs="FoundersGrotesk-Regular"/>
      <w:b/>
      <w:bCs/>
      <w:color w:val="000000" w:themeColor="text1"/>
      <w:sz w:val="22"/>
      <w:szCs w:val="18"/>
      <w:lang w:val="en-GB"/>
    </w:rPr>
  </w:style>
  <w:style w:type="paragraph" w:styleId="Revision">
    <w:name w:val="Revision"/>
    <w:hidden/>
    <w:uiPriority w:val="99"/>
    <w:semiHidden/>
    <w:rsid w:val="008C216F"/>
    <w:rPr>
      <w:rFonts w:ascii="Cambria" w:eastAsia="Times New Roman" w:hAnsi="Cambria" w:cs="FoundersGrotesk-Regular"/>
      <w:color w:val="000000"/>
      <w:sz w:val="22"/>
      <w:szCs w:val="21"/>
      <w:lang w:val="en-GB"/>
    </w:rPr>
  </w:style>
  <w:style w:type="paragraph" w:styleId="PlainText">
    <w:name w:val="Plain Text"/>
    <w:basedOn w:val="Normal"/>
    <w:link w:val="PlainTextChar"/>
    <w:uiPriority w:val="99"/>
    <w:unhideWhenUsed/>
    <w:rsid w:val="00423EC9"/>
    <w:pPr>
      <w:suppressAutoHyphens w:val="0"/>
      <w:autoSpaceDE/>
      <w:autoSpaceDN/>
      <w:adjustRightInd/>
      <w:spacing w:before="0" w:after="0" w:line="240" w:lineRule="auto"/>
      <w:ind w:left="0" w:firstLine="0"/>
      <w:jc w:val="left"/>
      <w:textAlignment w:val="auto"/>
    </w:pPr>
    <w:rPr>
      <w:rFonts w:ascii="Calibri" w:eastAsiaTheme="minorHAnsi" w:hAnsi="Calibri" w:cstheme="minorBidi"/>
      <w:color w:val="auto"/>
      <w:lang w:val="en-AU"/>
    </w:rPr>
  </w:style>
  <w:style w:type="character" w:customStyle="1" w:styleId="PlainTextChar">
    <w:name w:val="Plain Text Char"/>
    <w:basedOn w:val="DefaultParagraphFont"/>
    <w:link w:val="PlainText"/>
    <w:uiPriority w:val="99"/>
    <w:rsid w:val="00423EC9"/>
    <w:rPr>
      <w:rFonts w:ascii="Calibri" w:eastAsiaTheme="minorHAnsi" w:hAnsi="Calibri"/>
      <w:sz w:val="22"/>
      <w:szCs w:val="21"/>
      <w:lang w:val="en-AU"/>
    </w:rPr>
  </w:style>
  <w:style w:type="paragraph" w:customStyle="1" w:styleId="Default">
    <w:name w:val="Default"/>
    <w:rsid w:val="0090228C"/>
    <w:pPr>
      <w:autoSpaceDE w:val="0"/>
      <w:autoSpaceDN w:val="0"/>
      <w:adjustRightInd w:val="0"/>
    </w:pPr>
    <w:rPr>
      <w:rFonts w:ascii="Myriad Pro" w:hAnsi="Myriad Pro" w:cs="Myriad Pro"/>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2670">
      <w:bodyDiv w:val="1"/>
      <w:marLeft w:val="0"/>
      <w:marRight w:val="0"/>
      <w:marTop w:val="0"/>
      <w:marBottom w:val="0"/>
      <w:divBdr>
        <w:top w:val="none" w:sz="0" w:space="0" w:color="auto"/>
        <w:left w:val="none" w:sz="0" w:space="0" w:color="auto"/>
        <w:bottom w:val="none" w:sz="0" w:space="0" w:color="auto"/>
        <w:right w:val="none" w:sz="0" w:space="0" w:color="auto"/>
      </w:divBdr>
    </w:div>
    <w:div w:id="886452965">
      <w:bodyDiv w:val="1"/>
      <w:marLeft w:val="0"/>
      <w:marRight w:val="0"/>
      <w:marTop w:val="0"/>
      <w:marBottom w:val="0"/>
      <w:divBdr>
        <w:top w:val="none" w:sz="0" w:space="0" w:color="auto"/>
        <w:left w:val="none" w:sz="0" w:space="0" w:color="auto"/>
        <w:bottom w:val="none" w:sz="0" w:space="0" w:color="auto"/>
        <w:right w:val="none" w:sz="0" w:space="0" w:color="auto"/>
      </w:divBdr>
    </w:div>
    <w:div w:id="1167359188">
      <w:bodyDiv w:val="1"/>
      <w:marLeft w:val="0"/>
      <w:marRight w:val="0"/>
      <w:marTop w:val="0"/>
      <w:marBottom w:val="0"/>
      <w:divBdr>
        <w:top w:val="none" w:sz="0" w:space="0" w:color="auto"/>
        <w:left w:val="none" w:sz="0" w:space="0" w:color="auto"/>
        <w:bottom w:val="none" w:sz="0" w:space="0" w:color="auto"/>
        <w:right w:val="none" w:sz="0" w:space="0" w:color="auto"/>
      </w:divBdr>
    </w:div>
    <w:div w:id="1185243522">
      <w:bodyDiv w:val="1"/>
      <w:marLeft w:val="0"/>
      <w:marRight w:val="0"/>
      <w:marTop w:val="0"/>
      <w:marBottom w:val="0"/>
      <w:divBdr>
        <w:top w:val="none" w:sz="0" w:space="0" w:color="auto"/>
        <w:left w:val="none" w:sz="0" w:space="0" w:color="auto"/>
        <w:bottom w:val="none" w:sz="0" w:space="0" w:color="auto"/>
        <w:right w:val="none" w:sz="0" w:space="0" w:color="auto"/>
      </w:divBdr>
    </w:div>
    <w:div w:id="1320692696">
      <w:bodyDiv w:val="1"/>
      <w:marLeft w:val="0"/>
      <w:marRight w:val="0"/>
      <w:marTop w:val="0"/>
      <w:marBottom w:val="0"/>
      <w:divBdr>
        <w:top w:val="none" w:sz="0" w:space="0" w:color="auto"/>
        <w:left w:val="none" w:sz="0" w:space="0" w:color="auto"/>
        <w:bottom w:val="none" w:sz="0" w:space="0" w:color="auto"/>
        <w:right w:val="none" w:sz="0" w:space="0" w:color="auto"/>
      </w:divBdr>
    </w:div>
    <w:div w:id="1571378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aid.dfat.gov.au/ngos/Documents/ngo-head-agreement-template-august-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0992A-0C8A-4C9B-B837-95A91359750E}"/>
</file>

<file path=customXml/itemProps2.xml><?xml version="1.0" encoding="utf-8"?>
<ds:datastoreItem xmlns:ds="http://schemas.openxmlformats.org/officeDocument/2006/customXml" ds:itemID="{A0E2ED4C-4764-4368-A5FB-607B8D28BD11}"/>
</file>

<file path=customXml/itemProps3.xml><?xml version="1.0" encoding="utf-8"?>
<ds:datastoreItem xmlns:ds="http://schemas.openxmlformats.org/officeDocument/2006/customXml" ds:itemID="{6CCB1B17-2A7A-4FC7-94C2-CA0448082CB9}"/>
</file>

<file path=customXml/itemProps4.xml><?xml version="1.0" encoding="utf-8"?>
<ds:datastoreItem xmlns:ds="http://schemas.openxmlformats.org/officeDocument/2006/customXml" ds:itemID="{C012C5BA-FDEB-46E2-A4B3-4084E6B34115}"/>
</file>

<file path=docProps/app.xml><?xml version="1.0" encoding="utf-8"?>
<Properties xmlns="http://schemas.openxmlformats.org/officeDocument/2006/extended-properties" xmlns:vt="http://schemas.openxmlformats.org/officeDocument/2006/docPropsVTypes">
  <Template>687BEC13</Template>
  <TotalTime>0</TotalTime>
  <Pages>25</Pages>
  <Words>7405</Words>
  <Characters>42653</Characters>
  <Application>Microsoft Office Word</Application>
  <DocSecurity>4</DocSecurity>
  <Lines>945</Lines>
  <Paragraphs>320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Lucas</dc:creator>
  <cp:lastModifiedBy>Ffrench, Tom</cp:lastModifiedBy>
  <cp:revision>2</cp:revision>
  <cp:lastPrinted>2014-06-30T07:59:00Z</cp:lastPrinted>
  <dcterms:created xsi:type="dcterms:W3CDTF">2015-03-03T04:43:00Z</dcterms:created>
  <dcterms:modified xsi:type="dcterms:W3CDTF">2015-03-03T04:43:00Z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940000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