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charts/chart3.xml" ContentType="application/vnd.openxmlformats-officedocument.drawingml.chart+xml"/>
  <Override PartName="/word/charts/colors2.xml" ContentType="application/vnd.ms-office.chartcolorstyle+xml"/>
  <Override PartName="/word/charts/style2.xml" ContentType="application/vnd.ms-office.chartstyle+xml"/>
  <Override PartName="/word/charts/colors1.xml" ContentType="application/vnd.ms-office.chartcolorstyle+xml"/>
  <Override PartName="/word/charts/style1.xml" ContentType="application/vnd.ms-office.chartstyle+xml"/>
  <Override PartName="/word/charts/chart1.xml" ContentType="application/vnd.openxmlformats-officedocument.drawingml.chart+xml"/>
  <Override PartName="/word/charts/chart2.xml" ContentType="application/vnd.openxmlformats-officedocument.drawingml.chart+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29FBE2" w14:textId="77777777" w:rsidR="0059146A" w:rsidRDefault="0059146A" w:rsidP="005B5769">
      <w:pPr>
        <w:pStyle w:val="ListBullet"/>
        <w:tabs>
          <w:tab w:val="clear" w:pos="284"/>
        </w:tabs>
      </w:pPr>
      <w:bookmarkStart w:id="0" w:name="_GoBack"/>
      <w:bookmarkEnd w:id="0"/>
    </w:p>
    <w:p w14:paraId="33B0D376" w14:textId="77777777" w:rsidR="0059146A" w:rsidRDefault="0059146A" w:rsidP="005B5769">
      <w:pPr>
        <w:pStyle w:val="ListBullet"/>
        <w:tabs>
          <w:tab w:val="clear" w:pos="284"/>
        </w:tabs>
      </w:pPr>
    </w:p>
    <w:p w14:paraId="21AD1ED9" w14:textId="77777777" w:rsidR="0059146A" w:rsidRPr="0059146A" w:rsidRDefault="0059146A" w:rsidP="005B5769">
      <w:pPr>
        <w:pStyle w:val="ListBullet"/>
        <w:tabs>
          <w:tab w:val="clear" w:pos="284"/>
        </w:tabs>
      </w:pPr>
    </w:p>
    <w:p w14:paraId="09854187" w14:textId="77777777" w:rsidR="00A56F14" w:rsidRPr="0059146A" w:rsidRDefault="00A56F14" w:rsidP="0059146A">
      <w:pPr>
        <w:pStyle w:val="ListBullet"/>
        <w:tabs>
          <w:tab w:val="clear" w:pos="284"/>
        </w:tabs>
      </w:pPr>
    </w:p>
    <w:p w14:paraId="582F9196" w14:textId="77777777" w:rsidR="00A56F14" w:rsidRDefault="00A56F14" w:rsidP="00A56F14">
      <w:pPr>
        <w:spacing w:after="200" w:line="276" w:lineRule="auto"/>
        <w:rPr>
          <w:b/>
        </w:rPr>
      </w:pPr>
    </w:p>
    <w:p w14:paraId="33F11484" w14:textId="77777777" w:rsidR="00A56F14" w:rsidRDefault="00A56F14" w:rsidP="00A56F14">
      <w:pPr>
        <w:spacing w:after="200" w:line="276" w:lineRule="auto"/>
        <w:rPr>
          <w:b/>
        </w:rPr>
      </w:pPr>
    </w:p>
    <w:p w14:paraId="42ACCA72" w14:textId="77777777" w:rsidR="00C6626C" w:rsidRDefault="00C6626C" w:rsidP="00A56F14"/>
    <w:p w14:paraId="79DF3D9E" w14:textId="77777777" w:rsidR="00C6626C" w:rsidRDefault="00C6626C" w:rsidP="00A56F14"/>
    <w:p w14:paraId="044BDE2C" w14:textId="77777777" w:rsidR="00C6626C" w:rsidRDefault="00C6626C" w:rsidP="00A56F14"/>
    <w:p w14:paraId="6D96F68E" w14:textId="77777777" w:rsidR="00C6626C" w:rsidRDefault="00C6626C" w:rsidP="00A56F14"/>
    <w:p w14:paraId="537D84BE" w14:textId="77777777" w:rsidR="00C6626C" w:rsidRDefault="00C6626C" w:rsidP="00A56F14"/>
    <w:p w14:paraId="115A613E" w14:textId="77777777" w:rsidR="00C6626C" w:rsidRDefault="00C6626C" w:rsidP="00A56F14"/>
    <w:p w14:paraId="5351306F" w14:textId="77777777" w:rsidR="00C6626C" w:rsidRDefault="00C6626C" w:rsidP="00A56F14"/>
    <w:p w14:paraId="6CBBF2E8" w14:textId="77777777" w:rsidR="00C6626C" w:rsidRDefault="00C6626C" w:rsidP="00A56F14"/>
    <w:p w14:paraId="01628D4B" w14:textId="77777777" w:rsidR="00C6626C" w:rsidRDefault="00C6626C" w:rsidP="00A56F14"/>
    <w:p w14:paraId="3CD33603" w14:textId="77777777" w:rsidR="00C6626C" w:rsidRDefault="00C6626C" w:rsidP="00A56F14"/>
    <w:p w14:paraId="0DCBDAAD" w14:textId="77777777" w:rsidR="00C6626C" w:rsidRDefault="00C6626C" w:rsidP="00A56F14"/>
    <w:p w14:paraId="6090C5A9" w14:textId="77777777" w:rsidR="00C6626C" w:rsidRDefault="00C6626C" w:rsidP="00A56F14"/>
    <w:p w14:paraId="2CFBC1AF" w14:textId="77777777" w:rsidR="00C6626C" w:rsidRDefault="00C6626C" w:rsidP="00A56F14"/>
    <w:p w14:paraId="51420F85" w14:textId="77777777" w:rsidR="00C6626C" w:rsidRDefault="00C6626C" w:rsidP="00A56F14"/>
    <w:p w14:paraId="6E5A3CF4" w14:textId="77777777" w:rsidR="00C6626C" w:rsidRDefault="00C6626C" w:rsidP="00A56F14"/>
    <w:p w14:paraId="16E13C1A" w14:textId="77777777" w:rsidR="00C6626C" w:rsidRDefault="00C6626C" w:rsidP="00A56F14"/>
    <w:p w14:paraId="59CB74CE" w14:textId="77777777" w:rsidR="00C6626C" w:rsidRDefault="00C6626C" w:rsidP="00A56F14"/>
    <w:p w14:paraId="6D4CE7FD" w14:textId="77777777" w:rsidR="00C6626C" w:rsidRDefault="00C6626C" w:rsidP="00A56F14"/>
    <w:p w14:paraId="3A6CB6FE" w14:textId="77777777" w:rsidR="00C6626C" w:rsidRDefault="00C6626C" w:rsidP="00A56F14"/>
    <w:p w14:paraId="77B4FF45" w14:textId="77777777" w:rsidR="00C6626C" w:rsidRDefault="00C6626C" w:rsidP="00A56F14"/>
    <w:p w14:paraId="75B1E177" w14:textId="77777777" w:rsidR="00C6626C" w:rsidRDefault="00C6626C" w:rsidP="00A56F14"/>
    <w:p w14:paraId="4423858C" w14:textId="77777777" w:rsidR="00A56F14" w:rsidRPr="002A51CA" w:rsidRDefault="00A56F14" w:rsidP="002A51CA">
      <w:pPr>
        <w:pStyle w:val="Title"/>
        <w:spacing w:after="120" w:line="600" w:lineRule="exact"/>
        <w:rPr>
          <w:spacing w:val="-20"/>
          <w:sz w:val="60"/>
        </w:rPr>
      </w:pPr>
      <w:r w:rsidRPr="002A51CA">
        <w:rPr>
          <w:noProof/>
          <w:spacing w:val="-20"/>
          <w:sz w:val="60"/>
          <w:lang w:val="en-AU" w:eastAsia="en-AU"/>
        </w:rPr>
        <w:drawing>
          <wp:anchor distT="0" distB="0" distL="114300" distR="114300" simplePos="0" relativeHeight="251664384" behindDoc="1" locked="1" layoutInCell="1" allowOverlap="1" wp14:anchorId="043C45BE" wp14:editId="174C49F1">
            <wp:simplePos x="0" y="0"/>
            <wp:positionH relativeFrom="page">
              <wp:posOffset>872490</wp:posOffset>
            </wp:positionH>
            <wp:positionV relativeFrom="page">
              <wp:posOffset>1561465</wp:posOffset>
            </wp:positionV>
            <wp:extent cx="3167380" cy="55435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FAT-corporate-grey.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67380" cy="554355"/>
                    </a:xfrm>
                    <a:prstGeom prst="rect">
                      <a:avLst/>
                    </a:prstGeom>
                  </pic:spPr>
                </pic:pic>
              </a:graphicData>
            </a:graphic>
            <wp14:sizeRelH relativeFrom="margin">
              <wp14:pctWidth>0</wp14:pctWidth>
            </wp14:sizeRelH>
            <wp14:sizeRelV relativeFrom="margin">
              <wp14:pctHeight>0</wp14:pctHeight>
            </wp14:sizeRelV>
          </wp:anchor>
        </w:drawing>
      </w:r>
      <w:r w:rsidRPr="002A51CA">
        <w:rPr>
          <w:noProof/>
          <w:spacing w:val="-20"/>
          <w:sz w:val="60"/>
          <w:lang w:val="en-AU" w:eastAsia="en-AU"/>
        </w:rPr>
        <w:drawing>
          <wp:anchor distT="0" distB="0" distL="114300" distR="114300" simplePos="0" relativeHeight="251663360" behindDoc="1" locked="1" layoutInCell="1" allowOverlap="1" wp14:anchorId="64BD53B4" wp14:editId="4E410039">
            <wp:simplePos x="0" y="0"/>
            <wp:positionH relativeFrom="page">
              <wp:posOffset>7620</wp:posOffset>
            </wp:positionH>
            <wp:positionV relativeFrom="page">
              <wp:posOffset>-7620</wp:posOffset>
            </wp:positionV>
            <wp:extent cx="7750810" cy="10725785"/>
            <wp:effectExtent l="0" t="0" r="254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port-Cover-1-Gradient-Mask.png"/>
                    <pic:cNvPicPr/>
                  </pic:nvPicPr>
                  <pic:blipFill>
                    <a:blip r:embed="rId9">
                      <a:extLst>
                        <a:ext uri="{28A0092B-C50C-407E-A947-70E740481C1C}">
                          <a14:useLocalDpi xmlns:a14="http://schemas.microsoft.com/office/drawing/2010/main" val="0"/>
                        </a:ext>
                      </a:extLst>
                    </a:blip>
                    <a:stretch>
                      <a:fillRect/>
                    </a:stretch>
                  </pic:blipFill>
                  <pic:spPr>
                    <a:xfrm>
                      <a:off x="0" y="0"/>
                      <a:ext cx="7750810" cy="10725785"/>
                    </a:xfrm>
                    <a:prstGeom prst="rect">
                      <a:avLst/>
                    </a:prstGeom>
                  </pic:spPr>
                </pic:pic>
              </a:graphicData>
            </a:graphic>
            <wp14:sizeRelH relativeFrom="margin">
              <wp14:pctWidth>0</wp14:pctWidth>
            </wp14:sizeRelH>
            <wp14:sizeRelV relativeFrom="margin">
              <wp14:pctHeight>0</wp14:pctHeight>
            </wp14:sizeRelV>
          </wp:anchor>
        </w:drawing>
      </w:r>
      <w:r w:rsidR="00C6626C" w:rsidRPr="002A51CA">
        <w:rPr>
          <w:spacing w:val="-20"/>
          <w:sz w:val="60"/>
        </w:rPr>
        <w:t xml:space="preserve">Aid Program Performance </w:t>
      </w:r>
    </w:p>
    <w:p w14:paraId="21C71451" w14:textId="77777777" w:rsidR="00C6626C" w:rsidRPr="002A51CA" w:rsidRDefault="00C6626C" w:rsidP="002A51CA">
      <w:pPr>
        <w:pStyle w:val="Title"/>
        <w:spacing w:after="120" w:line="600" w:lineRule="exact"/>
        <w:rPr>
          <w:spacing w:val="-20"/>
          <w:sz w:val="60"/>
        </w:rPr>
      </w:pPr>
      <w:r w:rsidRPr="002A51CA">
        <w:rPr>
          <w:spacing w:val="-20"/>
          <w:sz w:val="60"/>
        </w:rPr>
        <w:t>Report 201</w:t>
      </w:r>
      <w:r w:rsidR="002309D8">
        <w:rPr>
          <w:spacing w:val="-20"/>
          <w:sz w:val="60"/>
        </w:rPr>
        <w:t>6</w:t>
      </w:r>
      <w:r w:rsidRPr="002A51CA">
        <w:rPr>
          <w:spacing w:val="-20"/>
          <w:sz w:val="60"/>
        </w:rPr>
        <w:t>-1</w:t>
      </w:r>
      <w:r w:rsidR="002309D8">
        <w:rPr>
          <w:spacing w:val="-20"/>
          <w:sz w:val="60"/>
        </w:rPr>
        <w:t>7</w:t>
      </w:r>
    </w:p>
    <w:p w14:paraId="6D6333B3" w14:textId="6966560A" w:rsidR="00C6626C" w:rsidRDefault="0096567F" w:rsidP="00A56F14">
      <w:r>
        <w:rPr>
          <w:sz w:val="40"/>
        </w:rPr>
        <w:t>Australian NGO Cooperation Program (ANCP)</w:t>
      </w:r>
    </w:p>
    <w:p w14:paraId="11C356C9" w14:textId="763DED35" w:rsidR="00C6626C" w:rsidRPr="002A51CA" w:rsidRDefault="0096567F" w:rsidP="00A56F14">
      <w:pPr>
        <w:rPr>
          <w:sz w:val="24"/>
        </w:rPr>
      </w:pPr>
      <w:r>
        <w:rPr>
          <w:sz w:val="24"/>
        </w:rPr>
        <w:t>November</w:t>
      </w:r>
      <w:r w:rsidR="00C6626C" w:rsidRPr="002A51CA">
        <w:rPr>
          <w:sz w:val="24"/>
        </w:rPr>
        <w:t xml:space="preserve"> 201</w:t>
      </w:r>
      <w:r w:rsidR="002309D8">
        <w:rPr>
          <w:sz w:val="24"/>
        </w:rPr>
        <w:t>7</w:t>
      </w:r>
    </w:p>
    <w:p w14:paraId="0DE52122" w14:textId="77777777" w:rsidR="00C6626C" w:rsidRDefault="00C6626C" w:rsidP="00A56F14">
      <w:pPr>
        <w:sectPr w:rsidR="00C6626C" w:rsidSect="000B29B6">
          <w:headerReference w:type="even" r:id="rId10"/>
          <w:headerReference w:type="default" r:id="rId11"/>
          <w:footerReference w:type="even" r:id="rId12"/>
          <w:footerReference w:type="default" r:id="rId13"/>
          <w:headerReference w:type="first" r:id="rId14"/>
          <w:footerReference w:type="first" r:id="rId15"/>
          <w:pgSz w:w="11906" w:h="16838" w:code="9"/>
          <w:pgMar w:top="1950" w:right="1134" w:bottom="851" w:left="1134" w:header="1814" w:footer="567" w:gutter="0"/>
          <w:cols w:space="397"/>
          <w:docGrid w:linePitch="360"/>
        </w:sectPr>
      </w:pPr>
    </w:p>
    <w:p w14:paraId="79DB03D2" w14:textId="77777777" w:rsidR="0096567F" w:rsidRDefault="00C6626C" w:rsidP="002A51CA">
      <w:pPr>
        <w:pStyle w:val="ListBullet"/>
        <w:tabs>
          <w:tab w:val="clear" w:pos="284"/>
        </w:tabs>
        <w:spacing w:before="360"/>
        <w:rPr>
          <w:rFonts w:asciiTheme="majorHAnsi" w:eastAsiaTheme="majorEastAsia" w:hAnsiTheme="majorHAnsi" w:cstheme="majorBidi"/>
          <w:caps/>
          <w:color w:val="495965" w:themeColor="text2"/>
          <w:sz w:val="38"/>
          <w:szCs w:val="26"/>
          <w:lang w:val="en-GB" w:eastAsia="en-US"/>
        </w:rPr>
      </w:pPr>
      <w:r w:rsidRPr="002A51CA">
        <w:rPr>
          <w:rFonts w:asciiTheme="majorHAnsi" w:eastAsiaTheme="majorEastAsia" w:hAnsiTheme="majorHAnsi" w:cstheme="majorBidi"/>
          <w:caps/>
          <w:color w:val="495965" w:themeColor="text2"/>
          <w:sz w:val="38"/>
          <w:szCs w:val="26"/>
          <w:lang w:val="en-GB" w:eastAsia="en-US"/>
        </w:rPr>
        <w:lastRenderedPageBreak/>
        <w:t>Key Messages</w:t>
      </w:r>
    </w:p>
    <w:p w14:paraId="622E8C31" w14:textId="77777777" w:rsidR="0096567F" w:rsidRDefault="0096567F" w:rsidP="0096567F">
      <w:pPr>
        <w:rPr>
          <w:lang w:val="en-AU"/>
        </w:rPr>
      </w:pPr>
      <w:r w:rsidRPr="00C72A9C">
        <w:rPr>
          <w:lang w:val="en-AU"/>
        </w:rPr>
        <w:t xml:space="preserve">This Aid Program Performance Report (APPR) outlines progress made in the program management and the development activities of Australian Non-Government Organisations (ANGOs) funded under the Australian NGO Cooperation Program (ANCP). </w:t>
      </w:r>
    </w:p>
    <w:p w14:paraId="2A34CD1A" w14:textId="3489884E" w:rsidR="00C6626C" w:rsidRPr="00814F91" w:rsidRDefault="0096567F" w:rsidP="00814F91">
      <w:pPr>
        <w:rPr>
          <w:lang w:val="en-AU"/>
        </w:rPr>
      </w:pPr>
      <w:r w:rsidRPr="00C72A9C">
        <w:rPr>
          <w:lang w:val="en-AU"/>
        </w:rPr>
        <w:t>The report assesses the ANCP progress in achieving its objectives, and highlights major milesto</w:t>
      </w:r>
      <w:r>
        <w:rPr>
          <w:lang w:val="en-AU"/>
        </w:rPr>
        <w:t>nes and reforms over the 2016-17</w:t>
      </w:r>
      <w:r w:rsidRPr="00C72A9C">
        <w:rPr>
          <w:lang w:val="en-AU"/>
        </w:rPr>
        <w:t xml:space="preserve"> financial year.</w:t>
      </w:r>
      <w:r>
        <w:rPr>
          <w:lang w:val="en-AU"/>
        </w:rPr>
        <w:t xml:space="preserve"> </w:t>
      </w:r>
      <w:r w:rsidRPr="00C72A9C">
        <w:rPr>
          <w:lang w:val="en-AU"/>
        </w:rPr>
        <w:t>Key findings of this report are:</w:t>
      </w:r>
      <w:r w:rsidR="00C6626C" w:rsidRPr="00C61187">
        <w:rPr>
          <w:rFonts w:ascii="Helvetica" w:hAnsi="Helvetica" w:cs="Arial"/>
          <w:color w:val="007FAD"/>
          <w:kern w:val="28"/>
          <w:sz w:val="28"/>
          <w:szCs w:val="28"/>
        </w:rPr>
        <w:tab/>
      </w:r>
      <w:r w:rsidR="00C6626C" w:rsidRPr="00C61187">
        <w:rPr>
          <w:rFonts w:ascii="Helvetica" w:hAnsi="Helvetica" w:cs="Arial"/>
          <w:color w:val="007FAD"/>
          <w:kern w:val="28"/>
          <w:sz w:val="24"/>
          <w:szCs w:val="28"/>
        </w:rPr>
        <w:tab/>
      </w:r>
      <w:r w:rsidR="00814F91">
        <w:rPr>
          <w:rFonts w:ascii="Helvetica" w:hAnsi="Helvetica" w:cs="Arial"/>
          <w:color w:val="007FAD"/>
          <w:kern w:val="28"/>
          <w:sz w:val="32"/>
          <w:szCs w:val="32"/>
        </w:rPr>
        <w:tab/>
      </w:r>
      <w:r w:rsidR="00814F91">
        <w:rPr>
          <w:rFonts w:ascii="Helvetica" w:hAnsi="Helvetica" w:cs="Arial"/>
          <w:color w:val="007FAD"/>
          <w:kern w:val="28"/>
          <w:sz w:val="32"/>
          <w:szCs w:val="32"/>
        </w:rPr>
        <w:tab/>
      </w:r>
      <w:r w:rsidR="00814F91">
        <w:rPr>
          <w:rFonts w:ascii="Helvetica" w:hAnsi="Helvetica" w:cs="Arial"/>
          <w:color w:val="007FAD"/>
          <w:kern w:val="28"/>
          <w:sz w:val="32"/>
          <w:szCs w:val="32"/>
        </w:rPr>
        <w:tab/>
      </w:r>
    </w:p>
    <w:p w14:paraId="5B0342FC" w14:textId="40EA077B" w:rsidR="00F262AC" w:rsidRDefault="000043C5" w:rsidP="004F459A">
      <w:pPr>
        <w:pStyle w:val="Bullet1"/>
      </w:pPr>
      <w:r>
        <w:t xml:space="preserve">12.8 million people’s lives were improved through </w:t>
      </w:r>
      <w:r w:rsidR="00814F91">
        <w:t xml:space="preserve">54 ANCP NGOs </w:t>
      </w:r>
      <w:r>
        <w:t xml:space="preserve">working </w:t>
      </w:r>
      <w:r w:rsidR="00814F91">
        <w:t>with 2</w:t>
      </w:r>
      <w:r w:rsidR="00C62D6F">
        <w:t>,</w:t>
      </w:r>
      <w:r w:rsidR="00814F91">
        <w:t xml:space="preserve">113 </w:t>
      </w:r>
      <w:r>
        <w:t xml:space="preserve">local </w:t>
      </w:r>
      <w:r w:rsidR="00814F91">
        <w:t xml:space="preserve">partners to implement 507 projects in </w:t>
      </w:r>
      <w:r w:rsidR="008802BC">
        <w:t>58</w:t>
      </w:r>
      <w:r w:rsidR="00F262AC">
        <w:t xml:space="preserve"> countries;</w:t>
      </w:r>
    </w:p>
    <w:p w14:paraId="49D79316" w14:textId="60FA57C0" w:rsidR="005E4A43" w:rsidRPr="004B20D5" w:rsidRDefault="000043C5" w:rsidP="000043C5">
      <w:pPr>
        <w:pStyle w:val="Bullet1"/>
      </w:pPr>
      <w:r w:rsidRPr="00542905">
        <w:t>Program quality was maintained with</w:t>
      </w:r>
      <w:r w:rsidR="004B20D5">
        <w:t xml:space="preserve"> 1</w:t>
      </w:r>
      <w:r w:rsidRPr="00542905">
        <w:t xml:space="preserve">6 accreditation reviews completed (focused on up-front risk management) and 45 ANCP projects in 16 countries </w:t>
      </w:r>
      <w:r w:rsidR="005E4A43" w:rsidRPr="004B20D5">
        <w:t xml:space="preserve">monitored </w:t>
      </w:r>
      <w:r w:rsidRPr="00542905">
        <w:t xml:space="preserve">through visits </w:t>
      </w:r>
      <w:r w:rsidR="00D56470" w:rsidRPr="004B20D5">
        <w:t>by Canberra and posted staff</w:t>
      </w:r>
      <w:r w:rsidR="005E4A43" w:rsidRPr="004B20D5">
        <w:t>;</w:t>
      </w:r>
    </w:p>
    <w:p w14:paraId="5888F35C" w14:textId="364773D3" w:rsidR="004B20D5" w:rsidRDefault="004B20D5" w:rsidP="007F608B">
      <w:pPr>
        <w:pStyle w:val="Bullet1"/>
      </w:pPr>
      <w:r w:rsidRPr="00542905">
        <w:t xml:space="preserve">Program management was strengthened </w:t>
      </w:r>
      <w:r>
        <w:t>through the adoption of</w:t>
      </w:r>
      <w:r w:rsidRPr="00542905">
        <w:t xml:space="preserve"> new </w:t>
      </w:r>
      <w:r w:rsidR="00AA77D1" w:rsidRPr="004B20D5">
        <w:t>DFAT</w:t>
      </w:r>
      <w:r w:rsidRPr="00542905">
        <w:t>-</w:t>
      </w:r>
      <w:r w:rsidR="00AA77D1" w:rsidRPr="004B20D5">
        <w:t xml:space="preserve">NGO </w:t>
      </w:r>
      <w:r w:rsidRPr="00542905">
        <w:t xml:space="preserve">partnership </w:t>
      </w:r>
      <w:r w:rsidR="00530636" w:rsidRPr="004B20D5">
        <w:t xml:space="preserve">principles </w:t>
      </w:r>
      <w:r w:rsidRPr="00542905">
        <w:t xml:space="preserve">and clearer guidance on the role of </w:t>
      </w:r>
      <w:r w:rsidR="00530636" w:rsidRPr="004B20D5">
        <w:t>Australian Embassies and High Commission</w:t>
      </w:r>
      <w:r>
        <w:t>s</w:t>
      </w:r>
      <w:r w:rsidR="00530636" w:rsidRPr="004B20D5">
        <w:t xml:space="preserve"> (Posts); </w:t>
      </w:r>
    </w:p>
    <w:p w14:paraId="41F1E66D" w14:textId="6A54C0B0" w:rsidR="00530636" w:rsidRPr="004B20D5" w:rsidRDefault="004B20D5" w:rsidP="007F608B">
      <w:pPr>
        <w:pStyle w:val="Bullet1"/>
      </w:pPr>
      <w:r>
        <w:t>the ANCP’s approach to matching community grants and encouraging multi-funded programs resulted in 379 projects (74 per cent) leveraging</w:t>
      </w:r>
      <w:r w:rsidRPr="00F10DEB">
        <w:t xml:space="preserve"> funding from other sources to the value of </w:t>
      </w:r>
      <w:r>
        <w:t>$31.9 million;</w:t>
      </w:r>
    </w:p>
    <w:p w14:paraId="124CD381" w14:textId="360E2BC5" w:rsidR="00F262AC" w:rsidRPr="004B20D5" w:rsidRDefault="00D56470" w:rsidP="005E4A43">
      <w:pPr>
        <w:pStyle w:val="Bullet1"/>
      </w:pPr>
      <w:r w:rsidRPr="004B20D5">
        <w:t xml:space="preserve">A new </w:t>
      </w:r>
      <w:r w:rsidR="005E4A43" w:rsidRPr="004B20D5">
        <w:t xml:space="preserve">communications strategy </w:t>
      </w:r>
      <w:r w:rsidRPr="004B20D5">
        <w:t>generated</w:t>
      </w:r>
      <w:r w:rsidR="005E4A43" w:rsidRPr="004B20D5">
        <w:t xml:space="preserve"> increased </w:t>
      </w:r>
      <w:r w:rsidR="004B20D5" w:rsidRPr="00542905">
        <w:t xml:space="preserve">information to the Australian public on </w:t>
      </w:r>
      <w:r w:rsidR="004B20D5">
        <w:t>the use of Australian aid to co-fund programs through the ANCP</w:t>
      </w:r>
      <w:r w:rsidR="005E4A43" w:rsidRPr="004B20D5">
        <w:t xml:space="preserve">. </w:t>
      </w:r>
    </w:p>
    <w:p w14:paraId="308983E3" w14:textId="4BDB3F74" w:rsidR="00C6626C" w:rsidRPr="00C61187" w:rsidRDefault="00C6626C" w:rsidP="002A51CA">
      <w:pPr>
        <w:pStyle w:val="ListBullet"/>
        <w:tabs>
          <w:tab w:val="clear" w:pos="284"/>
        </w:tabs>
        <w:spacing w:before="360"/>
        <w:rPr>
          <w:kern w:val="28"/>
        </w:rPr>
      </w:pPr>
      <w:r w:rsidRPr="002A51CA">
        <w:rPr>
          <w:rFonts w:asciiTheme="majorHAnsi" w:eastAsiaTheme="majorEastAsia" w:hAnsiTheme="majorHAnsi" w:cstheme="majorBidi"/>
          <w:caps/>
          <w:color w:val="495965" w:themeColor="text2"/>
          <w:sz w:val="38"/>
          <w:szCs w:val="26"/>
          <w:lang w:val="en-GB" w:eastAsia="en-US"/>
        </w:rPr>
        <w:t xml:space="preserve">Context </w:t>
      </w:r>
    </w:p>
    <w:p w14:paraId="37942F23" w14:textId="4CF453B6" w:rsidR="0062062C" w:rsidRDefault="0062062C" w:rsidP="0062062C">
      <w:pPr>
        <w:pStyle w:val="Heading4"/>
      </w:pPr>
      <w:r>
        <w:t>DFAT Policy on Civil Society</w:t>
      </w:r>
    </w:p>
    <w:p w14:paraId="543C4130" w14:textId="370A1A89" w:rsidR="00453E89" w:rsidRPr="0017237C" w:rsidRDefault="0059536F" w:rsidP="00542905">
      <w:hyperlink r:id="rId16" w:history="1">
        <w:r w:rsidR="00453E89" w:rsidRPr="003E2340">
          <w:rPr>
            <w:rStyle w:val="Hyperlink"/>
            <w:rFonts w:cstheme="minorBidi"/>
            <w:i/>
          </w:rPr>
          <w:t>DFAT and NGOs: Effective Development Partners</w:t>
        </w:r>
      </w:hyperlink>
      <w:r w:rsidR="00453E89">
        <w:t xml:space="preserve"> outlines the Department of Foreign Affairs and Trade’s approach to working with non-government organisations (NGOs) to support international development. </w:t>
      </w:r>
    </w:p>
    <w:p w14:paraId="32F8409B" w14:textId="105755DE" w:rsidR="0062062C" w:rsidRDefault="0062062C" w:rsidP="0062062C">
      <w:r>
        <w:t xml:space="preserve">An active civil society (non-state actors), </w:t>
      </w:r>
      <w:r w:rsidR="00453E89">
        <w:t>and vibrant</w:t>
      </w:r>
      <w:r>
        <w:t xml:space="preserve"> business sector, working alongside effective executive, legislative and judicial state institutions</w:t>
      </w:r>
      <w:r w:rsidR="005E4A43">
        <w:t>,</w:t>
      </w:r>
      <w:r>
        <w:t xml:space="preserve"> play an important role in sustainable development.</w:t>
      </w:r>
      <w:r w:rsidR="008563EF">
        <w:t xml:space="preserve"> </w:t>
      </w:r>
      <w:r w:rsidR="00453E89">
        <w:t xml:space="preserve">DFAT’s </w:t>
      </w:r>
      <w:hyperlink r:id="rId17" w:history="1">
        <w:r w:rsidR="00453E89" w:rsidRPr="003E2340">
          <w:rPr>
            <w:rStyle w:val="Hyperlink"/>
            <w:rFonts w:cstheme="minorBidi"/>
            <w:i/>
          </w:rPr>
          <w:t>Effective Governance Strategy</w:t>
        </w:r>
      </w:hyperlink>
      <w:r w:rsidR="00453E89">
        <w:t xml:space="preserve">, </w:t>
      </w:r>
      <w:hyperlink r:id="rId18" w:history="1">
        <w:r w:rsidR="00453E89" w:rsidRPr="003E2340">
          <w:rPr>
            <w:rStyle w:val="Hyperlink"/>
            <w:rFonts w:cstheme="minorBidi"/>
            <w:i/>
          </w:rPr>
          <w:t>NGO Engagement Framework</w:t>
        </w:r>
      </w:hyperlink>
      <w:r w:rsidR="00453E89">
        <w:t xml:space="preserve"> and commitment to </w:t>
      </w:r>
      <w:hyperlink r:id="rId19" w:history="1">
        <w:r w:rsidR="00453E89" w:rsidRPr="0062062C">
          <w:rPr>
            <w:rStyle w:val="Hyperlink"/>
            <w:rFonts w:cstheme="minorBidi"/>
          </w:rPr>
          <w:t>Agenda 2030</w:t>
        </w:r>
      </w:hyperlink>
      <w:r w:rsidR="00453E89">
        <w:t xml:space="preserve"> including Sustainable Development Goal 16, </w:t>
      </w:r>
      <w:r w:rsidRPr="0062062C">
        <w:t>recogni</w:t>
      </w:r>
      <w:r w:rsidR="005E4A43">
        <w:t>se</w:t>
      </w:r>
      <w:r w:rsidRPr="0062062C">
        <w:t xml:space="preserve"> the distinct and independent nature of civil society actors and that a strong civil society is a development objective in its own right</w:t>
      </w:r>
      <w:r>
        <w:t>.</w:t>
      </w:r>
    </w:p>
    <w:p w14:paraId="69C41EC7" w14:textId="77777777" w:rsidR="008563EF" w:rsidRPr="0096567F" w:rsidRDefault="008563EF" w:rsidP="008563EF">
      <w:pPr>
        <w:pStyle w:val="Heading4"/>
      </w:pPr>
      <w:r>
        <w:t>Global Development Context</w:t>
      </w:r>
    </w:p>
    <w:p w14:paraId="23DDB49A" w14:textId="6965D620" w:rsidR="008563EF" w:rsidRDefault="00BB738D" w:rsidP="008563EF">
      <w:r>
        <w:t>Globally, t</w:t>
      </w:r>
      <w:r w:rsidRPr="00EC1A4A">
        <w:t xml:space="preserve">here </w:t>
      </w:r>
      <w:r w:rsidR="005E4A43">
        <w:t xml:space="preserve">continues to be a shrinking of space for civil society. </w:t>
      </w:r>
      <w:r w:rsidR="008563EF">
        <w:t>T</w:t>
      </w:r>
      <w:r w:rsidR="008563EF" w:rsidRPr="00EC1A4A">
        <w:t>he 2017 Global Risks Report published by the World Economic Forum noted, “a new era of restricted freedoms and increased governmental control could undermine social, political and economic stability and increase the risk of geopolitical and social conflict.”</w:t>
      </w:r>
      <w:r w:rsidR="008563EF">
        <w:rPr>
          <w:rStyle w:val="FootnoteReference"/>
        </w:rPr>
        <w:footnoteReference w:id="2"/>
      </w:r>
      <w:r w:rsidR="008563EF">
        <w:t xml:space="preserve"> </w:t>
      </w:r>
      <w:r w:rsidR="008563EF" w:rsidRPr="00EC1A4A">
        <w:t>The closing of civic spaces weakens the ability of civil society organizations to provide critical services like healthcare, education, and humanitarian aid to local communities. It also undermines their ability to hold governments accountable for dedicating local financial resources to domestic priorities, thereby increasing the aid burden on foreign donors</w:t>
      </w:r>
      <w:r w:rsidR="008563EF">
        <w:rPr>
          <w:rStyle w:val="FootnoteReference"/>
        </w:rPr>
        <w:footnoteReference w:id="3"/>
      </w:r>
      <w:r w:rsidR="008563EF" w:rsidRPr="00EC1A4A">
        <w:t>.</w:t>
      </w:r>
    </w:p>
    <w:p w14:paraId="6E12BA6A" w14:textId="7ED9B2D8" w:rsidR="009F3E53" w:rsidRDefault="009F3E53" w:rsidP="00542905">
      <w:r>
        <w:t>Further to this, e</w:t>
      </w:r>
      <w:r w:rsidRPr="008563EF">
        <w:t>vidence suggests that sustainable funding for an active civil society is only likely to occur once a country becomes an upper income country</w:t>
      </w:r>
      <w:r>
        <w:t xml:space="preserve">. As such, there is a risk that as countries in our region </w:t>
      </w:r>
      <w:r>
        <w:lastRenderedPageBreak/>
        <w:t>move to middle-</w:t>
      </w:r>
      <w:r w:rsidRPr="008563EF">
        <w:t xml:space="preserve">income </w:t>
      </w:r>
      <w:r>
        <w:t xml:space="preserve">status, </w:t>
      </w:r>
      <w:r w:rsidRPr="008563EF">
        <w:t xml:space="preserve">funding to the region's civil society organisations </w:t>
      </w:r>
      <w:r>
        <w:t xml:space="preserve">may be reduced rapidly, </w:t>
      </w:r>
      <w:r w:rsidRPr="008563EF">
        <w:t>before they</w:t>
      </w:r>
      <w:r w:rsidR="0017237C">
        <w:t xml:space="preserve"> ha</w:t>
      </w:r>
      <w:r w:rsidRPr="008563EF">
        <w:t xml:space="preserve">ve had a chance to </w:t>
      </w:r>
      <w:r>
        <w:t>mature in their roles</w:t>
      </w:r>
      <w:r w:rsidRPr="008563EF">
        <w:t>.</w:t>
      </w:r>
    </w:p>
    <w:p w14:paraId="269556CF" w14:textId="76E2BE11" w:rsidR="004F459A" w:rsidRDefault="0096567F" w:rsidP="0096567F">
      <w:pPr>
        <w:pStyle w:val="Heading4"/>
      </w:pPr>
      <w:r w:rsidRPr="0096567F">
        <w:t>Program Design</w:t>
      </w:r>
    </w:p>
    <w:p w14:paraId="73A296F2" w14:textId="1F52FA93" w:rsidR="0096567F" w:rsidRDefault="00E63881" w:rsidP="00E63881">
      <w:pPr>
        <w:rPr>
          <w:lang w:val="en-AU"/>
        </w:rPr>
      </w:pPr>
      <w:r w:rsidRPr="000401E9">
        <w:rPr>
          <w:lang w:val="en-AU"/>
        </w:rPr>
        <w:t xml:space="preserve">The ANCP </w:t>
      </w:r>
      <w:r w:rsidR="00082AF4">
        <w:rPr>
          <w:lang w:val="en-AU"/>
        </w:rPr>
        <w:t xml:space="preserve">is a unique grants program that </w:t>
      </w:r>
      <w:r w:rsidRPr="000401E9">
        <w:rPr>
          <w:lang w:val="en-AU"/>
        </w:rPr>
        <w:t>aligns with the priorities</w:t>
      </w:r>
      <w:r>
        <w:rPr>
          <w:lang w:val="en-AU"/>
        </w:rPr>
        <w:t xml:space="preserve"> of the </w:t>
      </w:r>
      <w:r w:rsidRPr="000401E9">
        <w:rPr>
          <w:lang w:val="en-AU"/>
        </w:rPr>
        <w:t xml:space="preserve">Australian aid program’s development policy </w:t>
      </w:r>
      <w:r w:rsidRPr="00CE01C0">
        <w:rPr>
          <w:i/>
          <w:lang w:val="en-AU"/>
        </w:rPr>
        <w:t>Australian aid: promoting prosperity, reducing poverty, enhancing stability</w:t>
      </w:r>
      <w:r>
        <w:rPr>
          <w:lang w:val="en-AU"/>
        </w:rPr>
        <w:t xml:space="preserve">, </w:t>
      </w:r>
      <w:r w:rsidR="009F3E53">
        <w:rPr>
          <w:lang w:val="en-AU"/>
        </w:rPr>
        <w:t>which has the two inter-linked pillars of economic growth and human development at its core</w:t>
      </w:r>
      <w:r>
        <w:rPr>
          <w:lang w:val="en-AU"/>
        </w:rPr>
        <w:t>. The Program</w:t>
      </w:r>
      <w:r w:rsidRPr="000401E9">
        <w:rPr>
          <w:lang w:val="en-AU"/>
        </w:rPr>
        <w:t xml:space="preserve"> has the flexibility to deliver aid consistent with these priorities.</w:t>
      </w:r>
    </w:p>
    <w:p w14:paraId="1CF22852" w14:textId="5828ABC6" w:rsidR="00E63881" w:rsidRPr="00C120A7" w:rsidRDefault="00E63881" w:rsidP="00E63881">
      <w:pPr>
        <w:rPr>
          <w:lang w:val="en-AU"/>
        </w:rPr>
      </w:pPr>
      <w:r w:rsidRPr="00C120A7">
        <w:rPr>
          <w:lang w:val="en-AU"/>
        </w:rPr>
        <w:t xml:space="preserve">The ANCP provides </w:t>
      </w:r>
      <w:r w:rsidR="00082AF4">
        <w:rPr>
          <w:lang w:val="en-AU"/>
        </w:rPr>
        <w:t xml:space="preserve">matched </w:t>
      </w:r>
      <w:r w:rsidRPr="00C120A7">
        <w:rPr>
          <w:lang w:val="en-AU"/>
        </w:rPr>
        <w:t xml:space="preserve">funding </w:t>
      </w:r>
      <w:r w:rsidR="00082AF4">
        <w:rPr>
          <w:lang w:val="en-AU"/>
        </w:rPr>
        <w:t xml:space="preserve">(up to 5:1) </w:t>
      </w:r>
      <w:r w:rsidRPr="00C120A7">
        <w:rPr>
          <w:lang w:val="en-AU"/>
        </w:rPr>
        <w:t xml:space="preserve">to </w:t>
      </w:r>
      <w:r w:rsidR="00082AF4">
        <w:rPr>
          <w:lang w:val="en-AU"/>
        </w:rPr>
        <w:t>ANCP-</w:t>
      </w:r>
      <w:r w:rsidRPr="00C120A7">
        <w:rPr>
          <w:lang w:val="en-AU"/>
        </w:rPr>
        <w:t xml:space="preserve">accredited Australian NGOs to support their work </w:t>
      </w:r>
      <w:r w:rsidR="00082AF4">
        <w:rPr>
          <w:lang w:val="en-AU"/>
        </w:rPr>
        <w:t xml:space="preserve">to alleviate poverty </w:t>
      </w:r>
      <w:r w:rsidRPr="00C120A7">
        <w:rPr>
          <w:lang w:val="en-AU"/>
        </w:rPr>
        <w:t>in developing countries. The ANCP i</w:t>
      </w:r>
      <w:r>
        <w:rPr>
          <w:lang w:val="en-AU"/>
        </w:rPr>
        <w:t>s guided by</w:t>
      </w:r>
      <w:r w:rsidRPr="00C120A7">
        <w:rPr>
          <w:lang w:val="en-AU"/>
        </w:rPr>
        <w:t xml:space="preserve"> the principles and objectives of the DFAT- NGO engagement framework </w:t>
      </w:r>
      <w:r w:rsidRPr="00C120A7">
        <w:rPr>
          <w:i/>
          <w:lang w:val="en-AU"/>
        </w:rPr>
        <w:t>DFAT and NGOs: Effective Development Partners</w:t>
      </w:r>
      <w:r w:rsidRPr="00C120A7">
        <w:rPr>
          <w:lang w:val="en-AU"/>
        </w:rPr>
        <w:t>.</w:t>
      </w:r>
    </w:p>
    <w:p w14:paraId="1101826C" w14:textId="77777777" w:rsidR="00E63881" w:rsidRPr="00C120A7" w:rsidRDefault="00E63881" w:rsidP="00E63881">
      <w:pPr>
        <w:rPr>
          <w:lang w:val="en-AU"/>
        </w:rPr>
      </w:pPr>
      <w:r w:rsidRPr="00C120A7">
        <w:rPr>
          <w:lang w:val="en-AU"/>
        </w:rPr>
        <w:t>The goal statement for the ANCP is:</w:t>
      </w:r>
    </w:p>
    <w:p w14:paraId="01F5184B" w14:textId="77777777" w:rsidR="00E63881" w:rsidRPr="00BB152E" w:rsidRDefault="00E63881" w:rsidP="00E63881">
      <w:pPr>
        <w:ind w:left="720"/>
        <w:rPr>
          <w:lang w:val="en-AU"/>
        </w:rPr>
      </w:pPr>
      <w:r w:rsidRPr="00BB152E">
        <w:rPr>
          <w:lang w:val="en-AU"/>
        </w:rPr>
        <w:t>Through support to accredited Australian NGOs, improve the living standards and well-being of individuals and communities in developing countries.</w:t>
      </w:r>
    </w:p>
    <w:p w14:paraId="32B1AB6C" w14:textId="20DEEA45" w:rsidR="00E63881" w:rsidRPr="00C120A7" w:rsidRDefault="00E63881" w:rsidP="00E63881">
      <w:pPr>
        <w:rPr>
          <w:lang w:val="en-AU"/>
        </w:rPr>
      </w:pPr>
      <w:r w:rsidRPr="00C120A7">
        <w:rPr>
          <w:lang w:val="en-AU"/>
        </w:rPr>
        <w:t>Three inter-related outcomes ensure NGOs are positioned to deliver on the overarching ANCP goal:</w:t>
      </w:r>
    </w:p>
    <w:p w14:paraId="650A0E39" w14:textId="77777777" w:rsidR="00E63881" w:rsidRPr="00BB152E" w:rsidRDefault="00E63881" w:rsidP="009F75A2">
      <w:pPr>
        <w:spacing w:before="0"/>
        <w:ind w:left="720"/>
        <w:rPr>
          <w:lang w:val="en-AU"/>
        </w:rPr>
      </w:pPr>
      <w:r w:rsidRPr="00BB152E">
        <w:rPr>
          <w:lang w:val="en-AU"/>
        </w:rPr>
        <w:t>Outcome 1: Effective and value for money programming</w:t>
      </w:r>
    </w:p>
    <w:p w14:paraId="4DD09632" w14:textId="77777777" w:rsidR="00E63881" w:rsidRPr="00BB152E" w:rsidRDefault="00E63881" w:rsidP="009F75A2">
      <w:pPr>
        <w:spacing w:before="0"/>
        <w:ind w:left="720"/>
        <w:rPr>
          <w:lang w:val="en-AU"/>
        </w:rPr>
      </w:pPr>
      <w:r w:rsidRPr="00BB152E">
        <w:rPr>
          <w:lang w:val="en-AU"/>
        </w:rPr>
        <w:t xml:space="preserve">Outcome 2: A diversity of NGOs draw on funding and expertise from a range of sources </w:t>
      </w:r>
    </w:p>
    <w:p w14:paraId="561ECECF" w14:textId="77777777" w:rsidR="00E63881" w:rsidRPr="00BB152E" w:rsidRDefault="00E63881" w:rsidP="009F75A2">
      <w:pPr>
        <w:spacing w:before="0"/>
        <w:ind w:left="720"/>
        <w:rPr>
          <w:lang w:val="en-AU"/>
        </w:rPr>
      </w:pPr>
      <w:r w:rsidRPr="00BB152E">
        <w:rPr>
          <w:lang w:val="en-AU"/>
        </w:rPr>
        <w:t>Outcome 3: Effective enga</w:t>
      </w:r>
      <w:r>
        <w:rPr>
          <w:lang w:val="en-AU"/>
        </w:rPr>
        <w:t>gement with in-country partners</w:t>
      </w:r>
    </w:p>
    <w:p w14:paraId="76F0C273" w14:textId="054254A3" w:rsidR="00E63881" w:rsidRDefault="00082AF4" w:rsidP="00E63881">
      <w:pPr>
        <w:rPr>
          <w:lang w:val="en-AU"/>
        </w:rPr>
      </w:pPr>
      <w:r>
        <w:rPr>
          <w:lang w:val="en-AU"/>
        </w:rPr>
        <w:t>Reflecting the contributions received from the Australian community, the footprint of the ANCP extends beyond the reach of Australia’s bilateral aid program. T</w:t>
      </w:r>
      <w:r w:rsidR="00E63881" w:rsidRPr="000401E9">
        <w:rPr>
          <w:lang w:val="en-AU"/>
        </w:rPr>
        <w:t xml:space="preserve">he </w:t>
      </w:r>
      <w:r w:rsidR="00BB738D">
        <w:rPr>
          <w:lang w:val="en-AU"/>
        </w:rPr>
        <w:t xml:space="preserve">2015 </w:t>
      </w:r>
      <w:r w:rsidR="00E63881">
        <w:rPr>
          <w:lang w:val="en-AU"/>
        </w:rPr>
        <w:t>O</w:t>
      </w:r>
      <w:r w:rsidR="00E32E63">
        <w:rPr>
          <w:lang w:val="en-AU"/>
        </w:rPr>
        <w:t>ffice of Development Effectiveness (O</w:t>
      </w:r>
      <w:r w:rsidR="00E63881">
        <w:rPr>
          <w:lang w:val="en-AU"/>
        </w:rPr>
        <w:t>DE</w:t>
      </w:r>
      <w:r w:rsidR="00E32E63">
        <w:rPr>
          <w:lang w:val="en-AU"/>
        </w:rPr>
        <w:t>)</w:t>
      </w:r>
      <w:r w:rsidR="00E63881">
        <w:rPr>
          <w:lang w:val="en-AU"/>
        </w:rPr>
        <w:t xml:space="preserve"> Evaluation</w:t>
      </w:r>
      <w:r w:rsidR="00E63881" w:rsidRPr="000401E9">
        <w:rPr>
          <w:lang w:val="en-AU"/>
        </w:rPr>
        <w:t xml:space="preserve"> of the ANCP found that there is consistency between NGOs’ ANCP programming and the </w:t>
      </w:r>
      <w:r w:rsidR="00E63881">
        <w:rPr>
          <w:lang w:val="en-AU"/>
        </w:rPr>
        <w:t xml:space="preserve">Australian </w:t>
      </w:r>
      <w:r w:rsidR="00E63881" w:rsidRPr="000401E9">
        <w:rPr>
          <w:lang w:val="en-AU"/>
        </w:rPr>
        <w:t xml:space="preserve">aid program’s geographic and sectoral priorities. </w:t>
      </w:r>
      <w:r w:rsidR="00BB738D">
        <w:rPr>
          <w:lang w:val="en-AU"/>
        </w:rPr>
        <w:t>This continues to be the case in 2016-17.</w:t>
      </w:r>
    </w:p>
    <w:p w14:paraId="2E42EBFC" w14:textId="15D2495F" w:rsidR="00D56470" w:rsidRDefault="00E63881" w:rsidP="00E63881">
      <w:pPr>
        <w:rPr>
          <w:lang w:val="en-AU"/>
        </w:rPr>
      </w:pPr>
      <w:r>
        <w:rPr>
          <w:lang w:val="en-AU"/>
        </w:rPr>
        <w:t xml:space="preserve">The </w:t>
      </w:r>
      <w:r w:rsidR="00082AF4">
        <w:rPr>
          <w:lang w:val="en-AU"/>
        </w:rPr>
        <w:t xml:space="preserve">up-front </w:t>
      </w:r>
      <w:r>
        <w:rPr>
          <w:lang w:val="en-AU"/>
        </w:rPr>
        <w:t xml:space="preserve">ANCP accreditation process </w:t>
      </w:r>
      <w:r w:rsidR="006A285B">
        <w:rPr>
          <w:lang w:val="en-AU"/>
        </w:rPr>
        <w:t xml:space="preserve">and complementary </w:t>
      </w:r>
      <w:r w:rsidR="00893328">
        <w:rPr>
          <w:lang w:val="en-AU"/>
        </w:rPr>
        <w:t>Australian Council for International Development (ACFID)</w:t>
      </w:r>
      <w:r w:rsidR="006A285B">
        <w:rPr>
          <w:lang w:val="en-AU"/>
        </w:rPr>
        <w:t xml:space="preserve"> Code of Conduct </w:t>
      </w:r>
      <w:r>
        <w:rPr>
          <w:lang w:val="en-AU"/>
        </w:rPr>
        <w:t>provide</w:t>
      </w:r>
      <w:r w:rsidRPr="00CD02A8">
        <w:rPr>
          <w:lang w:val="en-AU"/>
        </w:rPr>
        <w:t xml:space="preserve"> DFAT and the Australian public with confidence that the Australian Government is funding professional, well-managed organisations that are capable of delivering quality development outcomes and are accountable to their stakeholders</w:t>
      </w:r>
      <w:r>
        <w:rPr>
          <w:lang w:val="en-AU"/>
        </w:rPr>
        <w:t xml:space="preserve"> as well as able to meet their contractual obligations to DFAT</w:t>
      </w:r>
      <w:r w:rsidRPr="00CD02A8">
        <w:rPr>
          <w:lang w:val="en-AU"/>
        </w:rPr>
        <w:t>.</w:t>
      </w:r>
      <w:r>
        <w:rPr>
          <w:lang w:val="en-AU"/>
        </w:rPr>
        <w:t xml:space="preserve"> </w:t>
      </w:r>
      <w:r w:rsidR="00082AF4">
        <w:rPr>
          <w:lang w:val="en-AU"/>
        </w:rPr>
        <w:t>The rigorous</w:t>
      </w:r>
      <w:r w:rsidR="0017237C">
        <w:rPr>
          <w:lang w:val="en-AU"/>
        </w:rPr>
        <w:t xml:space="preserve"> </w:t>
      </w:r>
      <w:r>
        <w:rPr>
          <w:lang w:val="en-AU"/>
        </w:rPr>
        <w:t xml:space="preserve">accreditation </w:t>
      </w:r>
      <w:r w:rsidR="00082AF4">
        <w:rPr>
          <w:lang w:val="en-AU"/>
        </w:rPr>
        <w:t xml:space="preserve">process (complemented by in-country visits to a cross-section of </w:t>
      </w:r>
      <w:r w:rsidR="00E32E63">
        <w:rPr>
          <w:lang w:val="en-AU"/>
        </w:rPr>
        <w:t>projects</w:t>
      </w:r>
      <w:r w:rsidR="00082AF4">
        <w:rPr>
          <w:lang w:val="en-AU"/>
        </w:rPr>
        <w:t>) acts</w:t>
      </w:r>
      <w:r>
        <w:rPr>
          <w:lang w:val="en-AU"/>
        </w:rPr>
        <w:t xml:space="preserve"> a</w:t>
      </w:r>
      <w:r w:rsidR="00082AF4">
        <w:rPr>
          <w:lang w:val="en-AU"/>
        </w:rPr>
        <w:t>n effective</w:t>
      </w:r>
      <w:r>
        <w:rPr>
          <w:lang w:val="en-AU"/>
        </w:rPr>
        <w:t xml:space="preserve"> risk management tool for the Department. </w:t>
      </w:r>
    </w:p>
    <w:p w14:paraId="0D609B29" w14:textId="3E81304D" w:rsidR="00E63881" w:rsidRDefault="00E63881" w:rsidP="00E63881">
      <w:pPr>
        <w:rPr>
          <w:lang w:val="en-AU"/>
        </w:rPr>
      </w:pPr>
      <w:r w:rsidRPr="00CD02A8">
        <w:rPr>
          <w:lang w:val="en-AU"/>
        </w:rPr>
        <w:t>NGOs can seek accreditation at either base or full level</w:t>
      </w:r>
      <w:r>
        <w:rPr>
          <w:lang w:val="en-AU"/>
        </w:rPr>
        <w:t xml:space="preserve"> - depending on their capacity and levels of community support</w:t>
      </w:r>
      <w:r w:rsidRPr="00CD02A8">
        <w:rPr>
          <w:lang w:val="en-AU"/>
        </w:rPr>
        <w:t>. NGOs with full accreditation must respond to a greater number and more comprehensive criteria than those applying for base accreditation. ANCP NGOs undergo re-accreditation every five years</w:t>
      </w:r>
      <w:r>
        <w:rPr>
          <w:lang w:val="en-AU"/>
        </w:rPr>
        <w:t>.</w:t>
      </w:r>
      <w:r w:rsidRPr="00DF11FF">
        <w:t xml:space="preserve"> </w:t>
      </w:r>
      <w:r>
        <w:t>DFAT’s funding</w:t>
      </w:r>
      <w:r>
        <w:rPr>
          <w:lang w:val="en-AU"/>
        </w:rPr>
        <w:t xml:space="preserve"> to ANCP NGOs is allocated based on an assessment of organisational capacity (accreditation level) and recognised development expenditure (RDE)</w:t>
      </w:r>
      <w:r>
        <w:rPr>
          <w:rStyle w:val="FootnoteReference"/>
          <w:lang w:val="en-AU"/>
        </w:rPr>
        <w:footnoteReference w:id="4"/>
      </w:r>
      <w:r>
        <w:rPr>
          <w:lang w:val="en-AU"/>
        </w:rPr>
        <w:t xml:space="preserve"> which </w:t>
      </w:r>
      <w:r w:rsidR="00082AF4">
        <w:rPr>
          <w:lang w:val="en-AU"/>
        </w:rPr>
        <w:t xml:space="preserve">acts as </w:t>
      </w:r>
      <w:r>
        <w:rPr>
          <w:lang w:val="en-AU"/>
        </w:rPr>
        <w:t xml:space="preserve">a measure of community support. </w:t>
      </w:r>
    </w:p>
    <w:p w14:paraId="1C676AFF" w14:textId="7D26C951" w:rsidR="008563EF" w:rsidRDefault="00E63881" w:rsidP="004F459A">
      <w:pPr>
        <w:rPr>
          <w:lang w:val="en-AU"/>
        </w:rPr>
      </w:pPr>
      <w:r w:rsidRPr="00173EC7">
        <w:rPr>
          <w:lang w:val="en-AU"/>
        </w:rPr>
        <w:t xml:space="preserve">The ANCP respects the organisational independence of Australian NGOs, providing flexible funding to implement </w:t>
      </w:r>
      <w:r w:rsidR="00082AF4">
        <w:rPr>
          <w:lang w:val="en-AU"/>
        </w:rPr>
        <w:t>co-funded</w:t>
      </w:r>
      <w:r w:rsidRPr="00173EC7">
        <w:rPr>
          <w:lang w:val="en-AU"/>
        </w:rPr>
        <w:t xml:space="preserve"> development programs overseas. This includes their discretion in programming such as working in the sectors of their choice, and their right to comment on government policy and advocate for change. </w:t>
      </w:r>
    </w:p>
    <w:p w14:paraId="3D8F9B0F" w14:textId="57A6DB58" w:rsidR="007278A4" w:rsidRPr="008563EF" w:rsidRDefault="00082AF4" w:rsidP="004F459A">
      <w:r>
        <w:t xml:space="preserve">The ANCP is operating in an </w:t>
      </w:r>
      <w:r w:rsidR="008563EF" w:rsidRPr="008563EF">
        <w:t xml:space="preserve">increasingly </w:t>
      </w:r>
      <w:r>
        <w:t>challenging</w:t>
      </w:r>
      <w:r w:rsidRPr="008563EF">
        <w:t xml:space="preserve"> </w:t>
      </w:r>
      <w:r w:rsidR="008563EF" w:rsidRPr="008563EF">
        <w:t xml:space="preserve">environment for the effective operation of civil society, </w:t>
      </w:r>
      <w:r>
        <w:t xml:space="preserve">including instances </w:t>
      </w:r>
      <w:r w:rsidR="003F22FE">
        <w:t>where operations are affected by</w:t>
      </w:r>
      <w:r w:rsidR="008563EF" w:rsidRPr="008563EF">
        <w:t xml:space="preserve"> conflict</w:t>
      </w:r>
      <w:r w:rsidR="00BB738D">
        <w:t xml:space="preserve"> or </w:t>
      </w:r>
      <w:r w:rsidR="008563EF" w:rsidRPr="008563EF">
        <w:t xml:space="preserve">rising inequalities in transitioning economies. </w:t>
      </w:r>
      <w:r w:rsidR="00E63881" w:rsidRPr="00173EC7">
        <w:rPr>
          <w:lang w:val="en-AU"/>
        </w:rPr>
        <w:t xml:space="preserve">The ANCP enables </w:t>
      </w:r>
      <w:r w:rsidR="008563EF">
        <w:rPr>
          <w:lang w:val="en-AU"/>
        </w:rPr>
        <w:t xml:space="preserve">ANCP </w:t>
      </w:r>
      <w:r w:rsidR="00E63881" w:rsidRPr="00173EC7">
        <w:rPr>
          <w:lang w:val="en-AU"/>
        </w:rPr>
        <w:t>NGOs to maintain relationships and develop capacity in sectors and geographic areas both within and beyond the footprint of regio</w:t>
      </w:r>
      <w:r w:rsidR="008563EF">
        <w:rPr>
          <w:lang w:val="en-AU"/>
        </w:rPr>
        <w:t xml:space="preserve">nal and bilateral </w:t>
      </w:r>
      <w:r w:rsidR="009F75A2">
        <w:rPr>
          <w:lang w:val="en-AU"/>
        </w:rPr>
        <w:t xml:space="preserve">Australian </w:t>
      </w:r>
      <w:r w:rsidR="008563EF">
        <w:rPr>
          <w:lang w:val="en-AU"/>
        </w:rPr>
        <w:t>aid programs</w:t>
      </w:r>
      <w:r w:rsidR="00BB738D">
        <w:rPr>
          <w:lang w:val="en-AU"/>
        </w:rPr>
        <w:t>. The Program</w:t>
      </w:r>
      <w:r w:rsidR="008563EF">
        <w:rPr>
          <w:lang w:val="en-AU"/>
        </w:rPr>
        <w:t xml:space="preserve"> may </w:t>
      </w:r>
      <w:r w:rsidR="00BB738D">
        <w:rPr>
          <w:lang w:val="en-AU"/>
        </w:rPr>
        <w:t xml:space="preserve">also </w:t>
      </w:r>
      <w:r w:rsidR="008563EF">
        <w:rPr>
          <w:lang w:val="en-AU"/>
        </w:rPr>
        <w:t>help to bridge the funding gap to civil society organisations as bilateral aid budgets decrease or shift focus in transitioning economies.</w:t>
      </w:r>
    </w:p>
    <w:p w14:paraId="3207E39E" w14:textId="77777777" w:rsidR="00C6626C" w:rsidRPr="002A51CA" w:rsidRDefault="00C6626C" w:rsidP="00092D94">
      <w:pPr>
        <w:pStyle w:val="ListBullet"/>
        <w:keepNext/>
        <w:keepLines/>
        <w:tabs>
          <w:tab w:val="clear" w:pos="284"/>
        </w:tabs>
        <w:spacing w:before="360"/>
        <w:rPr>
          <w:rFonts w:asciiTheme="majorHAnsi" w:eastAsiaTheme="majorEastAsia" w:hAnsiTheme="majorHAnsi" w:cstheme="majorBidi"/>
          <w:caps/>
          <w:color w:val="495965" w:themeColor="text2"/>
          <w:sz w:val="38"/>
          <w:szCs w:val="26"/>
          <w:lang w:val="en-GB" w:eastAsia="en-US"/>
        </w:rPr>
      </w:pPr>
      <w:r w:rsidRPr="002A51CA">
        <w:rPr>
          <w:rFonts w:asciiTheme="majorHAnsi" w:eastAsiaTheme="majorEastAsia" w:hAnsiTheme="majorHAnsi" w:cstheme="majorBidi"/>
          <w:caps/>
          <w:color w:val="495965" w:themeColor="text2"/>
          <w:sz w:val="38"/>
          <w:szCs w:val="26"/>
          <w:lang w:val="en-GB" w:eastAsia="en-US"/>
        </w:rPr>
        <w:lastRenderedPageBreak/>
        <w:t>Expenditure</w:t>
      </w:r>
    </w:p>
    <w:p w14:paraId="73B3F398" w14:textId="6C3EF781" w:rsidR="002A51CA" w:rsidRDefault="00D83FAC" w:rsidP="00EF4CD8">
      <w:pPr>
        <w:keepNext/>
        <w:keepLines/>
      </w:pPr>
      <w:r>
        <w:t xml:space="preserve">The ANCP budget allocation was $127.3 million in 2016-17 – the same as in 2015-16. Of the total budget allocation, less than one per cent ($900,000) was used </w:t>
      </w:r>
      <w:r w:rsidRPr="00D83FAC">
        <w:t xml:space="preserve">for program support </w:t>
      </w:r>
      <w:r>
        <w:t xml:space="preserve">costs </w:t>
      </w:r>
      <w:r w:rsidRPr="00D83FAC">
        <w:t>including monitoring, evaluation and learning activities</w:t>
      </w:r>
      <w:r w:rsidR="00E32E63">
        <w:rPr>
          <w:rStyle w:val="FootnoteReference"/>
        </w:rPr>
        <w:footnoteReference w:id="5"/>
      </w:r>
      <w:r w:rsidRPr="00D83FAC">
        <w:t xml:space="preserve">. </w:t>
      </w:r>
      <w:r>
        <w:t xml:space="preserve">The remaining $126.4 million was </w:t>
      </w:r>
      <w:r w:rsidR="003948B5">
        <w:t xml:space="preserve">allocated </w:t>
      </w:r>
      <w:r>
        <w:t>to ANCP NGOs as grants</w:t>
      </w:r>
      <w:r w:rsidR="00E32E63">
        <w:t>,</w:t>
      </w:r>
      <w:r w:rsidR="003948B5">
        <w:t xml:space="preserve"> in accordance with the program’s transparent funding model</w:t>
      </w:r>
      <w:r>
        <w:t xml:space="preserve">. </w:t>
      </w:r>
      <w:r w:rsidRPr="00D83FAC">
        <w:t>ANCP NGOs can use up to 10 per cent of their ANCP grant for design, monitoring a</w:t>
      </w:r>
      <w:r>
        <w:t>nd evaluation</w:t>
      </w:r>
      <w:r w:rsidR="007278A4">
        <w:t xml:space="preserve"> (DM&amp;E)</w:t>
      </w:r>
      <w:r>
        <w:t xml:space="preserve"> costs and in 20</w:t>
      </w:r>
      <w:r w:rsidRPr="00D83FAC">
        <w:t>16</w:t>
      </w:r>
      <w:r>
        <w:t>-17 spent $8.5</w:t>
      </w:r>
      <w:r w:rsidRPr="00D83FAC">
        <w:t xml:space="preserve"> million on </w:t>
      </w:r>
      <w:r w:rsidR="007278A4">
        <w:t>DM&amp;E</w:t>
      </w:r>
      <w:r w:rsidR="00EF4CD8">
        <w:t>,</w:t>
      </w:r>
      <w:r>
        <w:t xml:space="preserve"> with an average of </w:t>
      </w:r>
      <w:r w:rsidR="007278A4">
        <w:t>5.9 per cent</w:t>
      </w:r>
      <w:r w:rsidRPr="00D83FAC">
        <w:t>.</w:t>
      </w:r>
    </w:p>
    <w:p w14:paraId="6D771911" w14:textId="1FDBADF5" w:rsidR="00D27EA5" w:rsidRDefault="00D27EA5" w:rsidP="002A51CA">
      <w:r>
        <w:rPr>
          <w:noProof/>
          <w:lang w:val="en-AU" w:eastAsia="en-AU"/>
        </w:rPr>
        <w:drawing>
          <wp:anchor distT="0" distB="0" distL="114300" distR="114300" simplePos="0" relativeHeight="251693056" behindDoc="0" locked="0" layoutInCell="1" allowOverlap="1" wp14:anchorId="1662B88A" wp14:editId="7A09DA83">
            <wp:simplePos x="0" y="0"/>
            <wp:positionH relativeFrom="column">
              <wp:posOffset>-349250</wp:posOffset>
            </wp:positionH>
            <wp:positionV relativeFrom="paragraph">
              <wp:posOffset>45085</wp:posOffset>
            </wp:positionV>
            <wp:extent cx="3683000" cy="3726180"/>
            <wp:effectExtent l="0" t="0" r="0" b="0"/>
            <wp:wrapThrough wrapText="bothSides">
              <wp:wrapPolygon edited="0">
                <wp:start x="11619" y="552"/>
                <wp:lineTo x="4357" y="773"/>
                <wp:lineTo x="4357" y="1325"/>
                <wp:lineTo x="10726" y="2540"/>
                <wp:lineTo x="8603" y="2650"/>
                <wp:lineTo x="4692" y="3755"/>
                <wp:lineTo x="4692" y="4307"/>
                <wp:lineTo x="4134" y="4748"/>
                <wp:lineTo x="2793" y="6074"/>
                <wp:lineTo x="1676" y="7840"/>
                <wp:lineTo x="1006" y="9607"/>
                <wp:lineTo x="782" y="11374"/>
                <wp:lineTo x="894" y="13141"/>
                <wp:lineTo x="1452" y="14908"/>
                <wp:lineTo x="2346" y="16675"/>
                <wp:lineTo x="3687" y="18442"/>
                <wp:lineTo x="6480" y="20209"/>
                <wp:lineTo x="6815" y="20319"/>
                <wp:lineTo x="8938" y="20761"/>
                <wp:lineTo x="9720" y="20982"/>
                <wp:lineTo x="10614" y="20982"/>
                <wp:lineTo x="11396" y="20761"/>
                <wp:lineTo x="13519" y="20319"/>
                <wp:lineTo x="13854" y="20209"/>
                <wp:lineTo x="16535" y="18442"/>
                <wp:lineTo x="18099" y="16675"/>
                <wp:lineTo x="18881" y="14908"/>
                <wp:lineTo x="19328" y="13141"/>
                <wp:lineTo x="19440" y="11374"/>
                <wp:lineTo x="19217" y="9607"/>
                <wp:lineTo x="18658" y="7840"/>
                <wp:lineTo x="17541" y="6074"/>
                <wp:lineTo x="15753" y="3975"/>
                <wp:lineTo x="12848" y="2982"/>
                <wp:lineTo x="10726" y="2540"/>
                <wp:lineTo x="17094" y="1325"/>
                <wp:lineTo x="17317" y="773"/>
                <wp:lineTo x="14189" y="552"/>
                <wp:lineTo x="11619" y="552"/>
              </wp:wrapPolygon>
            </wp:wrapThrough>
            <wp:docPr id="41" name="Chart 4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14:sizeRelH relativeFrom="margin">
              <wp14:pctWidth>0</wp14:pctWidth>
            </wp14:sizeRelH>
            <wp14:sizeRelV relativeFrom="margin">
              <wp14:pctHeight>0</wp14:pctHeight>
            </wp14:sizeRelV>
          </wp:anchor>
        </w:drawing>
      </w:r>
      <w:r>
        <w:rPr>
          <w:noProof/>
          <w:lang w:val="en-AU" w:eastAsia="en-AU"/>
        </w:rPr>
        <w:drawing>
          <wp:anchor distT="0" distB="0" distL="114300" distR="114300" simplePos="0" relativeHeight="251692032" behindDoc="0" locked="0" layoutInCell="1" allowOverlap="1" wp14:anchorId="236ECD6F" wp14:editId="42CFCB42">
            <wp:simplePos x="0" y="0"/>
            <wp:positionH relativeFrom="margin">
              <wp:posOffset>2747645</wp:posOffset>
            </wp:positionH>
            <wp:positionV relativeFrom="paragraph">
              <wp:posOffset>45085</wp:posOffset>
            </wp:positionV>
            <wp:extent cx="3631565" cy="4036695"/>
            <wp:effectExtent l="0" t="0" r="0" b="0"/>
            <wp:wrapThrough wrapText="bothSides">
              <wp:wrapPolygon edited="0">
                <wp:start x="9744" y="510"/>
                <wp:lineTo x="2379" y="714"/>
                <wp:lineTo x="2379" y="1223"/>
                <wp:lineTo x="10764" y="2345"/>
                <wp:lineTo x="8611" y="2854"/>
                <wp:lineTo x="6119" y="3772"/>
                <wp:lineTo x="5779" y="4179"/>
                <wp:lineTo x="4079" y="5606"/>
                <wp:lineTo x="2946" y="7237"/>
                <wp:lineTo x="2266" y="8868"/>
                <wp:lineTo x="2040" y="10499"/>
                <wp:lineTo x="2153" y="12130"/>
                <wp:lineTo x="2606" y="13761"/>
                <wp:lineTo x="3513" y="15392"/>
                <wp:lineTo x="4985" y="17023"/>
                <wp:lineTo x="7705" y="18654"/>
                <wp:lineTo x="8045" y="18756"/>
                <wp:lineTo x="10198" y="19164"/>
                <wp:lineTo x="10877" y="19368"/>
                <wp:lineTo x="12464" y="19368"/>
                <wp:lineTo x="12804" y="19164"/>
                <wp:lineTo x="14956" y="18756"/>
                <wp:lineTo x="15296" y="18654"/>
                <wp:lineTo x="18016" y="17023"/>
                <wp:lineTo x="19602" y="15392"/>
                <wp:lineTo x="20395" y="13761"/>
                <wp:lineTo x="20848" y="12130"/>
                <wp:lineTo x="20962" y="10499"/>
                <wp:lineTo x="20622" y="8868"/>
                <wp:lineTo x="20055" y="7237"/>
                <wp:lineTo x="20169" y="6320"/>
                <wp:lineTo x="19602" y="5606"/>
                <wp:lineTo x="20622" y="5301"/>
                <wp:lineTo x="20395" y="4281"/>
                <wp:lineTo x="16883" y="3975"/>
                <wp:lineTo x="16996" y="3568"/>
                <wp:lineTo x="13483" y="2650"/>
                <wp:lineTo x="10764" y="2345"/>
                <wp:lineTo x="19262" y="1325"/>
                <wp:lineTo x="19375" y="714"/>
                <wp:lineTo x="12350" y="510"/>
                <wp:lineTo x="9744" y="510"/>
              </wp:wrapPolygon>
            </wp:wrapThrough>
            <wp:docPr id="37" name="Chart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14:sizeRelH relativeFrom="margin">
              <wp14:pctWidth>0</wp14:pctWidth>
            </wp14:sizeRelH>
          </wp:anchor>
        </w:drawing>
      </w:r>
      <w:r w:rsidRPr="00D27EA5">
        <w:rPr>
          <w:noProof/>
          <w:lang w:val="en-AU" w:eastAsia="en-AU"/>
        </w:rPr>
        <w:t xml:space="preserve"> </w:t>
      </w:r>
    </w:p>
    <w:p w14:paraId="4B45632A" w14:textId="77777777" w:rsidR="00D27EA5" w:rsidRDefault="00D27EA5" w:rsidP="005917BE">
      <w:pPr>
        <w:pStyle w:val="ListBullet"/>
        <w:tabs>
          <w:tab w:val="clear" w:pos="284"/>
        </w:tabs>
        <w:spacing w:before="360"/>
        <w:rPr>
          <w:rFonts w:asciiTheme="majorHAnsi" w:eastAsiaTheme="majorEastAsia" w:hAnsiTheme="majorHAnsi" w:cstheme="majorBidi"/>
          <w:caps/>
          <w:color w:val="495965" w:themeColor="text2"/>
          <w:sz w:val="38"/>
          <w:szCs w:val="26"/>
          <w:lang w:val="en-GB" w:eastAsia="en-US"/>
        </w:rPr>
      </w:pPr>
    </w:p>
    <w:p w14:paraId="7BCF3D53" w14:textId="77777777" w:rsidR="00D27EA5" w:rsidRDefault="00D27EA5" w:rsidP="005917BE">
      <w:pPr>
        <w:pStyle w:val="ListBullet"/>
        <w:tabs>
          <w:tab w:val="clear" w:pos="284"/>
        </w:tabs>
        <w:spacing w:before="360"/>
        <w:rPr>
          <w:rFonts w:asciiTheme="majorHAnsi" w:eastAsiaTheme="majorEastAsia" w:hAnsiTheme="majorHAnsi" w:cstheme="majorBidi"/>
          <w:caps/>
          <w:color w:val="495965" w:themeColor="text2"/>
          <w:sz w:val="38"/>
          <w:szCs w:val="26"/>
          <w:lang w:val="en-GB" w:eastAsia="en-US"/>
        </w:rPr>
      </w:pPr>
    </w:p>
    <w:p w14:paraId="720E715C" w14:textId="77777777" w:rsidR="00D27EA5" w:rsidRDefault="00D27EA5" w:rsidP="005917BE">
      <w:pPr>
        <w:pStyle w:val="ListBullet"/>
        <w:tabs>
          <w:tab w:val="clear" w:pos="284"/>
        </w:tabs>
        <w:spacing w:before="360"/>
        <w:rPr>
          <w:rFonts w:asciiTheme="majorHAnsi" w:eastAsiaTheme="majorEastAsia" w:hAnsiTheme="majorHAnsi" w:cstheme="majorBidi"/>
          <w:caps/>
          <w:color w:val="495965" w:themeColor="text2"/>
          <w:sz w:val="38"/>
          <w:szCs w:val="26"/>
          <w:lang w:val="en-GB" w:eastAsia="en-US"/>
        </w:rPr>
      </w:pPr>
    </w:p>
    <w:p w14:paraId="6F99D690" w14:textId="77777777" w:rsidR="00D27EA5" w:rsidRDefault="00D27EA5" w:rsidP="005917BE">
      <w:pPr>
        <w:pStyle w:val="ListBullet"/>
        <w:tabs>
          <w:tab w:val="clear" w:pos="284"/>
        </w:tabs>
        <w:spacing w:before="360"/>
        <w:rPr>
          <w:rFonts w:asciiTheme="majorHAnsi" w:eastAsiaTheme="majorEastAsia" w:hAnsiTheme="majorHAnsi" w:cstheme="majorBidi"/>
          <w:caps/>
          <w:color w:val="495965" w:themeColor="text2"/>
          <w:sz w:val="38"/>
          <w:szCs w:val="26"/>
          <w:lang w:val="en-GB" w:eastAsia="en-US"/>
        </w:rPr>
      </w:pPr>
    </w:p>
    <w:p w14:paraId="464E774B" w14:textId="4C8627F1" w:rsidR="002A51CA" w:rsidRPr="005917BE" w:rsidRDefault="0096567F" w:rsidP="005917BE">
      <w:pPr>
        <w:pStyle w:val="ListBullet"/>
        <w:tabs>
          <w:tab w:val="clear" w:pos="284"/>
        </w:tabs>
        <w:spacing w:before="360"/>
        <w:rPr>
          <w:rFonts w:asciiTheme="majorHAnsi" w:eastAsiaTheme="majorEastAsia" w:hAnsiTheme="majorHAnsi" w:cstheme="majorBidi"/>
          <w:caps/>
          <w:color w:val="495965" w:themeColor="text2"/>
          <w:sz w:val="38"/>
          <w:szCs w:val="26"/>
          <w:lang w:val="en-GB" w:eastAsia="en-US"/>
        </w:rPr>
      </w:pPr>
      <w:r>
        <w:rPr>
          <w:rFonts w:asciiTheme="majorHAnsi" w:eastAsiaTheme="majorEastAsia" w:hAnsiTheme="majorHAnsi" w:cstheme="majorBidi"/>
          <w:caps/>
          <w:color w:val="495965" w:themeColor="text2"/>
          <w:sz w:val="38"/>
          <w:szCs w:val="26"/>
          <w:lang w:val="en-GB" w:eastAsia="en-US"/>
        </w:rPr>
        <w:t>Progress towards</w:t>
      </w:r>
      <w:r w:rsidR="00162218">
        <w:rPr>
          <w:rFonts w:asciiTheme="majorHAnsi" w:eastAsiaTheme="majorEastAsia" w:hAnsiTheme="majorHAnsi" w:cstheme="majorBidi"/>
          <w:caps/>
          <w:color w:val="495965" w:themeColor="text2"/>
          <w:sz w:val="38"/>
          <w:szCs w:val="26"/>
          <w:lang w:val="en-GB" w:eastAsia="en-US"/>
        </w:rPr>
        <w:t xml:space="preserve"> </w:t>
      </w:r>
      <w:r>
        <w:rPr>
          <w:rFonts w:asciiTheme="majorHAnsi" w:eastAsiaTheme="majorEastAsia" w:hAnsiTheme="majorHAnsi" w:cstheme="majorBidi"/>
          <w:caps/>
          <w:color w:val="495965" w:themeColor="text2"/>
          <w:sz w:val="38"/>
          <w:szCs w:val="26"/>
          <w:lang w:val="en-GB" w:eastAsia="en-US"/>
        </w:rPr>
        <w:t>Outcomes</w:t>
      </w:r>
      <w:r w:rsidR="002A51CA" w:rsidRPr="002A51CA">
        <w:rPr>
          <w:rFonts w:asciiTheme="majorHAnsi" w:eastAsiaTheme="majorEastAsia" w:hAnsiTheme="majorHAnsi" w:cstheme="majorBidi"/>
          <w:caps/>
          <w:color w:val="495965" w:themeColor="text2"/>
          <w:sz w:val="38"/>
          <w:szCs w:val="26"/>
          <w:lang w:val="en-GB" w:eastAsia="en-US"/>
        </w:rPr>
        <w:tab/>
      </w:r>
    </w:p>
    <w:p w14:paraId="4B435E00" w14:textId="70714880" w:rsidR="002A51CA" w:rsidRPr="008C2F58" w:rsidRDefault="002A51CA" w:rsidP="002A51CA">
      <w:pPr>
        <w:rPr>
          <w:b/>
          <w:sz w:val="24"/>
        </w:rPr>
      </w:pPr>
      <w:r w:rsidRPr="008C2F58">
        <w:rPr>
          <w:b/>
          <w:sz w:val="24"/>
        </w:rPr>
        <w:t xml:space="preserve">Table </w:t>
      </w:r>
      <w:r w:rsidRPr="008C2F58">
        <w:rPr>
          <w:b/>
          <w:sz w:val="24"/>
        </w:rPr>
        <w:fldChar w:fldCharType="begin"/>
      </w:r>
      <w:r w:rsidRPr="008C2F58">
        <w:rPr>
          <w:b/>
          <w:sz w:val="24"/>
        </w:rPr>
        <w:instrText xml:space="preserve"> SEQ Table \* ARABIC </w:instrText>
      </w:r>
      <w:r w:rsidRPr="008C2F58">
        <w:rPr>
          <w:b/>
          <w:sz w:val="24"/>
        </w:rPr>
        <w:fldChar w:fldCharType="separate"/>
      </w:r>
      <w:r w:rsidR="00331D71">
        <w:rPr>
          <w:b/>
          <w:noProof/>
          <w:sz w:val="24"/>
        </w:rPr>
        <w:t>1</w:t>
      </w:r>
      <w:r w:rsidRPr="008C2F58">
        <w:rPr>
          <w:b/>
          <w:noProof/>
          <w:sz w:val="24"/>
        </w:rPr>
        <w:fldChar w:fldCharType="end"/>
      </w:r>
      <w:r w:rsidRPr="008C2F58">
        <w:rPr>
          <w:b/>
          <w:sz w:val="24"/>
        </w:rPr>
        <w:t xml:space="preserve"> Rating of the Program's Progress towards Australia’s Aid Objectives</w:t>
      </w:r>
    </w:p>
    <w:tbl>
      <w:tblPr>
        <w:tblStyle w:val="APPR"/>
        <w:tblW w:w="4854" w:type="pct"/>
        <w:tblLook w:val="0000" w:firstRow="0" w:lastRow="0" w:firstColumn="0" w:lastColumn="0" w:noHBand="0" w:noVBand="0"/>
      </w:tblPr>
      <w:tblGrid>
        <w:gridCol w:w="6759"/>
        <w:gridCol w:w="1321"/>
        <w:gridCol w:w="1277"/>
      </w:tblGrid>
      <w:tr w:rsidR="005917BE" w:rsidRPr="00C61187" w14:paraId="23F6F055" w14:textId="77777777" w:rsidTr="00DA040F">
        <w:trPr>
          <w:cnfStyle w:val="000000010000" w:firstRow="0" w:lastRow="0" w:firstColumn="0" w:lastColumn="0" w:oddVBand="0" w:evenVBand="0" w:oddHBand="0" w:evenHBand="1" w:firstRowFirstColumn="0" w:firstRowLastColumn="0" w:lastRowFirstColumn="0" w:lastRowLastColumn="0"/>
          <w:trHeight w:val="651"/>
        </w:trPr>
        <w:tc>
          <w:tcPr>
            <w:tcW w:w="6717" w:type="dxa"/>
          </w:tcPr>
          <w:p w14:paraId="7279F319" w14:textId="7D43E613" w:rsidR="005917BE" w:rsidRPr="00BE6C6D" w:rsidRDefault="005917BE" w:rsidP="005917BE">
            <w:pPr>
              <w:pStyle w:val="NormalIndented"/>
              <w:rPr>
                <w:sz w:val="18"/>
                <w:lang w:eastAsia="en-US"/>
              </w:rPr>
            </w:pPr>
            <w:r w:rsidRPr="00C72A9C">
              <w:rPr>
                <w:noProof/>
                <w:sz w:val="18"/>
                <w:lang w:val="en-AU"/>
              </w:rPr>
              <w:drawing>
                <wp:anchor distT="0" distB="0" distL="114300" distR="114300" simplePos="0" relativeHeight="251687936" behindDoc="0" locked="0" layoutInCell="1" allowOverlap="1" wp14:anchorId="30DE6E00" wp14:editId="602EBCA8">
                  <wp:simplePos x="0" y="0"/>
                  <wp:positionH relativeFrom="column">
                    <wp:posOffset>0</wp:posOffset>
                  </wp:positionH>
                  <wp:positionV relativeFrom="paragraph">
                    <wp:posOffset>0</wp:posOffset>
                  </wp:positionV>
                  <wp:extent cx="1857375" cy="228600"/>
                  <wp:effectExtent l="0" t="0" r="9525" b="0"/>
                  <wp:wrapNone/>
                  <wp:docPr id="2" name="Picture 2"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hidden="1"/>
                          <pic:cNvPicPr>
                            <a:picLocks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18"/>
                <w:lang w:val="en-AU" w:eastAsia="en-US"/>
              </w:rPr>
              <w:t>Outcomes</w:t>
            </w:r>
          </w:p>
        </w:tc>
        <w:tc>
          <w:tcPr>
            <w:tcW w:w="1293" w:type="dxa"/>
          </w:tcPr>
          <w:p w14:paraId="4B7002C3" w14:textId="680693AC" w:rsidR="005917BE" w:rsidRPr="00BE6C6D" w:rsidRDefault="005917BE" w:rsidP="005917BE">
            <w:pPr>
              <w:pStyle w:val="NormalIndented"/>
              <w:rPr>
                <w:sz w:val="18"/>
                <w:lang w:eastAsia="en-US"/>
              </w:rPr>
            </w:pPr>
            <w:r w:rsidRPr="00C72A9C">
              <w:rPr>
                <w:sz w:val="18"/>
                <w:lang w:val="en-AU" w:eastAsia="en-US"/>
              </w:rPr>
              <w:t>Previous Rating</w:t>
            </w:r>
          </w:p>
        </w:tc>
        <w:tc>
          <w:tcPr>
            <w:tcW w:w="1235" w:type="dxa"/>
          </w:tcPr>
          <w:p w14:paraId="2326D646" w14:textId="7EB36652" w:rsidR="005917BE" w:rsidRPr="00BE6C6D" w:rsidRDefault="005917BE" w:rsidP="005917BE">
            <w:pPr>
              <w:pStyle w:val="NormalIndented"/>
              <w:rPr>
                <w:sz w:val="18"/>
                <w:lang w:eastAsia="en-US"/>
              </w:rPr>
            </w:pPr>
            <w:r>
              <w:rPr>
                <w:sz w:val="18"/>
                <w:lang w:eastAsia="en-US"/>
              </w:rPr>
              <w:t>Current Rating</w:t>
            </w:r>
          </w:p>
        </w:tc>
      </w:tr>
      <w:tr w:rsidR="005917BE" w:rsidRPr="00C61187" w14:paraId="65FCAE1D" w14:textId="77777777" w:rsidTr="005917BE">
        <w:trPr>
          <w:cnfStyle w:val="000000010000" w:firstRow="0" w:lastRow="0" w:firstColumn="0" w:lastColumn="0" w:oddVBand="0" w:evenVBand="0" w:oddHBand="0" w:evenHBand="1" w:firstRowFirstColumn="0" w:firstRowLastColumn="0" w:lastRowFirstColumn="0" w:lastRowLastColumn="0"/>
        </w:trPr>
        <w:tc>
          <w:tcPr>
            <w:tcW w:w="6717"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36EA97F" w14:textId="2C79C4E4" w:rsidR="005917BE" w:rsidRPr="00BE6C6D" w:rsidRDefault="005917BE" w:rsidP="005917BE">
            <w:pPr>
              <w:pStyle w:val="NormalIndented"/>
              <w:rPr>
                <w:sz w:val="16"/>
                <w:lang w:eastAsia="en-US"/>
              </w:rPr>
            </w:pPr>
            <w:r>
              <w:rPr>
                <w:sz w:val="16"/>
                <w:lang w:val="en-AU" w:eastAsia="en-US"/>
              </w:rPr>
              <w:t>Effective and value for money programming</w:t>
            </w:r>
          </w:p>
        </w:tc>
        <w:tc>
          <w:tcPr>
            <w:tcW w:w="1293"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72AF2F"/>
            <w:noWrap/>
          </w:tcPr>
          <w:p w14:paraId="576944F4" w14:textId="015E7E1A" w:rsidR="005917BE" w:rsidRPr="005917BE" w:rsidRDefault="005917BE" w:rsidP="005917BE">
            <w:pPr>
              <w:pStyle w:val="NormalIndented"/>
              <w:rPr>
                <w:color w:val="FFFFFF" w:themeColor="background1"/>
                <w:sz w:val="16"/>
                <w:lang w:val="en-AU" w:eastAsia="en-US"/>
              </w:rPr>
            </w:pPr>
            <w:r w:rsidRPr="00C72A9C">
              <w:rPr>
                <w:color w:val="FFFFFF" w:themeColor="background1"/>
                <w:sz w:val="16"/>
                <w:lang w:val="en-AU" w:eastAsia="en-US"/>
              </w:rPr>
              <w:t>Green</w:t>
            </w:r>
          </w:p>
        </w:tc>
        <w:tc>
          <w:tcPr>
            <w:tcW w:w="1235"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72AF2F"/>
            <w:noWrap/>
          </w:tcPr>
          <w:p w14:paraId="7C8719FB" w14:textId="3D269175" w:rsidR="005917BE" w:rsidRPr="00BE6C6D" w:rsidRDefault="005917BE" w:rsidP="005917BE">
            <w:pPr>
              <w:pStyle w:val="NormalIndented"/>
              <w:rPr>
                <w:color w:val="FFFFFF" w:themeColor="background1"/>
                <w:sz w:val="16"/>
                <w:lang w:eastAsia="en-US"/>
              </w:rPr>
            </w:pPr>
            <w:r w:rsidRPr="00C72A9C">
              <w:rPr>
                <w:color w:val="FFFFFF" w:themeColor="background1"/>
                <w:sz w:val="16"/>
                <w:lang w:val="en-AU" w:eastAsia="en-US"/>
              </w:rPr>
              <w:t>Green</w:t>
            </w:r>
          </w:p>
        </w:tc>
      </w:tr>
      <w:tr w:rsidR="005917BE" w:rsidRPr="00C61187" w14:paraId="621072F8" w14:textId="77777777" w:rsidTr="005917BE">
        <w:trPr>
          <w:cnfStyle w:val="000000010000" w:firstRow="0" w:lastRow="0" w:firstColumn="0" w:lastColumn="0" w:oddVBand="0" w:evenVBand="0" w:oddHBand="0" w:evenHBand="1" w:firstRowFirstColumn="0" w:firstRowLastColumn="0" w:lastRowFirstColumn="0" w:lastRowLastColumn="0"/>
        </w:trPr>
        <w:tc>
          <w:tcPr>
            <w:tcW w:w="6717" w:type="dxa"/>
          </w:tcPr>
          <w:p w14:paraId="29B07929" w14:textId="6F7E55DF" w:rsidR="005917BE" w:rsidRPr="00BE6C6D" w:rsidRDefault="005917BE" w:rsidP="005917BE">
            <w:pPr>
              <w:pStyle w:val="NormalIndented"/>
              <w:rPr>
                <w:sz w:val="16"/>
                <w:lang w:eastAsia="en-US"/>
              </w:rPr>
            </w:pPr>
            <w:r w:rsidRPr="00C72A9C">
              <w:rPr>
                <w:sz w:val="16"/>
                <w:lang w:val="en-AU" w:eastAsia="en-US"/>
              </w:rPr>
              <w:t>A diversity of ANGOs draws on funding and expertise from a range of sources</w:t>
            </w:r>
          </w:p>
        </w:tc>
        <w:tc>
          <w:tcPr>
            <w:tcW w:w="1293" w:type="dxa"/>
            <w:shd w:val="clear" w:color="auto" w:fill="72AF2F"/>
            <w:noWrap/>
          </w:tcPr>
          <w:p w14:paraId="7224DF93" w14:textId="1502B6FB" w:rsidR="005917BE" w:rsidRPr="005917BE" w:rsidRDefault="005917BE" w:rsidP="005917BE">
            <w:pPr>
              <w:pStyle w:val="NormalIndented"/>
              <w:rPr>
                <w:color w:val="FFFFFF" w:themeColor="background1"/>
                <w:sz w:val="16"/>
                <w:lang w:val="en-AU" w:eastAsia="en-US"/>
              </w:rPr>
            </w:pPr>
            <w:r w:rsidRPr="00C72A9C">
              <w:rPr>
                <w:color w:val="FFFFFF" w:themeColor="background1"/>
                <w:sz w:val="16"/>
                <w:lang w:val="en-AU" w:eastAsia="en-US"/>
              </w:rPr>
              <w:t>Green</w:t>
            </w:r>
          </w:p>
        </w:tc>
        <w:tc>
          <w:tcPr>
            <w:tcW w:w="1235" w:type="dxa"/>
            <w:shd w:val="clear" w:color="auto" w:fill="72AF2F"/>
            <w:noWrap/>
          </w:tcPr>
          <w:p w14:paraId="0BA207C3" w14:textId="0BA70C20" w:rsidR="005917BE" w:rsidRPr="00BE6C6D" w:rsidRDefault="005917BE" w:rsidP="005917BE">
            <w:pPr>
              <w:pStyle w:val="NormalIndented"/>
              <w:rPr>
                <w:color w:val="FFFFFF" w:themeColor="background1"/>
                <w:sz w:val="16"/>
                <w:lang w:eastAsia="en-US"/>
              </w:rPr>
            </w:pPr>
            <w:r w:rsidRPr="00C72A9C">
              <w:rPr>
                <w:color w:val="FFFFFF" w:themeColor="background1"/>
                <w:sz w:val="16"/>
                <w:lang w:val="en-AU" w:eastAsia="en-US"/>
              </w:rPr>
              <w:t>Green</w:t>
            </w:r>
          </w:p>
        </w:tc>
      </w:tr>
      <w:tr w:rsidR="005917BE" w:rsidRPr="00C61187" w14:paraId="79F6836C" w14:textId="77777777" w:rsidTr="005917BE">
        <w:trPr>
          <w:cnfStyle w:val="000000010000" w:firstRow="0" w:lastRow="0" w:firstColumn="0" w:lastColumn="0" w:oddVBand="0" w:evenVBand="0" w:oddHBand="0" w:evenHBand="1" w:firstRowFirstColumn="0" w:firstRowLastColumn="0" w:lastRowFirstColumn="0" w:lastRowLastColumn="0"/>
        </w:trPr>
        <w:tc>
          <w:tcPr>
            <w:tcW w:w="6717" w:type="dxa"/>
          </w:tcPr>
          <w:p w14:paraId="2C17779A" w14:textId="40A3D3FD" w:rsidR="005917BE" w:rsidRPr="00BE6C6D" w:rsidRDefault="005917BE" w:rsidP="005917BE">
            <w:pPr>
              <w:pStyle w:val="NormalIndented"/>
              <w:rPr>
                <w:sz w:val="16"/>
                <w:lang w:eastAsia="en-US"/>
              </w:rPr>
            </w:pPr>
            <w:r w:rsidRPr="00C72A9C">
              <w:rPr>
                <w:sz w:val="16"/>
                <w:lang w:val="en-AU" w:eastAsia="en-US"/>
              </w:rPr>
              <w:t>Effective engagement with in-country partners</w:t>
            </w:r>
          </w:p>
        </w:tc>
        <w:tc>
          <w:tcPr>
            <w:tcW w:w="1293" w:type="dxa"/>
            <w:shd w:val="clear" w:color="auto" w:fill="72AF2F"/>
            <w:noWrap/>
          </w:tcPr>
          <w:p w14:paraId="1B540AD1" w14:textId="237BB5E0" w:rsidR="005917BE" w:rsidRPr="005917BE" w:rsidRDefault="005917BE" w:rsidP="005917BE">
            <w:pPr>
              <w:pStyle w:val="NormalIndented"/>
              <w:rPr>
                <w:color w:val="FFFFFF" w:themeColor="background1"/>
                <w:sz w:val="16"/>
                <w:lang w:val="en-AU" w:eastAsia="en-US"/>
              </w:rPr>
            </w:pPr>
            <w:r w:rsidRPr="00C72A9C">
              <w:rPr>
                <w:color w:val="FFFFFF" w:themeColor="background1"/>
                <w:sz w:val="16"/>
                <w:lang w:val="en-AU" w:eastAsia="en-US"/>
              </w:rPr>
              <w:t>Green</w:t>
            </w:r>
          </w:p>
        </w:tc>
        <w:tc>
          <w:tcPr>
            <w:tcW w:w="1235" w:type="dxa"/>
            <w:shd w:val="clear" w:color="auto" w:fill="72AF2F"/>
            <w:noWrap/>
          </w:tcPr>
          <w:p w14:paraId="022FAC6D" w14:textId="2288F135" w:rsidR="005917BE" w:rsidRPr="00BE6C6D" w:rsidRDefault="005917BE" w:rsidP="005917BE">
            <w:pPr>
              <w:pStyle w:val="NormalIndented"/>
              <w:rPr>
                <w:color w:val="FFFFFF" w:themeColor="background1"/>
                <w:sz w:val="16"/>
                <w:lang w:eastAsia="en-US"/>
              </w:rPr>
            </w:pPr>
            <w:r w:rsidRPr="00C72A9C">
              <w:rPr>
                <w:color w:val="FFFFFF" w:themeColor="background1"/>
                <w:sz w:val="16"/>
                <w:lang w:val="en-AU" w:eastAsia="en-US"/>
              </w:rPr>
              <w:t>Green</w:t>
            </w:r>
          </w:p>
        </w:tc>
      </w:tr>
    </w:tbl>
    <w:p w14:paraId="011CBE6D" w14:textId="77777777" w:rsidR="002A51CA" w:rsidRPr="00BE6C6D" w:rsidRDefault="002A51CA" w:rsidP="00BE6C6D">
      <w:pPr>
        <w:pStyle w:val="NormalIndented"/>
        <w:rPr>
          <w:sz w:val="16"/>
        </w:rPr>
      </w:pPr>
      <w:r w:rsidRPr="00BE6C6D">
        <w:rPr>
          <w:color w:val="72AF2F"/>
          <w:sz w:val="16"/>
        </w:rPr>
        <w:sym w:font="Webdings" w:char="F067"/>
      </w:r>
      <w:r w:rsidRPr="00BE6C6D">
        <w:rPr>
          <w:sz w:val="16"/>
        </w:rPr>
        <w:t> </w:t>
      </w:r>
      <w:r w:rsidRPr="00BE6C6D">
        <w:rPr>
          <w:sz w:val="16"/>
        </w:rPr>
        <w:t xml:space="preserve"> </w:t>
      </w:r>
      <w:r w:rsidRPr="00BE6C6D">
        <w:rPr>
          <w:b/>
          <w:sz w:val="16"/>
        </w:rPr>
        <w:t>Green</w:t>
      </w:r>
      <w:r w:rsidRPr="00BE6C6D">
        <w:rPr>
          <w:sz w:val="16"/>
        </w:rPr>
        <w:t>. Progress is as expected at this stage of implementation and it is likely that the objective will be achieved. Standard program management practices are sufficient.</w:t>
      </w:r>
    </w:p>
    <w:p w14:paraId="46C20D46" w14:textId="77777777" w:rsidR="002A51CA" w:rsidRPr="00BE6C6D" w:rsidRDefault="002A51CA" w:rsidP="00BE6C6D">
      <w:pPr>
        <w:pStyle w:val="NormalIndented"/>
        <w:rPr>
          <w:sz w:val="16"/>
        </w:rPr>
      </w:pPr>
      <w:r w:rsidRPr="00BE6C6D">
        <w:rPr>
          <w:color w:val="E36C0A"/>
          <w:sz w:val="16"/>
        </w:rPr>
        <w:sym w:font="Webdings" w:char="F067"/>
      </w:r>
      <w:r w:rsidRPr="00BE6C6D">
        <w:rPr>
          <w:sz w:val="16"/>
        </w:rPr>
        <w:t> </w:t>
      </w:r>
      <w:r w:rsidRPr="00BE6C6D">
        <w:rPr>
          <w:sz w:val="16"/>
        </w:rPr>
        <w:t xml:space="preserve"> </w:t>
      </w:r>
      <w:r w:rsidRPr="00BE6C6D">
        <w:rPr>
          <w:b/>
          <w:sz w:val="16"/>
        </w:rPr>
        <w:t>Amber</w:t>
      </w:r>
      <w:r w:rsidRPr="00BE6C6D">
        <w:rPr>
          <w:sz w:val="16"/>
        </w:rPr>
        <w:t>. Progress is somewhat less than expected at this stage of implementation and restorative action will be necessary if the objective is to be achieved. Close performance monitoring is recommended.</w:t>
      </w:r>
    </w:p>
    <w:p w14:paraId="75B45AB2" w14:textId="572C37FE" w:rsidR="00DA040F" w:rsidRPr="005917BE" w:rsidRDefault="002A51CA" w:rsidP="005917BE">
      <w:pPr>
        <w:pStyle w:val="NormalIndented"/>
        <w:rPr>
          <w:sz w:val="16"/>
        </w:rPr>
      </w:pPr>
      <w:r w:rsidRPr="00BE6C6D">
        <w:rPr>
          <w:color w:val="FF0000"/>
          <w:sz w:val="16"/>
        </w:rPr>
        <w:sym w:font="Webdings" w:char="F067"/>
      </w:r>
      <w:r w:rsidRPr="00BE6C6D">
        <w:rPr>
          <w:sz w:val="16"/>
        </w:rPr>
        <w:t> </w:t>
      </w:r>
      <w:r w:rsidRPr="00BE6C6D">
        <w:rPr>
          <w:sz w:val="16"/>
        </w:rPr>
        <w:t xml:space="preserve"> </w:t>
      </w:r>
      <w:r w:rsidRPr="00BE6C6D">
        <w:rPr>
          <w:b/>
          <w:sz w:val="16"/>
        </w:rPr>
        <w:t>Red.</w:t>
      </w:r>
      <w:r w:rsidRPr="00BE6C6D">
        <w:rPr>
          <w:sz w:val="16"/>
        </w:rPr>
        <w:t xml:space="preserve"> Progress is significantly less than expected at this stage of implementation and the objective is not likely to be met given available resources and priorities. Recasting the objective may be required.</w:t>
      </w:r>
    </w:p>
    <w:p w14:paraId="230866BC" w14:textId="77777777" w:rsidR="002A51CA" w:rsidRDefault="00F954A8" w:rsidP="00542905">
      <w:pPr>
        <w:pStyle w:val="ListBullet"/>
        <w:keepNext/>
        <w:keepLines/>
        <w:tabs>
          <w:tab w:val="clear" w:pos="284"/>
        </w:tabs>
        <w:spacing w:before="480" w:line="300" w:lineRule="exact"/>
        <w:rPr>
          <w:rFonts w:asciiTheme="majorHAnsi" w:eastAsiaTheme="majorEastAsia" w:hAnsiTheme="majorHAnsi" w:cstheme="majorBidi"/>
          <w:caps/>
          <w:color w:val="495965" w:themeColor="text2"/>
          <w:sz w:val="38"/>
          <w:szCs w:val="26"/>
          <w:lang w:val="en-GB" w:eastAsia="en-US"/>
        </w:rPr>
      </w:pPr>
      <w:r>
        <w:rPr>
          <w:rFonts w:asciiTheme="majorHAnsi" w:eastAsiaTheme="majorEastAsia" w:hAnsiTheme="majorHAnsi" w:cstheme="majorBidi"/>
          <w:caps/>
          <w:color w:val="495965" w:themeColor="text2"/>
          <w:sz w:val="38"/>
          <w:szCs w:val="26"/>
          <w:lang w:val="en-GB" w:eastAsia="en-US"/>
        </w:rPr>
        <w:t>Outcome 1: effective and value for money programming</w:t>
      </w:r>
    </w:p>
    <w:tbl>
      <w:tblPr>
        <w:tblStyle w:val="TableGrid"/>
        <w:tblW w:w="10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14"/>
        <w:gridCol w:w="1178"/>
        <w:gridCol w:w="1178"/>
        <w:gridCol w:w="1177"/>
        <w:gridCol w:w="1177"/>
        <w:gridCol w:w="1177"/>
        <w:gridCol w:w="1177"/>
        <w:gridCol w:w="1177"/>
        <w:gridCol w:w="236"/>
        <w:gridCol w:w="236"/>
      </w:tblGrid>
      <w:tr w:rsidR="0009384B" w14:paraId="11919326" w14:textId="7FD52A8B" w:rsidTr="0009384B">
        <w:trPr>
          <w:trHeight w:val="1209"/>
        </w:trPr>
        <w:tc>
          <w:tcPr>
            <w:tcW w:w="2016" w:type="dxa"/>
          </w:tcPr>
          <w:p w14:paraId="1BBFF9DD" w14:textId="77777777" w:rsidR="0009384B" w:rsidRDefault="0009384B" w:rsidP="00542905">
            <w:pPr>
              <w:pStyle w:val="ListBullet"/>
              <w:keepNext/>
              <w:keepLines/>
              <w:tabs>
                <w:tab w:val="clear" w:pos="284"/>
              </w:tabs>
              <w:spacing w:before="80" w:after="80" w:line="240" w:lineRule="auto"/>
              <w:jc w:val="center"/>
              <w:rPr>
                <w:rFonts w:asciiTheme="majorHAnsi" w:eastAsiaTheme="majorEastAsia" w:hAnsiTheme="majorHAnsi" w:cstheme="majorBidi"/>
                <w:caps/>
                <w:noProof/>
                <w:color w:val="495965" w:themeColor="text2"/>
                <w:sz w:val="38"/>
                <w:szCs w:val="26"/>
              </w:rPr>
            </w:pPr>
            <w:r>
              <w:rPr>
                <w:rFonts w:asciiTheme="majorHAnsi" w:eastAsiaTheme="majorEastAsia" w:hAnsiTheme="majorHAnsi" w:cstheme="majorBidi"/>
                <w:caps/>
                <w:noProof/>
                <w:color w:val="495965" w:themeColor="text2"/>
                <w:sz w:val="38"/>
                <w:szCs w:val="26"/>
              </w:rPr>
              <w:drawing>
                <wp:inline distT="0" distB="0" distL="0" distR="0" wp14:anchorId="3C2CF583" wp14:editId="18BBC8EA">
                  <wp:extent cx="1078302" cy="682470"/>
                  <wp:effectExtent l="0" t="0" r="762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DG Contribution.JPG"/>
                          <pic:cNvPicPr/>
                        </pic:nvPicPr>
                        <pic:blipFill>
                          <a:blip r:embed="rId23">
                            <a:extLst>
                              <a:ext uri="{28A0092B-C50C-407E-A947-70E740481C1C}">
                                <a14:useLocalDpi xmlns:a14="http://schemas.microsoft.com/office/drawing/2010/main" val="0"/>
                              </a:ext>
                            </a:extLst>
                          </a:blip>
                          <a:stretch>
                            <a:fillRect/>
                          </a:stretch>
                        </pic:blipFill>
                        <pic:spPr>
                          <a:xfrm>
                            <a:off x="0" y="0"/>
                            <a:ext cx="1083988" cy="686069"/>
                          </a:xfrm>
                          <a:prstGeom prst="rect">
                            <a:avLst/>
                          </a:prstGeom>
                        </pic:spPr>
                      </pic:pic>
                    </a:graphicData>
                  </a:graphic>
                </wp:inline>
              </w:drawing>
            </w:r>
          </w:p>
          <w:p w14:paraId="16839783" w14:textId="0A23D571" w:rsidR="0009384B" w:rsidRDefault="0009384B" w:rsidP="00542905">
            <w:pPr>
              <w:pStyle w:val="ListBullet"/>
              <w:keepNext/>
              <w:keepLines/>
              <w:tabs>
                <w:tab w:val="clear" w:pos="284"/>
              </w:tabs>
              <w:spacing w:before="80" w:after="80" w:line="240" w:lineRule="auto"/>
              <w:ind w:left="884"/>
              <w:jc w:val="center"/>
              <w:rPr>
                <w:rFonts w:asciiTheme="majorHAnsi" w:eastAsiaTheme="majorEastAsia" w:hAnsiTheme="majorHAnsi" w:cstheme="majorBidi"/>
                <w:caps/>
                <w:noProof/>
                <w:color w:val="495965" w:themeColor="text2"/>
                <w:sz w:val="38"/>
                <w:szCs w:val="26"/>
              </w:rPr>
            </w:pPr>
            <w:r>
              <w:rPr>
                <w:noProof/>
              </w:rPr>
              <w:drawing>
                <wp:inline distT="0" distB="0" distL="0" distR="0" wp14:anchorId="17BDD9FC" wp14:editId="5F123F38">
                  <wp:extent cx="609600" cy="609600"/>
                  <wp:effectExtent l="0" t="0" r="0" b="0"/>
                  <wp:docPr id="33" name="Picture 33" descr="C:\Users\scarpen2\AppData\Local\Microsoft\Windows\INetCache\Content.Word\SDG 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carpen2\AppData\Local\Microsoft\Windows\INetCache\Content.Word\SDG 8.pn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p w14:paraId="145A0EBE" w14:textId="5B7E717B" w:rsidR="00F46862" w:rsidRPr="0009384B" w:rsidRDefault="0009384B" w:rsidP="00542905">
            <w:pPr>
              <w:pStyle w:val="ListBullet"/>
              <w:keepNext/>
              <w:keepLines/>
              <w:tabs>
                <w:tab w:val="clear" w:pos="284"/>
              </w:tabs>
              <w:spacing w:before="80" w:after="80" w:line="240" w:lineRule="auto"/>
              <w:ind w:left="458" w:right="-443"/>
              <w:jc w:val="center"/>
              <w:rPr>
                <w:rFonts w:asciiTheme="majorHAnsi" w:eastAsiaTheme="majorEastAsia" w:hAnsiTheme="majorHAnsi" w:cstheme="majorBidi"/>
                <w:caps/>
                <w:noProof/>
                <w:color w:val="495965" w:themeColor="text2"/>
                <w:sz w:val="38"/>
                <w:szCs w:val="26"/>
              </w:rPr>
            </w:pPr>
            <w:r>
              <w:rPr>
                <w:noProof/>
              </w:rPr>
              <w:drawing>
                <wp:inline distT="0" distB="0" distL="0" distR="0" wp14:anchorId="1CD474B2" wp14:editId="1D8D918E">
                  <wp:extent cx="608400" cy="612000"/>
                  <wp:effectExtent l="0" t="0" r="127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SDG 16.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608400" cy="612000"/>
                          </a:xfrm>
                          <a:prstGeom prst="rect">
                            <a:avLst/>
                          </a:prstGeom>
                        </pic:spPr>
                      </pic:pic>
                    </a:graphicData>
                  </a:graphic>
                </wp:inline>
              </w:drawing>
            </w:r>
          </w:p>
        </w:tc>
        <w:tc>
          <w:tcPr>
            <w:tcW w:w="1179" w:type="dxa"/>
          </w:tcPr>
          <w:p w14:paraId="5350C470" w14:textId="0B4A2C44" w:rsidR="0009384B" w:rsidRDefault="0009384B" w:rsidP="00542905">
            <w:pPr>
              <w:pStyle w:val="ListBullet"/>
              <w:keepNext/>
              <w:keepLines/>
              <w:tabs>
                <w:tab w:val="clear" w:pos="284"/>
              </w:tabs>
              <w:spacing w:before="160" w:after="80" w:line="240" w:lineRule="auto"/>
              <w:jc w:val="center"/>
              <w:rPr>
                <w:rFonts w:asciiTheme="majorHAnsi" w:eastAsiaTheme="majorEastAsia" w:hAnsiTheme="majorHAnsi" w:cstheme="majorBidi"/>
                <w:caps/>
                <w:noProof/>
                <w:color w:val="495965" w:themeColor="text2"/>
                <w:sz w:val="38"/>
                <w:szCs w:val="26"/>
              </w:rPr>
            </w:pPr>
            <w:r>
              <w:rPr>
                <w:rFonts w:asciiTheme="majorHAnsi" w:eastAsiaTheme="majorEastAsia" w:hAnsiTheme="majorHAnsi" w:cstheme="majorBidi"/>
                <w:caps/>
                <w:noProof/>
                <w:color w:val="495965" w:themeColor="text2"/>
                <w:sz w:val="38"/>
                <w:szCs w:val="26"/>
              </w:rPr>
              <w:drawing>
                <wp:inline distT="0" distB="0" distL="0" distR="0" wp14:anchorId="3790EB45" wp14:editId="4D9E833E">
                  <wp:extent cx="609600" cy="6096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pic:spPr>
                      </pic:pic>
                    </a:graphicData>
                  </a:graphic>
                </wp:inline>
              </w:drawing>
            </w:r>
          </w:p>
          <w:p w14:paraId="3AC09895" w14:textId="50004CB1" w:rsidR="00F46862" w:rsidRDefault="0009384B" w:rsidP="00542905">
            <w:pPr>
              <w:pStyle w:val="ListBullet"/>
              <w:keepNext/>
              <w:keepLines/>
              <w:tabs>
                <w:tab w:val="clear" w:pos="284"/>
              </w:tabs>
              <w:spacing w:before="160" w:after="80" w:line="240" w:lineRule="auto"/>
              <w:jc w:val="center"/>
              <w:rPr>
                <w:rFonts w:asciiTheme="majorHAnsi" w:eastAsiaTheme="majorEastAsia" w:hAnsiTheme="majorHAnsi" w:cstheme="majorBidi"/>
                <w:caps/>
                <w:noProof/>
                <w:color w:val="495965" w:themeColor="text2"/>
                <w:sz w:val="38"/>
                <w:szCs w:val="26"/>
              </w:rPr>
            </w:pPr>
            <w:r>
              <w:rPr>
                <w:noProof/>
              </w:rPr>
              <w:drawing>
                <wp:inline distT="0" distB="0" distL="0" distR="0" wp14:anchorId="368B0701" wp14:editId="0E989000">
                  <wp:extent cx="612000" cy="61200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DG 9.pn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p w14:paraId="5DF45DB2" w14:textId="598ABEA5" w:rsidR="0009384B" w:rsidRPr="0009384B" w:rsidRDefault="0009384B" w:rsidP="00542905">
            <w:pPr>
              <w:pStyle w:val="ListBullet"/>
              <w:keepNext/>
              <w:keepLines/>
              <w:tabs>
                <w:tab w:val="clear" w:pos="284"/>
              </w:tabs>
              <w:spacing w:before="160" w:after="80" w:line="240" w:lineRule="auto"/>
              <w:jc w:val="center"/>
              <w:rPr>
                <w:rFonts w:asciiTheme="majorHAnsi" w:eastAsiaTheme="majorEastAsia" w:hAnsiTheme="majorHAnsi" w:cstheme="majorBidi"/>
                <w:caps/>
                <w:noProof/>
                <w:color w:val="495965" w:themeColor="text2"/>
                <w:sz w:val="38"/>
                <w:szCs w:val="26"/>
              </w:rPr>
            </w:pPr>
          </w:p>
        </w:tc>
        <w:tc>
          <w:tcPr>
            <w:tcW w:w="1179" w:type="dxa"/>
          </w:tcPr>
          <w:p w14:paraId="5A02A187" w14:textId="77777777" w:rsidR="00F46862" w:rsidRDefault="00F46862" w:rsidP="00542905">
            <w:pPr>
              <w:pStyle w:val="ListBullet"/>
              <w:keepNext/>
              <w:keepLines/>
              <w:tabs>
                <w:tab w:val="clear" w:pos="284"/>
              </w:tabs>
              <w:spacing w:before="160" w:after="80" w:line="240" w:lineRule="auto"/>
              <w:jc w:val="center"/>
              <w:rPr>
                <w:rFonts w:asciiTheme="majorHAnsi" w:eastAsiaTheme="majorEastAsia" w:hAnsiTheme="majorHAnsi" w:cstheme="majorBidi"/>
                <w:caps/>
                <w:color w:val="495965" w:themeColor="text2"/>
                <w:sz w:val="38"/>
                <w:szCs w:val="26"/>
                <w:lang w:val="en-GB" w:eastAsia="en-US"/>
              </w:rPr>
            </w:pPr>
            <w:r>
              <w:rPr>
                <w:noProof/>
              </w:rPr>
              <w:drawing>
                <wp:inline distT="0" distB="0" distL="0" distR="0" wp14:anchorId="57E2F318" wp14:editId="3894BB5B">
                  <wp:extent cx="612000" cy="6120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DG 2.pn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p w14:paraId="3FA8B1CF" w14:textId="403CDCB5" w:rsidR="0009384B" w:rsidRDefault="0009384B" w:rsidP="00542905">
            <w:pPr>
              <w:pStyle w:val="ListBullet"/>
              <w:keepNext/>
              <w:keepLines/>
              <w:tabs>
                <w:tab w:val="clear" w:pos="284"/>
              </w:tabs>
              <w:spacing w:before="160" w:after="80" w:line="240" w:lineRule="auto"/>
              <w:jc w:val="center"/>
              <w:rPr>
                <w:rFonts w:asciiTheme="majorHAnsi" w:eastAsiaTheme="majorEastAsia" w:hAnsiTheme="majorHAnsi" w:cstheme="majorBidi"/>
                <w:caps/>
                <w:color w:val="495965" w:themeColor="text2"/>
                <w:sz w:val="38"/>
                <w:szCs w:val="26"/>
                <w:lang w:val="en-GB" w:eastAsia="en-US"/>
              </w:rPr>
            </w:pPr>
            <w:r>
              <w:rPr>
                <w:noProof/>
              </w:rPr>
              <w:drawing>
                <wp:inline distT="0" distB="0" distL="0" distR="0" wp14:anchorId="79EBD28F" wp14:editId="66F9AABD">
                  <wp:extent cx="612000" cy="6120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DG 10.pn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p w14:paraId="02BB6B3B" w14:textId="121A5517" w:rsidR="0009384B" w:rsidRDefault="0009384B" w:rsidP="00542905">
            <w:pPr>
              <w:pStyle w:val="ListBullet"/>
              <w:keepNext/>
              <w:keepLines/>
              <w:tabs>
                <w:tab w:val="clear" w:pos="284"/>
              </w:tabs>
              <w:spacing w:before="160" w:after="80" w:line="240" w:lineRule="auto"/>
              <w:jc w:val="center"/>
              <w:rPr>
                <w:rFonts w:asciiTheme="majorHAnsi" w:eastAsiaTheme="majorEastAsia" w:hAnsiTheme="majorHAnsi" w:cstheme="majorBidi"/>
                <w:caps/>
                <w:color w:val="495965" w:themeColor="text2"/>
                <w:sz w:val="38"/>
                <w:szCs w:val="26"/>
                <w:lang w:val="en-GB" w:eastAsia="en-US"/>
              </w:rPr>
            </w:pPr>
          </w:p>
        </w:tc>
        <w:tc>
          <w:tcPr>
            <w:tcW w:w="1179" w:type="dxa"/>
          </w:tcPr>
          <w:p w14:paraId="4CE8CF43" w14:textId="77777777" w:rsidR="00F46862" w:rsidRDefault="00F46862" w:rsidP="00542905">
            <w:pPr>
              <w:pStyle w:val="ListBullet"/>
              <w:keepNext/>
              <w:keepLines/>
              <w:tabs>
                <w:tab w:val="clear" w:pos="284"/>
              </w:tabs>
              <w:spacing w:before="160" w:after="80" w:line="240" w:lineRule="auto"/>
              <w:jc w:val="center"/>
              <w:rPr>
                <w:rFonts w:asciiTheme="majorHAnsi" w:eastAsiaTheme="majorEastAsia" w:hAnsiTheme="majorHAnsi" w:cstheme="majorBidi"/>
                <w:caps/>
                <w:color w:val="495965" w:themeColor="text2"/>
                <w:sz w:val="38"/>
                <w:szCs w:val="26"/>
                <w:lang w:val="en-GB" w:eastAsia="en-US"/>
              </w:rPr>
            </w:pPr>
            <w:r>
              <w:rPr>
                <w:noProof/>
              </w:rPr>
              <w:drawing>
                <wp:inline distT="0" distB="0" distL="0" distR="0" wp14:anchorId="3CE47185" wp14:editId="22E3BE87">
                  <wp:extent cx="612000" cy="6120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DG 3.jp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p w14:paraId="6B0D69AF" w14:textId="003163AB" w:rsidR="0009384B" w:rsidRDefault="0009384B" w:rsidP="00542905">
            <w:pPr>
              <w:pStyle w:val="ListBullet"/>
              <w:keepNext/>
              <w:keepLines/>
              <w:tabs>
                <w:tab w:val="clear" w:pos="284"/>
              </w:tabs>
              <w:spacing w:before="160" w:after="80" w:line="240" w:lineRule="auto"/>
              <w:jc w:val="center"/>
              <w:rPr>
                <w:rFonts w:asciiTheme="majorHAnsi" w:eastAsiaTheme="majorEastAsia" w:hAnsiTheme="majorHAnsi" w:cstheme="majorBidi"/>
                <w:caps/>
                <w:color w:val="495965" w:themeColor="text2"/>
                <w:sz w:val="38"/>
                <w:szCs w:val="26"/>
                <w:lang w:val="en-GB" w:eastAsia="en-US"/>
              </w:rPr>
            </w:pPr>
            <w:r>
              <w:rPr>
                <w:noProof/>
              </w:rPr>
              <w:drawing>
                <wp:inline distT="0" distB="0" distL="0" distR="0" wp14:anchorId="01C95936" wp14:editId="2470280A">
                  <wp:extent cx="612000" cy="6120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DG 11.jpg"/>
                          <pic:cNvPicPr/>
                        </pic:nvPicPr>
                        <pic:blipFill>
                          <a:blip r:embed="rId31"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1179" w:type="dxa"/>
          </w:tcPr>
          <w:p w14:paraId="7DC2EBE8" w14:textId="77777777" w:rsidR="00F46862" w:rsidRDefault="00F46862" w:rsidP="00542905">
            <w:pPr>
              <w:pStyle w:val="ListBullet"/>
              <w:keepNext/>
              <w:keepLines/>
              <w:tabs>
                <w:tab w:val="clear" w:pos="284"/>
              </w:tabs>
              <w:spacing w:before="160" w:after="80" w:line="240" w:lineRule="auto"/>
              <w:jc w:val="center"/>
              <w:rPr>
                <w:rFonts w:asciiTheme="majorHAnsi" w:eastAsiaTheme="majorEastAsia" w:hAnsiTheme="majorHAnsi" w:cstheme="majorBidi"/>
                <w:caps/>
                <w:color w:val="495965" w:themeColor="text2"/>
                <w:sz w:val="38"/>
                <w:szCs w:val="26"/>
                <w:lang w:val="en-GB" w:eastAsia="en-US"/>
              </w:rPr>
            </w:pPr>
            <w:r>
              <w:rPr>
                <w:noProof/>
              </w:rPr>
              <w:drawing>
                <wp:inline distT="0" distB="0" distL="0" distR="0" wp14:anchorId="16111843" wp14:editId="28DC864D">
                  <wp:extent cx="612000" cy="6120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DG 4.png"/>
                          <pic:cNvPicPr/>
                        </pic:nvPicPr>
                        <pic:blipFill>
                          <a:blip r:embed="rId32"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p w14:paraId="7C9C41B4" w14:textId="743BD893" w:rsidR="0009384B" w:rsidRDefault="0009384B" w:rsidP="00542905">
            <w:pPr>
              <w:pStyle w:val="ListBullet"/>
              <w:keepNext/>
              <w:keepLines/>
              <w:tabs>
                <w:tab w:val="clear" w:pos="284"/>
              </w:tabs>
              <w:spacing w:before="160" w:after="80" w:line="240" w:lineRule="auto"/>
              <w:jc w:val="center"/>
              <w:rPr>
                <w:rFonts w:asciiTheme="majorHAnsi" w:eastAsiaTheme="majorEastAsia" w:hAnsiTheme="majorHAnsi" w:cstheme="majorBidi"/>
                <w:caps/>
                <w:color w:val="495965" w:themeColor="text2"/>
                <w:sz w:val="38"/>
                <w:szCs w:val="26"/>
                <w:lang w:val="en-GB" w:eastAsia="en-US"/>
              </w:rPr>
            </w:pPr>
            <w:r>
              <w:rPr>
                <w:noProof/>
              </w:rPr>
              <w:drawing>
                <wp:inline distT="0" distB="0" distL="0" distR="0" wp14:anchorId="36F0786A" wp14:editId="42483B79">
                  <wp:extent cx="612000" cy="6120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SDG 12.png"/>
                          <pic:cNvPicPr/>
                        </pic:nvPicPr>
                        <pic:blipFill>
                          <a:blip r:embed="rId33"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1179" w:type="dxa"/>
          </w:tcPr>
          <w:p w14:paraId="39A6DDAC" w14:textId="1865251F" w:rsidR="00F46862" w:rsidRDefault="0009384B" w:rsidP="00542905">
            <w:pPr>
              <w:pStyle w:val="ListBullet"/>
              <w:keepNext/>
              <w:keepLines/>
              <w:tabs>
                <w:tab w:val="clear" w:pos="284"/>
              </w:tabs>
              <w:spacing w:before="160" w:after="80" w:line="240" w:lineRule="auto"/>
              <w:jc w:val="center"/>
              <w:rPr>
                <w:noProof/>
              </w:rPr>
            </w:pPr>
            <w:r>
              <w:rPr>
                <w:noProof/>
              </w:rPr>
              <w:drawing>
                <wp:inline distT="0" distB="0" distL="0" distR="0" wp14:anchorId="7B4DD6D9" wp14:editId="743832B2">
                  <wp:extent cx="612000" cy="61200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DG 5.jpg"/>
                          <pic:cNvPicPr/>
                        </pic:nvPicPr>
                        <pic:blipFill>
                          <a:blip r:embed="rId34"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p w14:paraId="2FCE022B" w14:textId="74746F9F" w:rsidR="0009384B" w:rsidRDefault="0009384B" w:rsidP="00542905">
            <w:pPr>
              <w:pStyle w:val="ListBullet"/>
              <w:keepNext/>
              <w:keepLines/>
              <w:tabs>
                <w:tab w:val="clear" w:pos="284"/>
              </w:tabs>
              <w:spacing w:before="160" w:after="80" w:line="240" w:lineRule="auto"/>
              <w:jc w:val="center"/>
              <w:rPr>
                <w:noProof/>
              </w:rPr>
            </w:pPr>
            <w:r>
              <w:rPr>
                <w:noProof/>
              </w:rPr>
              <w:drawing>
                <wp:inline distT="0" distB="0" distL="0" distR="0" wp14:anchorId="31EB2E3C" wp14:editId="265976DC">
                  <wp:extent cx="612000" cy="6120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SDG 13.png"/>
                          <pic:cNvPicPr/>
                        </pic:nvPicPr>
                        <pic:blipFill>
                          <a:blip r:embed="rId35"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1179" w:type="dxa"/>
          </w:tcPr>
          <w:p w14:paraId="64DB0527" w14:textId="0EE06AA3" w:rsidR="00F46862" w:rsidRDefault="0009384B" w:rsidP="00542905">
            <w:pPr>
              <w:pStyle w:val="ListBullet"/>
              <w:keepNext/>
              <w:keepLines/>
              <w:tabs>
                <w:tab w:val="clear" w:pos="284"/>
              </w:tabs>
              <w:spacing w:before="160" w:after="80" w:line="240" w:lineRule="auto"/>
              <w:jc w:val="center"/>
              <w:rPr>
                <w:noProof/>
              </w:rPr>
            </w:pPr>
            <w:r>
              <w:rPr>
                <w:noProof/>
              </w:rPr>
              <w:drawing>
                <wp:inline distT="0" distB="0" distL="0" distR="0" wp14:anchorId="52679FD8" wp14:editId="6C6BF6E2">
                  <wp:extent cx="612000" cy="61200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DG 6.png"/>
                          <pic:cNvPicPr/>
                        </pic:nvPicPr>
                        <pic:blipFill>
                          <a:blip r:embed="rId36"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p w14:paraId="0D360636" w14:textId="37EF9FA7" w:rsidR="0009384B" w:rsidRDefault="0009384B" w:rsidP="00542905">
            <w:pPr>
              <w:pStyle w:val="ListBullet"/>
              <w:keepNext/>
              <w:keepLines/>
              <w:tabs>
                <w:tab w:val="clear" w:pos="284"/>
              </w:tabs>
              <w:spacing w:before="160" w:after="80" w:line="240" w:lineRule="auto"/>
              <w:jc w:val="center"/>
              <w:rPr>
                <w:noProof/>
              </w:rPr>
            </w:pPr>
            <w:r>
              <w:rPr>
                <w:noProof/>
              </w:rPr>
              <w:drawing>
                <wp:inline distT="0" distB="0" distL="0" distR="0" wp14:anchorId="7ECCA96C" wp14:editId="0C8C99AF">
                  <wp:extent cx="612000" cy="61200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SDG 14.jpg"/>
                          <pic:cNvPicPr/>
                        </pic:nvPicPr>
                        <pic:blipFill>
                          <a:blip r:embed="rId37"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1179" w:type="dxa"/>
          </w:tcPr>
          <w:p w14:paraId="596AE063" w14:textId="707BFB72" w:rsidR="00F46862" w:rsidRDefault="0009384B" w:rsidP="00542905">
            <w:pPr>
              <w:pStyle w:val="ListBullet"/>
              <w:keepNext/>
              <w:keepLines/>
              <w:tabs>
                <w:tab w:val="clear" w:pos="284"/>
              </w:tabs>
              <w:spacing w:before="160" w:after="80" w:line="240" w:lineRule="auto"/>
              <w:jc w:val="center"/>
              <w:rPr>
                <w:noProof/>
              </w:rPr>
            </w:pPr>
            <w:r>
              <w:rPr>
                <w:noProof/>
              </w:rPr>
              <w:drawing>
                <wp:inline distT="0" distB="0" distL="0" distR="0" wp14:anchorId="5F6A4AE9" wp14:editId="0BC8A849">
                  <wp:extent cx="612000" cy="61200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DG 7.jpg"/>
                          <pic:cNvPicPr/>
                        </pic:nvPicPr>
                        <pic:blipFill>
                          <a:blip r:embed="rId38"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p w14:paraId="6C99103E" w14:textId="3CB66D09" w:rsidR="0009384B" w:rsidRDefault="0009384B" w:rsidP="00542905">
            <w:pPr>
              <w:pStyle w:val="ListBullet"/>
              <w:keepNext/>
              <w:keepLines/>
              <w:tabs>
                <w:tab w:val="clear" w:pos="284"/>
              </w:tabs>
              <w:spacing w:before="160" w:after="80" w:line="240" w:lineRule="auto"/>
              <w:jc w:val="center"/>
              <w:rPr>
                <w:noProof/>
              </w:rPr>
            </w:pPr>
            <w:r>
              <w:rPr>
                <w:noProof/>
              </w:rPr>
              <w:drawing>
                <wp:inline distT="0" distB="0" distL="0" distR="0" wp14:anchorId="3D81D9E5" wp14:editId="3991080C">
                  <wp:extent cx="612000" cy="61200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SDG 15.png"/>
                          <pic:cNvPicPr/>
                        </pic:nvPicPr>
                        <pic:blipFill>
                          <a:blip r:embed="rId39"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236" w:type="dxa"/>
          </w:tcPr>
          <w:p w14:paraId="4711176E" w14:textId="77777777" w:rsidR="00F46862" w:rsidRDefault="00F46862" w:rsidP="00542905">
            <w:pPr>
              <w:pStyle w:val="ListBullet"/>
              <w:keepNext/>
              <w:keepLines/>
              <w:tabs>
                <w:tab w:val="clear" w:pos="284"/>
              </w:tabs>
              <w:spacing w:before="160" w:after="80" w:line="240" w:lineRule="auto"/>
              <w:jc w:val="center"/>
              <w:rPr>
                <w:noProof/>
              </w:rPr>
            </w:pPr>
          </w:p>
        </w:tc>
        <w:tc>
          <w:tcPr>
            <w:tcW w:w="222" w:type="dxa"/>
          </w:tcPr>
          <w:p w14:paraId="75BCA901" w14:textId="77777777" w:rsidR="00F46862" w:rsidRDefault="00F46862" w:rsidP="00542905">
            <w:pPr>
              <w:pStyle w:val="ListBullet"/>
              <w:keepNext/>
              <w:keepLines/>
              <w:tabs>
                <w:tab w:val="clear" w:pos="284"/>
              </w:tabs>
              <w:spacing w:before="160" w:after="80" w:line="240" w:lineRule="auto"/>
              <w:jc w:val="center"/>
              <w:rPr>
                <w:noProof/>
              </w:rPr>
            </w:pPr>
          </w:p>
        </w:tc>
      </w:tr>
    </w:tbl>
    <w:p w14:paraId="1BC8E316" w14:textId="56B60A85" w:rsidR="008C0A46" w:rsidRDefault="008C0A46" w:rsidP="008C0A46">
      <w:pPr>
        <w:spacing w:before="240" w:line="240" w:lineRule="auto"/>
        <w:rPr>
          <w:rFonts w:eastAsia="Times New Roman"/>
        </w:rPr>
      </w:pPr>
      <w:r w:rsidRPr="00321267">
        <w:rPr>
          <w:rFonts w:eastAsia="Times New Roman"/>
        </w:rPr>
        <w:t xml:space="preserve">Accreditation, monitoring visits, annual reporting and </w:t>
      </w:r>
      <w:r w:rsidR="00E32E63">
        <w:rPr>
          <w:rFonts w:eastAsia="Times New Roman"/>
        </w:rPr>
        <w:t>Partner Performance Assessments (</w:t>
      </w:r>
      <w:r w:rsidRPr="00321267">
        <w:rPr>
          <w:rFonts w:eastAsia="Times New Roman"/>
        </w:rPr>
        <w:t>PPAs</w:t>
      </w:r>
      <w:r w:rsidR="00E32E63">
        <w:rPr>
          <w:rFonts w:eastAsia="Times New Roman"/>
        </w:rPr>
        <w:t>)</w:t>
      </w:r>
      <w:r w:rsidRPr="00321267">
        <w:rPr>
          <w:rFonts w:eastAsia="Times New Roman"/>
        </w:rPr>
        <w:t xml:space="preserve"> confirm that ANCP NGOs are delivering effective programs and have monitoring and evaluation processes to demonstrate the effectiveness and value for money of their programs. </w:t>
      </w:r>
      <w:r w:rsidR="004A0045">
        <w:rPr>
          <w:rFonts w:eastAsia="Times New Roman"/>
        </w:rPr>
        <w:t>The ANCP made s</w:t>
      </w:r>
      <w:r w:rsidR="006A285B">
        <w:rPr>
          <w:rFonts w:eastAsia="Times New Roman"/>
        </w:rPr>
        <w:t>trong progress in achieving intermediate outcomes including contributions to DFAT performance benchmarks</w:t>
      </w:r>
      <w:r w:rsidR="007F7DAB">
        <w:rPr>
          <w:rFonts w:eastAsia="Times New Roman"/>
        </w:rPr>
        <w:t xml:space="preserve">, sharing good development practice and efficient program management systems. </w:t>
      </w:r>
      <w:r w:rsidRPr="00321267">
        <w:rPr>
          <w:rFonts w:eastAsia="Times New Roman"/>
        </w:rPr>
        <w:t xml:space="preserve">This </w:t>
      </w:r>
      <w:r w:rsidR="0038675C">
        <w:rPr>
          <w:rFonts w:eastAsia="Times New Roman"/>
        </w:rPr>
        <w:t xml:space="preserve">builds on the work of the Program in 2015-16 and </w:t>
      </w:r>
      <w:r w:rsidRPr="00321267">
        <w:rPr>
          <w:rFonts w:eastAsia="Times New Roman"/>
        </w:rPr>
        <w:t>confirms the gree</w:t>
      </w:r>
      <w:r>
        <w:rPr>
          <w:rFonts w:eastAsia="Times New Roman"/>
        </w:rPr>
        <w:t>n rating in the 20</w:t>
      </w:r>
      <w:r w:rsidRPr="00321267">
        <w:rPr>
          <w:rFonts w:eastAsia="Times New Roman"/>
        </w:rPr>
        <w:t>16</w:t>
      </w:r>
      <w:r>
        <w:rPr>
          <w:rFonts w:eastAsia="Times New Roman"/>
        </w:rPr>
        <w:t>-17</w:t>
      </w:r>
      <w:r w:rsidRPr="00321267">
        <w:rPr>
          <w:rFonts w:eastAsia="Times New Roman"/>
        </w:rPr>
        <w:t xml:space="preserve"> period. </w:t>
      </w:r>
    </w:p>
    <w:p w14:paraId="623165A6" w14:textId="0C14D7A5" w:rsidR="008C0A46" w:rsidRPr="008C0A46" w:rsidRDefault="008C0A46" w:rsidP="008C0A46">
      <w:pPr>
        <w:pStyle w:val="Heading4"/>
      </w:pPr>
      <w:r w:rsidRPr="008C0A46">
        <w:t>Results in 2016-17</w:t>
      </w:r>
    </w:p>
    <w:p w14:paraId="04BC9232" w14:textId="01EA0467" w:rsidR="008C0A46" w:rsidRDefault="009F75A2" w:rsidP="008C0A46">
      <w:pPr>
        <w:spacing w:before="240" w:line="240" w:lineRule="auto"/>
        <w:rPr>
          <w:rFonts w:eastAsia="Times New Roman"/>
        </w:rPr>
      </w:pPr>
      <w:r>
        <w:rPr>
          <w:rFonts w:eastAsia="Times New Roman"/>
        </w:rPr>
        <w:t xml:space="preserve">Given the flexible nature of ANCP, programming contributes to many </w:t>
      </w:r>
      <w:r w:rsidR="00E32E63">
        <w:rPr>
          <w:rFonts w:eastAsia="Times New Roman"/>
        </w:rPr>
        <w:t>Sustainable Development Goals (</w:t>
      </w:r>
      <w:r>
        <w:rPr>
          <w:rFonts w:eastAsia="Times New Roman"/>
        </w:rPr>
        <w:t>SDGs</w:t>
      </w:r>
      <w:r w:rsidR="00E32E63">
        <w:rPr>
          <w:rFonts w:eastAsia="Times New Roman"/>
        </w:rPr>
        <w:t>)</w:t>
      </w:r>
      <w:r>
        <w:rPr>
          <w:rFonts w:eastAsia="Times New Roman"/>
        </w:rPr>
        <w:t xml:space="preserve">. </w:t>
      </w:r>
      <w:r w:rsidR="008C0A46">
        <w:rPr>
          <w:rFonts w:eastAsia="Times New Roman"/>
        </w:rPr>
        <w:t>Results in 2016-17 ($126.4 million to 54 NGOs) included</w:t>
      </w:r>
      <w:r w:rsidR="008C0A46">
        <w:rPr>
          <w:rStyle w:val="FootnoteReference"/>
          <w:rFonts w:eastAsia="Times New Roman"/>
        </w:rPr>
        <w:footnoteReference w:id="6"/>
      </w:r>
      <w:r w:rsidR="008C0A46">
        <w:rPr>
          <w:rFonts w:eastAsia="Times New Roman"/>
        </w:rPr>
        <w:t>:</w:t>
      </w:r>
    </w:p>
    <w:p w14:paraId="3983C99D" w14:textId="5C5ED976" w:rsidR="008C0A46" w:rsidRDefault="007278A4" w:rsidP="008C0A46">
      <w:pPr>
        <w:pStyle w:val="Bullet1"/>
      </w:pPr>
      <w:r>
        <w:t>4,068,625</w:t>
      </w:r>
      <w:r w:rsidR="008C0A46">
        <w:t xml:space="preserve"> people with increased access to essential medicines and health commodi</w:t>
      </w:r>
      <w:r w:rsidR="009D682C">
        <w:t>ties including HIV treatment (52.7</w:t>
      </w:r>
      <w:r w:rsidR="008C0A46">
        <w:t xml:space="preserve"> per cent female, 0.7 per cent people with disabilities);</w:t>
      </w:r>
    </w:p>
    <w:p w14:paraId="0FDA5B03" w14:textId="43E11D76" w:rsidR="008C0A46" w:rsidRDefault="00F151D8" w:rsidP="008C0A46">
      <w:pPr>
        <w:pStyle w:val="Bullet1"/>
      </w:pPr>
      <w:r w:rsidRPr="00C030FC">
        <w:rPr>
          <w:noProof/>
          <w:lang w:val="en-AU" w:eastAsia="en-AU"/>
        </w:rPr>
        <w:drawing>
          <wp:anchor distT="0" distB="0" distL="114300" distR="114300" simplePos="0" relativeHeight="251714560" behindDoc="1" locked="0" layoutInCell="1" allowOverlap="1" wp14:anchorId="7E448C9A" wp14:editId="2916B1E5">
            <wp:simplePos x="0" y="0"/>
            <wp:positionH relativeFrom="margin">
              <wp:posOffset>2324735</wp:posOffset>
            </wp:positionH>
            <wp:positionV relativeFrom="paragraph">
              <wp:posOffset>313690</wp:posOffset>
            </wp:positionV>
            <wp:extent cx="4124325" cy="2645410"/>
            <wp:effectExtent l="0" t="0" r="0" b="2540"/>
            <wp:wrapTight wrapText="bothSides">
              <wp:wrapPolygon edited="0">
                <wp:start x="0" y="0"/>
                <wp:lineTo x="0" y="21465"/>
                <wp:lineTo x="21450" y="21465"/>
                <wp:lineTo x="21450" y="0"/>
                <wp:lineTo x="0" y="0"/>
              </wp:wrapPolygon>
            </wp:wrapTight>
            <wp:docPr id="9" name="Picture 9" descr="C:\Users\kdollman\Downloads\8J8A4532_high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dollman\Downloads\8J8A4532_highres.JPG"/>
                    <pic:cNvPicPr>
                      <a:picLocks noChangeAspect="1" noChangeArrowheads="1"/>
                    </pic:cNvPicPr>
                  </pic:nvPicPr>
                  <pic:blipFill rotWithShape="1">
                    <a:blip r:embed="rId40" cstate="print">
                      <a:extLst>
                        <a:ext uri="{28A0092B-C50C-407E-A947-70E740481C1C}">
                          <a14:useLocalDpi xmlns:a14="http://schemas.microsoft.com/office/drawing/2010/main" val="0"/>
                        </a:ext>
                      </a:extLst>
                    </a:blip>
                    <a:srcRect/>
                    <a:stretch/>
                  </pic:blipFill>
                  <pic:spPr bwMode="auto">
                    <a:xfrm>
                      <a:off x="0" y="0"/>
                      <a:ext cx="4124325" cy="264541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D682C">
        <w:t>236,349</w:t>
      </w:r>
      <w:r w:rsidR="008C0A46">
        <w:t xml:space="preserve"> poor people with increased access to financial services (</w:t>
      </w:r>
      <w:r w:rsidR="009D682C">
        <w:t>75.6</w:t>
      </w:r>
      <w:r w:rsidR="008C0A46">
        <w:t xml:space="preserve"> per cent women and girls, 1.8 per cent people with disabilities);</w:t>
      </w:r>
    </w:p>
    <w:p w14:paraId="5D1253D6" w14:textId="2D80AED6" w:rsidR="008C0A46" w:rsidRDefault="009D682C" w:rsidP="008C0A46">
      <w:pPr>
        <w:pStyle w:val="Bullet1"/>
      </w:pPr>
      <w:r>
        <w:t>969,534</w:t>
      </w:r>
      <w:r w:rsidR="008C0A46">
        <w:t xml:space="preserve"> people with increased access to safe water and basic sanitation (54 per cent women and girls, 1.4 per cent people with disabilities);</w:t>
      </w:r>
    </w:p>
    <w:p w14:paraId="6E14CF83" w14:textId="3C99EBDE" w:rsidR="006932A9" w:rsidRDefault="006932A9" w:rsidP="008C0A46">
      <w:pPr>
        <w:pStyle w:val="Bullet1"/>
      </w:pPr>
      <w:r>
        <w:t>14,772 teachers trained (65.2 per cent women and 1.2 per cent people with disabilities);</w:t>
      </w:r>
    </w:p>
    <w:p w14:paraId="5E6ECB93" w14:textId="2BF6F8AE" w:rsidR="008C0A46" w:rsidRDefault="008C0A46" w:rsidP="009F75A2">
      <w:pPr>
        <w:pStyle w:val="Bullet1"/>
      </w:pPr>
      <w:r>
        <w:t>5</w:t>
      </w:r>
      <w:r w:rsidR="009D682C">
        <w:t>,003,468</w:t>
      </w:r>
      <w:r>
        <w:t xml:space="preserve"> million people with increased knowledge of hygiene practices (52 per cent </w:t>
      </w:r>
      <w:r w:rsidR="00DC7781">
        <w:t>women and girls</w:t>
      </w:r>
      <w:r>
        <w:t>, 0.3 per cent people with disabilities);</w:t>
      </w:r>
      <w:r w:rsidR="00DC7781">
        <w:t xml:space="preserve"> and</w:t>
      </w:r>
    </w:p>
    <w:p w14:paraId="47846FEB" w14:textId="605556FB" w:rsidR="008C0A46" w:rsidRDefault="00F151D8" w:rsidP="008C0A46">
      <w:pPr>
        <w:pStyle w:val="Bullet1"/>
      </w:pPr>
      <w:r>
        <w:rPr>
          <w:noProof/>
          <w:lang w:val="en-AU" w:eastAsia="en-AU"/>
        </w:rPr>
        <mc:AlternateContent>
          <mc:Choice Requires="wps">
            <w:drawing>
              <wp:anchor distT="0" distB="0" distL="114300" distR="114300" simplePos="0" relativeHeight="251716608" behindDoc="1" locked="0" layoutInCell="1" allowOverlap="1" wp14:anchorId="7C0C595D" wp14:editId="3C86221E">
                <wp:simplePos x="0" y="0"/>
                <wp:positionH relativeFrom="column">
                  <wp:posOffset>2326512</wp:posOffset>
                </wp:positionH>
                <wp:positionV relativeFrom="paragraph">
                  <wp:posOffset>277495</wp:posOffset>
                </wp:positionV>
                <wp:extent cx="4124325" cy="668020"/>
                <wp:effectExtent l="0" t="0" r="9525" b="0"/>
                <wp:wrapTight wrapText="bothSides">
                  <wp:wrapPolygon edited="0">
                    <wp:start x="0" y="0"/>
                    <wp:lineTo x="0" y="20943"/>
                    <wp:lineTo x="21550" y="20943"/>
                    <wp:lineTo x="21550" y="0"/>
                    <wp:lineTo x="0" y="0"/>
                  </wp:wrapPolygon>
                </wp:wrapTight>
                <wp:docPr id="3" name="Text Box 3"/>
                <wp:cNvGraphicFramePr/>
                <a:graphic xmlns:a="http://schemas.openxmlformats.org/drawingml/2006/main">
                  <a:graphicData uri="http://schemas.microsoft.com/office/word/2010/wordprocessingShape">
                    <wps:wsp>
                      <wps:cNvSpPr txBox="1"/>
                      <wps:spPr>
                        <a:xfrm>
                          <a:off x="0" y="0"/>
                          <a:ext cx="4124325" cy="668020"/>
                        </a:xfrm>
                        <a:prstGeom prst="rect">
                          <a:avLst/>
                        </a:prstGeom>
                        <a:solidFill>
                          <a:prstClr val="white"/>
                        </a:solidFill>
                        <a:ln>
                          <a:noFill/>
                        </a:ln>
                      </wps:spPr>
                      <wps:txbx>
                        <w:txbxContent>
                          <w:p w14:paraId="5B856B99" w14:textId="77777777" w:rsidR="00F151D8" w:rsidRPr="00D54E28" w:rsidRDefault="00F151D8" w:rsidP="00F151D8">
                            <w:pPr>
                              <w:pStyle w:val="Caption"/>
                              <w:rPr>
                                <w:noProof/>
                                <w:color w:val="495965" w:themeColor="text2"/>
                              </w:rPr>
                            </w:pPr>
                            <w:r w:rsidRPr="000D627A">
                              <w:rPr>
                                <w:noProof/>
                                <w:color w:val="495965" w:themeColor="text2"/>
                              </w:rPr>
                              <w:t>Minister for Foreign Affairs, the Hon Julie Bishop MP with young Lao Rugby players participating in ChildFund Australia’s ANCP ‘Pass it Back’ sports development program. Vientiane, Laos July 2016</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C0C595D" id="_x0000_t202" coordsize="21600,21600" o:spt="202" path="m,l,21600r21600,l21600,xe">
                <v:stroke joinstyle="miter"/>
                <v:path gradientshapeok="t" o:connecttype="rect"/>
              </v:shapetype>
              <v:shape id="Text Box 3" o:spid="_x0000_s1026" type="#_x0000_t202" style="position:absolute;left:0;text-align:left;margin-left:183.2pt;margin-top:21.85pt;width:324.75pt;height:52.6pt;z-index:-251599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" stroked="f">
                <v:textbox inset="0,0,0,0">
                  <w:txbxContent>
                    <w:p w14:paraId="5B856B99" w14:textId="77777777" w:rsidR="00F151D8" w:rsidRPr="00D54E28" w:rsidRDefault="00F151D8" w:rsidP="00F151D8">
                      <w:pPr>
                        <w:pStyle w:val="Caption"/>
                        <w:rPr>
                          <w:noProof/>
                          <w:color w:val="495965" w:themeColor="text2"/>
                        </w:rPr>
                      </w:pPr>
                      <w:r w:rsidRPr="000D627A">
                        <w:rPr>
                          <w:noProof/>
                          <w:color w:val="495965" w:themeColor="text2"/>
                        </w:rPr>
                        <w:t>Minister for Foreign Affairs, the Hon Julie Bishop MP with young Lao Rugby players participating in ChildFund Australia’s ANCP ‘Pass it Back’ sports development program. Vientiane, Laos July 2016</w:t>
                      </w:r>
                    </w:p>
                  </w:txbxContent>
                </v:textbox>
                <w10:wrap type="tight"/>
              </v:shape>
            </w:pict>
          </mc:Fallback>
        </mc:AlternateContent>
      </w:r>
      <w:r w:rsidR="008C0A46">
        <w:t>1</w:t>
      </w:r>
      <w:r w:rsidR="006932A9">
        <w:t>,075,763</w:t>
      </w:r>
      <w:r w:rsidR="008C0A46">
        <w:t xml:space="preserve"> million indigenous beneficiaries of ANCP projects</w:t>
      </w:r>
      <w:r w:rsidR="006932A9">
        <w:t>.</w:t>
      </w:r>
      <w:r w:rsidRPr="00F151D8">
        <w:rPr>
          <w:noProof/>
        </w:rPr>
        <w:t xml:space="preserve"> </w:t>
      </w:r>
    </w:p>
    <w:p w14:paraId="2DBA9763" w14:textId="0281AD47" w:rsidR="005917BE" w:rsidRDefault="005917BE" w:rsidP="005917BE">
      <w:pPr>
        <w:pStyle w:val="Heading4"/>
      </w:pPr>
      <w:r w:rsidRPr="005917BE">
        <w:t>Gender</w:t>
      </w:r>
      <w:r w:rsidR="00F151D8" w:rsidRPr="00F151D8">
        <w:rPr>
          <w:noProof/>
          <w:lang w:val="en-AU" w:eastAsia="en-AU"/>
        </w:rPr>
        <w:t xml:space="preserve"> </w:t>
      </w:r>
    </w:p>
    <w:p w14:paraId="2D2927C0" w14:textId="2766F26E" w:rsidR="00D56470" w:rsidRDefault="0038675C" w:rsidP="005917BE">
      <w:r>
        <w:t>The majority of</w:t>
      </w:r>
      <w:r w:rsidR="007F7DAB">
        <w:t xml:space="preserve"> ANCP NGOs have strong, explicit commitments to gender equality in their development approach and gender sensitive programming. </w:t>
      </w:r>
      <w:r w:rsidR="00A532AF">
        <w:t>In 2016-17, 69</w:t>
      </w:r>
      <w:r w:rsidR="005917BE" w:rsidRPr="005917BE">
        <w:t xml:space="preserve"> per cent of ANCP projects addressed gender equality issues</w:t>
      </w:r>
      <w:r w:rsidR="005917BE">
        <w:t xml:space="preserve">. </w:t>
      </w:r>
      <w:r w:rsidR="00160A01">
        <w:t>This included 72 projects (14</w:t>
      </w:r>
      <w:r w:rsidR="00160A01" w:rsidRPr="005917BE">
        <w:t xml:space="preserve"> per cent) marking gender equal</w:t>
      </w:r>
      <w:r w:rsidR="00160A01">
        <w:t>ity as the principal objective with expenditure of $18.4 million reaching 1,069,053</w:t>
      </w:r>
      <w:r w:rsidR="00160A01" w:rsidRPr="005917BE">
        <w:t xml:space="preserve"> beneficiaries</w:t>
      </w:r>
      <w:r w:rsidR="007E2915">
        <w:rPr>
          <w:rStyle w:val="FootnoteReference"/>
        </w:rPr>
        <w:footnoteReference w:id="7"/>
      </w:r>
      <w:r w:rsidR="00160A01" w:rsidRPr="005917BE">
        <w:t xml:space="preserve">. </w:t>
      </w:r>
      <w:r w:rsidR="005917BE">
        <w:t xml:space="preserve">This reduction in the percentage of projects targeting gender equality (down from 87 per cent in 2015-16) is largely due to </w:t>
      </w:r>
      <w:r w:rsidR="00E32E63">
        <w:t xml:space="preserve">the </w:t>
      </w:r>
      <w:r w:rsidR="003A7E21">
        <w:t xml:space="preserve">introduction of </w:t>
      </w:r>
      <w:r w:rsidR="003A7E21" w:rsidRPr="003A7E21">
        <w:t xml:space="preserve">new criteria for the </w:t>
      </w:r>
      <w:r w:rsidR="0089194A">
        <w:t xml:space="preserve">OECD </w:t>
      </w:r>
      <w:r w:rsidR="00E32E63">
        <w:t>Development Assistance Committee (</w:t>
      </w:r>
      <w:r w:rsidR="003A7E21" w:rsidRPr="003A7E21">
        <w:t>DAC</w:t>
      </w:r>
      <w:r w:rsidR="00E32E63">
        <w:t>)</w:t>
      </w:r>
      <w:r w:rsidR="003A7E21" w:rsidRPr="003A7E21">
        <w:t xml:space="preserve"> gender equality policy marker in December 2016</w:t>
      </w:r>
      <w:r w:rsidR="003A7E21">
        <w:t>. The</w:t>
      </w:r>
      <w:r w:rsidR="00592167">
        <w:t xml:space="preserve"> new criteria </w:t>
      </w:r>
      <w:r w:rsidR="0089194A">
        <w:t>were included in updated ANCP reporting templates in April 2017. Previously there was very little guidance</w:t>
      </w:r>
      <w:r w:rsidR="00EB03B3">
        <w:t xml:space="preserve"> available and this may </w:t>
      </w:r>
      <w:r w:rsidR="004C45F3">
        <w:t xml:space="preserve">have </w:t>
      </w:r>
      <w:r w:rsidR="00EB03B3">
        <w:t xml:space="preserve">led to over reporting in the past. </w:t>
      </w:r>
    </w:p>
    <w:p w14:paraId="2927BA23" w14:textId="77777777" w:rsidR="0038675C" w:rsidRDefault="005917BE" w:rsidP="005917BE">
      <w:r w:rsidRPr="005917BE">
        <w:t xml:space="preserve">In addition to the gender marker, the accreditation process ensures ANCP NGOs have the systems in place to deliver gender sensitive programming </w:t>
      </w:r>
      <w:r w:rsidR="00E32E63">
        <w:t>while</w:t>
      </w:r>
      <w:r w:rsidR="00E32E63" w:rsidRPr="005917BE">
        <w:t xml:space="preserve"> </w:t>
      </w:r>
      <w:r w:rsidRPr="005917BE">
        <w:t xml:space="preserve">the ANCP Monitoring Evaluation and Learning Framework (MELF) provides ANCP NGOs with templates and guidance to disaggregate by sex, age and disability and report against 16 gender equality indicators. </w:t>
      </w:r>
    </w:p>
    <w:p w14:paraId="1BCF8494" w14:textId="2D0B64D3" w:rsidR="005917BE" w:rsidRDefault="005917BE" w:rsidP="005917BE">
      <w:r w:rsidRPr="005917BE">
        <w:t>Key r</w:t>
      </w:r>
      <w:r w:rsidR="00160A01">
        <w:t>esults for gender in the 2016-17</w:t>
      </w:r>
      <w:r w:rsidRPr="005917BE">
        <w:t xml:space="preserve"> period included:</w:t>
      </w:r>
    </w:p>
    <w:p w14:paraId="4AF38063" w14:textId="778CB08D" w:rsidR="000F1E04" w:rsidRDefault="00DB41FA" w:rsidP="000F1E04">
      <w:pPr>
        <w:pStyle w:val="Bullet1"/>
      </w:pPr>
      <w:r w:rsidRPr="0021466C">
        <w:rPr>
          <w:noProof/>
          <w:lang w:val="en-AU" w:eastAsia="en-AU"/>
        </w:rPr>
        <mc:AlternateContent>
          <mc:Choice Requires="wps">
            <w:drawing>
              <wp:anchor distT="0" distB="0" distL="71755" distR="71755" simplePos="0" relativeHeight="251702272" behindDoc="1" locked="0" layoutInCell="1" allowOverlap="1" wp14:anchorId="24E8FC5F" wp14:editId="075215E9">
                <wp:simplePos x="0" y="0"/>
                <wp:positionH relativeFrom="margin">
                  <wp:posOffset>3707765</wp:posOffset>
                </wp:positionH>
                <wp:positionV relativeFrom="paragraph">
                  <wp:posOffset>83185</wp:posOffset>
                </wp:positionV>
                <wp:extent cx="2647950" cy="3064510"/>
                <wp:effectExtent l="0" t="0" r="19050" b="2159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0" cy="3064510"/>
                        </a:xfrm>
                        <a:prstGeom prst="rect">
                          <a:avLst/>
                        </a:prstGeom>
                        <a:solidFill>
                          <a:sysClr val="window" lastClr="FFFFFF"/>
                        </a:solidFill>
                        <a:ln w="25400" cap="flat" cmpd="sng" algn="ctr">
                          <a:solidFill>
                            <a:srgbClr val="65C5B4"/>
                          </a:solidFill>
                          <a:prstDash val="solid"/>
                          <a:headEnd/>
                          <a:tailEnd/>
                        </a:ln>
                        <a:effectLst/>
                      </wps:spPr>
                      <wps:txbx>
                        <w:txbxContent>
                          <w:p w14:paraId="76EE2753" w14:textId="6D7E1EC7" w:rsidR="007F7DAB" w:rsidRDefault="007F7DAB" w:rsidP="009F75A2">
                            <w:pPr>
                              <w:spacing w:before="60" w:after="20"/>
                              <w:rPr>
                                <w:color w:val="000000"/>
                                <w:lang w:val="en-AU"/>
                              </w:rPr>
                            </w:pPr>
                            <w:r>
                              <w:t xml:space="preserve">The </w:t>
                            </w:r>
                            <w:r>
                              <w:rPr>
                                <w:b/>
                                <w:bCs/>
                              </w:rPr>
                              <w:t xml:space="preserve">six GAP projects </w:t>
                            </w:r>
                            <w:r>
                              <w:t xml:space="preserve">began implementation on </w:t>
                            </w:r>
                            <w:r>
                              <w:rPr>
                                <w:b/>
                                <w:bCs/>
                              </w:rPr>
                              <w:t xml:space="preserve">1 July 2017 </w:t>
                            </w:r>
                            <w:r>
                              <w:t>and will work to:</w:t>
                            </w:r>
                          </w:p>
                          <w:p w14:paraId="2967A2C6" w14:textId="5CE0C39B" w:rsidR="007F7DAB" w:rsidRDefault="007F7DAB" w:rsidP="009F75A2">
                            <w:pPr>
                              <w:widowControl w:val="0"/>
                              <w:spacing w:before="0" w:after="0" w:line="276" w:lineRule="auto"/>
                              <w:ind w:left="284" w:hanging="142"/>
                            </w:pPr>
                            <w:r>
                              <w:rPr>
                                <w:rFonts w:ascii="Symbol" w:hAnsi="Symbol"/>
                                <w:lang w:val="x-none"/>
                              </w:rPr>
                              <w:t></w:t>
                            </w:r>
                            <w:r>
                              <w:t> reduce gender-based violence;</w:t>
                            </w:r>
                          </w:p>
                          <w:p w14:paraId="07DC5715" w14:textId="753783A3" w:rsidR="007F7DAB" w:rsidRDefault="007F7DAB" w:rsidP="009F75A2">
                            <w:pPr>
                              <w:widowControl w:val="0"/>
                              <w:spacing w:before="0" w:after="0" w:line="276" w:lineRule="auto"/>
                              <w:ind w:left="284" w:hanging="142"/>
                            </w:pPr>
                            <w:r>
                              <w:rPr>
                                <w:rFonts w:ascii="Symbol" w:hAnsi="Symbol"/>
                                <w:lang w:val="x-none"/>
                              </w:rPr>
                              <w:t></w:t>
                            </w:r>
                            <w:r>
                              <w:t> build respectful relationships in secondary schools;</w:t>
                            </w:r>
                          </w:p>
                          <w:p w14:paraId="2B05693E" w14:textId="6DC1EA90" w:rsidR="007F7DAB" w:rsidRDefault="007F7DAB" w:rsidP="009F75A2">
                            <w:pPr>
                              <w:widowControl w:val="0"/>
                              <w:spacing w:before="0" w:after="0" w:line="276" w:lineRule="auto"/>
                              <w:ind w:left="284" w:hanging="142"/>
                            </w:pPr>
                            <w:r>
                              <w:rPr>
                                <w:rFonts w:ascii="Symbol" w:hAnsi="Symbol"/>
                                <w:lang w:val="x-none"/>
                              </w:rPr>
                              <w:t></w:t>
                            </w:r>
                            <w:r>
                              <w:t> increase school retention for girls;</w:t>
                            </w:r>
                          </w:p>
                          <w:p w14:paraId="09A3343C" w14:textId="43509B4F" w:rsidR="007F7DAB" w:rsidRDefault="007F7DAB" w:rsidP="009F75A2">
                            <w:pPr>
                              <w:widowControl w:val="0"/>
                              <w:spacing w:before="0" w:after="0" w:line="276" w:lineRule="auto"/>
                              <w:ind w:left="284" w:hanging="142"/>
                            </w:pPr>
                            <w:r>
                              <w:rPr>
                                <w:rFonts w:ascii="Symbol" w:hAnsi="Symbol"/>
                                <w:lang w:val="x-none"/>
                              </w:rPr>
                              <w:t></w:t>
                            </w:r>
                            <w:r>
                              <w:t> support women-led business initiatives;</w:t>
                            </w:r>
                          </w:p>
                          <w:p w14:paraId="5517AAED" w14:textId="5EADAD12" w:rsidR="007F7DAB" w:rsidRDefault="007F7DAB" w:rsidP="009F75A2">
                            <w:pPr>
                              <w:widowControl w:val="0"/>
                              <w:spacing w:before="0" w:after="0" w:line="276" w:lineRule="auto"/>
                              <w:ind w:left="284" w:hanging="142"/>
                            </w:pPr>
                            <w:r>
                              <w:rPr>
                                <w:rFonts w:ascii="Symbol" w:hAnsi="Symbol"/>
                                <w:lang w:val="x-none"/>
                              </w:rPr>
                              <w:t></w:t>
                            </w:r>
                            <w:r>
                              <w:t> reducing sexual harassment in the workplace;</w:t>
                            </w:r>
                          </w:p>
                          <w:p w14:paraId="08052ABB" w14:textId="7FF74BAF" w:rsidR="007F7DAB" w:rsidRDefault="007F7DAB" w:rsidP="009F75A2">
                            <w:pPr>
                              <w:widowControl w:val="0"/>
                              <w:spacing w:before="0" w:after="0" w:line="276" w:lineRule="auto"/>
                              <w:ind w:left="284" w:hanging="142"/>
                            </w:pPr>
                            <w:r>
                              <w:rPr>
                                <w:rFonts w:ascii="Symbol" w:hAnsi="Symbol"/>
                                <w:lang w:val="x-none"/>
                              </w:rPr>
                              <w:t></w:t>
                            </w:r>
                            <w:r>
                              <w:t> support dignified and safe repatriation for marginalised female refugees;</w:t>
                            </w:r>
                          </w:p>
                          <w:p w14:paraId="4944F93C" w14:textId="77777777" w:rsidR="007F7DAB" w:rsidRDefault="007F7DAB" w:rsidP="009F75A2">
                            <w:pPr>
                              <w:widowControl w:val="0"/>
                              <w:spacing w:before="0" w:after="0" w:line="276" w:lineRule="auto"/>
                              <w:ind w:left="284" w:hanging="142"/>
                            </w:pPr>
                            <w:r>
                              <w:rPr>
                                <w:rFonts w:ascii="Symbol" w:hAnsi="Symbol"/>
                                <w:lang w:val="x-none"/>
                              </w:rPr>
                              <w:t></w:t>
                            </w:r>
                            <w:r>
                              <w:t xml:space="preserve"> improve menstrual and reproductive health, and </w:t>
                            </w:r>
                          </w:p>
                          <w:p w14:paraId="68A74C24" w14:textId="0D498232" w:rsidR="007F7DAB" w:rsidRPr="00D4602F" w:rsidRDefault="007F7DAB" w:rsidP="009F75A2">
                            <w:pPr>
                              <w:widowControl w:val="0"/>
                              <w:spacing w:before="0" w:after="0" w:line="276" w:lineRule="auto"/>
                              <w:ind w:left="284" w:hanging="142"/>
                            </w:pPr>
                            <w:r>
                              <w:rPr>
                                <w:rFonts w:ascii="Symbol" w:hAnsi="Symbol"/>
                                <w:lang w:val="x-none"/>
                              </w:rPr>
                              <w:t></w:t>
                            </w:r>
                            <w:r>
                              <w:t xml:space="preserve"> develop women’s leadership on climate change policy and decision-making. </w:t>
                            </w:r>
                          </w:p>
                        </w:txbxContent>
                      </wps:txbx>
                      <wps:bodyPr rot="0" vert="horz" wrap="square" lIns="72000" tIns="0" rIns="72000" bIns="0" anchor="t" anchorCtr="0">
                        <a:noAutofit/>
                      </wps:bodyPr>
                    </wps:wsp>
                  </a:graphicData>
                </a:graphic>
                <wp14:sizeRelH relativeFrom="page">
                  <wp14:pctWidth>0</wp14:pctWidth>
                </wp14:sizeRelH>
                <wp14:sizeRelV relativeFrom="page">
                  <wp14:pctHeight>0</wp14:pctHeight>
                </wp14:sizeRelV>
              </wp:anchor>
            </w:drawing>
          </mc:Choice>
          <mc:Fallback>
            <w:pict>
              <v:shape w14:anchorId="24E8FC5F" id="Text Box 2" o:spid="_x0000_s1027" type="#_x0000_t202" style="position:absolute;left:0;text-align:left;margin-left:291.95pt;margin-top:6.55pt;width:208.5pt;height:241.3pt;z-index:-251614208;visibility:visible;mso-wrap-style:square;mso-width-percent:0;mso-height-percent:0;mso-wrap-distance-left:5.65pt;mso-wrap-distance-top:0;mso-wrap-distance-right:5.6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" fillcolor="window" strokecolor="#65c5b4" strokeweight="2pt">
                <v:textbox inset="2mm,0,2mm,0">
                  <w:txbxContent>
                    <w:p w14:paraId="76EE2753" w14:textId="6D7E1EC7" w:rsidR="007F7DAB" w:rsidRDefault="007F7DAB" w:rsidP="009F75A2">
                      <w:pPr>
                        <w:spacing w:before="60" w:after="20"/>
                        <w:rPr>
                          <w:color w:val="000000"/>
                          <w:lang w:val="en-AU"/>
                        </w:rPr>
                      </w:pPr>
                      <w:proofErr w:type="gramStart"/>
                      <w:r>
                        <w:t xml:space="preserve">The </w:t>
                      </w:r>
                      <w:r>
                        <w:rPr>
                          <w:b/>
                          <w:bCs/>
                        </w:rPr>
                        <w:t xml:space="preserve">six GAP projects </w:t>
                      </w:r>
                      <w:r>
                        <w:t xml:space="preserve">began implementation on </w:t>
                      </w:r>
                      <w:r>
                        <w:rPr>
                          <w:b/>
                          <w:bCs/>
                        </w:rPr>
                        <w:t xml:space="preserve">1 July 2017 </w:t>
                      </w:r>
                      <w:r>
                        <w:t>and will work to:</w:t>
                      </w:r>
                      <w:proofErr w:type="gramEnd"/>
                    </w:p>
                    <w:p w14:paraId="2967A2C6" w14:textId="5CE0C39B" w:rsidR="007F7DAB" w:rsidRDefault="007F7DAB" w:rsidP="009F75A2">
                      <w:pPr>
                        <w:widowControl w:val="0"/>
                        <w:spacing w:before="0" w:after="0" w:line="276" w:lineRule="auto"/>
                        <w:ind w:left="284" w:hanging="142"/>
                      </w:pPr>
                      <w:r>
                        <w:rPr>
                          <w:rFonts w:ascii="Symbol" w:hAnsi="Symbol"/>
                          <w:lang w:val="x-none"/>
                        </w:rPr>
                        <w:t></w:t>
                      </w:r>
                      <w:r>
                        <w:t> reduce gender-based violence;</w:t>
                      </w:r>
                    </w:p>
                    <w:p w14:paraId="07DC5715" w14:textId="753783A3" w:rsidR="007F7DAB" w:rsidRDefault="007F7DAB" w:rsidP="009F75A2">
                      <w:pPr>
                        <w:widowControl w:val="0"/>
                        <w:spacing w:before="0" w:after="0" w:line="276" w:lineRule="auto"/>
                        <w:ind w:left="284" w:hanging="142"/>
                      </w:pPr>
                      <w:r>
                        <w:rPr>
                          <w:rFonts w:ascii="Symbol" w:hAnsi="Symbol"/>
                          <w:lang w:val="x-none"/>
                        </w:rPr>
                        <w:t></w:t>
                      </w:r>
                      <w:r>
                        <w:t> build respectful relationships in secondary schools;</w:t>
                      </w:r>
                    </w:p>
                    <w:p w14:paraId="2B05693E" w14:textId="6DC1EA90" w:rsidR="007F7DAB" w:rsidRDefault="007F7DAB" w:rsidP="009F75A2">
                      <w:pPr>
                        <w:widowControl w:val="0"/>
                        <w:spacing w:before="0" w:after="0" w:line="276" w:lineRule="auto"/>
                        <w:ind w:left="284" w:hanging="142"/>
                      </w:pPr>
                      <w:r>
                        <w:rPr>
                          <w:rFonts w:ascii="Symbol" w:hAnsi="Symbol"/>
                          <w:lang w:val="x-none"/>
                        </w:rPr>
                        <w:t></w:t>
                      </w:r>
                      <w:r>
                        <w:t> increase school retention for girls;</w:t>
                      </w:r>
                    </w:p>
                    <w:p w14:paraId="09A3343C" w14:textId="43509B4F" w:rsidR="007F7DAB" w:rsidRDefault="007F7DAB" w:rsidP="009F75A2">
                      <w:pPr>
                        <w:widowControl w:val="0"/>
                        <w:spacing w:before="0" w:after="0" w:line="276" w:lineRule="auto"/>
                        <w:ind w:left="284" w:hanging="142"/>
                      </w:pPr>
                      <w:r>
                        <w:rPr>
                          <w:rFonts w:ascii="Symbol" w:hAnsi="Symbol"/>
                          <w:lang w:val="x-none"/>
                        </w:rPr>
                        <w:t></w:t>
                      </w:r>
                      <w:r>
                        <w:t> support women-led business initiatives;</w:t>
                      </w:r>
                    </w:p>
                    <w:p w14:paraId="5517AAED" w14:textId="5EADAD12" w:rsidR="007F7DAB" w:rsidRDefault="007F7DAB" w:rsidP="009F75A2">
                      <w:pPr>
                        <w:widowControl w:val="0"/>
                        <w:spacing w:before="0" w:after="0" w:line="276" w:lineRule="auto"/>
                        <w:ind w:left="284" w:hanging="142"/>
                      </w:pPr>
                      <w:r>
                        <w:rPr>
                          <w:rFonts w:ascii="Symbol" w:hAnsi="Symbol"/>
                          <w:lang w:val="x-none"/>
                        </w:rPr>
                        <w:t></w:t>
                      </w:r>
                      <w:r>
                        <w:t> reducing sexual harassment in the workplace;</w:t>
                      </w:r>
                    </w:p>
                    <w:p w14:paraId="08052ABB" w14:textId="7FF74BAF" w:rsidR="007F7DAB" w:rsidRDefault="007F7DAB" w:rsidP="009F75A2">
                      <w:pPr>
                        <w:widowControl w:val="0"/>
                        <w:spacing w:before="0" w:after="0" w:line="276" w:lineRule="auto"/>
                        <w:ind w:left="284" w:hanging="142"/>
                      </w:pPr>
                      <w:r>
                        <w:rPr>
                          <w:rFonts w:ascii="Symbol" w:hAnsi="Symbol"/>
                          <w:lang w:val="x-none"/>
                        </w:rPr>
                        <w:t></w:t>
                      </w:r>
                      <w:r>
                        <w:t> support dignified and safe repatriation for marginalised female refugees;</w:t>
                      </w:r>
                    </w:p>
                    <w:p w14:paraId="4944F93C" w14:textId="77777777" w:rsidR="007F7DAB" w:rsidRDefault="007F7DAB" w:rsidP="009F75A2">
                      <w:pPr>
                        <w:widowControl w:val="0"/>
                        <w:spacing w:before="0" w:after="0" w:line="276" w:lineRule="auto"/>
                        <w:ind w:left="284" w:hanging="142"/>
                      </w:pPr>
                      <w:r>
                        <w:rPr>
                          <w:rFonts w:ascii="Symbol" w:hAnsi="Symbol"/>
                          <w:lang w:val="x-none"/>
                        </w:rPr>
                        <w:t></w:t>
                      </w:r>
                      <w:r>
                        <w:t xml:space="preserve"> improve menstrual and reproductive health, and </w:t>
                      </w:r>
                    </w:p>
                    <w:p w14:paraId="68A74C24" w14:textId="0D498232" w:rsidR="007F7DAB" w:rsidRPr="00D4602F" w:rsidRDefault="007F7DAB" w:rsidP="009F75A2">
                      <w:pPr>
                        <w:widowControl w:val="0"/>
                        <w:spacing w:before="0" w:after="0" w:line="276" w:lineRule="auto"/>
                        <w:ind w:left="284" w:hanging="142"/>
                      </w:pPr>
                      <w:r>
                        <w:rPr>
                          <w:rFonts w:ascii="Symbol" w:hAnsi="Symbol"/>
                          <w:lang w:val="x-none"/>
                        </w:rPr>
                        <w:t></w:t>
                      </w:r>
                      <w:r>
                        <w:t xml:space="preserve"> develop women’s leadership on climate change policy and decision-making. </w:t>
                      </w:r>
                    </w:p>
                  </w:txbxContent>
                </v:textbox>
                <w10:wrap type="square" anchorx="margin"/>
              </v:shape>
            </w:pict>
          </mc:Fallback>
        </mc:AlternateContent>
      </w:r>
      <w:r w:rsidR="000F1E04">
        <w:t xml:space="preserve">Over 2 million </w:t>
      </w:r>
      <w:r w:rsidR="000F1E04" w:rsidRPr="000F1E04">
        <w:t>people exposed to awareness raising campaigns/activities in communities highlighting issues of violence against women</w:t>
      </w:r>
      <w:r w:rsidR="00E32E63">
        <w:t>,</w:t>
      </w:r>
      <w:r w:rsidR="000F1E04" w:rsidRPr="000F1E04">
        <w:t xml:space="preserve"> including harmful cultural practices</w:t>
      </w:r>
      <w:r w:rsidR="000F1E04">
        <w:t>;</w:t>
      </w:r>
    </w:p>
    <w:p w14:paraId="09026AA5" w14:textId="44DD8443" w:rsidR="008064BB" w:rsidRDefault="008064BB" w:rsidP="000F1E04">
      <w:pPr>
        <w:pStyle w:val="Bullet1"/>
      </w:pPr>
      <w:r>
        <w:t xml:space="preserve">637,917 </w:t>
      </w:r>
      <w:r w:rsidRPr="008064BB">
        <w:t>people provided with awareness raising/training on gender issues and women's equal rights</w:t>
      </w:r>
      <w:r>
        <w:t xml:space="preserve"> (of these 54 per cent were women and girls and 4 per cent people with a disability</w:t>
      </w:r>
      <w:r w:rsidR="000F1E04">
        <w:t>)</w:t>
      </w:r>
      <w:r>
        <w:t>;</w:t>
      </w:r>
    </w:p>
    <w:p w14:paraId="5B0D9992" w14:textId="70FE65A5" w:rsidR="008064BB" w:rsidRDefault="008064BB" w:rsidP="008064BB">
      <w:pPr>
        <w:pStyle w:val="Bullet1"/>
      </w:pPr>
      <w:r>
        <w:t xml:space="preserve">6,209 </w:t>
      </w:r>
      <w:r w:rsidRPr="008064BB">
        <w:t>women’s groups, organisations and coalitions supported</w:t>
      </w:r>
      <w:r>
        <w:t>;</w:t>
      </w:r>
    </w:p>
    <w:p w14:paraId="158AAF81" w14:textId="76D02E16" w:rsidR="008064BB" w:rsidRDefault="008064BB" w:rsidP="008064BB">
      <w:pPr>
        <w:pStyle w:val="Bullet1"/>
      </w:pPr>
      <w:r>
        <w:t>276 w</w:t>
      </w:r>
      <w:r w:rsidRPr="008064BB">
        <w:t>omen supported to stand for formal election at sub-national or national levels</w:t>
      </w:r>
      <w:r>
        <w:t xml:space="preserve">; </w:t>
      </w:r>
    </w:p>
    <w:p w14:paraId="03C260AE" w14:textId="713F9220" w:rsidR="000F1E04" w:rsidRDefault="000F1E04" w:rsidP="000F1E04">
      <w:pPr>
        <w:pStyle w:val="Bullet1"/>
      </w:pPr>
      <w:r>
        <w:t xml:space="preserve">11,303 </w:t>
      </w:r>
      <w:r w:rsidRPr="000F1E04">
        <w:t>women survivors of violence receivin</w:t>
      </w:r>
      <w:r>
        <w:t>g services such as counselling; and</w:t>
      </w:r>
    </w:p>
    <w:p w14:paraId="17A35C13" w14:textId="01628123" w:rsidR="000F1E04" w:rsidRPr="000F1E04" w:rsidRDefault="000F1E04" w:rsidP="000F1E04">
      <w:pPr>
        <w:pStyle w:val="Bullet1"/>
      </w:pPr>
      <w:r>
        <w:t xml:space="preserve">443 </w:t>
      </w:r>
      <w:r w:rsidR="00E32E63">
        <w:t>Civil Society Organisations (</w:t>
      </w:r>
      <w:r w:rsidRPr="000F1E04">
        <w:t>CSOs</w:t>
      </w:r>
      <w:r w:rsidR="00E32E63">
        <w:t>)</w:t>
      </w:r>
      <w:r w:rsidRPr="000F1E04">
        <w:t xml:space="preserve"> supported to engage in activities to reduce violence against women</w:t>
      </w:r>
    </w:p>
    <w:p w14:paraId="397BC005" w14:textId="041B695A" w:rsidR="00160A01" w:rsidRDefault="0038675C" w:rsidP="00CA7DD8">
      <w:pPr>
        <w:spacing w:before="240" w:line="240" w:lineRule="auto"/>
        <w:rPr>
          <w:rFonts w:eastAsia="Times New Roman"/>
        </w:rPr>
      </w:pPr>
      <w:r>
        <w:rPr>
          <w:rFonts w:eastAsia="Times New Roman"/>
        </w:rPr>
        <w:t xml:space="preserve">To improve the Program’s attention to and reporting on inclusive development, as </w:t>
      </w:r>
      <w:r w:rsidR="00160A01">
        <w:rPr>
          <w:rFonts w:eastAsia="Times New Roman"/>
        </w:rPr>
        <w:t xml:space="preserve">in previous years, gender was </w:t>
      </w:r>
      <w:r>
        <w:rPr>
          <w:rFonts w:eastAsia="Times New Roman"/>
        </w:rPr>
        <w:t xml:space="preserve">discussed </w:t>
      </w:r>
      <w:r w:rsidR="00160A01">
        <w:rPr>
          <w:rFonts w:eastAsia="Times New Roman"/>
        </w:rPr>
        <w:t>at the 2017 Annual Reflections Workshop</w:t>
      </w:r>
      <w:r w:rsidR="00E32E63">
        <w:rPr>
          <w:rStyle w:val="FootnoteReference"/>
          <w:rFonts w:eastAsia="Times New Roman"/>
        </w:rPr>
        <w:footnoteReference w:id="8"/>
      </w:r>
      <w:r>
        <w:rPr>
          <w:rFonts w:eastAsia="Times New Roman"/>
        </w:rPr>
        <w:t>. T</w:t>
      </w:r>
      <w:r w:rsidR="00A532AF">
        <w:rPr>
          <w:rFonts w:eastAsia="Times New Roman"/>
        </w:rPr>
        <w:t xml:space="preserve">he range of approaches, </w:t>
      </w:r>
      <w:r w:rsidR="00DC3412">
        <w:rPr>
          <w:rFonts w:eastAsia="Times New Roman"/>
        </w:rPr>
        <w:t xml:space="preserve">practices </w:t>
      </w:r>
      <w:r w:rsidR="00A532AF">
        <w:rPr>
          <w:rFonts w:eastAsia="Times New Roman"/>
        </w:rPr>
        <w:t>and tools used by ANCP NGO</w:t>
      </w:r>
      <w:r w:rsidR="006A285B">
        <w:rPr>
          <w:rFonts w:eastAsia="Times New Roman"/>
        </w:rPr>
        <w:t>s</w:t>
      </w:r>
      <w:r w:rsidR="00A532AF">
        <w:rPr>
          <w:rFonts w:eastAsia="Times New Roman"/>
        </w:rPr>
        <w:t xml:space="preserve"> </w:t>
      </w:r>
      <w:r>
        <w:rPr>
          <w:rFonts w:eastAsia="Times New Roman"/>
        </w:rPr>
        <w:t xml:space="preserve">in </w:t>
      </w:r>
      <w:r w:rsidR="00DC3412">
        <w:rPr>
          <w:rFonts w:eastAsia="Times New Roman"/>
        </w:rPr>
        <w:t xml:space="preserve">promoting gender equality </w:t>
      </w:r>
      <w:r>
        <w:rPr>
          <w:rFonts w:eastAsia="Times New Roman"/>
        </w:rPr>
        <w:t>and</w:t>
      </w:r>
      <w:r w:rsidR="00DC3412">
        <w:rPr>
          <w:rFonts w:eastAsia="Times New Roman"/>
        </w:rPr>
        <w:t xml:space="preserve"> gender from a risk perspective</w:t>
      </w:r>
      <w:r>
        <w:rPr>
          <w:rFonts w:eastAsia="Times New Roman"/>
        </w:rPr>
        <w:t xml:space="preserve"> were key areas of discussion</w:t>
      </w:r>
      <w:r w:rsidR="00DC3412">
        <w:rPr>
          <w:rFonts w:eastAsia="Times New Roman"/>
        </w:rPr>
        <w:t>.</w:t>
      </w:r>
      <w:r>
        <w:rPr>
          <w:rFonts w:eastAsia="Times New Roman"/>
        </w:rPr>
        <w:t xml:space="preserve"> </w:t>
      </w:r>
    </w:p>
    <w:p w14:paraId="55BAE534" w14:textId="3AADA039" w:rsidR="005917BE" w:rsidRDefault="00DC3412" w:rsidP="00CA7DD8">
      <w:pPr>
        <w:spacing w:before="240" w:line="240" w:lineRule="auto"/>
        <w:rPr>
          <w:rFonts w:eastAsia="Times New Roman"/>
        </w:rPr>
      </w:pPr>
      <w:r>
        <w:rPr>
          <w:rFonts w:eastAsia="Times New Roman"/>
        </w:rPr>
        <w:t>The ANCP’s strong performance on gender equality wa</w:t>
      </w:r>
      <w:r w:rsidR="00D56470">
        <w:rPr>
          <w:rFonts w:eastAsia="Times New Roman"/>
        </w:rPr>
        <w:t>s</w:t>
      </w:r>
      <w:r>
        <w:rPr>
          <w:rFonts w:eastAsia="Times New Roman"/>
        </w:rPr>
        <w:t xml:space="preserve"> recognised through the establishment of the Gender Action Platform (GAP)</w:t>
      </w:r>
      <w:r>
        <w:rPr>
          <w:rStyle w:val="FootnoteReference"/>
          <w:rFonts w:eastAsia="Times New Roman"/>
        </w:rPr>
        <w:footnoteReference w:id="9"/>
      </w:r>
      <w:r>
        <w:rPr>
          <w:rFonts w:eastAsia="Times New Roman"/>
        </w:rPr>
        <w:t xml:space="preserve"> a $10 million competitive</w:t>
      </w:r>
      <w:r w:rsidRPr="00DC3412">
        <w:rPr>
          <w:rFonts w:eastAsia="Times New Roman"/>
        </w:rPr>
        <w:t xml:space="preserve"> grants process for </w:t>
      </w:r>
      <w:r>
        <w:rPr>
          <w:rFonts w:eastAsia="Times New Roman"/>
        </w:rPr>
        <w:t xml:space="preserve">accredited ANCP NGOs </w:t>
      </w:r>
      <w:r w:rsidRPr="00DC3412">
        <w:rPr>
          <w:rFonts w:eastAsia="Times New Roman"/>
        </w:rPr>
        <w:t>to strengthen gender equality programming in the Indo-Pacific</w:t>
      </w:r>
      <w:r w:rsidR="00D56470">
        <w:rPr>
          <w:rFonts w:eastAsia="Times New Roman"/>
        </w:rPr>
        <w:t xml:space="preserve"> (see Box)</w:t>
      </w:r>
      <w:r w:rsidRPr="00DC3412">
        <w:rPr>
          <w:rFonts w:eastAsia="Times New Roman"/>
        </w:rPr>
        <w:t>.</w:t>
      </w:r>
      <w:r>
        <w:rPr>
          <w:rFonts w:eastAsia="Times New Roman"/>
        </w:rPr>
        <w:t xml:space="preserve"> Six ANCP NGOs were awarded grant</w:t>
      </w:r>
      <w:r w:rsidR="006932A9">
        <w:rPr>
          <w:rFonts w:eastAsia="Times New Roman"/>
        </w:rPr>
        <w:t>s to implement projects in 11</w:t>
      </w:r>
      <w:r>
        <w:rPr>
          <w:rFonts w:eastAsia="Times New Roman"/>
        </w:rPr>
        <w:t xml:space="preserve"> countries.</w:t>
      </w:r>
    </w:p>
    <w:p w14:paraId="0183ED23" w14:textId="0410C9F0" w:rsidR="00F954A8" w:rsidRPr="00DC3412" w:rsidRDefault="00F954A8" w:rsidP="00331D71">
      <w:pPr>
        <w:pStyle w:val="Heading4"/>
      </w:pPr>
      <w:r w:rsidRPr="00DC3412">
        <w:t>Disability inclusive development</w:t>
      </w:r>
    </w:p>
    <w:p w14:paraId="1438461F" w14:textId="4C7DB6C1" w:rsidR="00DC3412" w:rsidRDefault="00F075FD" w:rsidP="00331D71">
      <w:pPr>
        <w:keepNext/>
        <w:keepLines/>
        <w:spacing w:before="240" w:line="240" w:lineRule="auto"/>
        <w:rPr>
          <w:rFonts w:eastAsia="Times New Roman"/>
        </w:rPr>
      </w:pPr>
      <w:r w:rsidRPr="0021466C">
        <w:rPr>
          <w:noProof/>
          <w:lang w:val="en-AU" w:eastAsia="en-AU"/>
        </w:rPr>
        <mc:AlternateContent>
          <mc:Choice Requires="wps">
            <w:drawing>
              <wp:anchor distT="0" distB="0" distL="71755" distR="71755" simplePos="0" relativeHeight="251710464" behindDoc="1" locked="0" layoutInCell="1" allowOverlap="1" wp14:anchorId="34EAE146" wp14:editId="273D11AC">
                <wp:simplePos x="0" y="0"/>
                <wp:positionH relativeFrom="margin">
                  <wp:posOffset>44450</wp:posOffset>
                </wp:positionH>
                <wp:positionV relativeFrom="paragraph">
                  <wp:posOffset>95250</wp:posOffset>
                </wp:positionV>
                <wp:extent cx="2038350" cy="2865120"/>
                <wp:effectExtent l="0" t="0" r="19050" b="11430"/>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0" cy="2865120"/>
                        </a:xfrm>
                        <a:prstGeom prst="rect">
                          <a:avLst/>
                        </a:prstGeom>
                        <a:solidFill>
                          <a:sysClr val="window" lastClr="FFFFFF"/>
                        </a:solidFill>
                        <a:ln w="25400" cap="flat" cmpd="sng" algn="ctr">
                          <a:solidFill>
                            <a:srgbClr val="65C5B4"/>
                          </a:solidFill>
                          <a:prstDash val="solid"/>
                          <a:headEnd/>
                          <a:tailEnd/>
                        </a:ln>
                        <a:effectLst/>
                      </wps:spPr>
                      <wps:txbx>
                        <w:txbxContent>
                          <w:p w14:paraId="48AD59D0" w14:textId="39081962" w:rsidR="007F7DAB" w:rsidRDefault="007F7DAB" w:rsidP="0056794B">
                            <w:r>
                              <w:t xml:space="preserve">Disability inclusion is integrated throughout the work of The Leprosy Mission Australia. Their project PACED CHAMP in Nepal invites people with a disability to join Self Help Groups and encourages participants to play leadership roles in their community, for example facilitating awareness raising activities to decrease the stigma of people living with a disability. These activities empower participants as well as diversify their skills  and promote a more cohesive community. </w:t>
                            </w:r>
                          </w:p>
                          <w:p w14:paraId="7D844C52" w14:textId="343871B9" w:rsidR="007F7DAB" w:rsidRPr="001948A0" w:rsidRDefault="007F7DAB" w:rsidP="001948A0"/>
                        </w:txbxContent>
                      </wps:txbx>
                      <wps:bodyPr rot="0" vert="horz" wrap="square" lIns="72000" tIns="0" rIns="72000" bIns="0" anchor="t" anchorCtr="0">
                        <a:noAutofit/>
                      </wps:bodyPr>
                    </wps:wsp>
                  </a:graphicData>
                </a:graphic>
                <wp14:sizeRelH relativeFrom="page">
                  <wp14:pctWidth>0</wp14:pctWidth>
                </wp14:sizeRelH>
                <wp14:sizeRelV relativeFrom="page">
                  <wp14:pctHeight>0</wp14:pctHeight>
                </wp14:sizeRelV>
              </wp:anchor>
            </w:drawing>
          </mc:Choice>
          <mc:Fallback>
            <w:pict>
              <v:shape w14:anchorId="34EAE146" id="_x0000_s1028" type="#_x0000_t202" style="position:absolute;margin-left:3.5pt;margin-top:7.5pt;width:160.5pt;height:225.6pt;z-index:-251606016;visibility:visible;mso-wrap-style:square;mso-width-percent:0;mso-height-percent:0;mso-wrap-distance-left:5.65pt;mso-wrap-distance-top:0;mso-wrap-distance-right:5.6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" fillcolor="window" strokecolor="#65c5b4" strokeweight="2pt">
                <v:textbox inset="2mm,0,2mm,0">
                  <w:txbxContent>
                    <w:p w14:paraId="48AD59D0" w14:textId="39081962" w:rsidR="007F7DAB" w:rsidRDefault="007F7DAB" w:rsidP="0056794B">
                      <w:r>
                        <w:t xml:space="preserve">Disability inclusion </w:t>
                      </w:r>
                      <w:proofErr w:type="gramStart"/>
                      <w:r>
                        <w:t>is integrated</w:t>
                      </w:r>
                      <w:proofErr w:type="gramEnd"/>
                      <w:r>
                        <w:t xml:space="preserve"> throughout the work of The Leprosy Mission Australia. Their project PACED CHAMP in Nepal invites people with a disability to join Self Help Groups and encourages participants to play leadership roles in their community, for example facilitating awareness raising activities to decrease the stigma of people living with a disability. These activities empower participants as well as diversify their </w:t>
                      </w:r>
                      <w:proofErr w:type="gramStart"/>
                      <w:r>
                        <w:t>skills  and</w:t>
                      </w:r>
                      <w:proofErr w:type="gramEnd"/>
                      <w:r>
                        <w:t xml:space="preserve"> promote a more cohesive community. </w:t>
                      </w:r>
                    </w:p>
                    <w:p w14:paraId="7D844C52" w14:textId="343871B9" w:rsidR="007F7DAB" w:rsidRPr="001948A0" w:rsidRDefault="007F7DAB" w:rsidP="001948A0"/>
                  </w:txbxContent>
                </v:textbox>
                <w10:wrap type="square" anchorx="margin"/>
              </v:shape>
            </w:pict>
          </mc:Fallback>
        </mc:AlternateContent>
      </w:r>
      <w:r w:rsidR="00A532AF">
        <w:rPr>
          <w:rFonts w:eastAsia="Times New Roman"/>
        </w:rPr>
        <w:t>In 2016-17, 61</w:t>
      </w:r>
      <w:r w:rsidR="00DC3412" w:rsidRPr="00DC3412">
        <w:rPr>
          <w:rFonts w:eastAsia="Times New Roman"/>
        </w:rPr>
        <w:t xml:space="preserve"> per cent of ANCP projects addressed disability inclusion. Disability inclusi</w:t>
      </w:r>
      <w:r w:rsidR="005F77FF">
        <w:rPr>
          <w:rFonts w:eastAsia="Times New Roman"/>
        </w:rPr>
        <w:t>on was the principal focus in 67 projects (13</w:t>
      </w:r>
      <w:r w:rsidR="00AD1F94">
        <w:rPr>
          <w:rFonts w:eastAsia="Times New Roman"/>
        </w:rPr>
        <w:t> </w:t>
      </w:r>
      <w:r w:rsidR="00DC3412" w:rsidRPr="00DC3412">
        <w:rPr>
          <w:rFonts w:eastAsia="Times New Roman"/>
        </w:rPr>
        <w:t xml:space="preserve">per cent) with </w:t>
      </w:r>
      <w:r w:rsidR="005F77FF">
        <w:rPr>
          <w:rFonts w:eastAsia="Times New Roman"/>
        </w:rPr>
        <w:t>a total expenditure of over $11</w:t>
      </w:r>
      <w:r w:rsidR="00DC3412" w:rsidRPr="00DC3412">
        <w:rPr>
          <w:rFonts w:eastAsia="Times New Roman"/>
        </w:rPr>
        <w:t xml:space="preserve"> million reaching over </w:t>
      </w:r>
      <w:r w:rsidR="005F77FF">
        <w:rPr>
          <w:rFonts w:eastAsia="Times New Roman"/>
        </w:rPr>
        <w:t>1.4 million</w:t>
      </w:r>
      <w:r w:rsidR="00DC3412" w:rsidRPr="00DC3412">
        <w:rPr>
          <w:rFonts w:eastAsia="Times New Roman"/>
        </w:rPr>
        <w:t xml:space="preserve"> beneficiaries.</w:t>
      </w:r>
      <w:r w:rsidR="005F77FF">
        <w:rPr>
          <w:rFonts w:eastAsia="Times New Roman"/>
        </w:rPr>
        <w:t xml:space="preserve"> </w:t>
      </w:r>
    </w:p>
    <w:p w14:paraId="0916F032" w14:textId="79B8F07A" w:rsidR="005F77FF" w:rsidRDefault="005F77FF" w:rsidP="005F77FF">
      <w:pPr>
        <w:spacing w:after="120" w:line="280" w:lineRule="exact"/>
        <w:rPr>
          <w:rFonts w:eastAsia="Times New Roman"/>
          <w:lang w:val="en-AU"/>
        </w:rPr>
      </w:pPr>
      <w:r>
        <w:rPr>
          <w:rFonts w:eastAsia="Times New Roman"/>
          <w:lang w:val="en-AU"/>
        </w:rPr>
        <w:t>Key results in 2016-17 included</w:t>
      </w:r>
      <w:r w:rsidR="007E2915">
        <w:rPr>
          <w:rStyle w:val="FootnoteReference"/>
          <w:rFonts w:eastAsia="Times New Roman"/>
          <w:lang w:val="en-AU"/>
        </w:rPr>
        <w:footnoteReference w:id="10"/>
      </w:r>
      <w:r>
        <w:rPr>
          <w:rFonts w:eastAsia="Times New Roman"/>
          <w:lang w:val="en-AU"/>
        </w:rPr>
        <w:t>:</w:t>
      </w:r>
    </w:p>
    <w:p w14:paraId="485F699E" w14:textId="1AEAD7E5" w:rsidR="000F1E04" w:rsidRDefault="000F1E04" w:rsidP="000F1E04">
      <w:pPr>
        <w:pStyle w:val="Bullet1"/>
        <w:rPr>
          <w:lang w:val="en-AU"/>
        </w:rPr>
      </w:pPr>
      <w:r>
        <w:rPr>
          <w:lang w:val="en-AU"/>
        </w:rPr>
        <w:t xml:space="preserve">27,378 </w:t>
      </w:r>
      <w:r w:rsidRPr="000F1E04">
        <w:rPr>
          <w:lang w:val="en-AU"/>
        </w:rPr>
        <w:t>people provided with disability services like prostheses and assistive devices</w:t>
      </w:r>
      <w:r>
        <w:rPr>
          <w:lang w:val="en-AU"/>
        </w:rPr>
        <w:t xml:space="preserve"> (of these 49 per cent were women and girls);</w:t>
      </w:r>
    </w:p>
    <w:p w14:paraId="5638BE62" w14:textId="1AE35EF0" w:rsidR="000F1E04" w:rsidRDefault="00F8454F" w:rsidP="00F8454F">
      <w:pPr>
        <w:pStyle w:val="Bullet1"/>
        <w:rPr>
          <w:lang w:val="en-AU"/>
        </w:rPr>
      </w:pPr>
      <w:r>
        <w:rPr>
          <w:lang w:val="en-AU"/>
        </w:rPr>
        <w:t xml:space="preserve">3,339 </w:t>
      </w:r>
      <w:r w:rsidRPr="00F8454F">
        <w:rPr>
          <w:lang w:val="en-AU"/>
        </w:rPr>
        <w:t>adults with disability successfully obtain</w:t>
      </w:r>
      <w:r w:rsidR="006A285B">
        <w:rPr>
          <w:lang w:val="en-AU"/>
        </w:rPr>
        <w:t>ed</w:t>
      </w:r>
      <w:r w:rsidRPr="00F8454F">
        <w:rPr>
          <w:lang w:val="en-AU"/>
        </w:rPr>
        <w:t xml:space="preserve"> a livelihood as a result of skills training or capacity building</w:t>
      </w:r>
      <w:r>
        <w:rPr>
          <w:lang w:val="en-AU"/>
        </w:rPr>
        <w:t xml:space="preserve"> (of these 47 per cent were women);</w:t>
      </w:r>
    </w:p>
    <w:p w14:paraId="1AB19EB7" w14:textId="2888F425" w:rsidR="009F75A2" w:rsidRPr="00F8454F" w:rsidRDefault="009F75A2" w:rsidP="009F75A2">
      <w:pPr>
        <w:pStyle w:val="Bullet1"/>
        <w:rPr>
          <w:lang w:val="en-AU"/>
        </w:rPr>
      </w:pPr>
      <w:r>
        <w:rPr>
          <w:lang w:val="en-AU"/>
        </w:rPr>
        <w:t xml:space="preserve">3,055 </w:t>
      </w:r>
      <w:r w:rsidRPr="00F8454F">
        <w:rPr>
          <w:lang w:val="en-AU"/>
        </w:rPr>
        <w:t>teachers t</w:t>
      </w:r>
      <w:r>
        <w:rPr>
          <w:lang w:val="en-AU"/>
        </w:rPr>
        <w:t>rained in disability inclusion (of these 52 per cent were women and 6 per cent people with a disability); and</w:t>
      </w:r>
    </w:p>
    <w:p w14:paraId="668E4DA2" w14:textId="22AA37CB" w:rsidR="00F8454F" w:rsidRDefault="00F8454F" w:rsidP="00F8454F">
      <w:pPr>
        <w:pStyle w:val="Bullet1"/>
        <w:rPr>
          <w:lang w:val="en-AU"/>
        </w:rPr>
      </w:pPr>
      <w:r>
        <w:rPr>
          <w:lang w:val="en-AU"/>
        </w:rPr>
        <w:t xml:space="preserve">1,470 </w:t>
      </w:r>
      <w:r w:rsidRPr="00F8454F">
        <w:rPr>
          <w:lang w:val="en-AU"/>
        </w:rPr>
        <w:t>in-country Disabled Persons Organisations (DPOs) receiving capacity building</w:t>
      </w:r>
      <w:r w:rsidR="009F75A2">
        <w:rPr>
          <w:lang w:val="en-AU"/>
        </w:rPr>
        <w:t>.</w:t>
      </w:r>
    </w:p>
    <w:p w14:paraId="3D2D0605" w14:textId="43C3AE27" w:rsidR="00F954A8" w:rsidRDefault="007B6108" w:rsidP="006A285B">
      <w:pPr>
        <w:pStyle w:val="Heading4"/>
        <w:keepNext w:val="0"/>
        <w:keepLines w:val="0"/>
      </w:pPr>
      <w:r w:rsidRPr="0021466C">
        <w:rPr>
          <w:noProof/>
          <w:lang w:val="en-AU" w:eastAsia="en-AU"/>
        </w:rPr>
        <mc:AlternateContent>
          <mc:Choice Requires="wps">
            <w:drawing>
              <wp:anchor distT="0" distB="0" distL="71755" distR="71755" simplePos="0" relativeHeight="251708416" behindDoc="1" locked="0" layoutInCell="1" allowOverlap="1" wp14:anchorId="73A3264E" wp14:editId="397F622A">
                <wp:simplePos x="0" y="0"/>
                <wp:positionH relativeFrom="margin">
                  <wp:posOffset>3737610</wp:posOffset>
                </wp:positionH>
                <wp:positionV relativeFrom="paragraph">
                  <wp:posOffset>255501</wp:posOffset>
                </wp:positionV>
                <wp:extent cx="2551430" cy="1219200"/>
                <wp:effectExtent l="0" t="0" r="20320" b="19050"/>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1430" cy="1219200"/>
                        </a:xfrm>
                        <a:prstGeom prst="rect">
                          <a:avLst/>
                        </a:prstGeom>
                        <a:solidFill>
                          <a:sysClr val="window" lastClr="FFFFFF"/>
                        </a:solidFill>
                        <a:ln w="25400" cap="flat" cmpd="sng" algn="ctr">
                          <a:solidFill>
                            <a:srgbClr val="65C5B4"/>
                          </a:solidFill>
                          <a:prstDash val="solid"/>
                          <a:headEnd/>
                          <a:tailEnd/>
                        </a:ln>
                        <a:effectLst/>
                      </wps:spPr>
                      <wps:txbx>
                        <w:txbxContent>
                          <w:p w14:paraId="40A267C1" w14:textId="14C20B42" w:rsidR="007F7DAB" w:rsidRPr="008D272A" w:rsidRDefault="007F7DAB" w:rsidP="008D272A">
                            <w:r>
                              <w:t xml:space="preserve">Oxfam Australia engaged with a </w:t>
                            </w:r>
                            <w:r w:rsidRPr="008D272A">
                              <w:t>number of private sector organisations, including five extractive industries companies such as Rio Tinto and Oil Search</w:t>
                            </w:r>
                            <w:r>
                              <w:t>,</w:t>
                            </w:r>
                            <w:r w:rsidRPr="008D272A">
                              <w:t xml:space="preserve"> to discuss uptake of the Gender Impact Assessment app to improve their operations</w:t>
                            </w:r>
                            <w:r w:rsidR="00F151D8">
                              <w:t>.</w:t>
                            </w:r>
                          </w:p>
                          <w:p w14:paraId="2BD1E2EB" w14:textId="77777777" w:rsidR="007F7DAB" w:rsidRPr="00D4602F" w:rsidRDefault="007F7DAB" w:rsidP="008D272A"/>
                        </w:txbxContent>
                      </wps:txbx>
                      <wps:bodyPr rot="0" vert="horz" wrap="square" lIns="72000" tIns="0" rIns="72000" bIns="0" anchor="t" anchorCtr="0">
                        <a:noAutofit/>
                      </wps:bodyPr>
                    </wps:wsp>
                  </a:graphicData>
                </a:graphic>
                <wp14:sizeRelH relativeFrom="page">
                  <wp14:pctWidth>0</wp14:pctWidth>
                </wp14:sizeRelH>
                <wp14:sizeRelV relativeFrom="page">
                  <wp14:pctHeight>0</wp14:pctHeight>
                </wp14:sizeRelV>
              </wp:anchor>
            </w:drawing>
          </mc:Choice>
          <mc:Fallback>
            <w:pict>
              <v:shape w14:anchorId="73A3264E" id="_x0000_s1029" type="#_x0000_t202" style="position:absolute;margin-left:294.3pt;margin-top:20.1pt;width:200.9pt;height:96pt;z-index:-251608064;visibility:visible;mso-wrap-style:square;mso-width-percent:0;mso-height-percent:0;mso-wrap-distance-left:5.65pt;mso-wrap-distance-top:0;mso-wrap-distance-right:5.6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" fillcolor="window" strokecolor="#65c5b4" strokeweight="2pt">
                <v:textbox inset="2mm,0,2mm,0">
                  <w:txbxContent>
                    <w:p w14:paraId="40A267C1" w14:textId="14C20B42" w:rsidR="007F7DAB" w:rsidRPr="008D272A" w:rsidRDefault="007F7DAB" w:rsidP="008D272A">
                      <w:r>
                        <w:t xml:space="preserve">Oxfam Australia engaged with a </w:t>
                      </w:r>
                      <w:r w:rsidRPr="008D272A">
                        <w:t>number of private sector organisations, including five extractive industries companies such as Rio Tinto and Oil Search</w:t>
                      </w:r>
                      <w:r>
                        <w:t>,</w:t>
                      </w:r>
                      <w:r w:rsidRPr="008D272A">
                        <w:t xml:space="preserve"> to discuss uptake of the Gender Impact Assessment app to improve their operations</w:t>
                      </w:r>
                      <w:r w:rsidR="00F151D8">
                        <w:t>.</w:t>
                      </w:r>
                    </w:p>
                    <w:p w14:paraId="2BD1E2EB" w14:textId="77777777" w:rsidR="007F7DAB" w:rsidRPr="00D4602F" w:rsidRDefault="007F7DAB" w:rsidP="008D272A"/>
                  </w:txbxContent>
                </v:textbox>
                <w10:wrap type="square" anchorx="margin"/>
              </v:shape>
            </w:pict>
          </mc:Fallback>
        </mc:AlternateContent>
      </w:r>
      <w:r w:rsidR="00F954A8" w:rsidRPr="005F77FF">
        <w:t>Private sector</w:t>
      </w:r>
    </w:p>
    <w:p w14:paraId="6038871B" w14:textId="2DFB4CC8" w:rsidR="009D3FD2" w:rsidRPr="00100F41" w:rsidRDefault="009D3FD2" w:rsidP="006A285B">
      <w:pPr>
        <w:rPr>
          <w:rFonts w:eastAsia="Times New Roman"/>
          <w:lang w:val="en-AU"/>
        </w:rPr>
      </w:pPr>
      <w:r>
        <w:rPr>
          <w:rFonts w:eastAsia="Times New Roman"/>
          <w:lang w:val="en-AU"/>
        </w:rPr>
        <w:t>In 20</w:t>
      </w:r>
      <w:r w:rsidRPr="00331BC7">
        <w:rPr>
          <w:rFonts w:eastAsia="Times New Roman"/>
          <w:lang w:val="en-AU"/>
        </w:rPr>
        <w:t>16</w:t>
      </w:r>
      <w:r>
        <w:rPr>
          <w:rFonts w:eastAsia="Times New Roman"/>
          <w:lang w:val="en-AU"/>
        </w:rPr>
        <w:t>-17</w:t>
      </w:r>
      <w:r w:rsidRPr="00331BC7">
        <w:rPr>
          <w:rFonts w:eastAsia="Times New Roman"/>
          <w:lang w:val="en-AU"/>
        </w:rPr>
        <w:t xml:space="preserve">, </w:t>
      </w:r>
      <w:r w:rsidR="007E2915">
        <w:rPr>
          <w:rFonts w:eastAsia="Times New Roman"/>
          <w:lang w:val="en-AU"/>
        </w:rPr>
        <w:t>227</w:t>
      </w:r>
      <w:r w:rsidRPr="00331BC7">
        <w:rPr>
          <w:rFonts w:eastAsia="Times New Roman"/>
          <w:lang w:val="en-AU"/>
        </w:rPr>
        <w:t xml:space="preserve"> projects involved engagement with the private sector</w:t>
      </w:r>
      <w:r w:rsidR="00F10DEB">
        <w:rPr>
          <w:rFonts w:eastAsia="Times New Roman"/>
          <w:lang w:val="en-AU"/>
        </w:rPr>
        <w:t xml:space="preserve"> consistent with 2015-16</w:t>
      </w:r>
      <w:r>
        <w:rPr>
          <w:rFonts w:eastAsia="Times New Roman"/>
          <w:lang w:val="en-AU"/>
        </w:rPr>
        <w:t>.</w:t>
      </w:r>
      <w:r w:rsidRPr="00331BC7">
        <w:rPr>
          <w:rFonts w:eastAsia="Times New Roman"/>
          <w:lang w:val="en-AU"/>
        </w:rPr>
        <w:t xml:space="preserve"> </w:t>
      </w:r>
      <w:r>
        <w:rPr>
          <w:rFonts w:eastAsia="Times New Roman"/>
          <w:lang w:val="en-AU"/>
        </w:rPr>
        <w:t>In</w:t>
      </w:r>
      <w:r w:rsidRPr="00331BC7">
        <w:rPr>
          <w:rFonts w:eastAsia="Times New Roman"/>
          <w:lang w:val="en-AU"/>
        </w:rPr>
        <w:t xml:space="preserve"> 2016</w:t>
      </w:r>
      <w:r>
        <w:rPr>
          <w:rFonts w:eastAsia="Times New Roman"/>
          <w:lang w:val="en-AU"/>
        </w:rPr>
        <w:t>-17</w:t>
      </w:r>
      <w:r w:rsidRPr="00331BC7">
        <w:rPr>
          <w:rFonts w:eastAsia="Times New Roman"/>
          <w:lang w:val="en-AU"/>
        </w:rPr>
        <w:t xml:space="preserve">, ANCP NGOs engaged with </w:t>
      </w:r>
      <w:r w:rsidR="00100F41">
        <w:rPr>
          <w:rFonts w:eastAsia="Times New Roman"/>
          <w:lang w:val="en-AU"/>
        </w:rPr>
        <w:t>789</w:t>
      </w:r>
      <w:r w:rsidRPr="00BF143A">
        <w:rPr>
          <w:rFonts w:eastAsia="Times New Roman"/>
          <w:lang w:val="en-AU"/>
        </w:rPr>
        <w:t xml:space="preserve"> </w:t>
      </w:r>
      <w:r w:rsidRPr="00331BC7">
        <w:rPr>
          <w:rFonts w:eastAsia="Times New Roman"/>
          <w:lang w:val="en-AU"/>
        </w:rPr>
        <w:t xml:space="preserve">representative organisations (peak bodies /chambers of commerce /other business groups) and </w:t>
      </w:r>
      <w:r w:rsidR="00100F41">
        <w:rPr>
          <w:rFonts w:eastAsia="Times New Roman"/>
          <w:lang w:val="en-AU"/>
        </w:rPr>
        <w:t>44,993</w:t>
      </w:r>
      <w:r w:rsidRPr="00331BC7">
        <w:rPr>
          <w:rFonts w:eastAsia="Times New Roman"/>
          <w:lang w:val="en-AU"/>
        </w:rPr>
        <w:t xml:space="preserve"> individual businesses (excluding managing contractors)</w:t>
      </w:r>
      <w:r w:rsidRPr="00331BC7">
        <w:t xml:space="preserve"> </w:t>
      </w:r>
      <w:r w:rsidRPr="00331BC7">
        <w:rPr>
          <w:rFonts w:eastAsia="Times New Roman"/>
          <w:lang w:val="en-AU"/>
        </w:rPr>
        <w:t>in the design, delivery, management, or evaluation of projects</w:t>
      </w:r>
      <w:r w:rsidR="00100F41">
        <w:rPr>
          <w:rStyle w:val="FootnoteReference"/>
          <w:rFonts w:eastAsia="Times New Roman"/>
          <w:lang w:val="en-AU"/>
        </w:rPr>
        <w:footnoteReference w:id="11"/>
      </w:r>
      <w:r w:rsidRPr="00331BC7">
        <w:rPr>
          <w:rFonts w:eastAsia="Times New Roman"/>
          <w:lang w:val="en-AU"/>
        </w:rPr>
        <w:t>.</w:t>
      </w:r>
    </w:p>
    <w:p w14:paraId="034CD167" w14:textId="3B5416EC" w:rsidR="00F954A8" w:rsidRDefault="00F954A8" w:rsidP="006A285B">
      <w:pPr>
        <w:pStyle w:val="Heading4"/>
        <w:keepNext w:val="0"/>
        <w:keepLines w:val="0"/>
      </w:pPr>
      <w:r w:rsidRPr="009D3FD2">
        <w:t>Innovation</w:t>
      </w:r>
    </w:p>
    <w:p w14:paraId="5C92394B" w14:textId="5B90EBC4" w:rsidR="002A4F4A" w:rsidRDefault="002A4F4A" w:rsidP="00EB67C8">
      <w:pPr>
        <w:rPr>
          <w:lang w:val="en-AU"/>
        </w:rPr>
      </w:pPr>
      <w:r w:rsidRPr="00EB67C8">
        <w:rPr>
          <w:lang w:val="en-AU"/>
        </w:rPr>
        <w:t xml:space="preserve">The flexible nature of ANCP funding provides the scope for ANGOs to be innovative and to pilot new approaches. </w:t>
      </w:r>
      <w:r w:rsidR="006A285B">
        <w:rPr>
          <w:lang w:val="en-AU"/>
        </w:rPr>
        <w:t xml:space="preserve">In 2016-17, </w:t>
      </w:r>
      <w:r w:rsidR="00100F41" w:rsidRPr="00331BC7">
        <w:rPr>
          <w:lang w:val="en-AU"/>
        </w:rPr>
        <w:t xml:space="preserve">ANCP </w:t>
      </w:r>
      <w:r w:rsidR="00100F41">
        <w:rPr>
          <w:lang w:val="en-AU"/>
        </w:rPr>
        <w:t>NGOs identified 282</w:t>
      </w:r>
      <w:r w:rsidR="00100F41" w:rsidRPr="00331BC7">
        <w:rPr>
          <w:color w:val="FF0000"/>
          <w:lang w:val="en-AU"/>
        </w:rPr>
        <w:t xml:space="preserve"> </w:t>
      </w:r>
      <w:r w:rsidR="00100F41" w:rsidRPr="00331BC7">
        <w:rPr>
          <w:lang w:val="en-AU"/>
        </w:rPr>
        <w:t xml:space="preserve">projects </w:t>
      </w:r>
      <w:r w:rsidR="00100F41">
        <w:rPr>
          <w:lang w:val="en-AU"/>
        </w:rPr>
        <w:t>(43</w:t>
      </w:r>
      <w:r w:rsidR="00100F41" w:rsidRPr="00331BC7">
        <w:rPr>
          <w:lang w:val="en-AU"/>
        </w:rPr>
        <w:t xml:space="preserve"> per cent) as innovative</w:t>
      </w:r>
      <w:r w:rsidR="006A285B">
        <w:rPr>
          <w:lang w:val="en-AU"/>
        </w:rPr>
        <w:t>,</w:t>
      </w:r>
      <w:r w:rsidR="00100F41" w:rsidRPr="00331BC7">
        <w:rPr>
          <w:lang w:val="en-AU"/>
        </w:rPr>
        <w:t xml:space="preserve"> </w:t>
      </w:r>
      <w:r w:rsidR="006A285B">
        <w:rPr>
          <w:lang w:val="en-AU"/>
        </w:rPr>
        <w:t xml:space="preserve">adopting </w:t>
      </w:r>
      <w:r w:rsidR="00100F41" w:rsidRPr="00331BC7">
        <w:rPr>
          <w:lang w:val="en-AU"/>
        </w:rPr>
        <w:t>new ways of partnering, agile and flexible approaches to design, results-based aid, trialling/adapting new technologies, and leveraging new partnerships/sources of finance.</w:t>
      </w:r>
      <w:r w:rsidR="00EB67C8">
        <w:rPr>
          <w:lang w:val="en-AU"/>
        </w:rPr>
        <w:t xml:space="preserve"> </w:t>
      </w:r>
    </w:p>
    <w:p w14:paraId="4C2287EB" w14:textId="61B1A707" w:rsidR="009D3FD2" w:rsidRDefault="00080461" w:rsidP="00EB67C8">
      <w:pPr>
        <w:rPr>
          <w:noProof/>
          <w:lang w:val="en-AU" w:eastAsia="en-AU"/>
        </w:rPr>
      </w:pPr>
      <w:r w:rsidRPr="0021466C">
        <w:rPr>
          <w:noProof/>
          <w:lang w:val="en-AU" w:eastAsia="en-AU"/>
        </w:rPr>
        <mc:AlternateContent>
          <mc:Choice Requires="wps">
            <w:drawing>
              <wp:anchor distT="0" distB="0" distL="71755" distR="71755" simplePos="0" relativeHeight="251700224" behindDoc="1" locked="0" layoutInCell="1" allowOverlap="1" wp14:anchorId="513CEE9D" wp14:editId="015E8651">
                <wp:simplePos x="0" y="0"/>
                <wp:positionH relativeFrom="margin">
                  <wp:posOffset>-27940</wp:posOffset>
                </wp:positionH>
                <wp:positionV relativeFrom="paragraph">
                  <wp:posOffset>119380</wp:posOffset>
                </wp:positionV>
                <wp:extent cx="2638425" cy="2144395"/>
                <wp:effectExtent l="0" t="0" r="28575" b="27305"/>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8425" cy="2144395"/>
                        </a:xfrm>
                        <a:prstGeom prst="rect">
                          <a:avLst/>
                        </a:prstGeom>
                        <a:solidFill>
                          <a:sysClr val="window" lastClr="FFFFFF"/>
                        </a:solidFill>
                        <a:ln w="25400" cap="flat" cmpd="sng" algn="ctr">
                          <a:solidFill>
                            <a:srgbClr val="65C5B4"/>
                          </a:solidFill>
                          <a:prstDash val="solid"/>
                          <a:headEnd/>
                          <a:tailEnd/>
                        </a:ln>
                        <a:effectLst/>
                      </wps:spPr>
                      <wps:txbx>
                        <w:txbxContent>
                          <w:p w14:paraId="71C22A88" w14:textId="017FF490" w:rsidR="007F7DAB" w:rsidRDefault="007F7DAB" w:rsidP="00DB41FA">
                            <w:pPr>
                              <w:rPr>
                                <w:b/>
                              </w:rPr>
                            </w:pPr>
                            <w:r>
                              <w:rPr>
                                <w:b/>
                              </w:rPr>
                              <w:t>Digital Innovation</w:t>
                            </w:r>
                          </w:p>
                          <w:p w14:paraId="40E6A050" w14:textId="199EFF79" w:rsidR="007F7DAB" w:rsidRPr="00D4602F" w:rsidRDefault="007F7DAB" w:rsidP="00DB41FA">
                            <w:r>
                              <w:t xml:space="preserve">Plan International Australia’s Strengthening Birth Registration in Uganda project includes a partnership with Accenture Development Partnerships. As part of this project Accenture supported Plan Uganda to undertake an 'innovation sprint' which saw the development of the digital architecture necessary for digital birth registration in the low-resource setting of Uganda.  </w:t>
                            </w:r>
                          </w:p>
                        </w:txbxContent>
                      </wps:txbx>
                      <wps:bodyPr rot="0" vert="horz" wrap="square" lIns="72000" tIns="0" rIns="72000" bIns="0" anchor="t" anchorCtr="0">
                        <a:noAutofit/>
                      </wps:bodyPr>
                    </wps:wsp>
                  </a:graphicData>
                </a:graphic>
                <wp14:sizeRelH relativeFrom="page">
                  <wp14:pctWidth>0</wp14:pctWidth>
                </wp14:sizeRelH>
                <wp14:sizeRelV relativeFrom="page">
                  <wp14:pctHeight>0</wp14:pctHeight>
                </wp14:sizeRelV>
              </wp:anchor>
            </w:drawing>
          </mc:Choice>
          <mc:Fallback>
            <w:pict>
              <v:shape w14:anchorId="513CEE9D" id="_x0000_s1030" type="#_x0000_t202" style="position:absolute;margin-left:-2.2pt;margin-top:9.4pt;width:207.75pt;height:168.85pt;z-index:-251616256;visibility:visible;mso-wrap-style:square;mso-width-percent:0;mso-height-percent:0;mso-wrap-distance-left:5.65pt;mso-wrap-distance-top:0;mso-wrap-distance-right:5.6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" fillcolor="window" strokecolor="#65c5b4" strokeweight="2pt">
                <v:textbox inset="2mm,0,2mm,0">
                  <w:txbxContent>
                    <w:p w14:paraId="71C22A88" w14:textId="017FF490" w:rsidR="007F7DAB" w:rsidRDefault="007F7DAB" w:rsidP="00DB41FA">
                      <w:pPr>
                        <w:rPr>
                          <w:b/>
                        </w:rPr>
                      </w:pPr>
                      <w:r>
                        <w:rPr>
                          <w:b/>
                        </w:rPr>
                        <w:t>Digital Innovation</w:t>
                      </w:r>
                    </w:p>
                    <w:p w14:paraId="40E6A050" w14:textId="199EFF79" w:rsidR="007F7DAB" w:rsidRPr="00D4602F" w:rsidRDefault="007F7DAB" w:rsidP="00DB41FA">
                      <w:r>
                        <w:t xml:space="preserve">Plan International Australia’s Strengthening Birth Registration in Uganda project includes a partnership with Accenture Development Partnerships. As part of this </w:t>
                      </w:r>
                      <w:proofErr w:type="gramStart"/>
                      <w:r>
                        <w:t>project</w:t>
                      </w:r>
                      <w:proofErr w:type="gramEnd"/>
                      <w:r>
                        <w:t xml:space="preserve"> Accenture supported Plan Uganda to undertake an 'innovation sprint' which saw the development of the digital architecture necessary for digital birth registration in the low-resource setting of Uganda.  </w:t>
                      </w:r>
                    </w:p>
                  </w:txbxContent>
                </v:textbox>
                <w10:wrap type="square" anchorx="margin"/>
              </v:shape>
            </w:pict>
          </mc:Fallback>
        </mc:AlternateContent>
      </w:r>
      <w:r w:rsidR="0038675C">
        <w:rPr>
          <w:lang w:val="en-AU"/>
        </w:rPr>
        <w:t xml:space="preserve">Over </w:t>
      </w:r>
      <w:r w:rsidR="00EB67C8">
        <w:rPr>
          <w:lang w:val="en-AU"/>
        </w:rPr>
        <w:t>4</w:t>
      </w:r>
      <w:r w:rsidR="0038675C">
        <w:rPr>
          <w:lang w:val="en-AU"/>
        </w:rPr>
        <w:t>0</w:t>
      </w:r>
      <w:r w:rsidR="00EB67C8">
        <w:rPr>
          <w:lang w:val="en-AU"/>
        </w:rPr>
        <w:t xml:space="preserve"> projects </w:t>
      </w:r>
      <w:r w:rsidR="00EB67C8" w:rsidRPr="00EB67C8">
        <w:rPr>
          <w:lang w:val="en-AU"/>
        </w:rPr>
        <w:t xml:space="preserve">involved pilots with many more building on previous pilots. ANCP NGOs have indicated that the flexible nature of ANCP is vital to trial innovative projects or establish a track record in new geographic/sectoral areas and then </w:t>
      </w:r>
      <w:r w:rsidR="006A285B">
        <w:rPr>
          <w:lang w:val="en-AU"/>
        </w:rPr>
        <w:t xml:space="preserve">to </w:t>
      </w:r>
      <w:r w:rsidR="00EB67C8" w:rsidRPr="00EB67C8">
        <w:rPr>
          <w:lang w:val="en-AU"/>
        </w:rPr>
        <w:t>access additional funds from other donors to take these projects to scale and ensure sustainability.</w:t>
      </w:r>
      <w:r w:rsidR="00DB41FA" w:rsidRPr="00DB41FA">
        <w:rPr>
          <w:noProof/>
          <w:lang w:val="en-AU" w:eastAsia="en-AU"/>
        </w:rPr>
        <w:t xml:space="preserve"> </w:t>
      </w:r>
    </w:p>
    <w:p w14:paraId="3C9F880E" w14:textId="09CF88CB" w:rsidR="0038675C" w:rsidRPr="00EB67C8" w:rsidRDefault="00F075FD" w:rsidP="00EB67C8">
      <w:pPr>
        <w:rPr>
          <w:lang w:val="en-AU"/>
        </w:rPr>
      </w:pPr>
      <w:r>
        <w:rPr>
          <w:noProof/>
          <w:lang w:val="en-AU" w:eastAsia="en-AU"/>
        </w:rPr>
        <w:t xml:space="preserve">The GAP was established to explicitly fund innovative approaches to gender challenges that </w:t>
      </w:r>
      <w:r>
        <w:rPr>
          <w:lang w:val="en-US"/>
        </w:rPr>
        <w:t>reduce violence against women, increase women's economic opportunities and improve leadership for and by women through collective action. In May 2016, NGOs shared learning on good gender equality practice and increase collaboration at a workshop involving DFAT and ANCP NGOs. The lessons from year one of GAP implementation will be shared among all ANCP NGOs in 2017-18.</w:t>
      </w:r>
    </w:p>
    <w:p w14:paraId="350A045B" w14:textId="14686579" w:rsidR="00F954A8" w:rsidRDefault="009D3FD2" w:rsidP="009D3FD2">
      <w:pPr>
        <w:pStyle w:val="Heading4"/>
      </w:pPr>
      <w:r w:rsidRPr="009D3FD2">
        <w:t>Value for Money</w:t>
      </w:r>
      <w:r>
        <w:t xml:space="preserve"> (VfM)</w:t>
      </w:r>
    </w:p>
    <w:p w14:paraId="60C799AA" w14:textId="1EF13570" w:rsidR="009D3FD2" w:rsidRPr="00331BC7" w:rsidRDefault="009D3FD2" w:rsidP="009D3FD2">
      <w:pPr>
        <w:spacing w:after="120" w:line="280" w:lineRule="exact"/>
        <w:rPr>
          <w:rFonts w:eastAsia="Times New Roman"/>
          <w:lang w:val="en-AU"/>
        </w:rPr>
      </w:pPr>
      <w:r>
        <w:rPr>
          <w:rFonts w:eastAsia="Times New Roman"/>
          <w:lang w:val="en-AU"/>
        </w:rPr>
        <w:t xml:space="preserve">ANCP </w:t>
      </w:r>
      <w:r w:rsidR="002A4F4A">
        <w:rPr>
          <w:rFonts w:eastAsia="Times New Roman"/>
          <w:lang w:val="en-AU"/>
        </w:rPr>
        <w:t xml:space="preserve">continues to provide value for money through the NGO match, use of local systems and capacity building of in-country staff, and effective results on the ground. </w:t>
      </w:r>
      <w:r>
        <w:rPr>
          <w:rFonts w:eastAsia="Times New Roman"/>
          <w:lang w:val="en-AU"/>
        </w:rPr>
        <w:t xml:space="preserve">ANCP NGOs must match </w:t>
      </w:r>
      <w:r w:rsidRPr="009D3FD2">
        <w:rPr>
          <w:rFonts w:eastAsia="Times New Roman"/>
          <w:lang w:val="en-AU"/>
        </w:rPr>
        <w:t xml:space="preserve">20 per cent or one dollar of their own funds for every five dollars that DFAT provides under </w:t>
      </w:r>
      <w:r>
        <w:rPr>
          <w:rFonts w:eastAsia="Times New Roman"/>
          <w:lang w:val="en-AU"/>
        </w:rPr>
        <w:t>the ANCP (1:5 match). In 20</w:t>
      </w:r>
      <w:r w:rsidRPr="009D3FD2">
        <w:rPr>
          <w:rFonts w:eastAsia="Times New Roman"/>
          <w:lang w:val="en-AU"/>
        </w:rPr>
        <w:t>16</w:t>
      </w:r>
      <w:r w:rsidR="00EB67C8">
        <w:rPr>
          <w:rFonts w:eastAsia="Times New Roman"/>
          <w:lang w:val="en-AU"/>
        </w:rPr>
        <w:t>-17, ANCP NGOs contributed $34.3</w:t>
      </w:r>
      <w:r w:rsidRPr="009D3FD2">
        <w:rPr>
          <w:rFonts w:eastAsia="Times New Roman"/>
          <w:lang w:val="en-AU"/>
        </w:rPr>
        <w:t xml:space="preserve"> million to ANCP projects</w:t>
      </w:r>
      <w:r w:rsidR="007F7DAB">
        <w:rPr>
          <w:rFonts w:eastAsia="Times New Roman"/>
          <w:lang w:val="en-AU"/>
        </w:rPr>
        <w:t>,</w:t>
      </w:r>
      <w:r w:rsidRPr="009D3FD2">
        <w:rPr>
          <w:rFonts w:eastAsia="Times New Roman"/>
          <w:lang w:val="en-AU"/>
        </w:rPr>
        <w:t xml:space="preserve"> exceeding the matched fundin</w:t>
      </w:r>
      <w:r w:rsidR="00EB67C8">
        <w:rPr>
          <w:rFonts w:eastAsia="Times New Roman"/>
          <w:lang w:val="en-AU"/>
        </w:rPr>
        <w:t>g requirement by 7</w:t>
      </w:r>
      <w:r w:rsidR="002A4F4A">
        <w:rPr>
          <w:rFonts w:eastAsia="Times New Roman"/>
          <w:lang w:val="en-AU"/>
        </w:rPr>
        <w:t> </w:t>
      </w:r>
      <w:r w:rsidRPr="009D3FD2">
        <w:rPr>
          <w:rFonts w:eastAsia="Times New Roman"/>
          <w:lang w:val="en-AU"/>
        </w:rPr>
        <w:t>per cent.</w:t>
      </w:r>
      <w:r>
        <w:rPr>
          <w:rFonts w:eastAsia="Times New Roman"/>
          <w:lang w:val="en-AU"/>
        </w:rPr>
        <w:t xml:space="preserve"> </w:t>
      </w:r>
      <w:r w:rsidR="00EB67C8" w:rsidRPr="00EB67C8">
        <w:rPr>
          <w:rFonts w:eastAsia="Times New Roman"/>
          <w:lang w:val="en-AU"/>
        </w:rPr>
        <w:t>Accreditation, monitoring visits and PPAs confirm that ANCP NGOs are committed to</w:t>
      </w:r>
      <w:r w:rsidR="00EB67C8">
        <w:rPr>
          <w:rFonts w:eastAsia="Times New Roman"/>
          <w:lang w:val="en-AU"/>
        </w:rPr>
        <w:t xml:space="preserve"> implementing</w:t>
      </w:r>
      <w:r w:rsidR="00EB67C8" w:rsidRPr="00EB67C8">
        <w:rPr>
          <w:rFonts w:eastAsia="Times New Roman"/>
          <w:lang w:val="en-AU"/>
        </w:rPr>
        <w:t xml:space="preserve"> monitoring and evaluation processes, progressing VfM approaches and tools, </w:t>
      </w:r>
      <w:r w:rsidR="007F7DAB">
        <w:rPr>
          <w:rFonts w:eastAsia="Times New Roman"/>
          <w:lang w:val="en-AU"/>
        </w:rPr>
        <w:t xml:space="preserve">and </w:t>
      </w:r>
      <w:r w:rsidR="00EB67C8" w:rsidRPr="00EB67C8">
        <w:rPr>
          <w:rFonts w:eastAsia="Times New Roman"/>
          <w:lang w:val="en-AU"/>
        </w:rPr>
        <w:t xml:space="preserve">sharing and applying lessons learned to further support VfM. </w:t>
      </w:r>
      <w:r>
        <w:rPr>
          <w:rFonts w:eastAsia="Times New Roman"/>
          <w:lang w:val="en-AU"/>
        </w:rPr>
        <w:t>Further discussion on ANCP NGOs leveraging of funds from other sources in the implementation of ANCP projects is outlined in Outcome 2.</w:t>
      </w:r>
      <w:r w:rsidR="00D85ED3" w:rsidRPr="00D85ED3">
        <w:rPr>
          <w:noProof/>
          <w:lang w:val="en-AU" w:eastAsia="en-AU"/>
        </w:rPr>
        <w:t xml:space="preserve"> </w:t>
      </w:r>
    </w:p>
    <w:p w14:paraId="5C55E9C8" w14:textId="5838F985" w:rsidR="001655B6" w:rsidRDefault="001655B6" w:rsidP="00331D71">
      <w:pPr>
        <w:pStyle w:val="ListBullet"/>
        <w:tabs>
          <w:tab w:val="clear" w:pos="284"/>
        </w:tabs>
        <w:spacing w:before="480" w:line="300" w:lineRule="exact"/>
        <w:rPr>
          <w:rFonts w:asciiTheme="majorHAnsi" w:eastAsiaTheme="majorEastAsia" w:hAnsiTheme="majorHAnsi" w:cstheme="majorBidi"/>
          <w:caps/>
          <w:color w:val="495965" w:themeColor="text2"/>
          <w:sz w:val="38"/>
          <w:szCs w:val="26"/>
          <w:lang w:val="en-GB" w:eastAsia="en-US"/>
        </w:rPr>
      </w:pPr>
      <w:r>
        <w:rPr>
          <w:rFonts w:asciiTheme="majorHAnsi" w:eastAsiaTheme="majorEastAsia" w:hAnsiTheme="majorHAnsi" w:cstheme="majorBidi"/>
          <w:caps/>
          <w:color w:val="495965" w:themeColor="text2"/>
          <w:sz w:val="38"/>
          <w:szCs w:val="26"/>
          <w:lang w:val="en-GB" w:eastAsia="en-US"/>
        </w:rPr>
        <w:t>Outcome 2: A diversity of ngos draw on funding and expertise from a range of sources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16"/>
        <w:gridCol w:w="1904"/>
        <w:gridCol w:w="1906"/>
        <w:gridCol w:w="1906"/>
        <w:gridCol w:w="1906"/>
      </w:tblGrid>
      <w:tr w:rsidR="001655B6" w14:paraId="195F5C50" w14:textId="77777777" w:rsidTr="001655B6">
        <w:tc>
          <w:tcPr>
            <w:tcW w:w="2016" w:type="dxa"/>
          </w:tcPr>
          <w:p w14:paraId="66F67C83" w14:textId="77777777" w:rsidR="001655B6" w:rsidRDefault="001655B6" w:rsidP="00F262AC">
            <w:pPr>
              <w:pStyle w:val="ListBullet"/>
              <w:keepNext/>
              <w:keepLines/>
              <w:tabs>
                <w:tab w:val="clear" w:pos="284"/>
              </w:tabs>
              <w:spacing w:before="80" w:after="80" w:line="240" w:lineRule="auto"/>
              <w:jc w:val="center"/>
              <w:rPr>
                <w:rFonts w:asciiTheme="majorHAnsi" w:eastAsiaTheme="majorEastAsia" w:hAnsiTheme="majorHAnsi" w:cstheme="majorBidi"/>
                <w:caps/>
                <w:color w:val="495965" w:themeColor="text2"/>
                <w:sz w:val="38"/>
                <w:szCs w:val="26"/>
                <w:lang w:val="en-GB" w:eastAsia="en-US"/>
              </w:rPr>
            </w:pPr>
            <w:r>
              <w:rPr>
                <w:rFonts w:asciiTheme="majorHAnsi" w:eastAsiaTheme="majorEastAsia" w:hAnsiTheme="majorHAnsi" w:cstheme="majorBidi"/>
                <w:caps/>
                <w:noProof/>
                <w:color w:val="495965" w:themeColor="text2"/>
                <w:sz w:val="38"/>
                <w:szCs w:val="26"/>
              </w:rPr>
              <w:drawing>
                <wp:inline distT="0" distB="0" distL="0" distR="0" wp14:anchorId="6FEB0195" wp14:editId="25A8B215">
                  <wp:extent cx="1137600" cy="720000"/>
                  <wp:effectExtent l="0" t="0" r="5715" b="444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DG Contribution.JPG"/>
                          <pic:cNvPicPr/>
                        </pic:nvPicPr>
                        <pic:blipFill>
                          <a:blip r:embed="rId23">
                            <a:extLst>
                              <a:ext uri="{28A0092B-C50C-407E-A947-70E740481C1C}">
                                <a14:useLocalDpi xmlns:a14="http://schemas.microsoft.com/office/drawing/2010/main" val="0"/>
                              </a:ext>
                            </a:extLst>
                          </a:blip>
                          <a:stretch>
                            <a:fillRect/>
                          </a:stretch>
                        </pic:blipFill>
                        <pic:spPr>
                          <a:xfrm>
                            <a:off x="0" y="0"/>
                            <a:ext cx="1137600" cy="720000"/>
                          </a:xfrm>
                          <a:prstGeom prst="rect">
                            <a:avLst/>
                          </a:prstGeom>
                        </pic:spPr>
                      </pic:pic>
                    </a:graphicData>
                  </a:graphic>
                </wp:inline>
              </w:drawing>
            </w:r>
          </w:p>
        </w:tc>
        <w:tc>
          <w:tcPr>
            <w:tcW w:w="1904" w:type="dxa"/>
          </w:tcPr>
          <w:p w14:paraId="1913AC25" w14:textId="7599BF90" w:rsidR="001655B6" w:rsidRDefault="0009384B" w:rsidP="00F262AC">
            <w:pPr>
              <w:pStyle w:val="ListBullet"/>
              <w:keepNext/>
              <w:keepLines/>
              <w:tabs>
                <w:tab w:val="clear" w:pos="284"/>
              </w:tabs>
              <w:spacing w:before="160" w:after="80" w:line="240" w:lineRule="auto"/>
              <w:jc w:val="center"/>
              <w:rPr>
                <w:rFonts w:asciiTheme="majorHAnsi" w:eastAsiaTheme="majorEastAsia" w:hAnsiTheme="majorHAnsi" w:cstheme="majorBidi"/>
                <w:caps/>
                <w:color w:val="495965" w:themeColor="text2"/>
                <w:sz w:val="38"/>
                <w:szCs w:val="26"/>
                <w:lang w:val="en-GB" w:eastAsia="en-US"/>
              </w:rPr>
            </w:pPr>
            <w:r>
              <w:rPr>
                <w:noProof/>
              </w:rPr>
              <w:drawing>
                <wp:inline distT="0" distB="0" distL="0" distR="0" wp14:anchorId="2656E024" wp14:editId="6DE17D0C">
                  <wp:extent cx="612000" cy="61200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SDF 17.png"/>
                          <pic:cNvPicPr/>
                        </pic:nvPicPr>
                        <pic:blipFill>
                          <a:blip r:embed="rId41"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1906" w:type="dxa"/>
          </w:tcPr>
          <w:p w14:paraId="22BFD944" w14:textId="77777777" w:rsidR="001655B6" w:rsidRDefault="001655B6" w:rsidP="00F262AC">
            <w:pPr>
              <w:pStyle w:val="ListBullet"/>
              <w:keepNext/>
              <w:keepLines/>
              <w:tabs>
                <w:tab w:val="clear" w:pos="284"/>
              </w:tabs>
              <w:spacing w:before="160" w:after="80" w:line="240" w:lineRule="auto"/>
              <w:jc w:val="center"/>
              <w:rPr>
                <w:rFonts w:asciiTheme="majorHAnsi" w:eastAsiaTheme="majorEastAsia" w:hAnsiTheme="majorHAnsi" w:cstheme="majorBidi"/>
                <w:caps/>
                <w:color w:val="495965" w:themeColor="text2"/>
                <w:sz w:val="38"/>
                <w:szCs w:val="26"/>
                <w:lang w:val="en-GB" w:eastAsia="en-US"/>
              </w:rPr>
            </w:pPr>
          </w:p>
        </w:tc>
        <w:tc>
          <w:tcPr>
            <w:tcW w:w="1906" w:type="dxa"/>
          </w:tcPr>
          <w:p w14:paraId="34FEC6AB" w14:textId="77777777" w:rsidR="001655B6" w:rsidRDefault="001655B6" w:rsidP="00F262AC">
            <w:pPr>
              <w:pStyle w:val="ListBullet"/>
              <w:keepNext/>
              <w:keepLines/>
              <w:tabs>
                <w:tab w:val="clear" w:pos="284"/>
              </w:tabs>
              <w:spacing w:before="160" w:after="80" w:line="240" w:lineRule="auto"/>
              <w:jc w:val="center"/>
              <w:rPr>
                <w:rFonts w:asciiTheme="majorHAnsi" w:eastAsiaTheme="majorEastAsia" w:hAnsiTheme="majorHAnsi" w:cstheme="majorBidi"/>
                <w:caps/>
                <w:color w:val="495965" w:themeColor="text2"/>
                <w:sz w:val="38"/>
                <w:szCs w:val="26"/>
                <w:lang w:val="en-GB" w:eastAsia="en-US"/>
              </w:rPr>
            </w:pPr>
          </w:p>
        </w:tc>
        <w:tc>
          <w:tcPr>
            <w:tcW w:w="1906" w:type="dxa"/>
          </w:tcPr>
          <w:p w14:paraId="2D18541B" w14:textId="77777777" w:rsidR="001655B6" w:rsidRDefault="001655B6" w:rsidP="00F262AC">
            <w:pPr>
              <w:pStyle w:val="ListBullet"/>
              <w:keepNext/>
              <w:keepLines/>
              <w:tabs>
                <w:tab w:val="clear" w:pos="284"/>
              </w:tabs>
              <w:spacing w:before="160" w:after="80" w:line="240" w:lineRule="auto"/>
              <w:jc w:val="center"/>
              <w:rPr>
                <w:rFonts w:asciiTheme="majorHAnsi" w:eastAsiaTheme="majorEastAsia" w:hAnsiTheme="majorHAnsi" w:cstheme="majorBidi"/>
                <w:caps/>
                <w:color w:val="495965" w:themeColor="text2"/>
                <w:sz w:val="38"/>
                <w:szCs w:val="26"/>
                <w:lang w:val="en-GB" w:eastAsia="en-US"/>
              </w:rPr>
            </w:pPr>
          </w:p>
        </w:tc>
      </w:tr>
    </w:tbl>
    <w:p w14:paraId="21A9D202" w14:textId="40758EC1" w:rsidR="00F10DEB" w:rsidRPr="00F10DEB" w:rsidRDefault="007F7DAB" w:rsidP="00542905">
      <w:pPr>
        <w:spacing w:after="120" w:line="280" w:lineRule="exact"/>
        <w:rPr>
          <w:rFonts w:eastAsia="Times New Roman"/>
          <w:lang w:val="en-AU"/>
        </w:rPr>
      </w:pPr>
      <w:r>
        <w:rPr>
          <w:rFonts w:eastAsia="Times New Roman"/>
          <w:lang w:val="en-AU"/>
        </w:rPr>
        <w:t xml:space="preserve">There was consistent, positive progress towards intermediate outcomes under this objective including allocation of funds within the Program and leveraging of additional resources. </w:t>
      </w:r>
      <w:r w:rsidR="00F10DEB" w:rsidRPr="00912886">
        <w:rPr>
          <w:rFonts w:eastAsia="Times New Roman"/>
          <w:lang w:val="en-AU"/>
        </w:rPr>
        <w:t>The NGOs participating in the ANCP are a diverse group</w:t>
      </w:r>
      <w:r w:rsidR="00F10DEB">
        <w:rPr>
          <w:rFonts w:eastAsia="Times New Roman"/>
          <w:lang w:val="en-AU"/>
        </w:rPr>
        <w:t xml:space="preserve"> in terms of size (both staffing and revenue levels) as well as sectoral and geographic focus. Accreditation ensures all ANCP NGOs meet common minimum standards but the differentiation between base and full accreditation ensures</w:t>
      </w:r>
      <w:r w:rsidR="00F10DEB" w:rsidRPr="00D42948">
        <w:rPr>
          <w:rFonts w:eastAsia="Times New Roman"/>
          <w:lang w:val="en-AU"/>
        </w:rPr>
        <w:t xml:space="preserve"> the standards expected for each level are different.</w:t>
      </w:r>
      <w:r w:rsidR="00F10DEB">
        <w:rPr>
          <w:rFonts w:eastAsia="Times New Roman"/>
          <w:lang w:val="en-AU"/>
        </w:rPr>
        <w:t xml:space="preserve"> In 2016-17, </w:t>
      </w:r>
      <w:r>
        <w:rPr>
          <w:rFonts w:eastAsia="Times New Roman"/>
          <w:lang w:val="en-AU"/>
        </w:rPr>
        <w:t xml:space="preserve">16 </w:t>
      </w:r>
      <w:r w:rsidR="00F10DEB">
        <w:rPr>
          <w:rFonts w:eastAsia="Times New Roman"/>
          <w:lang w:val="en-AU"/>
        </w:rPr>
        <w:t>of the 54 NGOs participating in the ANCP were base accredited and received grants of $150,000 each</w:t>
      </w:r>
      <w:r>
        <w:rPr>
          <w:rFonts w:eastAsia="Times New Roman"/>
          <w:lang w:val="en-AU"/>
        </w:rPr>
        <w:t>, while</w:t>
      </w:r>
      <w:r w:rsidR="00F10DEB">
        <w:rPr>
          <w:rFonts w:eastAsia="Times New Roman"/>
          <w:lang w:val="en-AU"/>
        </w:rPr>
        <w:t xml:space="preserve"> 38 NGOs were accredited at the full level and received grants ranging from $</w:t>
      </w:r>
      <w:r w:rsidR="00F151D8">
        <w:rPr>
          <w:rFonts w:eastAsia="Times New Roman"/>
          <w:lang w:val="en-AU"/>
        </w:rPr>
        <w:t>315</w:t>
      </w:r>
      <w:r w:rsidR="00F10DEB">
        <w:rPr>
          <w:rFonts w:eastAsia="Times New Roman"/>
          <w:lang w:val="en-AU"/>
        </w:rPr>
        <w:t>,000 to $27 million.</w:t>
      </w:r>
      <w:r>
        <w:rPr>
          <w:rFonts w:eastAsia="Times New Roman"/>
          <w:lang w:val="en-AU"/>
        </w:rPr>
        <w:t xml:space="preserve"> </w:t>
      </w:r>
    </w:p>
    <w:p w14:paraId="7A652DFE" w14:textId="38D0D085" w:rsidR="001655B6" w:rsidRDefault="001655B6" w:rsidP="00542905">
      <w:pPr>
        <w:pStyle w:val="Heading4"/>
        <w:keepNext w:val="0"/>
        <w:keepLines w:val="0"/>
      </w:pPr>
      <w:r w:rsidRPr="00F10DEB">
        <w:t>Leveraged funding</w:t>
      </w:r>
      <w:r w:rsidR="00732D3C" w:rsidRPr="00732D3C">
        <w:rPr>
          <w:noProof/>
          <w:lang w:val="en-AU" w:eastAsia="en-AU"/>
        </w:rPr>
        <w:t xml:space="preserve"> </w:t>
      </w:r>
    </w:p>
    <w:p w14:paraId="730C5294" w14:textId="24854A06" w:rsidR="00F10DEB" w:rsidRPr="00F10DEB" w:rsidRDefault="00F075FD" w:rsidP="00542905">
      <w:r w:rsidRPr="0021466C">
        <w:rPr>
          <w:noProof/>
          <w:lang w:val="en-AU" w:eastAsia="en-AU"/>
        </w:rPr>
        <mc:AlternateContent>
          <mc:Choice Requires="wps">
            <w:drawing>
              <wp:anchor distT="0" distB="0" distL="71755" distR="71755" simplePos="0" relativeHeight="251704320" behindDoc="1" locked="0" layoutInCell="1" allowOverlap="1" wp14:anchorId="6238C46E" wp14:editId="30F28573">
                <wp:simplePos x="0" y="0"/>
                <wp:positionH relativeFrom="margin">
                  <wp:posOffset>199390</wp:posOffset>
                </wp:positionH>
                <wp:positionV relativeFrom="paragraph">
                  <wp:posOffset>885825</wp:posOffset>
                </wp:positionV>
                <wp:extent cx="5854065" cy="2581910"/>
                <wp:effectExtent l="0" t="0" r="13335" b="2794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4065" cy="2581910"/>
                        </a:xfrm>
                        <a:prstGeom prst="rect">
                          <a:avLst/>
                        </a:prstGeom>
                        <a:solidFill>
                          <a:sysClr val="window" lastClr="FFFFFF"/>
                        </a:solidFill>
                        <a:ln w="25400" cap="flat" cmpd="sng" algn="ctr">
                          <a:solidFill>
                            <a:srgbClr val="65C5B4"/>
                          </a:solidFill>
                          <a:prstDash val="solid"/>
                          <a:headEnd/>
                          <a:tailEnd/>
                        </a:ln>
                        <a:effectLst/>
                      </wps:spPr>
                      <wps:txbx>
                        <w:txbxContent>
                          <w:p w14:paraId="040980BE" w14:textId="1019FD0F" w:rsidR="007F7DAB" w:rsidRDefault="007F7DAB" w:rsidP="00732D3C">
                            <w:pPr>
                              <w:rPr>
                                <w:b/>
                              </w:rPr>
                            </w:pPr>
                            <w:r>
                              <w:rPr>
                                <w:b/>
                              </w:rPr>
                              <w:t>Leveraged funds</w:t>
                            </w:r>
                          </w:p>
                          <w:p w14:paraId="7B9CABD2" w14:textId="6CA623B9" w:rsidR="007F7DAB" w:rsidRDefault="007F7DAB" w:rsidP="00AD5B9E">
                            <w:r>
                              <w:t xml:space="preserve">TEAR Australia’s </w:t>
                            </w:r>
                            <w:r w:rsidRPr="001948A0">
                              <w:t xml:space="preserve">IDP and Host Populations </w:t>
                            </w:r>
                            <w:r>
                              <w:t>project</w:t>
                            </w:r>
                            <w:r w:rsidRPr="00AD5B9E">
                              <w:t xml:space="preserve"> </w:t>
                            </w:r>
                            <w:r>
                              <w:t>leveraged</w:t>
                            </w:r>
                            <w:r w:rsidRPr="00AD5B9E">
                              <w:t xml:space="preserve"> a further </w:t>
                            </w:r>
                            <w:r>
                              <w:t>$3.5 million</w:t>
                            </w:r>
                            <w:r w:rsidRPr="00AD5B9E">
                              <w:t xml:space="preserve"> funding from USAID/OFDA. The TEAR/ANCP component was an essential part of the total proposal to USAID</w:t>
                            </w:r>
                            <w:r w:rsidR="00893328">
                              <w:t>;</w:t>
                            </w:r>
                            <w:r w:rsidRPr="00AD5B9E">
                              <w:t xml:space="preserve"> without it</w:t>
                            </w:r>
                            <w:r w:rsidR="00893328">
                              <w:t>,</w:t>
                            </w:r>
                            <w:r w:rsidRPr="00AD5B9E">
                              <w:t xml:space="preserve"> the project would have been severely constrained. The combined funding enabled the project to reach 154,224 people through essential maternal and child health facilities.</w:t>
                            </w:r>
                          </w:p>
                          <w:p w14:paraId="5F268B05" w14:textId="4137C777" w:rsidR="007F7DAB" w:rsidRDefault="007F7DAB" w:rsidP="00613122">
                            <w:r>
                              <w:t xml:space="preserve">Save the Children Australia’s </w:t>
                            </w:r>
                            <w:r w:rsidRPr="00AD5B9E">
                              <w:t>Enhanced Resilience of Filipino Urban Communities to Disasters/Climate Change (ENCORE)</w:t>
                            </w:r>
                            <w:r>
                              <w:t xml:space="preserve"> project successfully leveraged funds by collaborating with local government units and agencies to direct their own budget spending and systems to extend project activities. This contributed to </w:t>
                            </w:r>
                            <w:r w:rsidR="00893328">
                              <w:t xml:space="preserve">the project </w:t>
                            </w:r>
                            <w:r>
                              <w:t xml:space="preserve">significantly exceeding several key targets, including  numbers of child-centred community based </w:t>
                            </w:r>
                            <w:r w:rsidR="00893328">
                              <w:t>Disaster-and-Risk-Reduction-Management (</w:t>
                            </w:r>
                            <w:r>
                              <w:t>DRRM</w:t>
                            </w:r>
                            <w:r w:rsidR="00893328">
                              <w:t>)</w:t>
                            </w:r>
                            <w:r>
                              <w:t xml:space="preserve"> trainings (218% of target); numbers of approved Local-Government-Unit (LGU) DRRM plans (150% of target); and reaching 21 Department of Education Divisions (target 5). Project materials have also been adopted in a range of additional provinces and regions. </w:t>
                            </w:r>
                          </w:p>
                          <w:p w14:paraId="1BBDC8EB" w14:textId="77777777" w:rsidR="007F7DAB" w:rsidRPr="00AD5B9E" w:rsidRDefault="007F7DAB" w:rsidP="00AD5B9E"/>
                        </w:txbxContent>
                      </wps:txbx>
                      <wps:bodyPr rot="0" vert="horz" wrap="square" lIns="72000" tIns="0" rIns="72000" bIns="0" anchor="t" anchorCtr="0">
                        <a:noAutofit/>
                      </wps:bodyPr>
                    </wps:wsp>
                  </a:graphicData>
                </a:graphic>
                <wp14:sizeRelH relativeFrom="page">
                  <wp14:pctWidth>0</wp14:pctWidth>
                </wp14:sizeRelH>
                <wp14:sizeRelV relativeFrom="page">
                  <wp14:pctHeight>0</wp14:pctHeight>
                </wp14:sizeRelV>
              </wp:anchor>
            </w:drawing>
          </mc:Choice>
          <mc:Fallback>
            <w:pict>
              <v:shape w14:anchorId="6238C46E" id="_x0000_s1031" type="#_x0000_t202" style="position:absolute;margin-left:15.7pt;margin-top:69.75pt;width:460.95pt;height:203.3pt;z-index:-251612160;visibility:visible;mso-wrap-style:square;mso-width-percent:0;mso-height-percent:0;mso-wrap-distance-left:5.65pt;mso-wrap-distance-top:0;mso-wrap-distance-right:5.6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" fillcolor="window" strokecolor="#65c5b4" strokeweight="2pt">
                <v:textbox inset="2mm,0,2mm,0">
                  <w:txbxContent>
                    <w:p w14:paraId="040980BE" w14:textId="1019FD0F" w:rsidR="007F7DAB" w:rsidRDefault="007F7DAB" w:rsidP="00732D3C">
                      <w:pPr>
                        <w:rPr>
                          <w:b/>
                        </w:rPr>
                      </w:pPr>
                      <w:r>
                        <w:rPr>
                          <w:b/>
                        </w:rPr>
                        <w:t>Leveraged funds</w:t>
                      </w:r>
                    </w:p>
                    <w:p w14:paraId="7B9CABD2" w14:textId="6CA623B9" w:rsidR="007F7DAB" w:rsidRDefault="007F7DAB" w:rsidP="00AD5B9E">
                      <w:r>
                        <w:t xml:space="preserve">TEAR Australia’s </w:t>
                      </w:r>
                      <w:r w:rsidRPr="001948A0">
                        <w:t xml:space="preserve">IDP and Host Populations </w:t>
                      </w:r>
                      <w:r>
                        <w:t>project</w:t>
                      </w:r>
                      <w:r w:rsidRPr="00AD5B9E">
                        <w:t xml:space="preserve"> </w:t>
                      </w:r>
                      <w:r>
                        <w:t>leveraged</w:t>
                      </w:r>
                      <w:r w:rsidRPr="00AD5B9E">
                        <w:t xml:space="preserve"> a further </w:t>
                      </w:r>
                      <w:r>
                        <w:t>$3.5 million</w:t>
                      </w:r>
                      <w:r w:rsidRPr="00AD5B9E">
                        <w:t xml:space="preserve"> funding from USAID/OFDA. The TEAR/ANCP component was an essential part of the total proposal to USAID</w:t>
                      </w:r>
                      <w:r w:rsidR="00893328">
                        <w:t>;</w:t>
                      </w:r>
                      <w:r w:rsidRPr="00AD5B9E">
                        <w:t xml:space="preserve"> without it</w:t>
                      </w:r>
                      <w:r w:rsidR="00893328">
                        <w:t>,</w:t>
                      </w:r>
                      <w:r w:rsidRPr="00AD5B9E">
                        <w:t xml:space="preserve"> the project would have been severely constrained. The combined funding enabled the project to reach 154,224 people through essential maternal and child health facilities.</w:t>
                      </w:r>
                    </w:p>
                    <w:p w14:paraId="5F268B05" w14:textId="4137C777" w:rsidR="007F7DAB" w:rsidRDefault="007F7DAB" w:rsidP="00613122">
                      <w:r>
                        <w:t xml:space="preserve">Save the Children Australia’s </w:t>
                      </w:r>
                      <w:r w:rsidRPr="00AD5B9E">
                        <w:t>Enhanced Resilience of Filipino Urban Communities to Disasters/Climate Change (ENCORE)</w:t>
                      </w:r>
                      <w:r>
                        <w:t xml:space="preserve"> project successfully leveraged funds by collaborating with local government units and agencies to direct their own budget spending and systems to extend project activities. This contributed to </w:t>
                      </w:r>
                      <w:r w:rsidR="00893328">
                        <w:t xml:space="preserve">the project </w:t>
                      </w:r>
                      <w:r>
                        <w:t xml:space="preserve">significantly exceeding several key targets, including  numbers of child-centred community based </w:t>
                      </w:r>
                      <w:r w:rsidR="00893328">
                        <w:t>Disaster-and-Risk-Reduction-Management (</w:t>
                      </w:r>
                      <w:r>
                        <w:t>DRRM</w:t>
                      </w:r>
                      <w:r w:rsidR="00893328">
                        <w:t>)</w:t>
                      </w:r>
                      <w:r>
                        <w:t xml:space="preserve"> trainings (218% of target); numbers of approved Local-Government-Unit (LGU) DRRM plans (150% of target); and reaching 21 Department of Education Divisions (target 5). Project materials </w:t>
                      </w:r>
                      <w:proofErr w:type="gramStart"/>
                      <w:r>
                        <w:t>have also been adopted</w:t>
                      </w:r>
                      <w:proofErr w:type="gramEnd"/>
                      <w:r>
                        <w:t xml:space="preserve"> in a range of additional provinces and regions. </w:t>
                      </w:r>
                    </w:p>
                    <w:p w14:paraId="1BBDC8EB" w14:textId="77777777" w:rsidR="007F7DAB" w:rsidRPr="00AD5B9E" w:rsidRDefault="007F7DAB" w:rsidP="00AD5B9E"/>
                  </w:txbxContent>
                </v:textbox>
                <w10:wrap type="square" anchorx="margin"/>
              </v:shape>
            </w:pict>
          </mc:Fallback>
        </mc:AlternateContent>
      </w:r>
      <w:r w:rsidR="00F10DEB">
        <w:t xml:space="preserve">The flexible nature of the ANCP makes it ideal for leveraging additional funds from other sources </w:t>
      </w:r>
      <w:r w:rsidR="00F10DEB" w:rsidRPr="00F10DEB">
        <w:t>(including international networks, donors and the private sector)</w:t>
      </w:r>
      <w:r w:rsidR="00F10DEB">
        <w:t xml:space="preserve">. In 2016-17, 379 </w:t>
      </w:r>
      <w:r w:rsidR="007114F8">
        <w:t>projects (74 per cent)</w:t>
      </w:r>
      <w:r w:rsidR="00F10DEB">
        <w:t xml:space="preserve"> </w:t>
      </w:r>
      <w:r w:rsidR="00F10DEB" w:rsidRPr="00F10DEB">
        <w:t xml:space="preserve">received funding from other sources to the value of </w:t>
      </w:r>
      <w:r w:rsidR="00F10DEB">
        <w:t>$31.9 million</w:t>
      </w:r>
      <w:r w:rsidR="007114F8">
        <w:t xml:space="preserve"> - a</w:t>
      </w:r>
      <w:r w:rsidR="004A0045">
        <w:t>n</w:t>
      </w:r>
      <w:r w:rsidR="007114F8">
        <w:t xml:space="preserve"> increase since 2015-16 </w:t>
      </w:r>
      <w:r w:rsidR="007F7DAB">
        <w:t xml:space="preserve">when $25.3 million was leveraged. </w:t>
      </w:r>
    </w:p>
    <w:p w14:paraId="16A26DAD" w14:textId="66980089" w:rsidR="001655B6" w:rsidRDefault="001655B6" w:rsidP="00EF4CD8">
      <w:pPr>
        <w:pStyle w:val="Heading4"/>
        <w:keepNext w:val="0"/>
        <w:keepLines w:val="0"/>
      </w:pPr>
      <w:r w:rsidRPr="00F10DEB">
        <w:t>Networks, knowledge and learning</w:t>
      </w:r>
    </w:p>
    <w:p w14:paraId="1DBC3E8F" w14:textId="590DCECC" w:rsidR="007114F8" w:rsidRDefault="007114F8" w:rsidP="00F328A8">
      <w:r>
        <w:t>ANCP NGOs engage broadly and proactively in a wide range of networks in both policy and programming contexts</w:t>
      </w:r>
      <w:r w:rsidR="00893328">
        <w:t>,</w:t>
      </w:r>
      <w:r>
        <w:t xml:space="preserve"> in Australia, in the countries in which they implement projects</w:t>
      </w:r>
      <w:r w:rsidR="00893328">
        <w:t>,</w:t>
      </w:r>
      <w:r>
        <w:t xml:space="preserve"> as well as in international for</w:t>
      </w:r>
      <w:r w:rsidR="00893328">
        <w:t>a</w:t>
      </w:r>
      <w:r>
        <w:t xml:space="preserve">. One example that demonstrates ANCP NGOs engagement on policy is the Government’s development of a foreign policy White Paper - </w:t>
      </w:r>
      <w:r w:rsidRPr="007114F8">
        <w:t>a comp</w:t>
      </w:r>
      <w:r w:rsidR="00F328A8">
        <w:t>rehensive framework to guide Australia’s</w:t>
      </w:r>
      <w:r w:rsidRPr="007114F8">
        <w:t xml:space="preserve"> international engagement over the next five to ten years.</w:t>
      </w:r>
      <w:r w:rsidR="00D56470">
        <w:t xml:space="preserve"> Twenty</w:t>
      </w:r>
      <w:r w:rsidR="00F328A8">
        <w:t xml:space="preserve"> ANCP NGOs made submissions as part of the </w:t>
      </w:r>
      <w:r w:rsidR="00F328A8" w:rsidRPr="00F328A8">
        <w:t>public consultation process</w:t>
      </w:r>
      <w:r w:rsidR="00F328A8">
        <w:t xml:space="preserve"> demonstrating their commitment to dialogue on policy issues beyond the ANCP program.</w:t>
      </w:r>
    </w:p>
    <w:p w14:paraId="597B1C5B" w14:textId="689CE582" w:rsidR="00A574D9" w:rsidRDefault="00A574D9" w:rsidP="00F328A8">
      <w:r>
        <w:t>A number of ANCP NGO</w:t>
      </w:r>
      <w:r w:rsidR="00893328">
        <w:t>s</w:t>
      </w:r>
      <w:r>
        <w:t xml:space="preserve"> participated in a DFAT</w:t>
      </w:r>
      <w:r w:rsidR="00893328">
        <w:noBreakHyphen/>
      </w:r>
      <w:r>
        <w:t>hosted roundtable to discuss the changes to DFAT’s health program</w:t>
      </w:r>
      <w:r w:rsidR="00893328">
        <w:t xml:space="preserve"> in Papua New Guinea (PNG)</w:t>
      </w:r>
      <w:r w:rsidR="003A7EF3">
        <w:t xml:space="preserve">. Discussion </w:t>
      </w:r>
      <w:r w:rsidR="00893328">
        <w:t xml:space="preserve">covered </w:t>
      </w:r>
      <w:r w:rsidR="003A7EF3">
        <w:t>the changing context of development assistance in PNG and how Australia’s bilateral relationship including the aid program is evolving. The group agreed to establish a series of regular consultation</w:t>
      </w:r>
      <w:r w:rsidR="00EA2D5B">
        <w:t>s</w:t>
      </w:r>
      <w:r w:rsidR="003A7EF3">
        <w:t xml:space="preserve"> in Australia.</w:t>
      </w:r>
    </w:p>
    <w:p w14:paraId="7027F5A1" w14:textId="44F1017E" w:rsidR="00AD5B9E" w:rsidRDefault="00AD5B9E" w:rsidP="00F328A8">
      <w:r>
        <w:t>ANCP NGOs</w:t>
      </w:r>
      <w:r w:rsidR="00893328">
        <w:t>’</w:t>
      </w:r>
      <w:r>
        <w:t xml:space="preserve"> </w:t>
      </w:r>
      <w:r w:rsidR="002A4F4A">
        <w:t xml:space="preserve">2016-17 </w:t>
      </w:r>
      <w:r>
        <w:t>performance reporting is full of examples of collaboration and engagement with technical and research bodies</w:t>
      </w:r>
      <w:r w:rsidR="008D272A">
        <w:t xml:space="preserve"> as well as thematic, regional and international networks</w:t>
      </w:r>
      <w:r>
        <w:t xml:space="preserve"> that directly </w:t>
      </w:r>
      <w:r w:rsidR="002A4F4A">
        <w:t>influence</w:t>
      </w:r>
      <w:r w:rsidR="008D272A">
        <w:t xml:space="preserve"> ANCP programs and contribute to shared learning and </w:t>
      </w:r>
      <w:r w:rsidR="002A4F4A">
        <w:t>approach that</w:t>
      </w:r>
      <w:r w:rsidR="008D272A">
        <w:t xml:space="preserve"> drives efficiencies resulting in value for money programming.</w:t>
      </w:r>
    </w:p>
    <w:p w14:paraId="314E6397" w14:textId="4364B4FF" w:rsidR="0005393E" w:rsidRDefault="0005393E" w:rsidP="0005393E">
      <w:r>
        <w:t xml:space="preserve">The </w:t>
      </w:r>
      <w:r w:rsidR="00893328">
        <w:t xml:space="preserve">November </w:t>
      </w:r>
      <w:r>
        <w:t>2016</w:t>
      </w:r>
      <w:r w:rsidRPr="0005393E">
        <w:t xml:space="preserve"> ANCP Partner Agency Collaboration (APAC</w:t>
      </w:r>
      <w:r w:rsidR="002A4F4A">
        <w:rPr>
          <w:rStyle w:val="FootnoteReference"/>
        </w:rPr>
        <w:footnoteReference w:id="12"/>
      </w:r>
      <w:r w:rsidRPr="0005393E">
        <w:t xml:space="preserve">) Learning Forum </w:t>
      </w:r>
      <w:r>
        <w:t xml:space="preserve">focused on building community resilience. </w:t>
      </w:r>
      <w:r w:rsidRPr="0005393E">
        <w:t xml:space="preserve">The Minister for International Development and the Pacific, Senator </w:t>
      </w:r>
      <w:r w:rsidR="004A0045">
        <w:t xml:space="preserve">the Hon </w:t>
      </w:r>
      <w:r w:rsidRPr="0005393E">
        <w:t>Concetta Fierravanti-Wells, opened the</w:t>
      </w:r>
      <w:r>
        <w:t xml:space="preserve"> forum which focussed on the </w:t>
      </w:r>
      <w:r w:rsidRPr="0005393E">
        <w:t>ability of communities to cope with shocks and stresses, including natural disasters, climate change, global</w:t>
      </w:r>
      <w:r>
        <w:t xml:space="preserve"> conflict and economic crises. </w:t>
      </w:r>
      <w:r w:rsidR="00893328">
        <w:t>DFAT staff, APAC members, other Australian NGOs, ACFID staff, managing contractors and academics attended the forum</w:t>
      </w:r>
      <w:r w:rsidRPr="0005393E">
        <w:t xml:space="preserve">. </w:t>
      </w:r>
      <w:r>
        <w:t>K</w:t>
      </w:r>
      <w:r w:rsidRPr="0005393E">
        <w:t>ey themes include</w:t>
      </w:r>
      <w:r>
        <w:t>d</w:t>
      </w:r>
      <w:r w:rsidRPr="0005393E">
        <w:t xml:space="preserve"> innovation, sharing evidence-based experiences, learning partnerships and inclusive approaches to community resilience, particularly in relation to gender. </w:t>
      </w:r>
      <w:r>
        <w:t xml:space="preserve">The APAC forum has been an effective </w:t>
      </w:r>
      <w:r w:rsidRPr="0005393E">
        <w:t xml:space="preserve">platform </w:t>
      </w:r>
      <w:r w:rsidR="00893328">
        <w:t>for</w:t>
      </w:r>
      <w:r w:rsidR="00893328" w:rsidRPr="0005393E">
        <w:t xml:space="preserve"> </w:t>
      </w:r>
      <w:r w:rsidRPr="0005393E">
        <w:t xml:space="preserve">facilitating collaboration and shared learning among </w:t>
      </w:r>
      <w:r>
        <w:t>the APAC</w:t>
      </w:r>
      <w:r w:rsidRPr="0005393E">
        <w:t xml:space="preserve"> </w:t>
      </w:r>
      <w:r>
        <w:t xml:space="preserve">group and in 2017-18, participation in the learning forum will be extended to the broader group of </w:t>
      </w:r>
      <w:r w:rsidR="00F151D8">
        <w:t xml:space="preserve">57 </w:t>
      </w:r>
      <w:r>
        <w:t>NGO participating in the ANCP.</w:t>
      </w:r>
    </w:p>
    <w:p w14:paraId="705637D2" w14:textId="35145146" w:rsidR="001655B6" w:rsidRDefault="001655B6" w:rsidP="001655B6">
      <w:pPr>
        <w:pStyle w:val="ListBullet"/>
        <w:tabs>
          <w:tab w:val="clear" w:pos="284"/>
        </w:tabs>
        <w:spacing w:before="480" w:line="300" w:lineRule="exact"/>
        <w:rPr>
          <w:rFonts w:asciiTheme="majorHAnsi" w:eastAsiaTheme="majorEastAsia" w:hAnsiTheme="majorHAnsi" w:cstheme="majorBidi"/>
          <w:caps/>
          <w:color w:val="495965" w:themeColor="text2"/>
          <w:sz w:val="38"/>
          <w:szCs w:val="26"/>
          <w:lang w:val="en-GB" w:eastAsia="en-US"/>
        </w:rPr>
      </w:pPr>
      <w:r>
        <w:rPr>
          <w:rFonts w:asciiTheme="majorHAnsi" w:eastAsiaTheme="majorEastAsia" w:hAnsiTheme="majorHAnsi" w:cstheme="majorBidi"/>
          <w:caps/>
          <w:color w:val="495965" w:themeColor="text2"/>
          <w:sz w:val="38"/>
          <w:szCs w:val="26"/>
          <w:lang w:val="en-GB" w:eastAsia="en-US"/>
        </w:rPr>
        <w:t xml:space="preserve">Outcome </w:t>
      </w:r>
      <w:r w:rsidR="00F10DEB">
        <w:rPr>
          <w:rFonts w:asciiTheme="majorHAnsi" w:eastAsiaTheme="majorEastAsia" w:hAnsiTheme="majorHAnsi" w:cstheme="majorBidi"/>
          <w:caps/>
          <w:color w:val="495965" w:themeColor="text2"/>
          <w:sz w:val="38"/>
          <w:szCs w:val="26"/>
          <w:lang w:val="en-GB" w:eastAsia="en-US"/>
        </w:rPr>
        <w:t>3</w:t>
      </w:r>
      <w:r>
        <w:rPr>
          <w:rFonts w:asciiTheme="majorHAnsi" w:eastAsiaTheme="majorEastAsia" w:hAnsiTheme="majorHAnsi" w:cstheme="majorBidi"/>
          <w:caps/>
          <w:color w:val="495965" w:themeColor="text2"/>
          <w:sz w:val="38"/>
          <w:szCs w:val="26"/>
          <w:lang w:val="en-GB" w:eastAsia="en-US"/>
        </w:rPr>
        <w:t>: Effective engagement with in-country partners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16"/>
        <w:gridCol w:w="1528"/>
      </w:tblGrid>
      <w:tr w:rsidR="00DB41FA" w14:paraId="6B2090EE" w14:textId="77777777" w:rsidTr="00DB41FA">
        <w:tc>
          <w:tcPr>
            <w:tcW w:w="2016" w:type="dxa"/>
          </w:tcPr>
          <w:p w14:paraId="36A87969" w14:textId="687F8C44" w:rsidR="00DB41FA" w:rsidRDefault="00DB41FA" w:rsidP="009D3FD2">
            <w:pPr>
              <w:pStyle w:val="ListBullet"/>
              <w:tabs>
                <w:tab w:val="clear" w:pos="284"/>
              </w:tabs>
              <w:spacing w:before="80" w:after="80" w:line="240" w:lineRule="auto"/>
              <w:jc w:val="center"/>
              <w:rPr>
                <w:rFonts w:asciiTheme="majorHAnsi" w:eastAsiaTheme="majorEastAsia" w:hAnsiTheme="majorHAnsi" w:cstheme="majorBidi"/>
                <w:caps/>
                <w:color w:val="495965" w:themeColor="text2"/>
                <w:sz w:val="38"/>
                <w:szCs w:val="26"/>
                <w:lang w:val="en-GB" w:eastAsia="en-US"/>
              </w:rPr>
            </w:pPr>
            <w:r>
              <w:rPr>
                <w:rFonts w:asciiTheme="majorHAnsi" w:eastAsiaTheme="majorEastAsia" w:hAnsiTheme="majorHAnsi" w:cstheme="majorBidi"/>
                <w:caps/>
                <w:noProof/>
                <w:color w:val="495965" w:themeColor="text2"/>
                <w:sz w:val="38"/>
                <w:szCs w:val="26"/>
              </w:rPr>
              <w:drawing>
                <wp:inline distT="0" distB="0" distL="0" distR="0" wp14:anchorId="1B5EBD4B" wp14:editId="0CCA22A4">
                  <wp:extent cx="1137600" cy="720000"/>
                  <wp:effectExtent l="0" t="0" r="5715" b="444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DG Contribution.JPG"/>
                          <pic:cNvPicPr/>
                        </pic:nvPicPr>
                        <pic:blipFill>
                          <a:blip r:embed="rId23">
                            <a:extLst>
                              <a:ext uri="{28A0092B-C50C-407E-A947-70E740481C1C}">
                                <a14:useLocalDpi xmlns:a14="http://schemas.microsoft.com/office/drawing/2010/main" val="0"/>
                              </a:ext>
                            </a:extLst>
                          </a:blip>
                          <a:stretch>
                            <a:fillRect/>
                          </a:stretch>
                        </pic:blipFill>
                        <pic:spPr>
                          <a:xfrm>
                            <a:off x="0" y="0"/>
                            <a:ext cx="1137600" cy="720000"/>
                          </a:xfrm>
                          <a:prstGeom prst="rect">
                            <a:avLst/>
                          </a:prstGeom>
                        </pic:spPr>
                      </pic:pic>
                    </a:graphicData>
                  </a:graphic>
                </wp:inline>
              </w:drawing>
            </w:r>
          </w:p>
        </w:tc>
        <w:tc>
          <w:tcPr>
            <w:tcW w:w="1528" w:type="dxa"/>
          </w:tcPr>
          <w:p w14:paraId="78469060" w14:textId="5DE83365" w:rsidR="00DB41FA" w:rsidRDefault="00DB41FA" w:rsidP="009D3FD2">
            <w:pPr>
              <w:pStyle w:val="ListBullet"/>
              <w:tabs>
                <w:tab w:val="clear" w:pos="284"/>
              </w:tabs>
              <w:spacing w:before="160" w:after="80" w:line="240" w:lineRule="auto"/>
              <w:jc w:val="center"/>
              <w:rPr>
                <w:rFonts w:asciiTheme="majorHAnsi" w:eastAsiaTheme="majorEastAsia" w:hAnsiTheme="majorHAnsi" w:cstheme="majorBidi"/>
                <w:caps/>
                <w:color w:val="495965" w:themeColor="text2"/>
                <w:sz w:val="38"/>
                <w:szCs w:val="26"/>
                <w:lang w:val="en-GB" w:eastAsia="en-US"/>
              </w:rPr>
            </w:pPr>
            <w:r>
              <w:rPr>
                <w:noProof/>
              </w:rPr>
              <w:drawing>
                <wp:inline distT="0" distB="0" distL="0" distR="0" wp14:anchorId="7E78D2AF" wp14:editId="7C376E92">
                  <wp:extent cx="612000" cy="6120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SDF 17.png"/>
                          <pic:cNvPicPr/>
                        </pic:nvPicPr>
                        <pic:blipFill>
                          <a:blip r:embed="rId41"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r>
    </w:tbl>
    <w:p w14:paraId="7BCB9031" w14:textId="31348117" w:rsidR="00BD421E" w:rsidRDefault="00092D94" w:rsidP="00BD421E">
      <w:pPr>
        <w:spacing w:before="240" w:line="240" w:lineRule="auto"/>
        <w:rPr>
          <w:rFonts w:eastAsia="Times New Roman"/>
        </w:rPr>
      </w:pPr>
      <w:r>
        <w:rPr>
          <w:rFonts w:eastAsia="Times New Roman"/>
        </w:rPr>
        <w:t>M</w:t>
      </w:r>
      <w:r w:rsidR="00BD421E" w:rsidRPr="000861DE">
        <w:rPr>
          <w:rFonts w:eastAsia="Times New Roman"/>
        </w:rPr>
        <w:t>any ANCP NGOs implement long-term projects (of up to 20 years) with ANCP funds</w:t>
      </w:r>
      <w:r>
        <w:rPr>
          <w:rFonts w:eastAsia="Times New Roman"/>
        </w:rPr>
        <w:t xml:space="preserve"> and must demonstrate a commitment to working in partnership with local organisations</w:t>
      </w:r>
      <w:r w:rsidR="00BD421E" w:rsidRPr="000861DE">
        <w:rPr>
          <w:rFonts w:eastAsia="Times New Roman"/>
        </w:rPr>
        <w:t>. ANCP NGOs demonstrate strong approaches to partnership and collaboration including ongoing assessment of the capacity and performance of implementing partners</w:t>
      </w:r>
      <w:r w:rsidR="00BD421E">
        <w:rPr>
          <w:rFonts w:eastAsia="Times New Roman"/>
        </w:rPr>
        <w:t xml:space="preserve"> and partner governments</w:t>
      </w:r>
      <w:r w:rsidR="00BD421E" w:rsidRPr="000861DE">
        <w:rPr>
          <w:rFonts w:eastAsia="Times New Roman"/>
        </w:rPr>
        <w:t>. This is verified through monitoring and engagement visits, PPAs and accreditation reviews</w:t>
      </w:r>
      <w:r w:rsidR="00BD421E">
        <w:rPr>
          <w:rFonts w:eastAsia="Times New Roman"/>
        </w:rPr>
        <w:t xml:space="preserve"> and shows strong progress towards intermediate outcomes</w:t>
      </w:r>
      <w:r w:rsidR="00BD421E" w:rsidRPr="000861DE">
        <w:rPr>
          <w:rFonts w:eastAsia="Times New Roman"/>
        </w:rPr>
        <w:t xml:space="preserve">. </w:t>
      </w:r>
    </w:p>
    <w:p w14:paraId="0D07EC8B" w14:textId="163D271E" w:rsidR="00787B52" w:rsidRPr="00787B52" w:rsidRDefault="00C0275C" w:rsidP="00787B52">
      <w:pPr>
        <w:spacing w:before="240" w:line="240" w:lineRule="auto"/>
        <w:rPr>
          <w:rFonts w:eastAsia="Times New Roman"/>
        </w:rPr>
      </w:pPr>
      <w:r w:rsidRPr="0021466C">
        <w:rPr>
          <w:noProof/>
          <w:lang w:val="en-AU" w:eastAsia="en-AU"/>
        </w:rPr>
        <mc:AlternateContent>
          <mc:Choice Requires="wps">
            <w:drawing>
              <wp:anchor distT="0" distB="0" distL="71755" distR="71755" simplePos="0" relativeHeight="251706368" behindDoc="1" locked="0" layoutInCell="1" allowOverlap="1" wp14:anchorId="6FC80994" wp14:editId="166E9AF4">
                <wp:simplePos x="0" y="0"/>
                <wp:positionH relativeFrom="margin">
                  <wp:posOffset>74295</wp:posOffset>
                </wp:positionH>
                <wp:positionV relativeFrom="paragraph">
                  <wp:posOffset>40851</wp:posOffset>
                </wp:positionV>
                <wp:extent cx="3170555" cy="1295400"/>
                <wp:effectExtent l="0" t="0" r="10795" b="19050"/>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0555" cy="1295400"/>
                        </a:xfrm>
                        <a:prstGeom prst="rect">
                          <a:avLst/>
                        </a:prstGeom>
                        <a:solidFill>
                          <a:sysClr val="window" lastClr="FFFFFF"/>
                        </a:solidFill>
                        <a:ln w="25400" cap="flat" cmpd="sng" algn="ctr">
                          <a:solidFill>
                            <a:srgbClr val="65C5B4"/>
                          </a:solidFill>
                          <a:prstDash val="solid"/>
                          <a:headEnd/>
                          <a:tailEnd/>
                        </a:ln>
                        <a:effectLst/>
                      </wps:spPr>
                      <wps:txbx>
                        <w:txbxContent>
                          <w:p w14:paraId="6BDB972F" w14:textId="3ED58D8F" w:rsidR="007F7DAB" w:rsidRDefault="007F7DAB" w:rsidP="00AD5B9E">
                            <w:pPr>
                              <w:rPr>
                                <w:b/>
                              </w:rPr>
                            </w:pPr>
                            <w:r>
                              <w:rPr>
                                <w:b/>
                              </w:rPr>
                              <w:t>Collaboration with local government</w:t>
                            </w:r>
                          </w:p>
                          <w:p w14:paraId="73C3951E" w14:textId="071A78E0" w:rsidR="007F7DAB" w:rsidRDefault="007F7DAB" w:rsidP="00613122">
                            <w:r>
                              <w:t xml:space="preserve">In Laos, CARE Australia builds on more than a decade of partnership with the Ministry of Agriculture and Forestry and the Laos Women’s Union. This includes government staff seconded to CARE’s project and engaged across activity implementation.    </w:t>
                            </w:r>
                          </w:p>
                          <w:p w14:paraId="6243E0BB" w14:textId="6E126941" w:rsidR="007F7DAB" w:rsidRPr="00AD5B9E" w:rsidRDefault="007F7DAB" w:rsidP="00AD5B9E"/>
                        </w:txbxContent>
                      </wps:txbx>
                      <wps:bodyPr rot="0" vert="horz" wrap="square" lIns="72000" tIns="0" rIns="72000" bIns="0" anchor="t" anchorCtr="0">
                        <a:noAutofit/>
                      </wps:bodyPr>
                    </wps:wsp>
                  </a:graphicData>
                </a:graphic>
                <wp14:sizeRelH relativeFrom="page">
                  <wp14:pctWidth>0</wp14:pctWidth>
                </wp14:sizeRelH>
                <wp14:sizeRelV relativeFrom="page">
                  <wp14:pctHeight>0</wp14:pctHeight>
                </wp14:sizeRelV>
              </wp:anchor>
            </w:drawing>
          </mc:Choice>
          <mc:Fallback>
            <w:pict>
              <v:shape w14:anchorId="6FC80994" id="_x0000_s1032" type="#_x0000_t202" style="position:absolute;margin-left:5.85pt;margin-top:3.2pt;width:249.65pt;height:102pt;z-index:-251610112;visibility:visible;mso-wrap-style:square;mso-width-percent:0;mso-height-percent:0;mso-wrap-distance-left:5.65pt;mso-wrap-distance-top:0;mso-wrap-distance-right:5.6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" fillcolor="window" strokecolor="#65c5b4" strokeweight="2pt">
                <v:textbox inset="2mm,0,2mm,0">
                  <w:txbxContent>
                    <w:p w14:paraId="6BDB972F" w14:textId="3ED58D8F" w:rsidR="007F7DAB" w:rsidRDefault="007F7DAB" w:rsidP="00AD5B9E">
                      <w:pPr>
                        <w:rPr>
                          <w:b/>
                        </w:rPr>
                      </w:pPr>
                      <w:r>
                        <w:rPr>
                          <w:b/>
                        </w:rPr>
                        <w:t>Collaboration with local government</w:t>
                      </w:r>
                    </w:p>
                    <w:p w14:paraId="73C3951E" w14:textId="071A78E0" w:rsidR="007F7DAB" w:rsidRDefault="007F7DAB" w:rsidP="00613122">
                      <w:r>
                        <w:t xml:space="preserve">In Laos, CARE Australia builds on more than a decade of partnership with the Ministry of Agriculture and Forestry and the Laos Women’s Union. This includes government staff seconded to CARE’s project and engaged across activity implementation.    </w:t>
                      </w:r>
                    </w:p>
                    <w:p w14:paraId="6243E0BB" w14:textId="6E126941" w:rsidR="007F7DAB" w:rsidRPr="00AD5B9E" w:rsidRDefault="007F7DAB" w:rsidP="00AD5B9E"/>
                  </w:txbxContent>
                </v:textbox>
                <w10:wrap type="square" anchorx="margin"/>
              </v:shape>
            </w:pict>
          </mc:Fallback>
        </mc:AlternateContent>
      </w:r>
      <w:r w:rsidR="00BD6106">
        <w:rPr>
          <w:rFonts w:eastAsia="Times New Roman"/>
        </w:rPr>
        <w:t>The 2015 ODE evaluation of the ANCP recommended clarification of the role of DFAT Posts in the management of the ANCP. In November</w:t>
      </w:r>
      <w:r w:rsidR="00B65C42">
        <w:rPr>
          <w:rFonts w:eastAsia="Times New Roman"/>
        </w:rPr>
        <w:t xml:space="preserve"> 2016</w:t>
      </w:r>
      <w:r w:rsidR="005356F5">
        <w:rPr>
          <w:rFonts w:eastAsia="Times New Roman"/>
        </w:rPr>
        <w:t>, a survey of ANCP focal points at Post was</w:t>
      </w:r>
      <w:r w:rsidR="00BD6106">
        <w:rPr>
          <w:rFonts w:eastAsia="Times New Roman"/>
        </w:rPr>
        <w:t xml:space="preserve"> undert</w:t>
      </w:r>
      <w:r w:rsidR="005356F5">
        <w:rPr>
          <w:rFonts w:eastAsia="Times New Roman"/>
        </w:rPr>
        <w:t>aken</w:t>
      </w:r>
      <w:r w:rsidR="00BD6106">
        <w:rPr>
          <w:rFonts w:eastAsia="Times New Roman"/>
        </w:rPr>
        <w:t xml:space="preserve">– 100 per cent of respondents supported the development of a policy document to guide Posts’ engagement </w:t>
      </w:r>
      <w:r w:rsidR="00BD421E" w:rsidRPr="0021466C">
        <w:rPr>
          <w:noProof/>
          <w:lang w:val="en-AU" w:eastAsia="en-AU"/>
        </w:rPr>
        <mc:AlternateContent>
          <mc:Choice Requires="wps">
            <w:drawing>
              <wp:anchor distT="0" distB="0" distL="71755" distR="71755" simplePos="0" relativeHeight="251718656" behindDoc="1" locked="0" layoutInCell="1" allowOverlap="1" wp14:anchorId="679C28DA" wp14:editId="20420FEB">
                <wp:simplePos x="0" y="0"/>
                <wp:positionH relativeFrom="margin">
                  <wp:posOffset>15875</wp:posOffset>
                </wp:positionH>
                <wp:positionV relativeFrom="paragraph">
                  <wp:posOffset>22436</wp:posOffset>
                </wp:positionV>
                <wp:extent cx="3170555" cy="1460500"/>
                <wp:effectExtent l="0" t="0" r="10795" b="2540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0555" cy="1460500"/>
                        </a:xfrm>
                        <a:prstGeom prst="rect">
                          <a:avLst/>
                        </a:prstGeom>
                        <a:solidFill>
                          <a:sysClr val="window" lastClr="FFFFFF"/>
                        </a:solidFill>
                        <a:ln w="25400" cap="flat" cmpd="sng" algn="ctr">
                          <a:solidFill>
                            <a:srgbClr val="65C5B4"/>
                          </a:solidFill>
                          <a:prstDash val="solid"/>
                          <a:headEnd/>
                          <a:tailEnd/>
                        </a:ln>
                        <a:effectLst/>
                      </wps:spPr>
                      <wps:txbx>
                        <w:txbxContent>
                          <w:p w14:paraId="0F2A0061" w14:textId="530B338E" w:rsidR="00F151D8" w:rsidRDefault="00F151D8" w:rsidP="00F151D8">
                            <w:r>
                              <w:rPr>
                                <w:b/>
                              </w:rPr>
                              <w:t>Building local capacity</w:t>
                            </w:r>
                            <w:r>
                              <w:t xml:space="preserve">.    </w:t>
                            </w:r>
                          </w:p>
                          <w:p w14:paraId="595D3ED0" w14:textId="151AF231" w:rsidR="00F151D8" w:rsidRPr="00AD5B9E" w:rsidRDefault="00F151D8" w:rsidP="00F151D8">
                            <w:r>
                              <w:t xml:space="preserve">The Royal Australasian College of Surgeons (RACS) is </w:t>
                            </w:r>
                            <w:r w:rsidR="00EF7FA5">
                              <w:t>working with doctors in Yangon to strengthen hospital systems. This work has established an emergency department and triage system which has significantly improved the treatment of in-coming patients at Yangon General Hospital.</w:t>
                            </w:r>
                          </w:p>
                        </w:txbxContent>
                      </wps:txbx>
                      <wps:bodyPr rot="0" vert="horz" wrap="square" lIns="72000" tIns="0" rIns="72000" bIns="0" anchor="t" anchorCtr="0">
                        <a:noAutofit/>
                      </wps:bodyPr>
                    </wps:wsp>
                  </a:graphicData>
                </a:graphic>
                <wp14:sizeRelH relativeFrom="page">
                  <wp14:pctWidth>0</wp14:pctWidth>
                </wp14:sizeRelH>
                <wp14:sizeRelV relativeFrom="page">
                  <wp14:pctHeight>0</wp14:pctHeight>
                </wp14:sizeRelV>
              </wp:anchor>
            </w:drawing>
          </mc:Choice>
          <mc:Fallback>
            <w:pict>
              <v:shape w14:anchorId="679C28DA" id="_x0000_s1033" type="#_x0000_t202" style="position:absolute;margin-left:1.25pt;margin-top:1.75pt;width:249.65pt;height:115pt;z-index:-251597824;visibility:visible;mso-wrap-style:square;mso-width-percent:0;mso-height-percent:0;mso-wrap-distance-left:5.65pt;mso-wrap-distance-top:0;mso-wrap-distance-right:5.6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" fillcolor="window" strokecolor="#65c5b4" strokeweight="2pt">
                <v:textbox inset="2mm,0,2mm,0">
                  <w:txbxContent>
                    <w:p w14:paraId="0F2A0061" w14:textId="530B338E" w:rsidR="00F151D8" w:rsidRDefault="00F151D8" w:rsidP="00F151D8">
                      <w:r>
                        <w:rPr>
                          <w:b/>
                        </w:rPr>
                        <w:t>Building local capacity</w:t>
                      </w:r>
                      <w:r>
                        <w:t xml:space="preserve">.    </w:t>
                      </w:r>
                    </w:p>
                    <w:p w14:paraId="595D3ED0" w14:textId="151AF231" w:rsidR="00F151D8" w:rsidRPr="00AD5B9E" w:rsidRDefault="00F151D8" w:rsidP="00F151D8">
                      <w:r>
                        <w:t xml:space="preserve">The Royal Australasian College of Surgeons (RACS) is </w:t>
                      </w:r>
                      <w:r w:rsidR="00EF7FA5">
                        <w:t xml:space="preserve">working with doctors in Yangon to strengthen hospital systems. This work has established an emergency department and triage </w:t>
                      </w:r>
                      <w:proofErr w:type="gramStart"/>
                      <w:r w:rsidR="00EF7FA5">
                        <w:t>system which</w:t>
                      </w:r>
                      <w:proofErr w:type="gramEnd"/>
                      <w:r w:rsidR="00EF7FA5">
                        <w:t xml:space="preserve"> has significantly improved the treatment of in-coming patients at Yangon General Hospital.</w:t>
                      </w:r>
                    </w:p>
                  </w:txbxContent>
                </v:textbox>
                <w10:wrap type="square" anchorx="margin"/>
              </v:shape>
            </w:pict>
          </mc:Fallback>
        </mc:AlternateContent>
      </w:r>
      <w:r w:rsidR="00BD6106">
        <w:rPr>
          <w:rFonts w:eastAsia="Times New Roman"/>
        </w:rPr>
        <w:t xml:space="preserve">with the program. </w:t>
      </w:r>
      <w:r w:rsidR="00D56470">
        <w:rPr>
          <w:rFonts w:eastAsia="Times New Roman"/>
        </w:rPr>
        <w:t>The resulting</w:t>
      </w:r>
      <w:r w:rsidR="00BD6106">
        <w:rPr>
          <w:rFonts w:eastAsia="Times New Roman"/>
        </w:rPr>
        <w:t xml:space="preserve"> document set</w:t>
      </w:r>
      <w:r w:rsidR="00D56470">
        <w:rPr>
          <w:rFonts w:eastAsia="Times New Roman"/>
        </w:rPr>
        <w:t>s</w:t>
      </w:r>
      <w:r w:rsidR="00BD6106">
        <w:rPr>
          <w:rFonts w:eastAsia="Times New Roman"/>
        </w:rPr>
        <w:t xml:space="preserve"> out the roles and responsibilities of Posts, Country Programs and Thematic Area</w:t>
      </w:r>
      <w:r w:rsidR="00D56470">
        <w:rPr>
          <w:rFonts w:eastAsia="Times New Roman"/>
        </w:rPr>
        <w:t>s</w:t>
      </w:r>
      <w:r w:rsidR="00BD6106">
        <w:rPr>
          <w:rFonts w:eastAsia="Times New Roman"/>
        </w:rPr>
        <w:t xml:space="preserve"> in the management of the ANCP</w:t>
      </w:r>
      <w:r w:rsidR="004A0045">
        <w:rPr>
          <w:rFonts w:eastAsia="Times New Roman"/>
        </w:rPr>
        <w:t xml:space="preserve"> </w:t>
      </w:r>
      <w:r w:rsidR="000D627A">
        <w:rPr>
          <w:rFonts w:eastAsia="Times New Roman"/>
        </w:rPr>
        <w:t xml:space="preserve">and </w:t>
      </w:r>
      <w:r w:rsidR="00BD6106">
        <w:rPr>
          <w:rFonts w:eastAsia="Times New Roman"/>
        </w:rPr>
        <w:t>was distributed for</w:t>
      </w:r>
      <w:r w:rsidR="00DB41FA">
        <w:rPr>
          <w:rFonts w:eastAsia="Times New Roman"/>
        </w:rPr>
        <w:t xml:space="preserve"> </w:t>
      </w:r>
      <w:r w:rsidR="00BD6106">
        <w:rPr>
          <w:rFonts w:eastAsia="Times New Roman"/>
        </w:rPr>
        <w:t>consultation in June 2017.</w:t>
      </w:r>
      <w:r w:rsidR="00E314DD">
        <w:rPr>
          <w:rFonts w:eastAsia="Times New Roman"/>
        </w:rPr>
        <w:t xml:space="preserve"> This policy document will be finalised in 2017-18 and </w:t>
      </w:r>
      <w:r w:rsidR="00D15245">
        <w:rPr>
          <w:rFonts w:eastAsia="Times New Roman"/>
        </w:rPr>
        <w:t xml:space="preserve">has already begun informally </w:t>
      </w:r>
      <w:r w:rsidR="00E314DD">
        <w:rPr>
          <w:rFonts w:eastAsia="Times New Roman"/>
        </w:rPr>
        <w:t>guid</w:t>
      </w:r>
      <w:r w:rsidR="00D15245">
        <w:rPr>
          <w:rFonts w:eastAsia="Times New Roman"/>
        </w:rPr>
        <w:t>ing</w:t>
      </w:r>
      <w:r w:rsidR="00D56470">
        <w:rPr>
          <w:rFonts w:eastAsia="Times New Roman"/>
        </w:rPr>
        <w:t xml:space="preserve"> significantly</w:t>
      </w:r>
      <w:r w:rsidR="00E314DD">
        <w:rPr>
          <w:rFonts w:eastAsia="Times New Roman"/>
        </w:rPr>
        <w:t xml:space="preserve"> increased engagement by Posts in the oversight of the ANCP.</w:t>
      </w:r>
      <w:r w:rsidR="00DB41FA" w:rsidRPr="00DB41FA">
        <w:rPr>
          <w:noProof/>
          <w:lang w:val="en-AU" w:eastAsia="en-AU"/>
        </w:rPr>
        <w:t xml:space="preserve"> </w:t>
      </w:r>
    </w:p>
    <w:p w14:paraId="65E25749" w14:textId="60349316" w:rsidR="00F262AC" w:rsidRDefault="00BD421E" w:rsidP="00787B52">
      <w:pPr>
        <w:spacing w:before="240" w:line="240" w:lineRule="auto"/>
        <w:rPr>
          <w:noProof/>
          <w:lang w:val="en-AU" w:eastAsia="en-AU"/>
        </w:rPr>
      </w:pPr>
      <w:r>
        <w:rPr>
          <w:noProof/>
          <w:lang w:val="en-AU" w:eastAsia="en-AU"/>
        </w:rPr>
        <w:drawing>
          <wp:anchor distT="0" distB="0" distL="114300" distR="114300" simplePos="0" relativeHeight="251691008" behindDoc="0" locked="0" layoutInCell="1" allowOverlap="1" wp14:anchorId="729C5C27" wp14:editId="33D10AC8">
            <wp:simplePos x="0" y="0"/>
            <wp:positionH relativeFrom="column">
              <wp:posOffset>3045249</wp:posOffset>
            </wp:positionH>
            <wp:positionV relativeFrom="paragraph">
              <wp:posOffset>1149985</wp:posOffset>
            </wp:positionV>
            <wp:extent cx="3562350" cy="3458905"/>
            <wp:effectExtent l="0" t="0" r="0" b="0"/>
            <wp:wrapSquare wrapText="bothSides"/>
            <wp:docPr id="39" name="Chart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anchor>
        </w:drawing>
      </w:r>
      <w:r>
        <w:rPr>
          <w:rFonts w:eastAsia="Times New Roman"/>
        </w:rPr>
        <w:t xml:space="preserve">This period </w:t>
      </w:r>
      <w:r w:rsidR="00004BC2">
        <w:rPr>
          <w:rFonts w:eastAsia="Times New Roman"/>
        </w:rPr>
        <w:t>saw continued increased engagement</w:t>
      </w:r>
      <w:r w:rsidR="00A574D9">
        <w:rPr>
          <w:rFonts w:eastAsia="Times New Roman"/>
        </w:rPr>
        <w:t xml:space="preserve"> by Posts with ANCP NGOs. </w:t>
      </w:r>
      <w:r w:rsidR="00D15245">
        <w:rPr>
          <w:rFonts w:eastAsia="Times New Roman"/>
        </w:rPr>
        <w:t xml:space="preserve">Post-initiated </w:t>
      </w:r>
      <w:r w:rsidR="00E314DD">
        <w:rPr>
          <w:rFonts w:eastAsia="Times New Roman"/>
        </w:rPr>
        <w:t xml:space="preserve">NGO Roundtables </w:t>
      </w:r>
      <w:r w:rsidR="00B65C42">
        <w:rPr>
          <w:rFonts w:eastAsia="Times New Roman"/>
        </w:rPr>
        <w:t xml:space="preserve">and workshops </w:t>
      </w:r>
      <w:r w:rsidR="00E314DD">
        <w:rPr>
          <w:rFonts w:eastAsia="Times New Roman"/>
        </w:rPr>
        <w:t xml:space="preserve">were held in </w:t>
      </w:r>
      <w:r w:rsidR="00B65C42">
        <w:rPr>
          <w:rFonts w:eastAsia="Times New Roman"/>
        </w:rPr>
        <w:t>Timor</w:t>
      </w:r>
      <w:r w:rsidR="00EA2D5B">
        <w:rPr>
          <w:rFonts w:eastAsia="Times New Roman"/>
        </w:rPr>
        <w:noBreakHyphen/>
      </w:r>
      <w:r w:rsidR="00B65C42">
        <w:rPr>
          <w:rFonts w:eastAsia="Times New Roman"/>
        </w:rPr>
        <w:t>Leste, Nepal, Papua New Guinea, and Zimbabwe. In addition to roundtables, a number of Posts provided or facilitated training to the local implementing partners of ANCP NGOs on topics such as Child Protection</w:t>
      </w:r>
      <w:r w:rsidR="00962E6D">
        <w:rPr>
          <w:rFonts w:eastAsia="Times New Roman"/>
        </w:rPr>
        <w:t xml:space="preserve">, </w:t>
      </w:r>
      <w:r w:rsidR="00B65C42">
        <w:rPr>
          <w:rFonts w:eastAsia="Times New Roman"/>
        </w:rPr>
        <w:t>Fraud Control and Anti-Corruption</w:t>
      </w:r>
      <w:r w:rsidR="00E314DD">
        <w:rPr>
          <w:rFonts w:eastAsia="Times New Roman"/>
        </w:rPr>
        <w:t xml:space="preserve"> as well as</w:t>
      </w:r>
      <w:r w:rsidR="00B65C42">
        <w:rPr>
          <w:rFonts w:eastAsia="Times New Roman"/>
        </w:rPr>
        <w:t xml:space="preserve"> disability inclusion. Posts also met with ANCP NGOs on a range of thematic issues</w:t>
      </w:r>
      <w:r w:rsidR="000D627A">
        <w:rPr>
          <w:rFonts w:eastAsia="Times New Roman"/>
        </w:rPr>
        <w:t>,</w:t>
      </w:r>
      <w:r w:rsidR="00B65C42">
        <w:rPr>
          <w:rFonts w:eastAsia="Times New Roman"/>
        </w:rPr>
        <w:t xml:space="preserve"> undertook monitoring visits to ANCP projects and facilitated high-profile visits to ANCP projects</w:t>
      </w:r>
      <w:r w:rsidR="00E314DD">
        <w:rPr>
          <w:rFonts w:eastAsia="Times New Roman"/>
        </w:rPr>
        <w:t xml:space="preserve"> such as</w:t>
      </w:r>
      <w:r w:rsidR="00E314DD" w:rsidRPr="00E314DD">
        <w:t xml:space="preserve"> </w:t>
      </w:r>
      <w:r w:rsidR="00CF1520">
        <w:rPr>
          <w:rFonts w:eastAsia="Times New Roman"/>
        </w:rPr>
        <w:t>t</w:t>
      </w:r>
      <w:r w:rsidR="00E314DD" w:rsidRPr="00E314DD">
        <w:rPr>
          <w:rFonts w:eastAsia="Times New Roman"/>
        </w:rPr>
        <w:t xml:space="preserve">he </w:t>
      </w:r>
      <w:r w:rsidR="00CF1520">
        <w:rPr>
          <w:rFonts w:eastAsia="Times New Roman"/>
        </w:rPr>
        <w:t xml:space="preserve">Minister for Foreign Affairs, </w:t>
      </w:r>
      <w:r w:rsidR="00EA2D5B">
        <w:rPr>
          <w:rFonts w:eastAsia="Times New Roman"/>
        </w:rPr>
        <w:t xml:space="preserve">the Hon </w:t>
      </w:r>
      <w:r w:rsidR="00CF1520">
        <w:rPr>
          <w:rFonts w:eastAsia="Times New Roman"/>
        </w:rPr>
        <w:t>Julie Bishop</w:t>
      </w:r>
      <w:r w:rsidR="00EA2D5B">
        <w:rPr>
          <w:rFonts w:eastAsia="Times New Roman"/>
        </w:rPr>
        <w:t xml:space="preserve"> MP</w:t>
      </w:r>
      <w:r w:rsidR="00CF1520">
        <w:rPr>
          <w:rFonts w:eastAsia="Times New Roman"/>
        </w:rPr>
        <w:t>’s visit to a ChildFund project in Laos</w:t>
      </w:r>
      <w:r w:rsidR="00CF1520" w:rsidRPr="00E314DD">
        <w:rPr>
          <w:rFonts w:eastAsia="Times New Roman"/>
        </w:rPr>
        <w:t xml:space="preserve"> </w:t>
      </w:r>
      <w:r w:rsidR="00CF1520">
        <w:rPr>
          <w:rFonts w:eastAsia="Times New Roman"/>
        </w:rPr>
        <w:t xml:space="preserve">and the </w:t>
      </w:r>
      <w:r w:rsidR="00E314DD" w:rsidRPr="00E314DD">
        <w:rPr>
          <w:rFonts w:eastAsia="Times New Roman"/>
        </w:rPr>
        <w:t xml:space="preserve">Minister for International Development and the Pacific, Senator </w:t>
      </w:r>
      <w:r w:rsidR="00EA2D5B">
        <w:rPr>
          <w:rFonts w:eastAsia="Times New Roman"/>
        </w:rPr>
        <w:t xml:space="preserve">the Hon </w:t>
      </w:r>
      <w:r w:rsidR="00E314DD" w:rsidRPr="00E314DD">
        <w:rPr>
          <w:rFonts w:eastAsia="Times New Roman"/>
        </w:rPr>
        <w:t>Concetta Fierravanti-Wells</w:t>
      </w:r>
      <w:r w:rsidR="00E314DD">
        <w:rPr>
          <w:rFonts w:eastAsia="Times New Roman"/>
        </w:rPr>
        <w:t xml:space="preserve">’ visit </w:t>
      </w:r>
      <w:r w:rsidR="00CF1520">
        <w:rPr>
          <w:rFonts w:eastAsia="Times New Roman"/>
        </w:rPr>
        <w:t xml:space="preserve">to a CBM project </w:t>
      </w:r>
      <w:r w:rsidR="00E314DD">
        <w:rPr>
          <w:rFonts w:eastAsia="Times New Roman"/>
        </w:rPr>
        <w:t>in Ethiopia.</w:t>
      </w:r>
      <w:r w:rsidR="00B115A7" w:rsidRPr="00B115A7">
        <w:rPr>
          <w:noProof/>
          <w:lang w:val="en-AU" w:eastAsia="en-AU"/>
        </w:rPr>
        <w:t xml:space="preserve"> </w:t>
      </w:r>
    </w:p>
    <w:p w14:paraId="1E2DF0AF" w14:textId="6CA3BA72" w:rsidR="00BD6106" w:rsidRDefault="00BD6106" w:rsidP="001655B6">
      <w:pPr>
        <w:spacing w:before="240" w:line="240" w:lineRule="auto"/>
        <w:rPr>
          <w:rFonts w:eastAsia="Times New Roman"/>
        </w:rPr>
      </w:pPr>
      <w:r>
        <w:rPr>
          <w:rFonts w:eastAsia="Times New Roman"/>
        </w:rPr>
        <w:t xml:space="preserve">In </w:t>
      </w:r>
      <w:r w:rsidR="00004BC2">
        <w:rPr>
          <w:rFonts w:eastAsia="Times New Roman"/>
        </w:rPr>
        <w:t xml:space="preserve">February 2017, NPQ </w:t>
      </w:r>
      <w:r>
        <w:rPr>
          <w:rFonts w:eastAsia="Times New Roman"/>
        </w:rPr>
        <w:t xml:space="preserve">trialled the provision of funds to support Post engagement with the </w:t>
      </w:r>
      <w:r w:rsidR="000D627A">
        <w:rPr>
          <w:rFonts w:eastAsia="Times New Roman"/>
        </w:rPr>
        <w:t>Program</w:t>
      </w:r>
      <w:r>
        <w:rPr>
          <w:rFonts w:eastAsia="Times New Roman"/>
        </w:rPr>
        <w:t xml:space="preserve">. Under the trial, </w:t>
      </w:r>
      <w:r w:rsidR="00004BC2">
        <w:rPr>
          <w:rFonts w:eastAsia="Times New Roman"/>
        </w:rPr>
        <w:t>ANCP funding was made available to Posts to undertake project monitoring visits, undertake remote monitoring in complex contexts and hold NGO engagement activities su</w:t>
      </w:r>
      <w:r w:rsidR="001D3451">
        <w:rPr>
          <w:rFonts w:eastAsia="Times New Roman"/>
        </w:rPr>
        <w:t>ch as roundtables. A total of $62,400</w:t>
      </w:r>
      <w:r w:rsidR="00004BC2">
        <w:rPr>
          <w:rFonts w:eastAsia="Times New Roman"/>
        </w:rPr>
        <w:t xml:space="preserve"> was used by </w:t>
      </w:r>
      <w:r w:rsidR="001D3451">
        <w:rPr>
          <w:rFonts w:eastAsia="Times New Roman"/>
        </w:rPr>
        <w:t xml:space="preserve">DFAT </w:t>
      </w:r>
      <w:r w:rsidR="00004BC2">
        <w:rPr>
          <w:rFonts w:eastAsia="Times New Roman"/>
        </w:rPr>
        <w:t>Posts primarily to undertake project monitoring</w:t>
      </w:r>
      <w:r w:rsidR="00CF1520">
        <w:rPr>
          <w:rFonts w:eastAsia="Times New Roman"/>
        </w:rPr>
        <w:t xml:space="preserve"> </w:t>
      </w:r>
      <w:r w:rsidR="000D627A">
        <w:rPr>
          <w:rFonts w:eastAsia="Times New Roman"/>
        </w:rPr>
        <w:t>and</w:t>
      </w:r>
      <w:r w:rsidR="00CF1520">
        <w:rPr>
          <w:rFonts w:eastAsia="Times New Roman"/>
        </w:rPr>
        <w:t xml:space="preserve"> NGO roundtables</w:t>
      </w:r>
      <w:r w:rsidR="00004BC2">
        <w:rPr>
          <w:rFonts w:eastAsia="Times New Roman"/>
        </w:rPr>
        <w:t>. A total of 22 projects in ten countries were visited under the trial. Posts expressed great interest in undertaking these activities. While work remains to clarify expectations regarding this type of engagement</w:t>
      </w:r>
      <w:r w:rsidR="000D627A">
        <w:rPr>
          <w:rFonts w:eastAsia="Times New Roman"/>
        </w:rPr>
        <w:t>,</w:t>
      </w:r>
      <w:r w:rsidR="00004BC2">
        <w:rPr>
          <w:rFonts w:eastAsia="Times New Roman"/>
        </w:rPr>
        <w:t xml:space="preserve"> particularly compliance with ANCP processes and reporting requirements, the trial was a success and will be </w:t>
      </w:r>
      <w:r w:rsidR="00EA2D5B">
        <w:rPr>
          <w:rFonts w:eastAsia="Times New Roman"/>
        </w:rPr>
        <w:t>adopted as</w:t>
      </w:r>
      <w:r w:rsidR="00962E6D">
        <w:rPr>
          <w:rFonts w:eastAsia="Times New Roman"/>
        </w:rPr>
        <w:t xml:space="preserve"> part of regular program management </w:t>
      </w:r>
      <w:r w:rsidR="00004BC2">
        <w:rPr>
          <w:rFonts w:eastAsia="Times New Roman"/>
        </w:rPr>
        <w:t>in 2017-18.</w:t>
      </w:r>
    </w:p>
    <w:p w14:paraId="3C6E4882" w14:textId="340DD039" w:rsidR="002A51CA" w:rsidRPr="002A51CA" w:rsidRDefault="002A51CA" w:rsidP="002A51CA">
      <w:pPr>
        <w:pStyle w:val="Heading2"/>
      </w:pPr>
      <w:r w:rsidRPr="002A51CA">
        <w:t xml:space="preserve">Program Quality and Partner Performance </w:t>
      </w:r>
    </w:p>
    <w:p w14:paraId="6DE07AF7" w14:textId="77777777" w:rsidR="002A51CA" w:rsidRPr="002A51CA" w:rsidRDefault="002A51CA" w:rsidP="007962AE">
      <w:pPr>
        <w:pStyle w:val="Heading4"/>
        <w:rPr>
          <w:lang w:eastAsia="zh-CN"/>
        </w:rPr>
      </w:pPr>
      <w:r w:rsidRPr="002A51CA">
        <w:rPr>
          <w:lang w:eastAsia="zh-CN"/>
        </w:rPr>
        <w:t>Overview</w:t>
      </w:r>
      <w:r w:rsidRPr="002A51CA">
        <w:rPr>
          <w:lang w:eastAsia="zh-CN"/>
        </w:rPr>
        <w:tab/>
      </w:r>
      <w:r w:rsidRPr="002A51CA">
        <w:rPr>
          <w:lang w:eastAsia="zh-CN"/>
        </w:rPr>
        <w:tab/>
      </w:r>
    </w:p>
    <w:p w14:paraId="21E6C8BF" w14:textId="77777777" w:rsidR="000E5F35" w:rsidRDefault="000E5F35" w:rsidP="000E5F35">
      <w:pPr>
        <w:rPr>
          <w:lang w:eastAsia="zh-CN"/>
        </w:rPr>
      </w:pPr>
      <w:r>
        <w:rPr>
          <w:lang w:eastAsia="zh-CN"/>
        </w:rPr>
        <w:t>The effectiveness and performance of ANCP NGOs is assessed in the following ways:</w:t>
      </w:r>
    </w:p>
    <w:p w14:paraId="57DA4A78" w14:textId="66748CB4" w:rsidR="004D43F3" w:rsidRDefault="000E5F35" w:rsidP="000E5F35">
      <w:pPr>
        <w:pStyle w:val="Bullet1"/>
        <w:rPr>
          <w:lang w:eastAsia="zh-CN"/>
        </w:rPr>
      </w:pPr>
      <w:r>
        <w:rPr>
          <w:lang w:eastAsia="zh-CN"/>
        </w:rPr>
        <w:t xml:space="preserve">Annual assessment of NGO reporting under the </w:t>
      </w:r>
      <w:r w:rsidRPr="000E5F35">
        <w:rPr>
          <w:lang w:eastAsia="zh-CN"/>
        </w:rPr>
        <w:t>MELF</w:t>
      </w:r>
      <w:r>
        <w:rPr>
          <w:lang w:eastAsia="zh-CN"/>
        </w:rPr>
        <w:t>;</w:t>
      </w:r>
    </w:p>
    <w:p w14:paraId="0B600A30" w14:textId="3DBB0DDC" w:rsidR="000E5F35" w:rsidRDefault="000E5F35" w:rsidP="000E5F35">
      <w:pPr>
        <w:pStyle w:val="Bullet1"/>
        <w:rPr>
          <w:lang w:eastAsia="zh-CN"/>
        </w:rPr>
      </w:pPr>
      <w:r>
        <w:rPr>
          <w:lang w:eastAsia="zh-CN"/>
        </w:rPr>
        <w:t>Accreditation – completed every five years;</w:t>
      </w:r>
    </w:p>
    <w:p w14:paraId="4C0F98D9" w14:textId="1D5D5E36" w:rsidR="000E5F35" w:rsidRDefault="000E5F35" w:rsidP="000E5F35">
      <w:pPr>
        <w:pStyle w:val="Bullet1"/>
        <w:rPr>
          <w:lang w:eastAsia="zh-CN"/>
        </w:rPr>
      </w:pPr>
      <w:r>
        <w:rPr>
          <w:lang w:eastAsia="zh-CN"/>
        </w:rPr>
        <w:t xml:space="preserve">NGO </w:t>
      </w:r>
      <w:r w:rsidR="00D83FAC">
        <w:rPr>
          <w:lang w:eastAsia="zh-CN"/>
        </w:rPr>
        <w:t>evaluations</w:t>
      </w:r>
      <w:r>
        <w:rPr>
          <w:lang w:eastAsia="zh-CN"/>
        </w:rPr>
        <w:t>;</w:t>
      </w:r>
    </w:p>
    <w:p w14:paraId="308D61A2" w14:textId="4BAF6ACB" w:rsidR="000E5F35" w:rsidRDefault="000E5F35" w:rsidP="000E5F35">
      <w:pPr>
        <w:pStyle w:val="Bullet1"/>
        <w:rPr>
          <w:lang w:eastAsia="zh-CN"/>
        </w:rPr>
      </w:pPr>
      <w:r>
        <w:rPr>
          <w:lang w:eastAsia="zh-CN"/>
        </w:rPr>
        <w:t>Thematic reviews and meta-evaluations;</w:t>
      </w:r>
    </w:p>
    <w:p w14:paraId="23A0C3B1" w14:textId="74FAE949" w:rsidR="000E5F35" w:rsidRDefault="000E5F35" w:rsidP="000E5F35">
      <w:pPr>
        <w:pStyle w:val="Bullet1"/>
        <w:rPr>
          <w:lang w:eastAsia="zh-CN"/>
        </w:rPr>
      </w:pPr>
      <w:r>
        <w:rPr>
          <w:lang w:eastAsia="zh-CN"/>
        </w:rPr>
        <w:t>Monitoring visits; and</w:t>
      </w:r>
    </w:p>
    <w:p w14:paraId="58D49E0A" w14:textId="583AC78F" w:rsidR="000E5F35" w:rsidRDefault="000E5F35" w:rsidP="000E5F35">
      <w:pPr>
        <w:pStyle w:val="Bullet1"/>
        <w:rPr>
          <w:lang w:eastAsia="zh-CN"/>
        </w:rPr>
      </w:pPr>
      <w:r>
        <w:rPr>
          <w:lang w:eastAsia="zh-CN"/>
        </w:rPr>
        <w:t>Completion of PPAs for ANCP NGOs receiving over $3 million per year.</w:t>
      </w:r>
    </w:p>
    <w:p w14:paraId="6C67B76E" w14:textId="77777777" w:rsidR="00600479" w:rsidRDefault="00600479" w:rsidP="007962AE">
      <w:pPr>
        <w:pStyle w:val="Heading4"/>
        <w:rPr>
          <w:lang w:eastAsia="zh-CN"/>
        </w:rPr>
      </w:pPr>
      <w:r>
        <w:rPr>
          <w:lang w:eastAsia="zh-CN"/>
        </w:rPr>
        <w:t>Aid Quality Checks (AQCs)</w:t>
      </w:r>
    </w:p>
    <w:p w14:paraId="192D96C5" w14:textId="2BF3FB48" w:rsidR="000E5F35" w:rsidRDefault="0039064F" w:rsidP="000E5F35">
      <w:r>
        <w:t>The 2017</w:t>
      </w:r>
      <w:r w:rsidR="001D3451" w:rsidRPr="001D3451">
        <w:t xml:space="preserve"> AQC process assessed the performance of the ANCP in 2015</w:t>
      </w:r>
      <w:r>
        <w:t>-16</w:t>
      </w:r>
      <w:r w:rsidR="000D627A">
        <w:t>and</w:t>
      </w:r>
      <w:r w:rsidR="00962E6D">
        <w:t xml:space="preserve"> </w:t>
      </w:r>
      <w:r w:rsidR="00E04C41">
        <w:t xml:space="preserve">saw </w:t>
      </w:r>
      <w:r w:rsidR="000E5F35">
        <w:t xml:space="preserve">all </w:t>
      </w:r>
      <w:r w:rsidR="00E04C41">
        <w:t xml:space="preserve">ratings maintained at </w:t>
      </w:r>
      <w:r w:rsidR="000D627A">
        <w:t>‘</w:t>
      </w:r>
      <w:r w:rsidR="00E04C41">
        <w:t>good</w:t>
      </w:r>
      <w:r w:rsidR="000D627A">
        <w:t>’</w:t>
      </w:r>
      <w:r w:rsidR="00E04C41">
        <w:t xml:space="preserve"> with the exception of Monitoring and Evaluation </w:t>
      </w:r>
      <w:r w:rsidR="000E5F35">
        <w:t xml:space="preserve">criteria </w:t>
      </w:r>
      <w:r w:rsidR="00E04C41">
        <w:t xml:space="preserve">which reduced to adequate due to concerns regarding the </w:t>
      </w:r>
      <w:r w:rsidR="00E04C41" w:rsidRPr="00E04C41">
        <w:t>reli</w:t>
      </w:r>
      <w:r w:rsidR="00E04C41">
        <w:t xml:space="preserve">ability and consistency of </w:t>
      </w:r>
      <w:r w:rsidR="00E04C41" w:rsidRPr="00E04C41">
        <w:t>data</w:t>
      </w:r>
      <w:r w:rsidR="00E04C41">
        <w:t xml:space="preserve"> generated by the program</w:t>
      </w:r>
      <w:r w:rsidR="00E04C41" w:rsidRPr="00E04C41">
        <w:t>.</w:t>
      </w:r>
      <w:r w:rsidR="000E5F35">
        <w:t xml:space="preserve"> An independent moderator from the Aid Management and Performance Branch was used for the peer review and the session was well attended by DFAT colleagues including staff from gender and disability sections to ensure the robustness of scores and narrative.</w:t>
      </w:r>
      <w:r w:rsidR="000D627A">
        <w:t xml:space="preserve"> The reduced rating reflected ongoing discussions between DFAT and the ANCP NGOs on data credibility and the yet to be undertaken data validation exercise (ODE Evaluation recommendation</w:t>
      </w:r>
      <w:r w:rsidR="00BD421E">
        <w:t> </w:t>
      </w:r>
      <w:r w:rsidR="000D627A">
        <w:t>4).</w:t>
      </w:r>
      <w:r w:rsidR="00BD421E">
        <w:t xml:space="preserve"> </w:t>
      </w:r>
      <w:r w:rsidR="000E5F35" w:rsidRPr="00C61187">
        <w:t xml:space="preserve">A table of AQC ratings </w:t>
      </w:r>
      <w:r w:rsidR="0064683D">
        <w:t>is at</w:t>
      </w:r>
      <w:r w:rsidR="000E5F35" w:rsidRPr="00C61187">
        <w:t xml:space="preserve"> </w:t>
      </w:r>
      <w:r w:rsidR="000E5F35" w:rsidRPr="00C61187">
        <w:rPr>
          <w:b/>
        </w:rPr>
        <w:t>Annex D</w:t>
      </w:r>
      <w:r w:rsidR="000E5F35" w:rsidRPr="00C61187">
        <w:t>.</w:t>
      </w:r>
    </w:p>
    <w:p w14:paraId="45BB8D1A" w14:textId="77777777" w:rsidR="00600479" w:rsidRDefault="00600479" w:rsidP="007962AE">
      <w:pPr>
        <w:pStyle w:val="Heading4"/>
        <w:rPr>
          <w:lang w:eastAsia="zh-CN"/>
        </w:rPr>
      </w:pPr>
      <w:r>
        <w:rPr>
          <w:lang w:eastAsia="zh-CN"/>
        </w:rPr>
        <w:t>Performance of key delivery partners</w:t>
      </w:r>
    </w:p>
    <w:p w14:paraId="7C19E0F8" w14:textId="7A98DCD2" w:rsidR="0064683D" w:rsidRDefault="0064683D" w:rsidP="00431E2C">
      <w:r w:rsidRPr="0064683D">
        <w:t>Mandatory PPAs were conducted for 11 ANCP NGOs that received over $3 millio</w:t>
      </w:r>
      <w:r w:rsidR="00B115A7">
        <w:t>n in 20</w:t>
      </w:r>
      <w:r w:rsidRPr="0064683D">
        <w:t>16</w:t>
      </w:r>
      <w:r w:rsidR="00B115A7">
        <w:t>-17</w:t>
      </w:r>
      <w:r w:rsidR="00C0275C">
        <w:t>. A</w:t>
      </w:r>
      <w:r w:rsidR="00D4640A">
        <w:t>ll received satisfactory or above ratings across all five criteria.</w:t>
      </w:r>
    </w:p>
    <w:p w14:paraId="1937DC32" w14:textId="6EB94972" w:rsidR="00090180" w:rsidRDefault="00090180" w:rsidP="00431E2C">
      <w:r>
        <w:t xml:space="preserve">In 2016-17, NPQ </w:t>
      </w:r>
      <w:r w:rsidR="00203D91">
        <w:t>conducted seven monitoring a</w:t>
      </w:r>
      <w:r w:rsidR="00C86822">
        <w:t>nd engagement visits to</w:t>
      </w:r>
      <w:r w:rsidR="00203D91">
        <w:t xml:space="preserve"> 28 projects in addition to those conducted by staff at Post. In total, </w:t>
      </w:r>
      <w:r w:rsidR="00C86822">
        <w:t>46 projects (nine per cent) were monitored in 2016-17 across 15 countries involving projects from 30 ANCP NGOs (56 per cent of ANCP NGOs). These visits confirmed</w:t>
      </w:r>
      <w:r w:rsidR="00182789">
        <w:t xml:space="preserve"> the high quality of ANCP NGO programming. Common key areas for improvement identified on these visits included </w:t>
      </w:r>
      <w:r w:rsidR="00BF7FB4">
        <w:t xml:space="preserve">attention to gender and disability inclusive development, </w:t>
      </w:r>
      <w:r w:rsidR="00182789">
        <w:t>application of child protection procedures</w:t>
      </w:r>
      <w:r w:rsidR="00025D9D">
        <w:t xml:space="preserve"> and</w:t>
      </w:r>
      <w:r w:rsidR="00182789">
        <w:t xml:space="preserve"> compliance with branding requirements</w:t>
      </w:r>
      <w:r w:rsidR="00025D9D">
        <w:t>. The visits also made</w:t>
      </w:r>
      <w:r w:rsidR="00182789">
        <w:t xml:space="preserve"> recommendations to improve the sustainability of projects</w:t>
      </w:r>
      <w:r w:rsidR="00025D9D">
        <w:t>;</w:t>
      </w:r>
      <w:r w:rsidR="00182789">
        <w:t xml:space="preserve"> </w:t>
      </w:r>
      <w:r w:rsidR="00025D9D">
        <w:t>and</w:t>
      </w:r>
      <w:r w:rsidR="00182789">
        <w:t xml:space="preserve"> collaboration and lesson sharing with DFAT Posts, in-country governments and other ANCP NGOs</w:t>
      </w:r>
      <w:r w:rsidR="00025D9D">
        <w:t>;</w:t>
      </w:r>
      <w:r w:rsidR="00182789">
        <w:t xml:space="preserve"> and improvements to M&amp;E systems to move from collecting output data to measuring outcomes and impact. NPQ will address these in the 2017-18 program of webinars and face-to-face information sessions.</w:t>
      </w:r>
    </w:p>
    <w:p w14:paraId="4F5A0053" w14:textId="77777777" w:rsidR="001655B6" w:rsidRDefault="001655B6" w:rsidP="002A51CA">
      <w:pPr>
        <w:pStyle w:val="Heading2"/>
      </w:pPr>
      <w:r>
        <w:t>program management &amp; operations</w:t>
      </w:r>
    </w:p>
    <w:p w14:paraId="73D127B8" w14:textId="314285AF" w:rsidR="001655B6" w:rsidRDefault="001655B6" w:rsidP="007962AE">
      <w:pPr>
        <w:pStyle w:val="Heading4"/>
        <w:rPr>
          <w:lang w:eastAsia="zh-CN"/>
        </w:rPr>
      </w:pPr>
      <w:r>
        <w:rPr>
          <w:lang w:eastAsia="zh-CN"/>
        </w:rPr>
        <w:t>Accreditation</w:t>
      </w:r>
    </w:p>
    <w:p w14:paraId="4513E49D" w14:textId="58A2A8E7" w:rsidR="00654627" w:rsidRDefault="00654627" w:rsidP="00654627">
      <w:pPr>
        <w:rPr>
          <w:lang w:eastAsia="zh-CN"/>
        </w:rPr>
      </w:pPr>
      <w:r>
        <w:rPr>
          <w:lang w:eastAsia="zh-CN"/>
        </w:rPr>
        <w:t>Sixteen accreditation reviews were completed</w:t>
      </w:r>
      <w:r w:rsidRPr="000D17FE">
        <w:rPr>
          <w:lang w:eastAsia="zh-CN"/>
        </w:rPr>
        <w:t xml:space="preserve"> </w:t>
      </w:r>
      <w:r>
        <w:rPr>
          <w:lang w:eastAsia="zh-CN"/>
        </w:rPr>
        <w:t>in 2016-17. Of these, eight</w:t>
      </w:r>
      <w:r w:rsidRPr="00A532AF">
        <w:rPr>
          <w:lang w:eastAsia="zh-CN"/>
        </w:rPr>
        <w:t xml:space="preserve"> were </w:t>
      </w:r>
      <w:r>
        <w:rPr>
          <w:lang w:eastAsia="zh-CN"/>
        </w:rPr>
        <w:t xml:space="preserve">scheduled </w:t>
      </w:r>
      <w:r w:rsidRPr="00A532AF">
        <w:rPr>
          <w:lang w:eastAsia="zh-CN"/>
        </w:rPr>
        <w:t>reaccreditations</w:t>
      </w:r>
      <w:r>
        <w:rPr>
          <w:lang w:eastAsia="zh-CN"/>
        </w:rPr>
        <w:t xml:space="preserve"> (six full and two base), three </w:t>
      </w:r>
      <w:r w:rsidR="00025D9D">
        <w:rPr>
          <w:lang w:eastAsia="zh-CN"/>
        </w:rPr>
        <w:t xml:space="preserve">involved </w:t>
      </w:r>
      <w:r>
        <w:rPr>
          <w:lang w:eastAsia="zh-CN"/>
        </w:rPr>
        <w:t xml:space="preserve">applications to upgrade from base to full outside of scheduled reaccreditation (all of which were successful) </w:t>
      </w:r>
      <w:r w:rsidRPr="00A532AF">
        <w:rPr>
          <w:lang w:eastAsia="zh-CN"/>
        </w:rPr>
        <w:t xml:space="preserve">and </w:t>
      </w:r>
      <w:r>
        <w:rPr>
          <w:lang w:eastAsia="zh-CN"/>
        </w:rPr>
        <w:t xml:space="preserve">five </w:t>
      </w:r>
      <w:r w:rsidR="00025D9D">
        <w:rPr>
          <w:lang w:eastAsia="zh-CN"/>
        </w:rPr>
        <w:t xml:space="preserve">reviewed </w:t>
      </w:r>
      <w:r>
        <w:rPr>
          <w:lang w:eastAsia="zh-CN"/>
        </w:rPr>
        <w:t>new applicants. Of the five</w:t>
      </w:r>
      <w:r w:rsidR="00025D9D">
        <w:rPr>
          <w:lang w:eastAsia="zh-CN"/>
        </w:rPr>
        <w:t xml:space="preserve"> NGOs applying for accreditation for the first time</w:t>
      </w:r>
      <w:r>
        <w:rPr>
          <w:lang w:eastAsia="zh-CN"/>
        </w:rPr>
        <w:t>, three were</w:t>
      </w:r>
      <w:r w:rsidRPr="00A532AF">
        <w:rPr>
          <w:lang w:eastAsia="zh-CN"/>
        </w:rPr>
        <w:t xml:space="preserve"> successful at base level and </w:t>
      </w:r>
      <w:r>
        <w:rPr>
          <w:lang w:eastAsia="zh-CN"/>
        </w:rPr>
        <w:t>two were</w:t>
      </w:r>
      <w:r w:rsidRPr="00A532AF">
        <w:rPr>
          <w:lang w:eastAsia="zh-CN"/>
        </w:rPr>
        <w:t xml:space="preserve"> unsuccessful</w:t>
      </w:r>
      <w:r w:rsidR="00C0275C">
        <w:rPr>
          <w:lang w:eastAsia="zh-CN"/>
        </w:rPr>
        <w:t xml:space="preserve"> at full level</w:t>
      </w:r>
      <w:r w:rsidRPr="00A532AF">
        <w:rPr>
          <w:lang w:eastAsia="zh-CN"/>
        </w:rPr>
        <w:t xml:space="preserve">. </w:t>
      </w:r>
      <w:r>
        <w:rPr>
          <w:lang w:eastAsia="zh-CN"/>
        </w:rPr>
        <w:t xml:space="preserve">NPQ provided four applicants with technical assistance to help prepare for accreditation – three of these were new applicants and one </w:t>
      </w:r>
      <w:r w:rsidRPr="00B16300">
        <w:rPr>
          <w:lang w:eastAsia="zh-CN"/>
        </w:rPr>
        <w:t xml:space="preserve">a current base NGO </w:t>
      </w:r>
      <w:r>
        <w:rPr>
          <w:lang w:eastAsia="zh-CN"/>
        </w:rPr>
        <w:t>seeking an upgrade in 2017-18</w:t>
      </w:r>
      <w:r w:rsidRPr="00B16300">
        <w:rPr>
          <w:lang w:eastAsia="zh-CN"/>
        </w:rPr>
        <w:t xml:space="preserve">. </w:t>
      </w:r>
      <w:r>
        <w:rPr>
          <w:lang w:eastAsia="zh-CN"/>
        </w:rPr>
        <w:t xml:space="preserve">Feedback </w:t>
      </w:r>
      <w:r w:rsidR="00025D9D">
        <w:rPr>
          <w:lang w:eastAsia="zh-CN"/>
        </w:rPr>
        <w:t xml:space="preserve">on the process </w:t>
      </w:r>
      <w:r>
        <w:rPr>
          <w:lang w:eastAsia="zh-CN"/>
        </w:rPr>
        <w:t>from NGOs who underwent accreditation in 2016-17 was overwhelmingly positive regardless of the accreditation outcome.</w:t>
      </w:r>
    </w:p>
    <w:p w14:paraId="27362717" w14:textId="0FE68396" w:rsidR="00654627" w:rsidRPr="00B16300" w:rsidRDefault="00654627" w:rsidP="00654627">
      <w:pPr>
        <w:rPr>
          <w:lang w:eastAsia="zh-CN"/>
        </w:rPr>
      </w:pPr>
      <w:r>
        <w:rPr>
          <w:lang w:eastAsia="zh-CN"/>
        </w:rPr>
        <w:t xml:space="preserve">NPQ supported applicants by providing an inaugural face-to-face “Introduction to the ANCP” session that </w:t>
      </w:r>
      <w:r w:rsidRPr="00B16300">
        <w:rPr>
          <w:lang w:eastAsia="zh-CN"/>
        </w:rPr>
        <w:t>provide</w:t>
      </w:r>
      <w:r>
        <w:rPr>
          <w:lang w:eastAsia="zh-CN"/>
        </w:rPr>
        <w:t>d</w:t>
      </w:r>
      <w:r w:rsidRPr="00B16300">
        <w:rPr>
          <w:lang w:eastAsia="zh-CN"/>
        </w:rPr>
        <w:t xml:space="preserve"> </w:t>
      </w:r>
      <w:r>
        <w:rPr>
          <w:lang w:eastAsia="zh-CN"/>
        </w:rPr>
        <w:t>applicant</w:t>
      </w:r>
      <w:r w:rsidRPr="00B16300">
        <w:rPr>
          <w:lang w:eastAsia="zh-CN"/>
        </w:rPr>
        <w:t xml:space="preserve"> NGOs </w:t>
      </w:r>
      <w:r w:rsidR="00025D9D">
        <w:rPr>
          <w:lang w:eastAsia="zh-CN"/>
        </w:rPr>
        <w:t xml:space="preserve">with </w:t>
      </w:r>
      <w:r w:rsidRPr="00B16300">
        <w:rPr>
          <w:lang w:eastAsia="zh-CN"/>
        </w:rPr>
        <w:t xml:space="preserve">an understanding of </w:t>
      </w:r>
      <w:r>
        <w:rPr>
          <w:lang w:eastAsia="zh-CN"/>
        </w:rPr>
        <w:t>expectations. The 2017-18 window for accreditation a</w:t>
      </w:r>
      <w:r w:rsidRPr="00B16300">
        <w:rPr>
          <w:lang w:eastAsia="zh-CN"/>
        </w:rPr>
        <w:t>pplication</w:t>
      </w:r>
      <w:r>
        <w:rPr>
          <w:lang w:eastAsia="zh-CN"/>
        </w:rPr>
        <w:t xml:space="preserve">s was </w:t>
      </w:r>
      <w:r w:rsidRPr="00B16300">
        <w:rPr>
          <w:lang w:eastAsia="zh-CN"/>
        </w:rPr>
        <w:t>1 August to 31 October</w:t>
      </w:r>
      <w:r>
        <w:rPr>
          <w:lang w:eastAsia="zh-CN"/>
        </w:rPr>
        <w:t xml:space="preserve">. This timing </w:t>
      </w:r>
      <w:r w:rsidR="00025D9D">
        <w:rPr>
          <w:lang w:eastAsia="zh-CN"/>
        </w:rPr>
        <w:t xml:space="preserve">was earlier than in previous years, </w:t>
      </w:r>
      <w:r w:rsidRPr="00B16300">
        <w:rPr>
          <w:lang w:eastAsia="zh-CN"/>
        </w:rPr>
        <w:t>allow</w:t>
      </w:r>
      <w:r w:rsidR="00025D9D">
        <w:rPr>
          <w:lang w:eastAsia="zh-CN"/>
        </w:rPr>
        <w:t>ing</w:t>
      </w:r>
      <w:r>
        <w:rPr>
          <w:lang w:eastAsia="zh-CN"/>
        </w:rPr>
        <w:t xml:space="preserve"> more </w:t>
      </w:r>
      <w:r w:rsidRPr="00B16300">
        <w:rPr>
          <w:lang w:eastAsia="zh-CN"/>
        </w:rPr>
        <w:t xml:space="preserve">time for successful NGOs to </w:t>
      </w:r>
      <w:r>
        <w:rPr>
          <w:lang w:eastAsia="zh-CN"/>
        </w:rPr>
        <w:t xml:space="preserve">compile their ADPlans.  </w:t>
      </w:r>
    </w:p>
    <w:p w14:paraId="63865ED7" w14:textId="77777777" w:rsidR="00654627" w:rsidRPr="00B16300" w:rsidRDefault="00654627" w:rsidP="00654627">
      <w:pPr>
        <w:rPr>
          <w:lang w:eastAsia="zh-CN"/>
        </w:rPr>
      </w:pPr>
      <w:r>
        <w:rPr>
          <w:lang w:eastAsia="zh-CN"/>
        </w:rPr>
        <w:t xml:space="preserve">A review of accreditation is planned for 2017-18. It will </w:t>
      </w:r>
      <w:r w:rsidRPr="00B16300">
        <w:rPr>
          <w:lang w:eastAsia="zh-CN"/>
        </w:rPr>
        <w:t xml:space="preserve">examine the ANCP Accreditation criteria and processes to ensure that </w:t>
      </w:r>
      <w:r>
        <w:rPr>
          <w:lang w:eastAsia="zh-CN"/>
        </w:rPr>
        <w:t>they meet</w:t>
      </w:r>
      <w:r w:rsidRPr="00B16300">
        <w:rPr>
          <w:lang w:eastAsia="zh-CN"/>
        </w:rPr>
        <w:t xml:space="preserve"> DFAT’s current and anticipated risk parameters and the requirements included in DFAT’s Due Di</w:t>
      </w:r>
      <w:r>
        <w:rPr>
          <w:lang w:eastAsia="zh-CN"/>
        </w:rPr>
        <w:t>ligence Framework. It will also e</w:t>
      </w:r>
      <w:r w:rsidRPr="00814F91">
        <w:rPr>
          <w:lang w:eastAsia="zh-CN"/>
        </w:rPr>
        <w:t>nsure accreditation continues to meet program needs</w:t>
      </w:r>
      <w:r>
        <w:rPr>
          <w:lang w:eastAsia="zh-CN"/>
        </w:rPr>
        <w:t xml:space="preserve">, </w:t>
      </w:r>
      <w:r w:rsidRPr="00814F91">
        <w:rPr>
          <w:lang w:eastAsia="zh-CN"/>
        </w:rPr>
        <w:t>DFAT grant conditions and</w:t>
      </w:r>
      <w:r>
        <w:rPr>
          <w:lang w:eastAsia="zh-CN"/>
        </w:rPr>
        <w:t xml:space="preserve"> l</w:t>
      </w:r>
      <w:r w:rsidRPr="00B16300">
        <w:rPr>
          <w:lang w:eastAsia="zh-CN"/>
        </w:rPr>
        <w:t>ook at streamlining processes to reduce the administrative burden on NGOs and DFAT, where possible.</w:t>
      </w:r>
    </w:p>
    <w:p w14:paraId="39EDAFF6" w14:textId="44CBEDD9" w:rsidR="001655B6" w:rsidRDefault="001655B6" w:rsidP="007962AE">
      <w:pPr>
        <w:pStyle w:val="Heading4"/>
        <w:rPr>
          <w:lang w:eastAsia="zh-CN"/>
        </w:rPr>
      </w:pPr>
      <w:r>
        <w:rPr>
          <w:lang w:eastAsia="zh-CN"/>
        </w:rPr>
        <w:t>Contractual Reforms</w:t>
      </w:r>
    </w:p>
    <w:p w14:paraId="5E707ABE" w14:textId="37047B86" w:rsidR="00D43E78" w:rsidRDefault="00D43E78" w:rsidP="00D43E78">
      <w:pPr>
        <w:rPr>
          <w:lang w:eastAsia="zh-CN"/>
        </w:rPr>
      </w:pPr>
      <w:r>
        <w:rPr>
          <w:lang w:eastAsia="zh-CN"/>
        </w:rPr>
        <w:t xml:space="preserve">In 2016-17, with the completion of the ANCP Partnership Agreement, the </w:t>
      </w:r>
      <w:r w:rsidR="00025D9D">
        <w:rPr>
          <w:lang w:eastAsia="zh-CN"/>
        </w:rPr>
        <w:t xml:space="preserve">then </w:t>
      </w:r>
      <w:r>
        <w:rPr>
          <w:lang w:eastAsia="zh-CN"/>
        </w:rPr>
        <w:t xml:space="preserve">ten </w:t>
      </w:r>
      <w:r w:rsidR="0061652A">
        <w:rPr>
          <w:lang w:eastAsia="zh-CN"/>
        </w:rPr>
        <w:t xml:space="preserve">Partner </w:t>
      </w:r>
      <w:r>
        <w:rPr>
          <w:lang w:eastAsia="zh-CN"/>
        </w:rPr>
        <w:t>NGOs transitioned to s</w:t>
      </w:r>
      <w:r w:rsidR="00A15503">
        <w:rPr>
          <w:lang w:eastAsia="zh-CN"/>
        </w:rPr>
        <w:t xml:space="preserve">tandard DFAT Grant Agreements </w:t>
      </w:r>
      <w:r w:rsidR="00423B94">
        <w:rPr>
          <w:lang w:eastAsia="zh-CN"/>
        </w:rPr>
        <w:t>meaning</w:t>
      </w:r>
      <w:r>
        <w:rPr>
          <w:lang w:eastAsia="zh-CN"/>
        </w:rPr>
        <w:t xml:space="preserve"> all ANCP NGOs are now using the same grant agreement. This has streamlined the number of agreements in place, </w:t>
      </w:r>
      <w:r w:rsidRPr="00D43E78">
        <w:rPr>
          <w:lang w:eastAsia="zh-CN"/>
        </w:rPr>
        <w:t>improve</w:t>
      </w:r>
      <w:r>
        <w:rPr>
          <w:lang w:eastAsia="zh-CN"/>
        </w:rPr>
        <w:t>d</w:t>
      </w:r>
      <w:r w:rsidRPr="00D43E78">
        <w:rPr>
          <w:lang w:eastAsia="zh-CN"/>
        </w:rPr>
        <w:t xml:space="preserve"> consistency of contractual arrangements with all NGOs across DFAT</w:t>
      </w:r>
      <w:r>
        <w:rPr>
          <w:lang w:eastAsia="zh-CN"/>
        </w:rPr>
        <w:t xml:space="preserve">, and clarified </w:t>
      </w:r>
      <w:r w:rsidRPr="00D43E78">
        <w:rPr>
          <w:lang w:eastAsia="zh-CN"/>
        </w:rPr>
        <w:t>contractual arrangement for both DFAT and NGOs</w:t>
      </w:r>
      <w:r>
        <w:rPr>
          <w:lang w:eastAsia="zh-CN"/>
        </w:rPr>
        <w:t xml:space="preserve">. </w:t>
      </w:r>
    </w:p>
    <w:p w14:paraId="620EBCB8" w14:textId="462969F3" w:rsidR="001655B6" w:rsidRDefault="001655B6" w:rsidP="007962AE">
      <w:pPr>
        <w:pStyle w:val="Heading4"/>
        <w:rPr>
          <w:lang w:eastAsia="zh-CN"/>
        </w:rPr>
      </w:pPr>
      <w:r>
        <w:rPr>
          <w:lang w:eastAsia="zh-CN"/>
        </w:rPr>
        <w:t>Engagement and Learning</w:t>
      </w:r>
    </w:p>
    <w:p w14:paraId="3DD25C27" w14:textId="579B1F3F" w:rsidR="00D43E78" w:rsidRDefault="00D43E78" w:rsidP="00D43E78">
      <w:pPr>
        <w:rPr>
          <w:lang w:eastAsia="zh-CN"/>
        </w:rPr>
      </w:pPr>
      <w:r>
        <w:rPr>
          <w:lang w:eastAsia="zh-CN"/>
        </w:rPr>
        <w:t>In 20</w:t>
      </w:r>
      <w:r w:rsidRPr="00D43E78">
        <w:rPr>
          <w:lang w:eastAsia="zh-CN"/>
        </w:rPr>
        <w:t>16</w:t>
      </w:r>
      <w:r>
        <w:rPr>
          <w:lang w:eastAsia="zh-CN"/>
        </w:rPr>
        <w:t>-17</w:t>
      </w:r>
      <w:r w:rsidRPr="00D43E78">
        <w:rPr>
          <w:lang w:eastAsia="zh-CN"/>
        </w:rPr>
        <w:t xml:space="preserve">, at least </w:t>
      </w:r>
      <w:r w:rsidR="006932A9">
        <w:rPr>
          <w:lang w:eastAsia="zh-CN"/>
        </w:rPr>
        <w:t>247</w:t>
      </w:r>
      <w:r w:rsidRPr="00D43E78">
        <w:rPr>
          <w:lang w:eastAsia="zh-CN"/>
        </w:rPr>
        <w:t xml:space="preserve"> staff fr</w:t>
      </w:r>
      <w:r w:rsidR="005730BF">
        <w:rPr>
          <w:lang w:eastAsia="zh-CN"/>
        </w:rPr>
        <w:t>om ANCP NGOs participated in eight</w:t>
      </w:r>
      <w:r w:rsidRPr="00D43E78">
        <w:rPr>
          <w:lang w:eastAsia="zh-CN"/>
        </w:rPr>
        <w:t xml:space="preserve"> DFAT webinars – four of these webinars covered the annual p</w:t>
      </w:r>
      <w:r w:rsidR="00083BCB">
        <w:rPr>
          <w:lang w:eastAsia="zh-CN"/>
        </w:rPr>
        <w:t>rogram cycle</w:t>
      </w:r>
      <w:r w:rsidR="00A15503">
        <w:rPr>
          <w:lang w:eastAsia="zh-CN"/>
        </w:rPr>
        <w:t xml:space="preserve"> (including accreditation)</w:t>
      </w:r>
      <w:r w:rsidR="00083BCB">
        <w:rPr>
          <w:lang w:eastAsia="zh-CN"/>
        </w:rPr>
        <w:t xml:space="preserve"> and the other four</w:t>
      </w:r>
      <w:r w:rsidRPr="00D43E78">
        <w:rPr>
          <w:lang w:eastAsia="zh-CN"/>
        </w:rPr>
        <w:t xml:space="preserve"> </w:t>
      </w:r>
      <w:r w:rsidR="00083BCB">
        <w:rPr>
          <w:lang w:eastAsia="zh-CN"/>
        </w:rPr>
        <w:t xml:space="preserve">concerned </w:t>
      </w:r>
      <w:r w:rsidRPr="00D43E78">
        <w:rPr>
          <w:lang w:eastAsia="zh-CN"/>
        </w:rPr>
        <w:t>Child Protection</w:t>
      </w:r>
      <w:r w:rsidR="00083BCB">
        <w:rPr>
          <w:lang w:eastAsia="zh-CN"/>
        </w:rPr>
        <w:t>, Gender Equality, Innovation and Communications</w:t>
      </w:r>
      <w:r w:rsidRPr="00D43E78">
        <w:rPr>
          <w:lang w:eastAsia="zh-CN"/>
        </w:rPr>
        <w:t>. Anecdotal feedback indicates that webinar participant numbers often exceed the number of registered participants as there are often several staff members participating from one computer.</w:t>
      </w:r>
      <w:r w:rsidR="00083BCB">
        <w:rPr>
          <w:lang w:eastAsia="zh-CN"/>
        </w:rPr>
        <w:t xml:space="preserve"> In addition to live participants, these webinars were viewed 551 times on YouTube</w:t>
      </w:r>
      <w:r w:rsidR="00083BCB">
        <w:rPr>
          <w:rStyle w:val="FootnoteReference"/>
          <w:lang w:eastAsia="zh-CN"/>
        </w:rPr>
        <w:footnoteReference w:id="13"/>
      </w:r>
      <w:r w:rsidR="00083BCB">
        <w:rPr>
          <w:lang w:eastAsia="zh-CN"/>
        </w:rPr>
        <w:t xml:space="preserve">.  </w:t>
      </w:r>
    </w:p>
    <w:p w14:paraId="64781751" w14:textId="3F59F2F4" w:rsidR="00083BCB" w:rsidRPr="00D43E78" w:rsidRDefault="00083BCB" w:rsidP="004D17A2">
      <w:pPr>
        <w:rPr>
          <w:lang w:eastAsia="zh-CN"/>
        </w:rPr>
      </w:pPr>
      <w:r w:rsidRPr="00083BCB">
        <w:rPr>
          <w:lang w:eastAsia="zh-CN"/>
        </w:rPr>
        <w:t>In add</w:t>
      </w:r>
      <w:r w:rsidR="0003722D">
        <w:rPr>
          <w:lang w:eastAsia="zh-CN"/>
        </w:rPr>
        <w:t>ition to the webinars, in April and August 2017</w:t>
      </w:r>
      <w:r w:rsidRPr="00083BCB">
        <w:rPr>
          <w:lang w:eastAsia="zh-CN"/>
        </w:rPr>
        <w:t xml:space="preserve"> DFAT conducted face-to-face ANCP Information sessions in Melbourne, Sy</w:t>
      </w:r>
      <w:r w:rsidR="004D17A2">
        <w:rPr>
          <w:lang w:eastAsia="zh-CN"/>
        </w:rPr>
        <w:t>dney and Canberra attended by 132</w:t>
      </w:r>
      <w:r w:rsidRPr="00083BCB">
        <w:rPr>
          <w:lang w:eastAsia="zh-CN"/>
        </w:rPr>
        <w:t xml:space="preserve"> NGO staff members. These information sessions covered program updates</w:t>
      </w:r>
      <w:r w:rsidR="00BD7935">
        <w:rPr>
          <w:lang w:eastAsia="zh-CN"/>
        </w:rPr>
        <w:t>,</w:t>
      </w:r>
      <w:r w:rsidRPr="00083BCB">
        <w:rPr>
          <w:lang w:eastAsia="zh-CN"/>
        </w:rPr>
        <w:t xml:space="preserve"> Annual Development Plan</w:t>
      </w:r>
      <w:r w:rsidR="004D17A2">
        <w:rPr>
          <w:lang w:eastAsia="zh-CN"/>
        </w:rPr>
        <w:t xml:space="preserve"> and Performance Report</w:t>
      </w:r>
      <w:r w:rsidRPr="00083BCB">
        <w:rPr>
          <w:lang w:eastAsia="zh-CN"/>
        </w:rPr>
        <w:t xml:space="preserve"> submission guidance. In </w:t>
      </w:r>
      <w:r w:rsidR="004D17A2">
        <w:rPr>
          <w:lang w:eastAsia="zh-CN"/>
        </w:rPr>
        <w:t>August 2017, the third annual</w:t>
      </w:r>
      <w:r w:rsidRPr="00083BCB">
        <w:rPr>
          <w:lang w:eastAsia="zh-CN"/>
        </w:rPr>
        <w:t xml:space="preserve"> ANCP Reflections Workshop was held with sessions in both Sydney and Melbourne</w:t>
      </w:r>
      <w:r w:rsidR="004D17A2">
        <w:rPr>
          <w:lang w:eastAsia="zh-CN"/>
        </w:rPr>
        <w:t>.</w:t>
      </w:r>
      <w:r w:rsidR="004D17A2" w:rsidRPr="004D17A2">
        <w:t xml:space="preserve"> </w:t>
      </w:r>
      <w:r w:rsidR="0061652A">
        <w:t>The workshops were</w:t>
      </w:r>
      <w:r w:rsidR="004D17A2" w:rsidRPr="004D17A2">
        <w:rPr>
          <w:lang w:eastAsia="zh-CN"/>
        </w:rPr>
        <w:t xml:space="preserve"> attended by DFAT, ANCP NGOs and representatives of both ACFID, the Committee for Development Cooperation (CDC) and accreditation assessors. There was </w:t>
      </w:r>
      <w:r w:rsidR="0061652A">
        <w:rPr>
          <w:lang w:eastAsia="zh-CN"/>
        </w:rPr>
        <w:t xml:space="preserve">full </w:t>
      </w:r>
      <w:r w:rsidR="004D17A2" w:rsidRPr="004D17A2">
        <w:rPr>
          <w:lang w:eastAsia="zh-CN"/>
        </w:rPr>
        <w:t xml:space="preserve">attendance and </w:t>
      </w:r>
      <w:r w:rsidR="0061652A" w:rsidRPr="004D17A2">
        <w:rPr>
          <w:lang w:eastAsia="zh-CN"/>
        </w:rPr>
        <w:t xml:space="preserve">excellent </w:t>
      </w:r>
      <w:r w:rsidR="004D17A2" w:rsidRPr="004D17A2">
        <w:rPr>
          <w:lang w:eastAsia="zh-CN"/>
        </w:rPr>
        <w:t>participation by the ANCP NGOs in both Sydney and Melbourne. The purpose of the workshop</w:t>
      </w:r>
      <w:r w:rsidR="0061652A">
        <w:rPr>
          <w:lang w:eastAsia="zh-CN"/>
        </w:rPr>
        <w:t>s</w:t>
      </w:r>
      <w:r w:rsidR="004D17A2" w:rsidRPr="004D17A2">
        <w:rPr>
          <w:lang w:eastAsia="zh-CN"/>
        </w:rPr>
        <w:t xml:space="preserve"> was to reflect on the highlights of 2016-17; discuss and share approaches to key quality programing issues; provide an opportunity to </w:t>
      </w:r>
      <w:r w:rsidR="008A241B">
        <w:rPr>
          <w:lang w:eastAsia="zh-CN"/>
        </w:rPr>
        <w:t>share</w:t>
      </w:r>
      <w:r w:rsidR="008A241B" w:rsidRPr="004D17A2">
        <w:rPr>
          <w:lang w:eastAsia="zh-CN"/>
        </w:rPr>
        <w:t xml:space="preserve"> </w:t>
      </w:r>
      <w:r w:rsidR="004D17A2" w:rsidRPr="004D17A2">
        <w:rPr>
          <w:lang w:eastAsia="zh-CN"/>
        </w:rPr>
        <w:t xml:space="preserve">feedback on ANCP and discuss emerging issues. </w:t>
      </w:r>
      <w:r w:rsidR="004D17A2">
        <w:rPr>
          <w:lang w:eastAsia="zh-CN"/>
        </w:rPr>
        <w:t xml:space="preserve"> </w:t>
      </w:r>
      <w:r w:rsidRPr="00083BCB">
        <w:rPr>
          <w:lang w:eastAsia="zh-CN"/>
        </w:rPr>
        <w:t xml:space="preserve"> </w:t>
      </w:r>
    </w:p>
    <w:p w14:paraId="2AB0F709" w14:textId="7B2355F6" w:rsidR="007962AE" w:rsidRDefault="007962AE" w:rsidP="007962AE">
      <w:pPr>
        <w:rPr>
          <w:lang w:eastAsia="zh-CN"/>
        </w:rPr>
      </w:pPr>
      <w:r>
        <w:rPr>
          <w:lang w:eastAsia="zh-CN"/>
        </w:rPr>
        <w:t xml:space="preserve">In response to recommendations </w:t>
      </w:r>
      <w:r w:rsidR="00876264">
        <w:rPr>
          <w:lang w:eastAsia="zh-CN"/>
        </w:rPr>
        <w:t>from the 2015 ODE Evaluation</w:t>
      </w:r>
      <w:r>
        <w:rPr>
          <w:lang w:eastAsia="zh-CN"/>
        </w:rPr>
        <w:t>, NPQ developed a</w:t>
      </w:r>
      <w:r w:rsidR="00BD7935">
        <w:rPr>
          <w:lang w:eastAsia="zh-CN"/>
        </w:rPr>
        <w:t>n inaugural</w:t>
      </w:r>
      <w:r>
        <w:rPr>
          <w:lang w:eastAsia="zh-CN"/>
        </w:rPr>
        <w:t xml:space="preserve"> Communications Strategy in 2016-17. The strategy was developed following an internal communications survey involving ANCP focal points at DFAT Posts and geographic desks (20 Posts and five geographic desks participated), a survey of all 54 ANCP NGOs (33 ANCP NGOs participated) and in-depth interviews with ten ANCP NGOs. The strategy also drew on the DFAT Digital Media Strategy</w:t>
      </w:r>
      <w:r>
        <w:rPr>
          <w:rStyle w:val="FootnoteReference"/>
          <w:lang w:eastAsia="zh-CN"/>
        </w:rPr>
        <w:footnoteReference w:id="14"/>
      </w:r>
      <w:r>
        <w:rPr>
          <w:lang w:eastAsia="zh-CN"/>
        </w:rPr>
        <w:t>, the NGOs and Volunteer Branch Business Plan and aid communications recommendations from the Development Policy Centre</w:t>
      </w:r>
      <w:r>
        <w:rPr>
          <w:rStyle w:val="FootnoteReference"/>
          <w:lang w:eastAsia="zh-CN"/>
        </w:rPr>
        <w:footnoteReference w:id="15"/>
      </w:r>
      <w:r>
        <w:rPr>
          <w:lang w:eastAsia="zh-CN"/>
        </w:rPr>
        <w:t xml:space="preserve">. The key objectives of the Communications Strategy </w:t>
      </w:r>
      <w:r w:rsidR="00447654">
        <w:rPr>
          <w:lang w:eastAsia="zh-CN"/>
        </w:rPr>
        <w:t xml:space="preserve">are </w:t>
      </w:r>
      <w:r>
        <w:rPr>
          <w:lang w:eastAsia="zh-CN"/>
        </w:rPr>
        <w:t>to:</w:t>
      </w:r>
    </w:p>
    <w:p w14:paraId="6201E723" w14:textId="77777777" w:rsidR="007962AE" w:rsidRDefault="007962AE" w:rsidP="007962AE">
      <w:pPr>
        <w:pStyle w:val="Bullet1"/>
        <w:rPr>
          <w:lang w:eastAsia="zh-CN"/>
        </w:rPr>
      </w:pPr>
      <w:r>
        <w:rPr>
          <w:lang w:eastAsia="zh-CN"/>
        </w:rPr>
        <w:t>Increase DFAT Post and Desk engagement with the ANCP;</w:t>
      </w:r>
    </w:p>
    <w:p w14:paraId="7E0D25DE" w14:textId="77777777" w:rsidR="007962AE" w:rsidRDefault="007962AE" w:rsidP="007962AE">
      <w:pPr>
        <w:pStyle w:val="Bullet1"/>
        <w:rPr>
          <w:lang w:eastAsia="zh-CN"/>
        </w:rPr>
      </w:pPr>
      <w:r>
        <w:rPr>
          <w:lang w:eastAsia="zh-CN"/>
        </w:rPr>
        <w:t xml:space="preserve">Equip and support ANCP NGOs in their DFAT engagement and communications; and </w:t>
      </w:r>
    </w:p>
    <w:p w14:paraId="5972B506" w14:textId="77777777" w:rsidR="007962AE" w:rsidRDefault="007962AE" w:rsidP="007962AE">
      <w:pPr>
        <w:pStyle w:val="Bullet1"/>
        <w:rPr>
          <w:lang w:eastAsia="zh-CN"/>
        </w:rPr>
      </w:pPr>
      <w:r>
        <w:rPr>
          <w:lang w:eastAsia="zh-CN"/>
        </w:rPr>
        <w:t>Demonstrate the value of the Australian Aid Program and show achievements in partnership with ANCP NGOs.</w:t>
      </w:r>
    </w:p>
    <w:p w14:paraId="20979F4B" w14:textId="391C8C5D" w:rsidR="00A15503" w:rsidRPr="00A15503" w:rsidRDefault="007962AE" w:rsidP="007962AE">
      <w:pPr>
        <w:pStyle w:val="Bullet1"/>
        <w:numPr>
          <w:ilvl w:val="0"/>
          <w:numId w:val="0"/>
        </w:numPr>
        <w:rPr>
          <w:lang w:eastAsia="zh-CN"/>
        </w:rPr>
      </w:pPr>
      <w:r>
        <w:rPr>
          <w:lang w:eastAsia="zh-CN"/>
        </w:rPr>
        <w:t xml:space="preserve">Since the strategy was developed, the ANCP has </w:t>
      </w:r>
      <w:r w:rsidR="00BD7935">
        <w:rPr>
          <w:lang w:eastAsia="zh-CN"/>
        </w:rPr>
        <w:t xml:space="preserve">tweeted </w:t>
      </w:r>
      <w:r>
        <w:rPr>
          <w:lang w:eastAsia="zh-CN"/>
        </w:rPr>
        <w:t xml:space="preserve">approximately </w:t>
      </w:r>
      <w:r w:rsidR="00BD7935">
        <w:rPr>
          <w:lang w:eastAsia="zh-CN"/>
        </w:rPr>
        <w:t xml:space="preserve">twice </w:t>
      </w:r>
      <w:r>
        <w:rPr>
          <w:lang w:eastAsia="zh-CN"/>
        </w:rPr>
        <w:t>per week</w:t>
      </w:r>
      <w:r w:rsidR="00BD7935">
        <w:rPr>
          <w:lang w:eastAsia="zh-CN"/>
        </w:rPr>
        <w:t>,</w:t>
      </w:r>
      <w:r>
        <w:rPr>
          <w:lang w:eastAsia="zh-CN"/>
        </w:rPr>
        <w:t xml:space="preserve"> </w:t>
      </w:r>
      <w:r w:rsidR="00BD7935">
        <w:rPr>
          <w:lang w:eastAsia="zh-CN"/>
        </w:rPr>
        <w:t xml:space="preserve">raising </w:t>
      </w:r>
      <w:r w:rsidRPr="00A15503">
        <w:rPr>
          <w:lang w:eastAsia="zh-CN"/>
        </w:rPr>
        <w:t>the visibility of the program and show</w:t>
      </w:r>
      <w:r w:rsidR="00BD7935">
        <w:rPr>
          <w:lang w:eastAsia="zh-CN"/>
        </w:rPr>
        <w:t>casing</w:t>
      </w:r>
      <w:r w:rsidRPr="00A15503">
        <w:rPr>
          <w:lang w:eastAsia="zh-CN"/>
        </w:rPr>
        <w:t xml:space="preserve"> achieve</w:t>
      </w:r>
      <w:r w:rsidR="00BD7935">
        <w:rPr>
          <w:lang w:eastAsia="zh-CN"/>
        </w:rPr>
        <w:t>ments</w:t>
      </w:r>
      <w:r w:rsidRPr="00A15503">
        <w:rPr>
          <w:lang w:eastAsia="zh-CN"/>
        </w:rPr>
        <w:t xml:space="preserve"> in partnership with Australian NGOs. </w:t>
      </w:r>
      <w:r w:rsidR="00BD7935">
        <w:rPr>
          <w:lang w:eastAsia="zh-CN"/>
        </w:rPr>
        <w:t xml:space="preserve">As </w:t>
      </w:r>
      <w:r w:rsidRPr="00A15503">
        <w:rPr>
          <w:lang w:eastAsia="zh-CN"/>
        </w:rPr>
        <w:t xml:space="preserve">a result of </w:t>
      </w:r>
      <w:r w:rsidR="00447654">
        <w:rPr>
          <w:lang w:eastAsia="zh-CN"/>
        </w:rPr>
        <w:t>the ANCP team’s</w:t>
      </w:r>
      <w:r w:rsidR="00447654" w:rsidRPr="00A15503">
        <w:rPr>
          <w:lang w:eastAsia="zh-CN"/>
        </w:rPr>
        <w:t xml:space="preserve"> </w:t>
      </w:r>
      <w:r w:rsidRPr="00A15503">
        <w:rPr>
          <w:lang w:eastAsia="zh-CN"/>
        </w:rPr>
        <w:t xml:space="preserve">new communications and engagement guidelines, </w:t>
      </w:r>
      <w:r w:rsidR="00BD7935">
        <w:rPr>
          <w:lang w:eastAsia="zh-CN"/>
        </w:rPr>
        <w:t>and</w:t>
      </w:r>
      <w:r w:rsidR="00447654">
        <w:rPr>
          <w:lang w:eastAsia="zh-CN"/>
        </w:rPr>
        <w:t xml:space="preserve"> this</w:t>
      </w:r>
      <w:r w:rsidR="00BD7935">
        <w:rPr>
          <w:lang w:eastAsia="zh-CN"/>
        </w:rPr>
        <w:t xml:space="preserve"> increased social media activity, </w:t>
      </w:r>
      <w:r w:rsidRPr="00A15503">
        <w:rPr>
          <w:lang w:eastAsia="zh-CN"/>
        </w:rPr>
        <w:t xml:space="preserve">ANCP NGOs and Posts have started to tweet about #ANCP and #AustralianAid. Retweets of ANCP content </w:t>
      </w:r>
      <w:r w:rsidR="00447654">
        <w:rPr>
          <w:lang w:eastAsia="zh-CN"/>
        </w:rPr>
        <w:t>can be seen as a marker</w:t>
      </w:r>
      <w:r w:rsidR="00BD7935" w:rsidRPr="00A15503">
        <w:rPr>
          <w:lang w:eastAsia="zh-CN"/>
        </w:rPr>
        <w:t xml:space="preserve"> </w:t>
      </w:r>
      <w:r w:rsidR="00447654">
        <w:rPr>
          <w:lang w:eastAsia="zh-CN"/>
        </w:rPr>
        <w:t xml:space="preserve">of </w:t>
      </w:r>
      <w:r w:rsidR="00447654" w:rsidRPr="00A15503">
        <w:rPr>
          <w:lang w:eastAsia="zh-CN"/>
        </w:rPr>
        <w:t xml:space="preserve">a new level of engagement </w:t>
      </w:r>
      <w:r w:rsidRPr="00A15503">
        <w:rPr>
          <w:lang w:eastAsia="zh-CN"/>
        </w:rPr>
        <w:t xml:space="preserve">by ANCP NGOs </w:t>
      </w:r>
      <w:r>
        <w:rPr>
          <w:lang w:eastAsia="zh-CN"/>
        </w:rPr>
        <w:t xml:space="preserve">. </w:t>
      </w:r>
      <w:r w:rsidRPr="00A15503">
        <w:rPr>
          <w:lang w:eastAsia="zh-CN"/>
        </w:rPr>
        <w:t>ANCP is also being profiled on other DFAT channels such as Faceb</w:t>
      </w:r>
      <w:r>
        <w:rPr>
          <w:lang w:eastAsia="zh-CN"/>
        </w:rPr>
        <w:t>ook and Instagram.</w:t>
      </w:r>
    </w:p>
    <w:p w14:paraId="6A6AD5C1" w14:textId="66FF92CF" w:rsidR="001655B6" w:rsidRDefault="00E2023E" w:rsidP="007962AE">
      <w:pPr>
        <w:pStyle w:val="Heading4"/>
        <w:rPr>
          <w:lang w:eastAsia="zh-CN"/>
        </w:rPr>
      </w:pPr>
      <w:r>
        <w:rPr>
          <w:lang w:eastAsia="zh-CN"/>
        </w:rPr>
        <w:t>Ways of working</w:t>
      </w:r>
    </w:p>
    <w:p w14:paraId="75AFFB8B" w14:textId="3B4F0BC1" w:rsidR="00671943" w:rsidRPr="00671943" w:rsidRDefault="00671943" w:rsidP="007E2915">
      <w:pPr>
        <w:rPr>
          <w:lang w:eastAsia="zh-CN"/>
        </w:rPr>
      </w:pPr>
      <w:r w:rsidRPr="00671943">
        <w:rPr>
          <w:lang w:eastAsia="zh-CN"/>
        </w:rPr>
        <w:t>The 2015 ODE Evaluation of the ANCP highli</w:t>
      </w:r>
      <w:r>
        <w:rPr>
          <w:lang w:eastAsia="zh-CN"/>
        </w:rPr>
        <w:t>ghted that the ANCP is</w:t>
      </w:r>
      <w:r w:rsidRPr="00671943">
        <w:rPr>
          <w:lang w:eastAsia="zh-CN"/>
        </w:rPr>
        <w:t xml:space="preserve"> delivered through a DFAT and NGO partnership approach, and recommended that the principles of partnership be articulated and extended to include all accredited NGOs. At the 2016 ANCP Annual Reflections Workshop, i</w:t>
      </w:r>
      <w:r>
        <w:rPr>
          <w:lang w:eastAsia="zh-CN"/>
        </w:rPr>
        <w:t>t was agreed that a new ANCP partnership agreement</w:t>
      </w:r>
      <w:r w:rsidRPr="00671943">
        <w:rPr>
          <w:lang w:eastAsia="zh-CN"/>
        </w:rPr>
        <w:t xml:space="preserve"> was not needed, but that the Program Logic would be updated to reflect principles of engagement.</w:t>
      </w:r>
      <w:r w:rsidR="007E2915">
        <w:rPr>
          <w:lang w:eastAsia="zh-CN"/>
        </w:rPr>
        <w:t xml:space="preserve"> NPQ drafted a set of principles based on </w:t>
      </w:r>
      <w:r w:rsidR="007E2915">
        <w:t xml:space="preserve">DFAT’s NGO engagement framework </w:t>
      </w:r>
      <w:r w:rsidR="007E2915">
        <w:rPr>
          <w:i/>
        </w:rPr>
        <w:t>DFAT and NGOs: Effective Development Partners</w:t>
      </w:r>
      <w:r w:rsidR="007E2915">
        <w:t xml:space="preserve">. The principles will </w:t>
      </w:r>
      <w:r w:rsidR="007E2915" w:rsidRPr="007E2915">
        <w:t>guide the relationship between DFAT and NGOs as well as among NGOs participating in the ANCP.</w:t>
      </w:r>
      <w:r w:rsidR="007E2915">
        <w:t xml:space="preserve"> Draft principles were distributed to all ANCP NGOs for input and comment and a revised draft discussed at the 2017 Annual Reflections Workshop. Further amendments were made following the workshop and the final principles unanimously endorsed by post-workshop survey participants. In 2017-18, the ANCP Program Logic will be updated to include these principles</w:t>
      </w:r>
      <w:r w:rsidR="00BD7935">
        <w:t xml:space="preserve"> and will be added as a standing agenda item to annual reflection workshops</w:t>
      </w:r>
      <w:r w:rsidR="007E2915">
        <w:t>.</w:t>
      </w:r>
    </w:p>
    <w:p w14:paraId="1F973112" w14:textId="5847704B" w:rsidR="002A51CA" w:rsidRDefault="002A51CA" w:rsidP="00331D71">
      <w:pPr>
        <w:pStyle w:val="Heading2"/>
        <w:keepNext w:val="0"/>
        <w:keepLines w:val="0"/>
      </w:pPr>
      <w:r w:rsidRPr="002A51CA">
        <w:t>Risks</w:t>
      </w:r>
    </w:p>
    <w:p w14:paraId="47ABD65F" w14:textId="204258AC" w:rsidR="006D03C6" w:rsidRPr="006D03C6" w:rsidRDefault="006D03C6" w:rsidP="006D03C6">
      <w:r w:rsidRPr="00196EAA">
        <w:rPr>
          <w:lang w:val="en-AU"/>
        </w:rPr>
        <w:t xml:space="preserve">NPQ </w:t>
      </w:r>
      <w:r>
        <w:rPr>
          <w:lang w:val="en-AU"/>
        </w:rPr>
        <w:t>manages the risks in</w:t>
      </w:r>
      <w:r w:rsidR="0061652A">
        <w:rPr>
          <w:lang w:val="en-AU"/>
        </w:rPr>
        <w:t>herent in the program through an intensive</w:t>
      </w:r>
      <w:r>
        <w:rPr>
          <w:lang w:val="en-AU"/>
        </w:rPr>
        <w:t>, upfront due diligence accreditation</w:t>
      </w:r>
      <w:r w:rsidR="00447654">
        <w:rPr>
          <w:lang w:val="en-AU"/>
        </w:rPr>
        <w:t xml:space="preserve"> process</w:t>
      </w:r>
      <w:r>
        <w:rPr>
          <w:lang w:val="en-AU"/>
        </w:rPr>
        <w:t>, rigorous contractual requirements, regular monitoring and engagement visits globally, robust financial and performance reporting requirements, input from DFAT Posts on new and high-risk projects and a rolling program of management and financial audits of ANCP NGOs. The risk profile of the program remains the same as in previous years.</w:t>
      </w:r>
    </w:p>
    <w:p w14:paraId="06423EDB" w14:textId="77777777" w:rsidR="002A51CA" w:rsidRPr="008C2F58" w:rsidRDefault="002A51CA" w:rsidP="002A51CA">
      <w:pPr>
        <w:rPr>
          <w:b/>
          <w:sz w:val="24"/>
        </w:rPr>
      </w:pPr>
      <w:r w:rsidRPr="008C2F58">
        <w:rPr>
          <w:b/>
          <w:sz w:val="24"/>
        </w:rPr>
        <w:t>Table 3</w:t>
      </w:r>
      <w:r w:rsidR="00332EC9">
        <w:rPr>
          <w:b/>
          <w:sz w:val="24"/>
        </w:rPr>
        <w:t>:</w:t>
      </w:r>
      <w:r w:rsidRPr="008C2F58">
        <w:rPr>
          <w:b/>
          <w:sz w:val="24"/>
        </w:rPr>
        <w:t xml:space="preserve"> Management of Key Risks to Achieving Objectives</w:t>
      </w:r>
    </w:p>
    <w:tbl>
      <w:tblPr>
        <w:tblStyle w:val="APPR"/>
        <w:tblW w:w="5001" w:type="pct"/>
        <w:tblBorders>
          <w:top w:val="none" w:sz="0" w:space="0" w:color="auto"/>
          <w:bottom w:val="none" w:sz="0" w:space="0" w:color="auto"/>
        </w:tblBorders>
        <w:tblLook w:val="0600" w:firstRow="0" w:lastRow="0" w:firstColumn="0" w:lastColumn="0" w:noHBand="1" w:noVBand="1"/>
      </w:tblPr>
      <w:tblGrid>
        <w:gridCol w:w="2028"/>
        <w:gridCol w:w="3517"/>
        <w:gridCol w:w="2253"/>
        <w:gridCol w:w="1842"/>
      </w:tblGrid>
      <w:tr w:rsidR="00174D1B" w:rsidRPr="00C61187" w14:paraId="39A2BBE9" w14:textId="77777777" w:rsidTr="00331D71">
        <w:trPr>
          <w:cantSplit/>
          <w:trHeight w:val="878"/>
        </w:trPr>
        <w:tc>
          <w:tcPr>
            <w:tcW w:w="1986" w:type="dxa"/>
            <w:hideMark/>
          </w:tcPr>
          <w:p w14:paraId="36721DB1" w14:textId="77777777" w:rsidR="00FD3C5E" w:rsidRPr="00331D71" w:rsidRDefault="00FD3C5E" w:rsidP="00BE6C6D">
            <w:pPr>
              <w:rPr>
                <w:rFonts w:asciiTheme="minorHAnsi" w:hAnsiTheme="minorHAnsi"/>
                <w:b/>
                <w:sz w:val="20"/>
                <w:szCs w:val="20"/>
              </w:rPr>
            </w:pPr>
            <w:r w:rsidRPr="00331D71">
              <w:rPr>
                <w:b/>
                <w:sz w:val="20"/>
                <w:szCs w:val="20"/>
              </w:rPr>
              <w:t>Key risks</w:t>
            </w:r>
          </w:p>
        </w:tc>
        <w:tc>
          <w:tcPr>
            <w:tcW w:w="3489" w:type="dxa"/>
          </w:tcPr>
          <w:p w14:paraId="52E9E9BD" w14:textId="77777777" w:rsidR="00FD3C5E" w:rsidRPr="00331D71" w:rsidRDefault="00FD3C5E" w:rsidP="00BE6C6D">
            <w:pPr>
              <w:rPr>
                <w:rFonts w:asciiTheme="minorHAnsi" w:hAnsiTheme="minorHAnsi"/>
                <w:b/>
                <w:sz w:val="20"/>
                <w:szCs w:val="20"/>
              </w:rPr>
            </w:pPr>
            <w:r w:rsidRPr="00331D71">
              <w:rPr>
                <w:b/>
                <w:sz w:val="20"/>
                <w:szCs w:val="20"/>
              </w:rPr>
              <w:t>What actions were taken to manage the risks over the past year?</w:t>
            </w:r>
          </w:p>
        </w:tc>
        <w:tc>
          <w:tcPr>
            <w:tcW w:w="2225" w:type="dxa"/>
          </w:tcPr>
          <w:p w14:paraId="72B8DAB6" w14:textId="77777777" w:rsidR="00FD3C5E" w:rsidRPr="00331D71" w:rsidRDefault="00FD3C5E" w:rsidP="00BE6C6D">
            <w:pPr>
              <w:rPr>
                <w:rFonts w:asciiTheme="minorHAnsi" w:hAnsiTheme="minorHAnsi"/>
                <w:b/>
                <w:sz w:val="20"/>
                <w:szCs w:val="20"/>
              </w:rPr>
            </w:pPr>
            <w:r w:rsidRPr="00331D71">
              <w:rPr>
                <w:b/>
                <w:sz w:val="20"/>
                <w:szCs w:val="20"/>
              </w:rPr>
              <w:t>What further actions will be taken to manage the risks in the coming year?</w:t>
            </w:r>
          </w:p>
        </w:tc>
        <w:tc>
          <w:tcPr>
            <w:tcW w:w="1800" w:type="dxa"/>
          </w:tcPr>
          <w:p w14:paraId="38AB7D44" w14:textId="15EDA9BA" w:rsidR="00FD3C5E" w:rsidRPr="00331D71" w:rsidRDefault="00FD3C5E" w:rsidP="00BE6C6D">
            <w:pPr>
              <w:rPr>
                <w:rFonts w:asciiTheme="minorHAnsi" w:hAnsiTheme="minorHAnsi"/>
                <w:b/>
                <w:sz w:val="20"/>
                <w:szCs w:val="20"/>
              </w:rPr>
            </w:pPr>
            <w:r w:rsidRPr="00331D71">
              <w:rPr>
                <w:b/>
                <w:sz w:val="20"/>
                <w:szCs w:val="20"/>
              </w:rPr>
              <w:t>Risk Rating (low, medium, high, very high)</w:t>
            </w:r>
          </w:p>
        </w:tc>
      </w:tr>
      <w:tr w:rsidR="00397A30" w:rsidRPr="00C61187" w14:paraId="2EA2B218" w14:textId="77777777" w:rsidTr="00331D71">
        <w:trPr>
          <w:cantSplit/>
          <w:trHeight w:val="1558"/>
          <w:tblHeader w:val="0"/>
        </w:trPr>
        <w:tc>
          <w:tcPr>
            <w:tcW w:w="1985" w:type="dxa"/>
            <w:hideMark/>
          </w:tcPr>
          <w:p w14:paraId="7DBE5E32" w14:textId="4641868D" w:rsidR="00FD3C5E" w:rsidRPr="00331D71" w:rsidRDefault="00F16C52" w:rsidP="00174D1B">
            <w:pPr>
              <w:spacing w:before="0"/>
              <w:rPr>
                <w:rFonts w:asciiTheme="minorHAnsi" w:hAnsiTheme="minorHAnsi"/>
                <w:sz w:val="22"/>
              </w:rPr>
            </w:pPr>
            <w:r w:rsidRPr="00331D71">
              <w:rPr>
                <w:rFonts w:asciiTheme="minorHAnsi" w:hAnsiTheme="minorHAnsi"/>
                <w:sz w:val="22"/>
              </w:rPr>
              <w:t>Demand driven, annual program with increasing numbers of NGOs entering the ANCP in a restricted resource context – both budgetary and staffing</w:t>
            </w:r>
            <w:r w:rsidR="00FD3C5E" w:rsidRPr="00331D71">
              <w:rPr>
                <w:rFonts w:asciiTheme="minorHAnsi" w:hAnsiTheme="minorHAnsi"/>
                <w:sz w:val="22"/>
              </w:rPr>
              <w:t xml:space="preserve"> </w:t>
            </w:r>
          </w:p>
        </w:tc>
        <w:tc>
          <w:tcPr>
            <w:tcW w:w="3489" w:type="dxa"/>
          </w:tcPr>
          <w:p w14:paraId="0B30A81E" w14:textId="3D1B9D36" w:rsidR="00FD3C5E" w:rsidRPr="00331D71" w:rsidRDefault="00F16C52" w:rsidP="006D03C6">
            <w:pPr>
              <w:pStyle w:val="Bullet1"/>
              <w:numPr>
                <w:ilvl w:val="0"/>
                <w:numId w:val="0"/>
              </w:numPr>
              <w:rPr>
                <w:rFonts w:asciiTheme="minorHAnsi" w:hAnsiTheme="minorHAnsi"/>
                <w:sz w:val="22"/>
              </w:rPr>
            </w:pPr>
            <w:r w:rsidRPr="00331D71">
              <w:rPr>
                <w:rFonts w:asciiTheme="minorHAnsi" w:hAnsiTheme="minorHAnsi"/>
                <w:sz w:val="22"/>
              </w:rPr>
              <w:t>Funding policy includes protections for existing NGOs in the program to minimise funding fluctuations</w:t>
            </w:r>
          </w:p>
        </w:tc>
        <w:tc>
          <w:tcPr>
            <w:tcW w:w="2225" w:type="dxa"/>
          </w:tcPr>
          <w:p w14:paraId="64AE356D" w14:textId="11F3077A" w:rsidR="00FD3C5E" w:rsidRPr="00331D71" w:rsidRDefault="00F16C52" w:rsidP="006D03C6">
            <w:pPr>
              <w:pStyle w:val="Bullet1"/>
              <w:numPr>
                <w:ilvl w:val="0"/>
                <w:numId w:val="0"/>
              </w:numPr>
              <w:rPr>
                <w:rFonts w:asciiTheme="minorHAnsi" w:hAnsiTheme="minorHAnsi"/>
                <w:sz w:val="22"/>
              </w:rPr>
            </w:pPr>
            <w:r w:rsidRPr="00331D71">
              <w:rPr>
                <w:rFonts w:asciiTheme="minorHAnsi" w:hAnsiTheme="minorHAnsi"/>
                <w:sz w:val="22"/>
              </w:rPr>
              <w:t>Maintain current staffing levels</w:t>
            </w:r>
          </w:p>
        </w:tc>
        <w:tc>
          <w:tcPr>
            <w:tcW w:w="1800" w:type="dxa"/>
          </w:tcPr>
          <w:p w14:paraId="0A448F16" w14:textId="5D3B5895" w:rsidR="00FD3C5E" w:rsidRPr="00331D71" w:rsidRDefault="00F16C52" w:rsidP="00174D1B">
            <w:pPr>
              <w:spacing w:before="0"/>
              <w:rPr>
                <w:rFonts w:asciiTheme="minorHAnsi" w:hAnsiTheme="minorHAnsi"/>
                <w:sz w:val="22"/>
              </w:rPr>
            </w:pPr>
            <w:r w:rsidRPr="00331D71">
              <w:rPr>
                <w:rFonts w:asciiTheme="minorHAnsi" w:hAnsiTheme="minorHAnsi"/>
                <w:sz w:val="22"/>
              </w:rPr>
              <w:t>Medium</w:t>
            </w:r>
          </w:p>
        </w:tc>
      </w:tr>
      <w:tr w:rsidR="00174D1B" w:rsidRPr="00C61187" w14:paraId="28316475" w14:textId="77777777" w:rsidTr="00331D71">
        <w:trPr>
          <w:cantSplit/>
          <w:trHeight w:val="274"/>
          <w:tblHeader w:val="0"/>
        </w:trPr>
        <w:tc>
          <w:tcPr>
            <w:tcW w:w="1985" w:type="dxa"/>
            <w:hideMark/>
          </w:tcPr>
          <w:p w14:paraId="329710B9" w14:textId="70DCE45B" w:rsidR="00FD3C5E" w:rsidRPr="00331D71" w:rsidRDefault="00447654" w:rsidP="00F151D8">
            <w:pPr>
              <w:spacing w:before="0"/>
              <w:rPr>
                <w:rFonts w:asciiTheme="minorHAnsi" w:hAnsiTheme="minorHAnsi"/>
                <w:sz w:val="22"/>
              </w:rPr>
            </w:pPr>
            <w:r w:rsidRPr="00331D71">
              <w:rPr>
                <w:rFonts w:asciiTheme="minorHAnsi" w:hAnsiTheme="minorHAnsi"/>
                <w:sz w:val="22"/>
              </w:rPr>
              <w:t>B</w:t>
            </w:r>
            <w:r w:rsidR="00F16C52" w:rsidRPr="00331D71">
              <w:rPr>
                <w:rFonts w:asciiTheme="minorHAnsi" w:hAnsiTheme="minorHAnsi"/>
                <w:sz w:val="22"/>
              </w:rPr>
              <w:t xml:space="preserve">readth and scale of program </w:t>
            </w:r>
            <w:r w:rsidRPr="00331D71">
              <w:rPr>
                <w:rFonts w:asciiTheme="minorHAnsi" w:hAnsiTheme="minorHAnsi"/>
                <w:sz w:val="22"/>
              </w:rPr>
              <w:t xml:space="preserve">model </w:t>
            </w:r>
            <w:r w:rsidR="00F16C52" w:rsidRPr="00331D71">
              <w:rPr>
                <w:rFonts w:asciiTheme="minorHAnsi" w:hAnsiTheme="minorHAnsi"/>
                <w:sz w:val="22"/>
              </w:rPr>
              <w:t>means limited overview of project details and manage</w:t>
            </w:r>
            <w:r w:rsidR="002C6ADE" w:rsidRPr="00331D71">
              <w:rPr>
                <w:rFonts w:asciiTheme="minorHAnsi" w:hAnsiTheme="minorHAnsi"/>
                <w:sz w:val="22"/>
              </w:rPr>
              <w:t>ment of</w:t>
            </w:r>
            <w:r w:rsidR="00F16C52" w:rsidRPr="00331D71">
              <w:rPr>
                <w:rFonts w:asciiTheme="minorHAnsi" w:hAnsiTheme="minorHAnsi"/>
                <w:sz w:val="22"/>
              </w:rPr>
              <w:t xml:space="preserve"> </w:t>
            </w:r>
            <w:r w:rsidR="00174D1B" w:rsidRPr="00331D71">
              <w:rPr>
                <w:rFonts w:asciiTheme="minorHAnsi" w:hAnsiTheme="minorHAnsi"/>
                <w:sz w:val="22"/>
              </w:rPr>
              <w:t>associated</w:t>
            </w:r>
            <w:r w:rsidR="00F16C52" w:rsidRPr="00331D71">
              <w:rPr>
                <w:rFonts w:asciiTheme="minorHAnsi" w:hAnsiTheme="minorHAnsi"/>
                <w:sz w:val="22"/>
              </w:rPr>
              <w:t xml:space="preserve"> risks (incl.fraud, child protection and terrorism financing)</w:t>
            </w:r>
          </w:p>
        </w:tc>
        <w:tc>
          <w:tcPr>
            <w:tcW w:w="3489" w:type="dxa"/>
          </w:tcPr>
          <w:p w14:paraId="256BBC14" w14:textId="77777777" w:rsidR="00174D1B" w:rsidRPr="00331D71" w:rsidRDefault="00174D1B" w:rsidP="006D03C6">
            <w:pPr>
              <w:pStyle w:val="Bullet1"/>
              <w:numPr>
                <w:ilvl w:val="0"/>
                <w:numId w:val="0"/>
              </w:numPr>
              <w:rPr>
                <w:rFonts w:asciiTheme="minorHAnsi" w:hAnsiTheme="minorHAnsi"/>
                <w:sz w:val="22"/>
              </w:rPr>
            </w:pPr>
            <w:r w:rsidRPr="00331D71">
              <w:rPr>
                <w:rFonts w:asciiTheme="minorHAnsi" w:hAnsiTheme="minorHAnsi"/>
                <w:sz w:val="22"/>
              </w:rPr>
              <w:t xml:space="preserve">Ongoing accreditation - upfront due diligence and good practice check of NGOs </w:t>
            </w:r>
          </w:p>
          <w:p w14:paraId="7D190F61" w14:textId="23A6FC2B" w:rsidR="00174D1B" w:rsidRPr="00331D71" w:rsidRDefault="00174D1B" w:rsidP="006D03C6">
            <w:pPr>
              <w:pStyle w:val="Bullet1"/>
              <w:numPr>
                <w:ilvl w:val="0"/>
                <w:numId w:val="0"/>
              </w:numPr>
              <w:rPr>
                <w:rFonts w:asciiTheme="minorHAnsi" w:hAnsiTheme="minorHAnsi"/>
                <w:sz w:val="22"/>
              </w:rPr>
            </w:pPr>
            <w:r w:rsidRPr="00331D71">
              <w:rPr>
                <w:rFonts w:asciiTheme="minorHAnsi" w:hAnsiTheme="minorHAnsi"/>
                <w:sz w:val="22"/>
              </w:rPr>
              <w:t>Engagement with Posts/Desks for high risk countries/projects</w:t>
            </w:r>
          </w:p>
          <w:p w14:paraId="15DBFB3B" w14:textId="77777777" w:rsidR="00FD3C5E" w:rsidRPr="00331D71" w:rsidRDefault="00174D1B" w:rsidP="006D03C6">
            <w:pPr>
              <w:pStyle w:val="Bullet1"/>
              <w:numPr>
                <w:ilvl w:val="0"/>
                <w:numId w:val="0"/>
              </w:numPr>
              <w:rPr>
                <w:rFonts w:asciiTheme="minorHAnsi" w:hAnsiTheme="minorHAnsi"/>
                <w:sz w:val="22"/>
              </w:rPr>
            </w:pPr>
            <w:r w:rsidRPr="00331D71">
              <w:rPr>
                <w:rFonts w:asciiTheme="minorHAnsi" w:hAnsiTheme="minorHAnsi"/>
                <w:sz w:val="22"/>
              </w:rPr>
              <w:t>Support Post to undertake monitoring and engagement activities</w:t>
            </w:r>
          </w:p>
          <w:p w14:paraId="2BE92A09" w14:textId="77777777" w:rsidR="00174D1B" w:rsidRPr="00331D71" w:rsidRDefault="00174D1B" w:rsidP="006D03C6">
            <w:pPr>
              <w:pStyle w:val="Bullet1"/>
              <w:numPr>
                <w:ilvl w:val="0"/>
                <w:numId w:val="0"/>
              </w:numPr>
              <w:rPr>
                <w:rFonts w:asciiTheme="minorHAnsi" w:hAnsiTheme="minorHAnsi"/>
                <w:sz w:val="22"/>
              </w:rPr>
            </w:pPr>
            <w:r w:rsidRPr="00331D71">
              <w:rPr>
                <w:rFonts w:asciiTheme="minorHAnsi" w:hAnsiTheme="minorHAnsi"/>
                <w:sz w:val="22"/>
              </w:rPr>
              <w:t>Modified reporting requirements to collect more in-depth project risk information</w:t>
            </w:r>
          </w:p>
          <w:p w14:paraId="543DA187" w14:textId="0F0028EF" w:rsidR="00174D1B" w:rsidRPr="00331D71" w:rsidRDefault="00174D1B" w:rsidP="006D03C6">
            <w:pPr>
              <w:pStyle w:val="Bullet1"/>
              <w:numPr>
                <w:ilvl w:val="0"/>
                <w:numId w:val="0"/>
              </w:numPr>
              <w:rPr>
                <w:rFonts w:asciiTheme="minorHAnsi" w:hAnsiTheme="minorHAnsi"/>
                <w:sz w:val="22"/>
              </w:rPr>
            </w:pPr>
            <w:r w:rsidRPr="00331D71">
              <w:rPr>
                <w:rFonts w:asciiTheme="minorHAnsi" w:hAnsiTheme="minorHAnsi"/>
                <w:sz w:val="22"/>
              </w:rPr>
              <w:t>Clarified risk</w:t>
            </w:r>
            <w:r w:rsidR="002C6ADE" w:rsidRPr="00331D71">
              <w:rPr>
                <w:rFonts w:asciiTheme="minorHAnsi" w:hAnsiTheme="minorHAnsi"/>
                <w:sz w:val="22"/>
              </w:rPr>
              <w:t xml:space="preserve"> management responsibilities </w:t>
            </w:r>
            <w:r w:rsidRPr="00331D71">
              <w:rPr>
                <w:rFonts w:asciiTheme="minorHAnsi" w:hAnsiTheme="minorHAnsi"/>
                <w:sz w:val="22"/>
              </w:rPr>
              <w:t xml:space="preserve"> in annual grant agreements</w:t>
            </w:r>
          </w:p>
          <w:p w14:paraId="6869570E" w14:textId="791FCE63" w:rsidR="006D03C6" w:rsidRPr="00331D71" w:rsidRDefault="006D03C6" w:rsidP="006D03C6">
            <w:pPr>
              <w:pStyle w:val="Bullet1"/>
              <w:numPr>
                <w:ilvl w:val="0"/>
                <w:numId w:val="0"/>
              </w:numPr>
              <w:ind w:left="360"/>
              <w:rPr>
                <w:rFonts w:asciiTheme="minorHAnsi" w:hAnsiTheme="minorHAnsi"/>
                <w:sz w:val="22"/>
              </w:rPr>
            </w:pPr>
          </w:p>
        </w:tc>
        <w:tc>
          <w:tcPr>
            <w:tcW w:w="2225" w:type="dxa"/>
          </w:tcPr>
          <w:p w14:paraId="2D743285" w14:textId="77777777" w:rsidR="00FD3C5E" w:rsidRPr="00331D71" w:rsidRDefault="00174D1B" w:rsidP="006D03C6">
            <w:pPr>
              <w:pStyle w:val="Bullet1"/>
              <w:numPr>
                <w:ilvl w:val="0"/>
                <w:numId w:val="0"/>
              </w:numPr>
              <w:rPr>
                <w:rFonts w:asciiTheme="minorHAnsi" w:hAnsiTheme="minorHAnsi"/>
                <w:sz w:val="22"/>
              </w:rPr>
            </w:pPr>
            <w:r w:rsidRPr="00331D71">
              <w:rPr>
                <w:rFonts w:asciiTheme="minorHAnsi" w:hAnsiTheme="minorHAnsi"/>
                <w:sz w:val="22"/>
              </w:rPr>
              <w:t>Continue to strengthen engagement with Posts/Desks</w:t>
            </w:r>
          </w:p>
          <w:p w14:paraId="2C3DA9BA" w14:textId="19427F07" w:rsidR="00174D1B" w:rsidRPr="00331D71" w:rsidRDefault="00174D1B" w:rsidP="006D03C6">
            <w:pPr>
              <w:pStyle w:val="Bullet1"/>
              <w:numPr>
                <w:ilvl w:val="0"/>
                <w:numId w:val="0"/>
              </w:numPr>
              <w:rPr>
                <w:rFonts w:asciiTheme="minorHAnsi" w:hAnsiTheme="minorHAnsi"/>
                <w:sz w:val="22"/>
              </w:rPr>
            </w:pPr>
            <w:r w:rsidRPr="00331D71">
              <w:rPr>
                <w:rFonts w:asciiTheme="minorHAnsi" w:hAnsiTheme="minorHAnsi"/>
                <w:sz w:val="22"/>
              </w:rPr>
              <w:t>Continue to provide support to Posts to undertake monitoring and engagement activities</w:t>
            </w:r>
          </w:p>
        </w:tc>
        <w:tc>
          <w:tcPr>
            <w:tcW w:w="1800" w:type="dxa"/>
          </w:tcPr>
          <w:p w14:paraId="54A4FECA" w14:textId="42ACCC0C" w:rsidR="00FD3C5E" w:rsidRPr="00331D71" w:rsidRDefault="00174D1B" w:rsidP="00174D1B">
            <w:pPr>
              <w:spacing w:before="0"/>
              <w:rPr>
                <w:rFonts w:asciiTheme="minorHAnsi" w:hAnsiTheme="minorHAnsi"/>
                <w:sz w:val="22"/>
              </w:rPr>
            </w:pPr>
            <w:r w:rsidRPr="00331D71">
              <w:rPr>
                <w:rFonts w:asciiTheme="minorHAnsi" w:hAnsiTheme="minorHAnsi"/>
                <w:sz w:val="22"/>
              </w:rPr>
              <w:t>Medium</w:t>
            </w:r>
          </w:p>
        </w:tc>
      </w:tr>
      <w:tr w:rsidR="00174D1B" w:rsidRPr="00C61187" w14:paraId="1BEC8DA6" w14:textId="77777777" w:rsidTr="00331D71">
        <w:trPr>
          <w:cantSplit/>
          <w:trHeight w:val="56"/>
          <w:tblHeader w:val="0"/>
        </w:trPr>
        <w:tc>
          <w:tcPr>
            <w:tcW w:w="1985" w:type="dxa"/>
          </w:tcPr>
          <w:p w14:paraId="09E7A616" w14:textId="1A7DCAB0" w:rsidR="00174D1B" w:rsidRPr="00331D71" w:rsidRDefault="00174D1B" w:rsidP="00174D1B">
            <w:pPr>
              <w:spacing w:before="0"/>
              <w:rPr>
                <w:rFonts w:asciiTheme="minorHAnsi" w:hAnsiTheme="minorHAnsi"/>
                <w:sz w:val="22"/>
              </w:rPr>
            </w:pPr>
            <w:r w:rsidRPr="00331D71">
              <w:rPr>
                <w:rFonts w:asciiTheme="minorHAnsi" w:hAnsiTheme="minorHAnsi"/>
                <w:sz w:val="22"/>
              </w:rPr>
              <w:t>Program data quality and management – limited capacity to assess and analyse quality and consistency of ANCP data</w:t>
            </w:r>
          </w:p>
        </w:tc>
        <w:tc>
          <w:tcPr>
            <w:tcW w:w="3489" w:type="dxa"/>
          </w:tcPr>
          <w:p w14:paraId="508F6167" w14:textId="33D578F0" w:rsidR="00174D1B" w:rsidRPr="00331D71" w:rsidRDefault="00174D1B" w:rsidP="006D03C6">
            <w:pPr>
              <w:pStyle w:val="Bullet1"/>
              <w:numPr>
                <w:ilvl w:val="0"/>
                <w:numId w:val="0"/>
              </w:numPr>
              <w:rPr>
                <w:rFonts w:asciiTheme="minorHAnsi" w:hAnsiTheme="minorHAnsi"/>
                <w:sz w:val="22"/>
              </w:rPr>
            </w:pPr>
            <w:r w:rsidRPr="00331D71">
              <w:rPr>
                <w:rFonts w:asciiTheme="minorHAnsi" w:hAnsiTheme="minorHAnsi"/>
                <w:sz w:val="22"/>
              </w:rPr>
              <w:t>Ongoing accreditation – upfront due diligence to asses ANCP NGOs capacity to generate credible data</w:t>
            </w:r>
          </w:p>
          <w:p w14:paraId="16DB5BB5" w14:textId="3E52ECA1" w:rsidR="00174D1B" w:rsidRPr="00331D71" w:rsidRDefault="00174D1B" w:rsidP="006D03C6">
            <w:pPr>
              <w:pStyle w:val="Bullet1"/>
              <w:numPr>
                <w:ilvl w:val="0"/>
                <w:numId w:val="0"/>
              </w:numPr>
              <w:rPr>
                <w:rFonts w:asciiTheme="minorHAnsi" w:hAnsiTheme="minorHAnsi"/>
                <w:sz w:val="22"/>
              </w:rPr>
            </w:pPr>
            <w:r w:rsidRPr="00331D71">
              <w:rPr>
                <w:rFonts w:asciiTheme="minorHAnsi" w:hAnsiTheme="minorHAnsi"/>
                <w:sz w:val="22"/>
              </w:rPr>
              <w:t>Use of ANCP online to record all project aspects</w:t>
            </w:r>
          </w:p>
        </w:tc>
        <w:tc>
          <w:tcPr>
            <w:tcW w:w="2225" w:type="dxa"/>
          </w:tcPr>
          <w:p w14:paraId="593ACE72" w14:textId="4654A80C" w:rsidR="00174D1B" w:rsidRPr="00331D71" w:rsidRDefault="006D03C6" w:rsidP="006D03C6">
            <w:pPr>
              <w:pStyle w:val="Bullet1"/>
              <w:numPr>
                <w:ilvl w:val="0"/>
                <w:numId w:val="0"/>
              </w:numPr>
              <w:rPr>
                <w:rFonts w:asciiTheme="minorHAnsi" w:hAnsiTheme="minorHAnsi"/>
                <w:sz w:val="22"/>
              </w:rPr>
            </w:pPr>
            <w:r w:rsidRPr="00331D71">
              <w:rPr>
                <w:rFonts w:asciiTheme="minorHAnsi" w:hAnsiTheme="minorHAnsi"/>
                <w:sz w:val="22"/>
              </w:rPr>
              <w:t xml:space="preserve">Re-establish a MEL reference group to work on data- validation </w:t>
            </w:r>
            <w:r w:rsidR="004C45F3" w:rsidRPr="00331D71">
              <w:rPr>
                <w:rFonts w:asciiTheme="minorHAnsi" w:hAnsiTheme="minorHAnsi"/>
                <w:sz w:val="22"/>
              </w:rPr>
              <w:t>exercise</w:t>
            </w:r>
          </w:p>
          <w:p w14:paraId="7859EDB1" w14:textId="0A1B6D3F" w:rsidR="006D03C6" w:rsidRPr="00331D71" w:rsidRDefault="006D03C6" w:rsidP="006D03C6">
            <w:pPr>
              <w:spacing w:before="0"/>
              <w:rPr>
                <w:rFonts w:asciiTheme="minorHAnsi" w:hAnsiTheme="minorHAnsi"/>
                <w:sz w:val="22"/>
              </w:rPr>
            </w:pPr>
          </w:p>
        </w:tc>
        <w:tc>
          <w:tcPr>
            <w:tcW w:w="1800" w:type="dxa"/>
          </w:tcPr>
          <w:p w14:paraId="2D008F52" w14:textId="131809A6" w:rsidR="00174D1B" w:rsidRPr="00331D71" w:rsidRDefault="00174D1B" w:rsidP="00174D1B">
            <w:pPr>
              <w:spacing w:before="0"/>
              <w:rPr>
                <w:rFonts w:asciiTheme="minorHAnsi" w:hAnsiTheme="minorHAnsi"/>
                <w:sz w:val="22"/>
              </w:rPr>
            </w:pPr>
            <w:r w:rsidRPr="00331D71">
              <w:rPr>
                <w:rFonts w:asciiTheme="minorHAnsi" w:hAnsiTheme="minorHAnsi"/>
                <w:sz w:val="22"/>
              </w:rPr>
              <w:t>Medium</w:t>
            </w:r>
          </w:p>
        </w:tc>
      </w:tr>
      <w:tr w:rsidR="002C6ADE" w:rsidRPr="00C61187" w14:paraId="0B981963" w14:textId="77777777" w:rsidTr="00331D71">
        <w:trPr>
          <w:cantSplit/>
          <w:trHeight w:val="56"/>
          <w:tblHeader w:val="0"/>
        </w:trPr>
        <w:tc>
          <w:tcPr>
            <w:tcW w:w="1985" w:type="dxa"/>
          </w:tcPr>
          <w:p w14:paraId="714E9DF5" w14:textId="02E08F62" w:rsidR="002C6ADE" w:rsidRPr="00331D71" w:rsidRDefault="002C6ADE" w:rsidP="002C6ADE">
            <w:pPr>
              <w:spacing w:before="0"/>
              <w:rPr>
                <w:rFonts w:asciiTheme="minorHAnsi" w:hAnsiTheme="minorHAnsi"/>
                <w:sz w:val="22"/>
              </w:rPr>
            </w:pPr>
            <w:r w:rsidRPr="00331D71">
              <w:rPr>
                <w:rFonts w:asciiTheme="minorHAnsi" w:hAnsiTheme="minorHAnsi"/>
                <w:sz w:val="22"/>
              </w:rPr>
              <w:t>Closing space in civil society in partner countries impacting on development outcomes</w:t>
            </w:r>
          </w:p>
        </w:tc>
        <w:tc>
          <w:tcPr>
            <w:tcW w:w="3489" w:type="dxa"/>
          </w:tcPr>
          <w:p w14:paraId="423DB2AE" w14:textId="675BC233" w:rsidR="002C6ADE" w:rsidRPr="00331D71" w:rsidRDefault="002C6ADE" w:rsidP="002C6ADE">
            <w:pPr>
              <w:pStyle w:val="Bullet1"/>
              <w:numPr>
                <w:ilvl w:val="0"/>
                <w:numId w:val="0"/>
              </w:numPr>
              <w:rPr>
                <w:rFonts w:asciiTheme="minorHAnsi" w:hAnsiTheme="minorHAnsi"/>
                <w:sz w:val="22"/>
              </w:rPr>
            </w:pPr>
            <w:r w:rsidRPr="00331D71">
              <w:rPr>
                <w:rFonts w:asciiTheme="minorHAnsi" w:hAnsiTheme="minorHAnsi"/>
                <w:sz w:val="22"/>
              </w:rPr>
              <w:t>NVB maintain</w:t>
            </w:r>
            <w:r w:rsidR="00BD421E" w:rsidRPr="00331D71">
              <w:rPr>
                <w:rFonts w:asciiTheme="minorHAnsi" w:hAnsiTheme="minorHAnsi"/>
                <w:sz w:val="22"/>
              </w:rPr>
              <w:t>ed</w:t>
            </w:r>
            <w:r w:rsidRPr="00331D71">
              <w:rPr>
                <w:rFonts w:asciiTheme="minorHAnsi" w:hAnsiTheme="minorHAnsi"/>
                <w:sz w:val="22"/>
              </w:rPr>
              <w:t xml:space="preserve"> close contact with bilateral programs to ensure consistent messaging and issues management</w:t>
            </w:r>
          </w:p>
          <w:p w14:paraId="700EB869" w14:textId="68C6D7CB" w:rsidR="002C6ADE" w:rsidRPr="00331D71" w:rsidRDefault="002C6ADE">
            <w:pPr>
              <w:pStyle w:val="Bullet1"/>
              <w:numPr>
                <w:ilvl w:val="0"/>
                <w:numId w:val="0"/>
              </w:numPr>
              <w:rPr>
                <w:rFonts w:asciiTheme="minorHAnsi" w:hAnsiTheme="minorHAnsi"/>
                <w:sz w:val="22"/>
              </w:rPr>
            </w:pPr>
            <w:r w:rsidRPr="00331D71">
              <w:rPr>
                <w:rFonts w:asciiTheme="minorHAnsi" w:hAnsiTheme="minorHAnsi"/>
                <w:sz w:val="22"/>
              </w:rPr>
              <w:t xml:space="preserve">Clarified risk management responsibilities in annual grant agreements </w:t>
            </w:r>
          </w:p>
        </w:tc>
        <w:tc>
          <w:tcPr>
            <w:tcW w:w="2225" w:type="dxa"/>
          </w:tcPr>
          <w:p w14:paraId="5ED7AE34" w14:textId="4CDF16C1" w:rsidR="00BD421E" w:rsidRPr="00331D71" w:rsidRDefault="00BD421E" w:rsidP="002C6ADE">
            <w:pPr>
              <w:pStyle w:val="Bullet1"/>
              <w:numPr>
                <w:ilvl w:val="0"/>
                <w:numId w:val="0"/>
              </w:numPr>
              <w:rPr>
                <w:rFonts w:asciiTheme="minorHAnsi" w:hAnsiTheme="minorHAnsi"/>
                <w:sz w:val="22"/>
              </w:rPr>
            </w:pPr>
            <w:r w:rsidRPr="00331D71">
              <w:rPr>
                <w:rFonts w:asciiTheme="minorHAnsi" w:hAnsiTheme="minorHAnsi"/>
                <w:sz w:val="22"/>
              </w:rPr>
              <w:t xml:space="preserve">Through Posts, Australia will continue to advocate for the </w:t>
            </w:r>
            <w:r w:rsidR="00BF7FB4" w:rsidRPr="00331D71">
              <w:rPr>
                <w:rFonts w:asciiTheme="minorHAnsi" w:hAnsiTheme="minorHAnsi"/>
                <w:sz w:val="22"/>
              </w:rPr>
              <w:t xml:space="preserve">benefit of an inclusive, open society </w:t>
            </w:r>
            <w:r w:rsidRPr="00331D71">
              <w:rPr>
                <w:rFonts w:asciiTheme="minorHAnsi" w:hAnsiTheme="minorHAnsi"/>
                <w:sz w:val="22"/>
              </w:rPr>
              <w:t xml:space="preserve">and the promotion of space for </w:t>
            </w:r>
            <w:r w:rsidR="00BF7FB4" w:rsidRPr="00331D71">
              <w:rPr>
                <w:rFonts w:asciiTheme="minorHAnsi" w:hAnsiTheme="minorHAnsi"/>
                <w:sz w:val="22"/>
              </w:rPr>
              <w:t xml:space="preserve">civil society </w:t>
            </w:r>
            <w:r w:rsidRPr="00331D71">
              <w:rPr>
                <w:rFonts w:asciiTheme="minorHAnsi" w:hAnsiTheme="minorHAnsi"/>
                <w:sz w:val="22"/>
              </w:rPr>
              <w:t xml:space="preserve">to operate </w:t>
            </w:r>
          </w:p>
          <w:p w14:paraId="4F680A38" w14:textId="4B56DFE2" w:rsidR="002C6ADE" w:rsidRPr="00331D71" w:rsidRDefault="002C6ADE" w:rsidP="002C6ADE">
            <w:pPr>
              <w:pStyle w:val="Bullet1"/>
              <w:numPr>
                <w:ilvl w:val="0"/>
                <w:numId w:val="0"/>
              </w:numPr>
              <w:rPr>
                <w:rFonts w:asciiTheme="minorHAnsi" w:hAnsiTheme="minorHAnsi"/>
                <w:sz w:val="22"/>
              </w:rPr>
            </w:pPr>
            <w:r w:rsidRPr="00331D71">
              <w:rPr>
                <w:rFonts w:asciiTheme="minorHAnsi" w:hAnsiTheme="minorHAnsi"/>
                <w:sz w:val="22"/>
              </w:rPr>
              <w:t>Continue to strengthen engagement with Posts/Desks around changes in operating environments on a case by case basis</w:t>
            </w:r>
          </w:p>
          <w:p w14:paraId="7FC59072" w14:textId="655CEFFE" w:rsidR="002C6ADE" w:rsidRPr="00331D71" w:rsidRDefault="002C6ADE" w:rsidP="002C6ADE">
            <w:pPr>
              <w:pStyle w:val="Bullet1"/>
              <w:numPr>
                <w:ilvl w:val="0"/>
                <w:numId w:val="0"/>
              </w:numPr>
              <w:rPr>
                <w:rFonts w:asciiTheme="minorHAnsi" w:hAnsiTheme="minorHAnsi"/>
                <w:sz w:val="22"/>
              </w:rPr>
            </w:pPr>
            <w:r w:rsidRPr="00331D71">
              <w:rPr>
                <w:rFonts w:asciiTheme="minorHAnsi" w:hAnsiTheme="minorHAnsi"/>
                <w:sz w:val="22"/>
              </w:rPr>
              <w:t>Continue to provide support to Posts to undertake monitoring and engagement activities</w:t>
            </w:r>
          </w:p>
        </w:tc>
        <w:tc>
          <w:tcPr>
            <w:tcW w:w="1800" w:type="dxa"/>
          </w:tcPr>
          <w:p w14:paraId="594372CD" w14:textId="56ABD957" w:rsidR="002C6ADE" w:rsidRPr="00331D71" w:rsidRDefault="00653F35" w:rsidP="002C6ADE">
            <w:pPr>
              <w:spacing w:before="0"/>
              <w:rPr>
                <w:rFonts w:asciiTheme="minorHAnsi" w:hAnsiTheme="minorHAnsi"/>
                <w:sz w:val="22"/>
              </w:rPr>
            </w:pPr>
            <w:r w:rsidRPr="00331D71">
              <w:rPr>
                <w:rFonts w:asciiTheme="minorHAnsi" w:hAnsiTheme="minorHAnsi"/>
                <w:sz w:val="22"/>
              </w:rPr>
              <w:t xml:space="preserve">Medium </w:t>
            </w:r>
          </w:p>
        </w:tc>
      </w:tr>
    </w:tbl>
    <w:p w14:paraId="1B352E3C" w14:textId="26740874" w:rsidR="004C45F3" w:rsidRDefault="004C45F3" w:rsidP="00331D71">
      <w:pPr>
        <w:pStyle w:val="Heading4"/>
        <w:keepNext w:val="0"/>
        <w:keepLines w:val="0"/>
      </w:pPr>
      <w:r>
        <w:t>Programming in high-risk locations</w:t>
      </w:r>
    </w:p>
    <w:p w14:paraId="4C750063" w14:textId="5C05BD60" w:rsidR="00E41603" w:rsidRPr="00E41603" w:rsidRDefault="00C0275C" w:rsidP="00331D71">
      <w:r>
        <w:t xml:space="preserve">Increasing complexity in the international environment </w:t>
      </w:r>
      <w:r w:rsidR="00EA2D5B">
        <w:t xml:space="preserve">has </w:t>
      </w:r>
      <w:r>
        <w:t xml:space="preserve">heightened the risk profile for </w:t>
      </w:r>
      <w:r w:rsidR="00EA2D5B">
        <w:t xml:space="preserve">some </w:t>
      </w:r>
      <w:r>
        <w:t xml:space="preserve">activities in high risk locations. </w:t>
      </w:r>
      <w:r w:rsidR="00DD2BE2">
        <w:t xml:space="preserve">In 2016-17, NPQ updated the </w:t>
      </w:r>
      <w:r w:rsidR="0061652A">
        <w:t xml:space="preserve">2017-18 </w:t>
      </w:r>
      <w:r w:rsidR="00DD2BE2">
        <w:t xml:space="preserve">ADPlan template </w:t>
      </w:r>
      <w:r w:rsidR="0061652A">
        <w:t xml:space="preserve">to allow </w:t>
      </w:r>
      <w:r w:rsidR="00DD2BE2">
        <w:t xml:space="preserve">for NGOs to indicate which </w:t>
      </w:r>
      <w:r w:rsidR="00447654">
        <w:t xml:space="preserve">of their </w:t>
      </w:r>
      <w:r w:rsidR="00DD2BE2">
        <w:t xml:space="preserve">projects are high-risk and to provide additional information on how these risks will be managed and the projects monitored. The Role of Post policy (currently being finalised) expands Posts’ participation in the ANCP including </w:t>
      </w:r>
      <w:r w:rsidR="0061652A">
        <w:t xml:space="preserve">ADPlan assessment and </w:t>
      </w:r>
      <w:r w:rsidR="00DD2BE2">
        <w:t>monitoring and engagement activities. A</w:t>
      </w:r>
      <w:r w:rsidR="00E954F9">
        <w:t xml:space="preserve">djustments were also made to </w:t>
      </w:r>
      <w:r w:rsidR="00DD2BE2">
        <w:t>NPQ’s monitorin</w:t>
      </w:r>
      <w:r w:rsidR="00E954F9">
        <w:t xml:space="preserve">g and evaluation program </w:t>
      </w:r>
      <w:r w:rsidR="00DD2BE2">
        <w:t xml:space="preserve">to prioritise visits to </w:t>
      </w:r>
      <w:r w:rsidR="00B62ED9">
        <w:t xml:space="preserve">a number of projects identified through the Annual Development Plan process as </w:t>
      </w:r>
      <w:r w:rsidR="00DD2BE2">
        <w:t xml:space="preserve">high-risk. In addition, the planned review of accreditation in </w:t>
      </w:r>
      <w:r w:rsidR="00397A30">
        <w:t>20</w:t>
      </w:r>
      <w:r w:rsidR="00DD2BE2">
        <w:t>17-18</w:t>
      </w:r>
      <w:r w:rsidR="00E954F9">
        <w:t xml:space="preserve"> will review whether the process still meets DFAT’s risk requirements with a focus on meeting new policies on working in high-risk locations; </w:t>
      </w:r>
      <w:r>
        <w:t>risks related to</w:t>
      </w:r>
      <w:r w:rsidR="00E954F9">
        <w:t xml:space="preserve"> </w:t>
      </w:r>
      <w:r>
        <w:t>c</w:t>
      </w:r>
      <w:r w:rsidR="00E954F9">
        <w:t xml:space="preserve">ountering </w:t>
      </w:r>
      <w:r>
        <w:t>t</w:t>
      </w:r>
      <w:r w:rsidR="00E954F9">
        <w:t xml:space="preserve">errorist </w:t>
      </w:r>
      <w:r>
        <w:t>f</w:t>
      </w:r>
      <w:r w:rsidR="00E954F9">
        <w:t>inancing; alignment with DFAT’s due diligence framework and inclusion of past ANCP performance information in accreditation reviews.</w:t>
      </w:r>
    </w:p>
    <w:p w14:paraId="3447DF65" w14:textId="0B3CB630" w:rsidR="00D95D0E" w:rsidRDefault="00E954F9" w:rsidP="00331D71">
      <w:pPr>
        <w:pStyle w:val="Heading4"/>
      </w:pPr>
      <w:r>
        <w:t>Child Protection</w:t>
      </w:r>
    </w:p>
    <w:p w14:paraId="4B90EAC0" w14:textId="48795D18" w:rsidR="002A6AC8" w:rsidRDefault="00DB77E3" w:rsidP="00331D71">
      <w:pPr>
        <w:keepNext/>
        <w:keepLines/>
      </w:pPr>
      <w:r w:rsidRPr="0021466C">
        <w:rPr>
          <w:noProof/>
          <w:lang w:val="en-AU" w:eastAsia="en-AU"/>
        </w:rPr>
        <mc:AlternateContent>
          <mc:Choice Requires="wps">
            <w:drawing>
              <wp:anchor distT="0" distB="0" distL="71755" distR="71755" simplePos="0" relativeHeight="251689984" behindDoc="1" locked="0" layoutInCell="1" allowOverlap="1" wp14:anchorId="570278A9" wp14:editId="46C9AC1C">
                <wp:simplePos x="0" y="0"/>
                <wp:positionH relativeFrom="margin">
                  <wp:posOffset>4313208</wp:posOffset>
                </wp:positionH>
                <wp:positionV relativeFrom="paragraph">
                  <wp:posOffset>71240</wp:posOffset>
                </wp:positionV>
                <wp:extent cx="1656080" cy="2449830"/>
                <wp:effectExtent l="0" t="0" r="20320" b="2667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6080" cy="2449830"/>
                        </a:xfrm>
                        <a:prstGeom prst="rect">
                          <a:avLst/>
                        </a:prstGeom>
                        <a:solidFill>
                          <a:sysClr val="window" lastClr="FFFFFF"/>
                        </a:solidFill>
                        <a:ln w="25400" cap="flat" cmpd="sng" algn="ctr">
                          <a:solidFill>
                            <a:srgbClr val="65C5B4"/>
                          </a:solidFill>
                          <a:prstDash val="solid"/>
                          <a:headEnd/>
                          <a:tailEnd/>
                        </a:ln>
                        <a:effectLst/>
                      </wps:spPr>
                      <wps:txbx>
                        <w:txbxContent>
                          <w:p w14:paraId="55944E1F" w14:textId="77777777" w:rsidR="007F7DAB" w:rsidRDefault="007F7DAB" w:rsidP="0084212A">
                            <w:pPr>
                              <w:rPr>
                                <w:b/>
                              </w:rPr>
                            </w:pPr>
                            <w:r>
                              <w:rPr>
                                <w:b/>
                              </w:rPr>
                              <w:t>Improving Child Protection Technical Capacity in the Pacific</w:t>
                            </w:r>
                          </w:p>
                          <w:p w14:paraId="3585DF5E" w14:textId="77777777" w:rsidR="007F7DAB" w:rsidRPr="00DB77E3" w:rsidRDefault="007F7DAB" w:rsidP="0084212A">
                            <w:r>
                              <w:t>In 2016-17, ChildFund Australia worked in Fiji, Kiribati, Solomon Islands and Vanuatu to</w:t>
                            </w:r>
                            <w:r w:rsidRPr="00DB77E3">
                              <w:t xml:space="preserve"> improve the technical capacity of key government, civil society and religious actors who are responsible for formal child protection systems</w:t>
                            </w:r>
                            <w:r>
                              <w:t>.</w:t>
                            </w:r>
                          </w:p>
                          <w:p w14:paraId="6C968335" w14:textId="4D1C2CA0" w:rsidR="007F7DAB" w:rsidRPr="00D4602F" w:rsidRDefault="007F7DAB" w:rsidP="00DB77E3"/>
                        </w:txbxContent>
                      </wps:txbx>
                      <wps:bodyPr rot="0" vert="horz" wrap="square" lIns="72000" tIns="0" rIns="72000" bIns="0" anchor="t" anchorCtr="0">
                        <a:noAutofit/>
                      </wps:bodyPr>
                    </wps:wsp>
                  </a:graphicData>
                </a:graphic>
                <wp14:sizeRelH relativeFrom="page">
                  <wp14:pctWidth>0</wp14:pctWidth>
                </wp14:sizeRelH>
                <wp14:sizeRelV relativeFrom="page">
                  <wp14:pctHeight>0</wp14:pctHeight>
                </wp14:sizeRelV>
              </wp:anchor>
            </w:drawing>
          </mc:Choice>
          <mc:Fallback>
            <w:pict>
              <v:shape w14:anchorId="570278A9" id="_x0000_s1034" type="#_x0000_t202" style="position:absolute;margin-left:339.6pt;margin-top:5.6pt;width:130.4pt;height:192.9pt;z-index:-251626496;visibility:visible;mso-wrap-style:square;mso-width-percent:0;mso-height-percent:0;mso-wrap-distance-left:5.65pt;mso-wrap-distance-top:0;mso-wrap-distance-right:5.6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" fillcolor="window" strokecolor="#65c5b4" strokeweight="2pt">
                <v:textbox inset="2mm,0,2mm,0">
                  <w:txbxContent>
                    <w:p w14:paraId="55944E1F" w14:textId="77777777" w:rsidR="007F7DAB" w:rsidRDefault="007F7DAB" w:rsidP="0084212A">
                      <w:pPr>
                        <w:rPr>
                          <w:b/>
                        </w:rPr>
                      </w:pPr>
                      <w:r>
                        <w:rPr>
                          <w:b/>
                        </w:rPr>
                        <w:t>Improving Child Protection Technical Capacity in the Pacific</w:t>
                      </w:r>
                    </w:p>
                    <w:p w14:paraId="3585DF5E" w14:textId="77777777" w:rsidR="007F7DAB" w:rsidRPr="00DB77E3" w:rsidRDefault="007F7DAB" w:rsidP="0084212A">
                      <w:r>
                        <w:t xml:space="preserve">In 2016-17, </w:t>
                      </w:r>
                      <w:proofErr w:type="spellStart"/>
                      <w:r>
                        <w:t>ChildFund</w:t>
                      </w:r>
                      <w:proofErr w:type="spellEnd"/>
                      <w:r>
                        <w:t xml:space="preserve"> Australia worked in Fiji, Kiribati, Solomon Islands and Vanuatu to</w:t>
                      </w:r>
                      <w:r w:rsidRPr="00DB77E3">
                        <w:t xml:space="preserve"> improve the technical capacity of key government, civil society and religious actors who are responsible for formal child protection systems</w:t>
                      </w:r>
                      <w:r>
                        <w:t>.</w:t>
                      </w:r>
                    </w:p>
                    <w:p w14:paraId="6C968335" w14:textId="4D1C2CA0" w:rsidR="007F7DAB" w:rsidRPr="00D4602F" w:rsidRDefault="007F7DAB" w:rsidP="00DB77E3"/>
                  </w:txbxContent>
                </v:textbox>
                <w10:wrap type="square" anchorx="margin"/>
              </v:shape>
            </w:pict>
          </mc:Fallback>
        </mc:AlternateContent>
      </w:r>
      <w:r w:rsidR="00893596">
        <w:t>As outlined in the table above, NPQ has a number of mechanisms in place to ensure the risks associated with child protection</w:t>
      </w:r>
      <w:r w:rsidR="00E954F9">
        <w:t xml:space="preserve"> are well managed. Accreditation verifies that NGOs have child protection policies and procedures in place that comply with DFAT’s Child Protection Policy. This includes reviewing project design documents, project contractual arrangements with partners, appraisal process</w:t>
      </w:r>
      <w:r w:rsidR="00C04C8B">
        <w:t>es/criteria, monitoring reports,</w:t>
      </w:r>
      <w:r w:rsidR="00E954F9">
        <w:t xml:space="preserve"> </w:t>
      </w:r>
      <w:r w:rsidR="00C04C8B">
        <w:t>p</w:t>
      </w:r>
      <w:r w:rsidR="00E954F9">
        <w:t xml:space="preserve">artner </w:t>
      </w:r>
      <w:r w:rsidR="00C04C8B">
        <w:t xml:space="preserve">progress </w:t>
      </w:r>
      <w:r w:rsidR="00E954F9">
        <w:t>reports and capacity-building activities with partners</w:t>
      </w:r>
      <w:r w:rsidR="00C04C8B">
        <w:t>. In annual ADPlan forms, ANCP NGOs must outline how potential risks to children will be managed in their programming. Monitoring and engagement activities routinely check child protection measures and NPQ provides an annual child protection webinar for ANCP NGOs.</w:t>
      </w:r>
    </w:p>
    <w:p w14:paraId="1326C241" w14:textId="226856BA" w:rsidR="0011547C" w:rsidRDefault="0011547C" w:rsidP="00893596">
      <w:r>
        <w:t xml:space="preserve">In addition to ensuring </w:t>
      </w:r>
      <w:r w:rsidR="00447654">
        <w:t xml:space="preserve">potential </w:t>
      </w:r>
      <w:r>
        <w:t>risks to children are addressed in all ANCP projects, the ANCP supports a number of projects that are working to promote the rights of children, strengthen child protection mechanisms (including legal frameworks) and build capacity of partners in target communities.</w:t>
      </w:r>
    </w:p>
    <w:p w14:paraId="118AB526" w14:textId="77777777" w:rsidR="002A51CA" w:rsidRPr="002A51CA" w:rsidRDefault="002A51CA" w:rsidP="00331D71">
      <w:pPr>
        <w:pStyle w:val="Heading2"/>
        <w:keepNext w:val="0"/>
        <w:keepLines w:val="0"/>
      </w:pPr>
      <w:r w:rsidRPr="002A51CA">
        <w:t xml:space="preserve">Management </w:t>
      </w:r>
      <w:r w:rsidR="00AC302F">
        <w:t>actions</w:t>
      </w:r>
      <w:r w:rsidRPr="002A51CA">
        <w:tab/>
      </w:r>
      <w:r w:rsidRPr="002A51CA">
        <w:tab/>
      </w:r>
    </w:p>
    <w:p w14:paraId="11542DC7" w14:textId="55CD5A3A" w:rsidR="002A51CA" w:rsidRPr="00C61187" w:rsidRDefault="00354E10" w:rsidP="00331D71">
      <w:r>
        <w:t xml:space="preserve">Progress </w:t>
      </w:r>
      <w:r w:rsidR="00447654">
        <w:t xml:space="preserve">in </w:t>
      </w:r>
      <w:r>
        <w:t>implementing the management responses (</w:t>
      </w:r>
      <w:r>
        <w:rPr>
          <w:lang w:val="en-AU"/>
        </w:rPr>
        <w:t xml:space="preserve">arising from the ODE Evaluation of the program) from the previous reporting period </w:t>
      </w:r>
      <w:r w:rsidR="0061652A">
        <w:rPr>
          <w:lang w:val="en-AU"/>
        </w:rPr>
        <w:t>continues</w:t>
      </w:r>
      <w:r>
        <w:rPr>
          <w:lang w:val="en-AU"/>
        </w:rPr>
        <w:t xml:space="preserve"> with </w:t>
      </w:r>
      <w:r w:rsidR="0061652A">
        <w:rPr>
          <w:lang w:val="en-AU"/>
        </w:rPr>
        <w:t>two</w:t>
      </w:r>
      <w:r>
        <w:rPr>
          <w:lang w:val="en-AU"/>
        </w:rPr>
        <w:t xml:space="preserve"> of the actions achieved, </w:t>
      </w:r>
      <w:r w:rsidR="0061652A">
        <w:rPr>
          <w:lang w:val="en-AU"/>
        </w:rPr>
        <w:t>one</w:t>
      </w:r>
      <w:r>
        <w:rPr>
          <w:lang w:val="en-AU"/>
        </w:rPr>
        <w:t xml:space="preserve"> partly achieved and one not </w:t>
      </w:r>
      <w:r w:rsidR="00447654">
        <w:rPr>
          <w:lang w:val="en-AU"/>
        </w:rPr>
        <w:t xml:space="preserve">yet </w:t>
      </w:r>
      <w:r>
        <w:rPr>
          <w:lang w:val="en-AU"/>
        </w:rPr>
        <w:t xml:space="preserve">achieved. More detail on the progress against the 2015-16 management responses is outlined in the table </w:t>
      </w:r>
      <w:r>
        <w:t>at</w:t>
      </w:r>
      <w:r w:rsidR="002A51CA" w:rsidRPr="00C61187">
        <w:t xml:space="preserve"> </w:t>
      </w:r>
      <w:r w:rsidR="002A51CA" w:rsidRPr="00C61187">
        <w:rPr>
          <w:b/>
        </w:rPr>
        <w:t>Annex A.</w:t>
      </w:r>
    </w:p>
    <w:p w14:paraId="21E18F49" w14:textId="463C0AA5" w:rsidR="0059150F" w:rsidRDefault="00354E10" w:rsidP="00331D71">
      <w:pPr>
        <w:pStyle w:val="Heading4"/>
        <w:keepNext w:val="0"/>
        <w:keepLines w:val="0"/>
      </w:pPr>
      <w:r>
        <w:t>Management Responses for 2016-17 (to be implemented in 2017-18)</w:t>
      </w:r>
    </w:p>
    <w:p w14:paraId="6542A860" w14:textId="00C22413" w:rsidR="00D15A00" w:rsidRDefault="00354E10" w:rsidP="008D3C92">
      <w:pPr>
        <w:pStyle w:val="Bullet2"/>
        <w:numPr>
          <w:ilvl w:val="6"/>
          <w:numId w:val="7"/>
        </w:numPr>
        <w:ind w:left="567" w:hanging="567"/>
        <w:rPr>
          <w:b/>
        </w:rPr>
      </w:pPr>
      <w:r w:rsidRPr="00354E10">
        <w:rPr>
          <w:b/>
        </w:rPr>
        <w:t>Strengthen the ANCP M</w:t>
      </w:r>
      <w:r w:rsidR="00331D71">
        <w:rPr>
          <w:b/>
        </w:rPr>
        <w:t>onitoring, Evaluation and Learning Framework (M</w:t>
      </w:r>
      <w:r w:rsidRPr="00354E10">
        <w:rPr>
          <w:b/>
        </w:rPr>
        <w:t>ELF</w:t>
      </w:r>
      <w:r w:rsidR="00331D71">
        <w:rPr>
          <w:b/>
        </w:rPr>
        <w:t>)</w:t>
      </w:r>
    </w:p>
    <w:p w14:paraId="2B6C3C51" w14:textId="5A174019" w:rsidR="008D3C92" w:rsidRDefault="008D3C92" w:rsidP="008D3C92">
      <w:r>
        <w:t>In 2017-18, NPQ will re-establish an ANCP MEL Reference Group which will:</w:t>
      </w:r>
    </w:p>
    <w:p w14:paraId="0A12BE1B" w14:textId="25D6BDA5" w:rsidR="008D3C92" w:rsidRPr="00F77AFC" w:rsidRDefault="008D3C92" w:rsidP="008D3C92">
      <w:pPr>
        <w:pStyle w:val="Bullet1"/>
      </w:pPr>
      <w:r w:rsidRPr="00F77AFC">
        <w:t>participate in a data validation exercise (ODE Evaluation Recommendation 4(c))</w:t>
      </w:r>
      <w:r w:rsidR="00BF7FB4">
        <w:t xml:space="preserve"> including attention to disaggregated sex and disability data</w:t>
      </w:r>
      <w:r w:rsidRPr="00F77AFC">
        <w:t>;</w:t>
      </w:r>
    </w:p>
    <w:p w14:paraId="4378E3D1" w14:textId="76781C44" w:rsidR="008D3C92" w:rsidRDefault="008D3C92" w:rsidP="008D3C92">
      <w:pPr>
        <w:pStyle w:val="Bullet1"/>
      </w:pPr>
      <w:r>
        <w:t>consider how the MELF and ANCP reporting will respond to the SDG agenda</w:t>
      </w:r>
      <w:r w:rsidRPr="00F77AFC">
        <w:t xml:space="preserve"> </w:t>
      </w:r>
      <w:r>
        <w:t>and indicators; and</w:t>
      </w:r>
    </w:p>
    <w:p w14:paraId="4902DF11" w14:textId="598522D3" w:rsidR="008D3C92" w:rsidRPr="00354E10" w:rsidRDefault="008D3C92" w:rsidP="008D3C92">
      <w:pPr>
        <w:pStyle w:val="Bullet1"/>
      </w:pPr>
      <w:r>
        <w:t>review the ANCP PAF and performance benchmarks for the 2017-18 period</w:t>
      </w:r>
      <w:r w:rsidR="00080461">
        <w:t xml:space="preserve"> including how the program can strengthen reporting of outcomes</w:t>
      </w:r>
      <w:r>
        <w:t>.</w:t>
      </w:r>
    </w:p>
    <w:p w14:paraId="03DEF5F2" w14:textId="638D995B" w:rsidR="00354E10" w:rsidRPr="00354E10" w:rsidRDefault="00354E10" w:rsidP="00331D71">
      <w:pPr>
        <w:pStyle w:val="Bullet2"/>
        <w:keepNext/>
        <w:keepLines/>
        <w:numPr>
          <w:ilvl w:val="6"/>
          <w:numId w:val="7"/>
        </w:numPr>
        <w:ind w:left="567" w:hanging="567"/>
        <w:rPr>
          <w:b/>
        </w:rPr>
      </w:pPr>
      <w:r w:rsidRPr="00354E10">
        <w:rPr>
          <w:b/>
        </w:rPr>
        <w:t>Clarify the role of Posts and increase ANCP’s visibility within DFAT</w:t>
      </w:r>
    </w:p>
    <w:p w14:paraId="4A41157E" w14:textId="4B6422AC" w:rsidR="00354E10" w:rsidRDefault="00354E10" w:rsidP="00331D71">
      <w:pPr>
        <w:pStyle w:val="Bullet2"/>
        <w:keepNext/>
        <w:keepLines/>
        <w:numPr>
          <w:ilvl w:val="0"/>
          <w:numId w:val="0"/>
        </w:numPr>
        <w:rPr>
          <w:rFonts w:eastAsia="Times New Roman"/>
          <w:iCs/>
          <w:szCs w:val="17"/>
        </w:rPr>
      </w:pPr>
      <w:r>
        <w:rPr>
          <w:rFonts w:eastAsia="Times New Roman"/>
          <w:iCs/>
          <w:szCs w:val="17"/>
        </w:rPr>
        <w:t>In 2017-18, NPQ will:</w:t>
      </w:r>
    </w:p>
    <w:p w14:paraId="2D53BE45" w14:textId="691F1EF8" w:rsidR="00354E10" w:rsidRDefault="00354E10" w:rsidP="00331D71">
      <w:pPr>
        <w:pStyle w:val="Bullet1"/>
        <w:keepNext/>
        <w:keepLines/>
      </w:pPr>
      <w:r>
        <w:t>Finalise and implement the Role of Post policy</w:t>
      </w:r>
      <w:r w:rsidR="00447654">
        <w:t>;</w:t>
      </w:r>
    </w:p>
    <w:p w14:paraId="45B09D02" w14:textId="1F135634" w:rsidR="00BF7FB4" w:rsidRDefault="00447654" w:rsidP="00BF7FB4">
      <w:pPr>
        <w:pStyle w:val="Bullet1"/>
      </w:pPr>
      <w:r>
        <w:t>Develop guidelines</w:t>
      </w:r>
      <w:r w:rsidR="00BF7FB4" w:rsidRPr="00BF7FB4">
        <w:t xml:space="preserve"> </w:t>
      </w:r>
      <w:r w:rsidR="00BF7FB4">
        <w:t>for ANCP M&amp;E activities;</w:t>
      </w:r>
      <w:r>
        <w:t xml:space="preserve"> </w:t>
      </w:r>
      <w:r w:rsidR="00BF7FB4">
        <w:t>and</w:t>
      </w:r>
    </w:p>
    <w:p w14:paraId="310EF066" w14:textId="3CE94238" w:rsidR="00447654" w:rsidRDefault="004A0045" w:rsidP="00F151D8">
      <w:pPr>
        <w:pStyle w:val="Bullet1"/>
      </w:pPr>
      <w:r>
        <w:t xml:space="preserve">pilot training </w:t>
      </w:r>
      <w:r w:rsidR="00447654">
        <w:t>for Post</w:t>
      </w:r>
      <w:r>
        <w:t>s undertaking M&amp;E activities</w:t>
      </w:r>
      <w:r w:rsidR="00447654">
        <w:t>.</w:t>
      </w:r>
    </w:p>
    <w:p w14:paraId="1056634E" w14:textId="71F51E05" w:rsidR="00354E10" w:rsidRPr="00354E10" w:rsidRDefault="00354E10" w:rsidP="008D3C92">
      <w:pPr>
        <w:pStyle w:val="Bullet2"/>
        <w:numPr>
          <w:ilvl w:val="6"/>
          <w:numId w:val="7"/>
        </w:numPr>
        <w:ind w:left="567" w:hanging="567"/>
        <w:rPr>
          <w:b/>
        </w:rPr>
      </w:pPr>
      <w:r w:rsidRPr="00354E10">
        <w:rPr>
          <w:b/>
        </w:rPr>
        <w:t xml:space="preserve">Undertake a review of Accreditation </w:t>
      </w:r>
    </w:p>
    <w:p w14:paraId="10A3BB05" w14:textId="5E69A871" w:rsidR="002E042C" w:rsidRDefault="002E042C" w:rsidP="002E042C">
      <w:r>
        <w:t>In 2017-18 NPQ will undertake a review of accreditation that will:</w:t>
      </w:r>
    </w:p>
    <w:p w14:paraId="51B97E09" w14:textId="74A67EDC" w:rsidR="002E042C" w:rsidRPr="00397A30" w:rsidRDefault="00397A30" w:rsidP="007F608B">
      <w:pPr>
        <w:pStyle w:val="Bullet1"/>
        <w:rPr>
          <w:color w:val="auto"/>
          <w:lang w:val="en-AU"/>
        </w:rPr>
      </w:pPr>
      <w:r>
        <w:t xml:space="preserve">ensure </w:t>
      </w:r>
      <w:r w:rsidR="002E042C">
        <w:t>the ANCP Accreditation criteria and processes meets DFAT’s current and anticipated risk parameters and the requirements included in DFAT’s Due Diligence Framework; and</w:t>
      </w:r>
    </w:p>
    <w:p w14:paraId="13A854BA" w14:textId="61AA6C2C" w:rsidR="00D15A00" w:rsidRDefault="002E042C" w:rsidP="00AD1F94">
      <w:pPr>
        <w:pStyle w:val="Bullet1"/>
      </w:pPr>
      <w:r>
        <w:t xml:space="preserve">look for opportunities to streamline the processes to reduce the administrative burden on NGOs and DFAT, where possible. </w:t>
      </w:r>
    </w:p>
    <w:p w14:paraId="3BC7159F" w14:textId="77777777" w:rsidR="00D15A00" w:rsidRDefault="00D15A00" w:rsidP="002A51CA">
      <w:pPr>
        <w:sectPr w:rsidR="00D15A00" w:rsidSect="00C0275C">
          <w:pgSz w:w="11906" w:h="16838" w:code="9"/>
          <w:pgMar w:top="1527" w:right="1134" w:bottom="993" w:left="1134" w:header="1418" w:footer="567" w:gutter="0"/>
          <w:cols w:space="397"/>
          <w:docGrid w:linePitch="360"/>
        </w:sectPr>
      </w:pPr>
    </w:p>
    <w:p w14:paraId="7FE3A55F" w14:textId="3F4AEFDE" w:rsidR="00400B0F" w:rsidRPr="00C61187" w:rsidRDefault="00400B0F" w:rsidP="00FA3DA5">
      <w:pPr>
        <w:pStyle w:val="Subtitle"/>
        <w:numPr>
          <w:ilvl w:val="0"/>
          <w:numId w:val="0"/>
        </w:numPr>
      </w:pPr>
      <w:r w:rsidRPr="00400B0F">
        <w:t xml:space="preserve">Annex A - Progress in Addressing Management </w:t>
      </w:r>
      <w:r w:rsidR="00AC302F">
        <w:t>actions</w:t>
      </w:r>
    </w:p>
    <w:tbl>
      <w:tblPr>
        <w:tblStyle w:val="APPR"/>
        <w:tblpPr w:leftFromText="180" w:rightFromText="180" w:vertAnchor="text" w:tblpY="1"/>
        <w:tblW w:w="5000" w:type="pct"/>
        <w:tblLayout w:type="fixed"/>
        <w:tblLook w:val="0000" w:firstRow="0" w:lastRow="0" w:firstColumn="0" w:lastColumn="0" w:noHBand="0" w:noVBand="0"/>
      </w:tblPr>
      <w:tblGrid>
        <w:gridCol w:w="4050"/>
        <w:gridCol w:w="1446"/>
        <w:gridCol w:w="8964"/>
      </w:tblGrid>
      <w:tr w:rsidR="00400B0F" w:rsidRPr="00C61187" w14:paraId="19F62F60" w14:textId="77777777" w:rsidTr="00FF0F64">
        <w:trPr>
          <w:cnfStyle w:val="000000010000" w:firstRow="0" w:lastRow="0" w:firstColumn="0" w:lastColumn="0" w:oddVBand="0" w:evenVBand="0" w:oddHBand="0" w:evenHBand="1" w:firstRowFirstColumn="0" w:firstRowLastColumn="0" w:lastRowFirstColumn="0" w:lastRowLastColumn="0"/>
        </w:trPr>
        <w:tc>
          <w:tcPr>
            <w:tcW w:w="3927" w:type="dxa"/>
          </w:tcPr>
          <w:p w14:paraId="5B4C1AFB" w14:textId="77777777" w:rsidR="00400B0F" w:rsidRPr="00880004" w:rsidRDefault="00400B0F" w:rsidP="00A54034">
            <w:pPr>
              <w:keepLines/>
              <w:spacing w:before="80" w:after="80" w:line="200" w:lineRule="atLeast"/>
              <w:rPr>
                <w:rFonts w:asciiTheme="minorHAnsi" w:eastAsia="Times New Roman" w:hAnsiTheme="minorHAnsi"/>
                <w:b/>
                <w:iCs/>
                <w:szCs w:val="17"/>
                <w:lang w:eastAsia="en-US"/>
              </w:rPr>
            </w:pPr>
            <w:r w:rsidRPr="00880004">
              <w:rPr>
                <w:rFonts w:asciiTheme="minorHAnsi" w:eastAsia="Times New Roman" w:hAnsiTheme="minorHAnsi"/>
                <w:b/>
                <w:iCs/>
                <w:szCs w:val="17"/>
                <w:lang w:eastAsia="en-US"/>
              </w:rPr>
              <w:t xml:space="preserve">Management </w:t>
            </w:r>
            <w:r w:rsidR="00A54034">
              <w:rPr>
                <w:rFonts w:asciiTheme="minorHAnsi" w:eastAsia="Times New Roman" w:hAnsiTheme="minorHAnsi"/>
                <w:b/>
                <w:iCs/>
                <w:szCs w:val="17"/>
                <w:lang w:eastAsia="en-US"/>
              </w:rPr>
              <w:t>actions</w:t>
            </w:r>
            <w:r w:rsidRPr="00880004">
              <w:rPr>
                <w:rFonts w:asciiTheme="minorHAnsi" w:eastAsia="Times New Roman" w:hAnsiTheme="minorHAnsi"/>
                <w:b/>
                <w:iCs/>
                <w:szCs w:val="17"/>
                <w:lang w:eastAsia="en-US"/>
              </w:rPr>
              <w:t xml:space="preserve"> identified in 201</w:t>
            </w:r>
            <w:r w:rsidR="00510FAB">
              <w:rPr>
                <w:rFonts w:asciiTheme="minorHAnsi" w:eastAsia="Times New Roman" w:hAnsiTheme="minorHAnsi"/>
                <w:b/>
                <w:iCs/>
                <w:szCs w:val="17"/>
                <w:lang w:eastAsia="en-US"/>
              </w:rPr>
              <w:t>5</w:t>
            </w:r>
            <w:r w:rsidRPr="00880004">
              <w:rPr>
                <w:rFonts w:asciiTheme="minorHAnsi" w:eastAsia="Times New Roman" w:hAnsiTheme="minorHAnsi"/>
                <w:b/>
                <w:iCs/>
                <w:szCs w:val="17"/>
                <w:lang w:eastAsia="en-US"/>
              </w:rPr>
              <w:t>-1</w:t>
            </w:r>
            <w:r w:rsidR="00510FAB">
              <w:rPr>
                <w:rFonts w:asciiTheme="minorHAnsi" w:eastAsia="Times New Roman" w:hAnsiTheme="minorHAnsi"/>
                <w:b/>
                <w:iCs/>
                <w:szCs w:val="17"/>
                <w:lang w:eastAsia="en-US"/>
              </w:rPr>
              <w:t>6</w:t>
            </w:r>
            <w:r w:rsidRPr="00880004">
              <w:rPr>
                <w:rFonts w:asciiTheme="minorHAnsi" w:eastAsia="Times New Roman" w:hAnsiTheme="minorHAnsi"/>
                <w:b/>
                <w:iCs/>
                <w:szCs w:val="17"/>
                <w:lang w:eastAsia="en-US"/>
              </w:rPr>
              <w:t xml:space="preserve"> APPR</w:t>
            </w:r>
            <w:r w:rsidRPr="00880004">
              <w:rPr>
                <w:rFonts w:asciiTheme="minorHAnsi" w:eastAsia="Times New Roman" w:hAnsiTheme="minorHAnsi"/>
                <w:b/>
                <w:iCs/>
                <w:szCs w:val="17"/>
                <w:lang w:eastAsia="en-US"/>
              </w:rPr>
              <w:tab/>
            </w:r>
          </w:p>
        </w:tc>
        <w:tc>
          <w:tcPr>
            <w:tcW w:w="1390" w:type="dxa"/>
          </w:tcPr>
          <w:p w14:paraId="11B3F790" w14:textId="77777777" w:rsidR="00400B0F" w:rsidRPr="00880004" w:rsidRDefault="00400B0F" w:rsidP="006F27B1">
            <w:pPr>
              <w:keepLines/>
              <w:spacing w:before="80" w:after="80" w:line="200" w:lineRule="atLeast"/>
              <w:rPr>
                <w:rFonts w:asciiTheme="minorHAnsi" w:eastAsia="Times New Roman" w:hAnsiTheme="minorHAnsi"/>
                <w:b/>
                <w:iCs/>
                <w:szCs w:val="17"/>
                <w:lang w:eastAsia="en-US"/>
              </w:rPr>
            </w:pPr>
            <w:r w:rsidRPr="00880004">
              <w:rPr>
                <w:rFonts w:asciiTheme="minorHAnsi" w:eastAsia="Times New Roman" w:hAnsiTheme="minorHAnsi"/>
                <w:b/>
                <w:iCs/>
                <w:szCs w:val="17"/>
                <w:lang w:eastAsia="en-US"/>
              </w:rPr>
              <w:t>Rating</w:t>
            </w:r>
          </w:p>
        </w:tc>
        <w:tc>
          <w:tcPr>
            <w:tcW w:w="8744" w:type="dxa"/>
          </w:tcPr>
          <w:p w14:paraId="402D03C3" w14:textId="77777777" w:rsidR="00400B0F" w:rsidRPr="00880004" w:rsidRDefault="00400B0F" w:rsidP="001103E6">
            <w:pPr>
              <w:keepLines/>
              <w:spacing w:before="80" w:after="80" w:line="200" w:lineRule="atLeast"/>
              <w:jc w:val="center"/>
              <w:rPr>
                <w:rFonts w:asciiTheme="minorHAnsi" w:eastAsia="Times New Roman" w:hAnsiTheme="minorHAnsi"/>
                <w:b/>
                <w:iCs/>
                <w:szCs w:val="17"/>
                <w:lang w:eastAsia="en-US"/>
              </w:rPr>
            </w:pPr>
            <w:r w:rsidRPr="00880004">
              <w:rPr>
                <w:rFonts w:asciiTheme="minorHAnsi" w:eastAsia="Times New Roman" w:hAnsiTheme="minorHAnsi"/>
                <w:b/>
                <w:iCs/>
                <w:szCs w:val="17"/>
                <w:lang w:eastAsia="en-US"/>
              </w:rPr>
              <w:t>Progress made  in 201</w:t>
            </w:r>
            <w:r w:rsidR="001103E6">
              <w:rPr>
                <w:rFonts w:asciiTheme="minorHAnsi" w:eastAsia="Times New Roman" w:hAnsiTheme="minorHAnsi"/>
                <w:b/>
                <w:iCs/>
                <w:szCs w:val="17"/>
                <w:lang w:eastAsia="en-US"/>
              </w:rPr>
              <w:t>6</w:t>
            </w:r>
            <w:r w:rsidRPr="00880004">
              <w:rPr>
                <w:rFonts w:asciiTheme="minorHAnsi" w:eastAsia="Times New Roman" w:hAnsiTheme="minorHAnsi"/>
                <w:b/>
                <w:iCs/>
                <w:szCs w:val="17"/>
                <w:lang w:eastAsia="en-US"/>
              </w:rPr>
              <w:t>-1</w:t>
            </w:r>
            <w:r w:rsidR="001103E6">
              <w:rPr>
                <w:rFonts w:asciiTheme="minorHAnsi" w:eastAsia="Times New Roman" w:hAnsiTheme="minorHAnsi"/>
                <w:b/>
                <w:iCs/>
                <w:szCs w:val="17"/>
                <w:lang w:eastAsia="en-US"/>
              </w:rPr>
              <w:t>7</w:t>
            </w:r>
          </w:p>
        </w:tc>
      </w:tr>
      <w:tr w:rsidR="00400B0F" w:rsidRPr="00C61187" w14:paraId="319147CC" w14:textId="77777777" w:rsidTr="00FF0F64">
        <w:trPr>
          <w:cnfStyle w:val="000000010000" w:firstRow="0" w:lastRow="0" w:firstColumn="0" w:lastColumn="0" w:oddVBand="0" w:evenVBand="0" w:oddHBand="0" w:evenHBand="1" w:firstRowFirstColumn="0" w:firstRowLastColumn="0" w:lastRowFirstColumn="0" w:lastRowLastColumn="0"/>
        </w:trPr>
        <w:tc>
          <w:tcPr>
            <w:tcW w:w="3927" w:type="dxa"/>
          </w:tcPr>
          <w:p w14:paraId="1484400F" w14:textId="412FFFEB" w:rsidR="00400B0F" w:rsidRPr="00880004" w:rsidRDefault="00876264" w:rsidP="006F27B1">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Continue to clarify partnership engagement</w:t>
            </w:r>
          </w:p>
        </w:tc>
        <w:tc>
          <w:tcPr>
            <w:tcW w:w="1390" w:type="dxa"/>
            <w:shd w:val="clear" w:color="auto" w:fill="72AF2F"/>
          </w:tcPr>
          <w:p w14:paraId="309A2C2F" w14:textId="77777777" w:rsidR="00400B0F" w:rsidRPr="00880004" w:rsidRDefault="00400B0F" w:rsidP="006F27B1">
            <w:pPr>
              <w:keepLines/>
              <w:spacing w:before="40" w:after="40" w:line="200" w:lineRule="atLeast"/>
              <w:jc w:val="center"/>
              <w:rPr>
                <w:rFonts w:asciiTheme="minorHAnsi" w:eastAsia="Times New Roman" w:hAnsiTheme="minorHAnsi"/>
                <w:iCs/>
                <w:color w:val="FFFFFF" w:themeColor="background1"/>
                <w:szCs w:val="17"/>
                <w:lang w:eastAsia="en-US"/>
              </w:rPr>
            </w:pPr>
            <w:r w:rsidRPr="00880004">
              <w:rPr>
                <w:rFonts w:asciiTheme="minorHAnsi" w:eastAsia="Times New Roman" w:hAnsiTheme="minorHAnsi"/>
                <w:iCs/>
                <w:color w:val="FFFFFF" w:themeColor="background1"/>
                <w:szCs w:val="17"/>
                <w:lang w:eastAsia="en-US"/>
              </w:rPr>
              <w:t>Achieved</w:t>
            </w:r>
          </w:p>
        </w:tc>
        <w:tc>
          <w:tcPr>
            <w:tcW w:w="8744" w:type="dxa"/>
          </w:tcPr>
          <w:p w14:paraId="259DCB69" w14:textId="4F1C456C" w:rsidR="00400B0F" w:rsidRPr="00FF0F64" w:rsidRDefault="00876264" w:rsidP="006F27B1">
            <w:pPr>
              <w:keepLines/>
              <w:spacing w:before="40" w:after="40" w:line="200" w:lineRule="atLeast"/>
              <w:rPr>
                <w:rFonts w:asciiTheme="minorHAnsi" w:eastAsia="Times New Roman" w:hAnsiTheme="minorHAnsi"/>
                <w:iCs/>
                <w:szCs w:val="17"/>
                <w:lang w:eastAsia="en-US"/>
              </w:rPr>
            </w:pPr>
            <w:r w:rsidRPr="00FF0F64">
              <w:rPr>
                <w:rFonts w:asciiTheme="minorHAnsi" w:eastAsia="Times New Roman" w:hAnsiTheme="minorHAnsi"/>
                <w:iCs/>
                <w:szCs w:val="17"/>
                <w:lang w:eastAsia="en-US"/>
              </w:rPr>
              <w:t>Partnership principles and behavi</w:t>
            </w:r>
            <w:r w:rsidR="00FF0F64">
              <w:rPr>
                <w:rFonts w:asciiTheme="minorHAnsi" w:eastAsia="Times New Roman" w:hAnsiTheme="minorHAnsi"/>
                <w:iCs/>
                <w:szCs w:val="17"/>
                <w:lang w:eastAsia="en-US"/>
              </w:rPr>
              <w:t xml:space="preserve">ours drafted, </w:t>
            </w:r>
            <w:r w:rsidRPr="00FF0F64">
              <w:rPr>
                <w:rFonts w:asciiTheme="minorHAnsi" w:eastAsia="Times New Roman" w:hAnsiTheme="minorHAnsi"/>
                <w:iCs/>
                <w:szCs w:val="17"/>
                <w:lang w:eastAsia="en-US"/>
              </w:rPr>
              <w:t>consulted</w:t>
            </w:r>
            <w:r w:rsidR="00FF0F64">
              <w:rPr>
                <w:rFonts w:asciiTheme="minorHAnsi" w:eastAsia="Times New Roman" w:hAnsiTheme="minorHAnsi"/>
                <w:iCs/>
                <w:szCs w:val="17"/>
                <w:lang w:eastAsia="en-US"/>
              </w:rPr>
              <w:t xml:space="preserve"> and endorsed</w:t>
            </w:r>
            <w:r w:rsidRPr="00FF0F64">
              <w:rPr>
                <w:rFonts w:asciiTheme="minorHAnsi" w:eastAsia="Times New Roman" w:hAnsiTheme="minorHAnsi"/>
                <w:iCs/>
                <w:szCs w:val="17"/>
                <w:lang w:eastAsia="en-US"/>
              </w:rPr>
              <w:t>. ANCP Program logic to be updated in 2017-18 to include these principles.</w:t>
            </w:r>
          </w:p>
        </w:tc>
      </w:tr>
      <w:tr w:rsidR="00876264" w:rsidRPr="00C61187" w14:paraId="4018037D" w14:textId="77777777" w:rsidTr="00FF0F64">
        <w:trPr>
          <w:cnfStyle w:val="000000010000" w:firstRow="0" w:lastRow="0" w:firstColumn="0" w:lastColumn="0" w:oddVBand="0" w:evenVBand="0" w:oddHBand="0" w:evenHBand="1" w:firstRowFirstColumn="0" w:firstRowLastColumn="0" w:lastRowFirstColumn="0" w:lastRowLastColumn="0"/>
        </w:trPr>
        <w:tc>
          <w:tcPr>
            <w:tcW w:w="3927" w:type="dxa"/>
          </w:tcPr>
          <w:p w14:paraId="2D7C2FFB" w14:textId="67C043C8" w:rsidR="00876264" w:rsidRPr="00880004" w:rsidRDefault="00876264" w:rsidP="00876264">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Strengthen the ANCP MELF</w:t>
            </w:r>
          </w:p>
        </w:tc>
        <w:tc>
          <w:tcPr>
            <w:tcW w:w="1390" w:type="dxa"/>
            <w:shd w:val="clear" w:color="auto" w:fill="FF0000"/>
          </w:tcPr>
          <w:p w14:paraId="104985FB" w14:textId="3E09A043" w:rsidR="00876264" w:rsidRPr="00880004" w:rsidRDefault="00876264" w:rsidP="00876264">
            <w:pPr>
              <w:keepLines/>
              <w:spacing w:before="40" w:after="40" w:line="200" w:lineRule="atLeast"/>
              <w:jc w:val="center"/>
              <w:rPr>
                <w:rFonts w:asciiTheme="minorHAnsi" w:eastAsia="Times New Roman" w:hAnsiTheme="minorHAnsi"/>
                <w:iCs/>
                <w:color w:val="FFFFFF" w:themeColor="background1"/>
                <w:szCs w:val="17"/>
                <w:lang w:eastAsia="en-US"/>
              </w:rPr>
            </w:pPr>
            <w:r w:rsidRPr="00880004">
              <w:rPr>
                <w:rFonts w:asciiTheme="minorHAnsi" w:eastAsia="Times New Roman" w:hAnsiTheme="minorHAnsi"/>
                <w:iCs/>
                <w:color w:val="FFFFFF" w:themeColor="background1"/>
                <w:szCs w:val="17"/>
                <w:lang w:eastAsia="en-US"/>
              </w:rPr>
              <w:t>Not achieved</w:t>
            </w:r>
          </w:p>
        </w:tc>
        <w:tc>
          <w:tcPr>
            <w:tcW w:w="8744" w:type="dxa"/>
          </w:tcPr>
          <w:p w14:paraId="6FA5A0D5" w14:textId="58CB6D7C" w:rsidR="00876264" w:rsidRPr="00FF0F64" w:rsidRDefault="00FF0F64" w:rsidP="00876264">
            <w:pPr>
              <w:keepLines/>
              <w:spacing w:before="40" w:after="40" w:line="200" w:lineRule="atLeast"/>
              <w:rPr>
                <w:rFonts w:asciiTheme="minorHAnsi" w:eastAsia="Times New Roman" w:hAnsiTheme="minorHAnsi"/>
                <w:iCs/>
                <w:szCs w:val="17"/>
                <w:lang w:eastAsia="en-US"/>
              </w:rPr>
            </w:pPr>
            <w:r w:rsidRPr="00FF0F64">
              <w:rPr>
                <w:rFonts w:asciiTheme="minorHAnsi" w:eastAsia="Times New Roman" w:hAnsiTheme="minorHAnsi"/>
                <w:iCs/>
                <w:szCs w:val="17"/>
                <w:lang w:eastAsia="en-US"/>
              </w:rPr>
              <w:t>An initial tele-conference was held in December 2016 to discuss membership, terms of reference and workplan. Work has not progressed since then due to resource constraints.</w:t>
            </w:r>
          </w:p>
        </w:tc>
      </w:tr>
      <w:tr w:rsidR="00FF0F64" w:rsidRPr="00C61187" w14:paraId="0D35EA83" w14:textId="77777777" w:rsidTr="0062062C">
        <w:trPr>
          <w:cnfStyle w:val="000000010000" w:firstRow="0" w:lastRow="0" w:firstColumn="0" w:lastColumn="0" w:oddVBand="0" w:evenVBand="0" w:oddHBand="0" w:evenHBand="1" w:firstRowFirstColumn="0" w:firstRowLastColumn="0" w:lastRowFirstColumn="0" w:lastRowLastColumn="0"/>
        </w:trPr>
        <w:tc>
          <w:tcPr>
            <w:tcW w:w="3927" w:type="dxa"/>
          </w:tcPr>
          <w:p w14:paraId="744AB2D7" w14:textId="7D482B77" w:rsidR="00FF0F64" w:rsidRPr="00880004" w:rsidRDefault="00FF0F64" w:rsidP="00FF0F64">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Clarify the role of Posts and increase ANCP’s visibility within DFAT</w:t>
            </w:r>
          </w:p>
        </w:tc>
        <w:tc>
          <w:tcPr>
            <w:tcW w:w="1390" w:type="dxa"/>
            <w:shd w:val="clear" w:color="auto" w:fill="E36C0A"/>
          </w:tcPr>
          <w:p w14:paraId="70BBD98A" w14:textId="53F8C515" w:rsidR="00FF0F64" w:rsidRPr="00880004" w:rsidRDefault="00FF0F64" w:rsidP="00FF0F64">
            <w:pPr>
              <w:keepLines/>
              <w:spacing w:before="40" w:after="40" w:line="200" w:lineRule="atLeast"/>
              <w:jc w:val="center"/>
              <w:rPr>
                <w:rFonts w:asciiTheme="minorHAnsi" w:eastAsia="Times New Roman" w:hAnsiTheme="minorHAnsi"/>
                <w:iCs/>
                <w:color w:val="FFFFFF" w:themeColor="background1"/>
                <w:szCs w:val="17"/>
                <w:lang w:eastAsia="en-US"/>
              </w:rPr>
            </w:pPr>
            <w:r w:rsidRPr="00880004">
              <w:rPr>
                <w:rFonts w:asciiTheme="minorHAnsi" w:eastAsia="Times New Roman" w:hAnsiTheme="minorHAnsi"/>
                <w:iCs/>
                <w:color w:val="FFFFFF" w:themeColor="background1"/>
                <w:szCs w:val="17"/>
                <w:lang w:eastAsia="en-US"/>
              </w:rPr>
              <w:t>Partly achieved</w:t>
            </w:r>
          </w:p>
        </w:tc>
        <w:tc>
          <w:tcPr>
            <w:tcW w:w="8744" w:type="dxa"/>
          </w:tcPr>
          <w:p w14:paraId="719571A6" w14:textId="70B04CFE" w:rsidR="00FF0F64" w:rsidRPr="00FF0F64" w:rsidRDefault="00FF0F64" w:rsidP="0061652A">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 xml:space="preserve">NPQ drafted and consulted </w:t>
            </w:r>
            <w:r w:rsidR="001F0708">
              <w:rPr>
                <w:rFonts w:asciiTheme="minorHAnsi" w:eastAsia="Times New Roman" w:hAnsiTheme="minorHAnsi"/>
                <w:iCs/>
                <w:szCs w:val="17"/>
                <w:lang w:eastAsia="en-US"/>
              </w:rPr>
              <w:t xml:space="preserve">on a draft Role of Post policy for the ANCP in 2016-17. The policy </w:t>
            </w:r>
            <w:r w:rsidR="0061652A">
              <w:rPr>
                <w:rFonts w:asciiTheme="minorHAnsi" w:eastAsia="Times New Roman" w:hAnsiTheme="minorHAnsi"/>
                <w:iCs/>
                <w:szCs w:val="17"/>
                <w:lang w:eastAsia="en-US"/>
              </w:rPr>
              <w:t>is already being used to good effect</w:t>
            </w:r>
            <w:r w:rsidR="00F441F2">
              <w:rPr>
                <w:rFonts w:asciiTheme="minorHAnsi" w:eastAsia="Times New Roman" w:hAnsiTheme="minorHAnsi"/>
                <w:iCs/>
                <w:szCs w:val="17"/>
                <w:lang w:eastAsia="en-US"/>
              </w:rPr>
              <w:t xml:space="preserve"> informally and </w:t>
            </w:r>
            <w:r w:rsidR="001F0708">
              <w:rPr>
                <w:rFonts w:asciiTheme="minorHAnsi" w:eastAsia="Times New Roman" w:hAnsiTheme="minorHAnsi"/>
                <w:iCs/>
                <w:szCs w:val="17"/>
                <w:lang w:eastAsia="en-US"/>
              </w:rPr>
              <w:t>will be finalised in 2017-18. A</w:t>
            </w:r>
            <w:r w:rsidR="00F441F2">
              <w:rPr>
                <w:rFonts w:asciiTheme="minorHAnsi" w:eastAsia="Times New Roman" w:hAnsiTheme="minorHAnsi"/>
                <w:iCs/>
                <w:szCs w:val="17"/>
                <w:lang w:eastAsia="en-US"/>
              </w:rPr>
              <w:t> </w:t>
            </w:r>
            <w:r w:rsidR="001F0708">
              <w:rPr>
                <w:rFonts w:asciiTheme="minorHAnsi" w:eastAsia="Times New Roman" w:hAnsiTheme="minorHAnsi"/>
                <w:iCs/>
                <w:szCs w:val="17"/>
                <w:lang w:eastAsia="en-US"/>
              </w:rPr>
              <w:t>Communications Strategy was developed in 2016-17 which has resulted in increased engagement and social media coverage of the program.</w:t>
            </w:r>
          </w:p>
        </w:tc>
      </w:tr>
      <w:tr w:rsidR="00400B0F" w:rsidRPr="00C61187" w14:paraId="37552D46" w14:textId="77777777" w:rsidTr="00F441F2">
        <w:trPr>
          <w:cnfStyle w:val="000000010000" w:firstRow="0" w:lastRow="0" w:firstColumn="0" w:lastColumn="0" w:oddVBand="0" w:evenVBand="0" w:oddHBand="0" w:evenHBand="1" w:firstRowFirstColumn="0" w:firstRowLastColumn="0" w:lastRowFirstColumn="0" w:lastRowLastColumn="0"/>
        </w:trPr>
        <w:tc>
          <w:tcPr>
            <w:tcW w:w="3927" w:type="dxa"/>
          </w:tcPr>
          <w:p w14:paraId="68726B25" w14:textId="381124DF" w:rsidR="00400B0F" w:rsidRPr="00880004" w:rsidRDefault="00FF0F64" w:rsidP="006F27B1">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Improve communication and the sharing of lessons between ANCP NGOs, local NGOs and DFAT</w:t>
            </w:r>
          </w:p>
        </w:tc>
        <w:tc>
          <w:tcPr>
            <w:tcW w:w="1390" w:type="dxa"/>
            <w:shd w:val="clear" w:color="auto" w:fill="7CBF33"/>
          </w:tcPr>
          <w:p w14:paraId="08855631" w14:textId="77B683D9" w:rsidR="00400B0F" w:rsidRPr="00880004" w:rsidRDefault="00F441F2" w:rsidP="00F441F2">
            <w:pPr>
              <w:keepLines/>
              <w:spacing w:before="40" w:after="40" w:line="200" w:lineRule="atLeast"/>
              <w:jc w:val="center"/>
              <w:rPr>
                <w:rFonts w:asciiTheme="minorHAnsi" w:eastAsia="Times New Roman" w:hAnsiTheme="minorHAnsi"/>
                <w:iCs/>
                <w:color w:val="FFFFFF" w:themeColor="background1"/>
                <w:szCs w:val="17"/>
                <w:lang w:eastAsia="en-US"/>
              </w:rPr>
            </w:pPr>
            <w:r>
              <w:rPr>
                <w:rFonts w:asciiTheme="minorHAnsi" w:eastAsia="Times New Roman" w:hAnsiTheme="minorHAnsi"/>
                <w:iCs/>
                <w:color w:val="FFFFFF" w:themeColor="background1"/>
                <w:szCs w:val="17"/>
                <w:lang w:eastAsia="en-US"/>
              </w:rPr>
              <w:t>A</w:t>
            </w:r>
            <w:r w:rsidR="00FF0F64">
              <w:rPr>
                <w:rFonts w:asciiTheme="minorHAnsi" w:eastAsia="Times New Roman" w:hAnsiTheme="minorHAnsi"/>
                <w:iCs/>
                <w:color w:val="FFFFFF" w:themeColor="background1"/>
                <w:szCs w:val="17"/>
                <w:lang w:eastAsia="en-US"/>
              </w:rPr>
              <w:t>chieved</w:t>
            </w:r>
          </w:p>
        </w:tc>
        <w:tc>
          <w:tcPr>
            <w:tcW w:w="8744" w:type="dxa"/>
          </w:tcPr>
          <w:p w14:paraId="7E4850EA" w14:textId="6F201F94" w:rsidR="00400B0F" w:rsidRPr="00FF0F64" w:rsidRDefault="001F0708" w:rsidP="006F27B1">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 xml:space="preserve">2016-17 saw </w:t>
            </w:r>
            <w:r w:rsidR="0061652A">
              <w:rPr>
                <w:rFonts w:asciiTheme="minorHAnsi" w:eastAsia="Times New Roman" w:hAnsiTheme="minorHAnsi"/>
                <w:iCs/>
                <w:szCs w:val="17"/>
                <w:lang w:eastAsia="en-US"/>
              </w:rPr>
              <w:t xml:space="preserve">the communications strategy implemented and </w:t>
            </w:r>
            <w:r>
              <w:rPr>
                <w:rFonts w:asciiTheme="minorHAnsi" w:eastAsia="Times New Roman" w:hAnsiTheme="minorHAnsi"/>
                <w:iCs/>
                <w:szCs w:val="17"/>
                <w:lang w:eastAsia="en-US"/>
              </w:rPr>
              <w:t>an increase in the number of ANCP roundtables held in implementing countries through support provided to DFAT Posts to hold these in addition to those held as part of NPQ visits in-country. ACFID participated in Annual Reflections workshops</w:t>
            </w:r>
            <w:r w:rsidR="001F6CBE">
              <w:rPr>
                <w:rFonts w:asciiTheme="minorHAnsi" w:eastAsia="Times New Roman" w:hAnsiTheme="minorHAnsi"/>
                <w:iCs/>
                <w:szCs w:val="17"/>
                <w:lang w:eastAsia="en-US"/>
              </w:rPr>
              <w:t xml:space="preserve"> and NPQ contributed to ongoing work undertaken by ACFID on effectiveness including work on demonstrating impact and the ACFID partnership with DFAT.</w:t>
            </w:r>
          </w:p>
        </w:tc>
      </w:tr>
    </w:tbl>
    <w:p w14:paraId="6C936FEE" w14:textId="77777777" w:rsidR="00400B0F" w:rsidRPr="00880004" w:rsidRDefault="00400B0F" w:rsidP="00400B0F">
      <w:pPr>
        <w:spacing w:before="20" w:after="20" w:line="180" w:lineRule="atLeast"/>
        <w:jc w:val="both"/>
        <w:rPr>
          <w:rFonts w:eastAsia="Times New Roman"/>
          <w:b/>
          <w:sz w:val="16"/>
          <w:szCs w:val="14"/>
        </w:rPr>
      </w:pPr>
      <w:r w:rsidRPr="00880004">
        <w:rPr>
          <w:rFonts w:eastAsia="Times New Roman"/>
          <w:b/>
          <w:sz w:val="16"/>
          <w:szCs w:val="14"/>
        </w:rPr>
        <w:t xml:space="preserve">Note: </w:t>
      </w:r>
    </w:p>
    <w:p w14:paraId="6F39FF62" w14:textId="77777777" w:rsidR="00400B0F" w:rsidRPr="00880004" w:rsidRDefault="00400B0F" w:rsidP="00400B0F">
      <w:pPr>
        <w:spacing w:before="20" w:after="20" w:line="180" w:lineRule="atLeast"/>
        <w:jc w:val="both"/>
        <w:rPr>
          <w:rFonts w:eastAsia="Times New Roman"/>
          <w:b/>
          <w:sz w:val="16"/>
          <w:szCs w:val="14"/>
        </w:rPr>
      </w:pPr>
      <w:r w:rsidRPr="00880004">
        <w:rPr>
          <w:rFonts w:eastAsia="Times New Roman"/>
          <w:b/>
          <w:color w:val="72AF2F"/>
          <w:sz w:val="16"/>
          <w:szCs w:val="14"/>
        </w:rPr>
        <w:sym w:font="Webdings" w:char="F067"/>
      </w:r>
      <w:r w:rsidRPr="00880004">
        <w:rPr>
          <w:rFonts w:eastAsia="Times New Roman"/>
          <w:b/>
          <w:sz w:val="16"/>
          <w:szCs w:val="14"/>
        </w:rPr>
        <w:t> </w:t>
      </w:r>
      <w:r w:rsidRPr="00880004">
        <w:rPr>
          <w:rFonts w:eastAsia="Times New Roman"/>
          <w:b/>
          <w:sz w:val="16"/>
          <w:szCs w:val="14"/>
        </w:rPr>
        <w:t xml:space="preserve"> Achieved.  Significant progress has been made in addressing the issue </w:t>
      </w:r>
    </w:p>
    <w:p w14:paraId="1F07519B" w14:textId="77777777" w:rsidR="00400B0F" w:rsidRPr="00880004" w:rsidRDefault="00400B0F" w:rsidP="00400B0F">
      <w:pPr>
        <w:spacing w:before="20" w:after="20" w:line="180" w:lineRule="atLeast"/>
        <w:jc w:val="both"/>
        <w:rPr>
          <w:rFonts w:eastAsia="Times New Roman"/>
          <w:b/>
          <w:sz w:val="16"/>
          <w:szCs w:val="14"/>
        </w:rPr>
      </w:pPr>
      <w:r w:rsidRPr="00880004">
        <w:rPr>
          <w:rFonts w:eastAsia="Times New Roman"/>
          <w:b/>
          <w:color w:val="E36C0A"/>
          <w:sz w:val="16"/>
          <w:szCs w:val="14"/>
        </w:rPr>
        <w:sym w:font="Webdings" w:char="F067"/>
      </w:r>
      <w:r w:rsidRPr="00880004">
        <w:rPr>
          <w:rFonts w:eastAsia="Times New Roman"/>
          <w:b/>
          <w:sz w:val="16"/>
          <w:szCs w:val="14"/>
        </w:rPr>
        <w:t> </w:t>
      </w:r>
      <w:r w:rsidRPr="00880004">
        <w:rPr>
          <w:rFonts w:eastAsia="Times New Roman"/>
          <w:b/>
          <w:sz w:val="16"/>
          <w:szCs w:val="14"/>
        </w:rPr>
        <w:t xml:space="preserve"> Partly achieved.  Some progress has been made in addressing the issue, but the issue has not been resolved </w:t>
      </w:r>
    </w:p>
    <w:p w14:paraId="76D27CA6" w14:textId="77777777" w:rsidR="00400B0F" w:rsidRPr="00880004" w:rsidRDefault="00400B0F" w:rsidP="00400B0F">
      <w:pPr>
        <w:spacing w:before="20" w:after="20" w:line="180" w:lineRule="atLeast"/>
        <w:jc w:val="both"/>
        <w:rPr>
          <w:rFonts w:eastAsia="Times New Roman"/>
          <w:b/>
          <w:sz w:val="16"/>
          <w:szCs w:val="14"/>
        </w:rPr>
      </w:pPr>
      <w:r w:rsidRPr="00880004">
        <w:rPr>
          <w:rFonts w:eastAsia="Times New Roman"/>
          <w:b/>
          <w:color w:val="FF0000"/>
          <w:sz w:val="16"/>
          <w:szCs w:val="14"/>
        </w:rPr>
        <w:sym w:font="Webdings" w:char="F067"/>
      </w:r>
      <w:r w:rsidRPr="00880004">
        <w:rPr>
          <w:rFonts w:eastAsia="Times New Roman"/>
          <w:b/>
          <w:sz w:val="16"/>
          <w:szCs w:val="14"/>
        </w:rPr>
        <w:t> </w:t>
      </w:r>
      <w:r w:rsidRPr="00880004">
        <w:rPr>
          <w:rFonts w:eastAsia="Times New Roman"/>
          <w:b/>
          <w:sz w:val="16"/>
          <w:szCs w:val="14"/>
        </w:rPr>
        <w:t xml:space="preserve"> Not achieved. Progress in addressing the issue has been significantly below expectations</w:t>
      </w:r>
    </w:p>
    <w:p w14:paraId="0404E83D" w14:textId="77777777" w:rsidR="00400B0F" w:rsidRPr="00C61187" w:rsidRDefault="00400B0F" w:rsidP="00400B0F">
      <w:pPr>
        <w:spacing w:after="160" w:line="280" w:lineRule="exact"/>
        <w:rPr>
          <w:rFonts w:ascii="Franklin Gothic Book" w:eastAsia="Times New Roman" w:hAnsi="Franklin Gothic Book"/>
          <w:sz w:val="21"/>
        </w:rPr>
      </w:pPr>
    </w:p>
    <w:p w14:paraId="4B4E306B" w14:textId="77777777" w:rsidR="00400B0F" w:rsidRPr="00C61187" w:rsidRDefault="00400B0F" w:rsidP="00400B0F">
      <w:pPr>
        <w:spacing w:after="200" w:line="276" w:lineRule="auto"/>
        <w:rPr>
          <w:rFonts w:ascii="Franklin Gothic Book" w:hAnsi="Franklin Gothic Book"/>
          <w:sz w:val="21"/>
        </w:rPr>
      </w:pPr>
    </w:p>
    <w:p w14:paraId="11A464EC" w14:textId="77777777" w:rsidR="00D15A00" w:rsidRDefault="00D15A00" w:rsidP="002A51CA"/>
    <w:p w14:paraId="6AC0625C" w14:textId="77777777" w:rsidR="00060268" w:rsidRDefault="00060268" w:rsidP="002A51CA"/>
    <w:p w14:paraId="718A5F33" w14:textId="77777777" w:rsidR="00060268" w:rsidRDefault="00060268" w:rsidP="002A51CA"/>
    <w:p w14:paraId="64732A6D" w14:textId="77777777" w:rsidR="00060268" w:rsidRDefault="00060268" w:rsidP="002A51CA"/>
    <w:p w14:paraId="312F7E07" w14:textId="77777777" w:rsidR="00060268" w:rsidRDefault="00060268" w:rsidP="002A51CA"/>
    <w:p w14:paraId="060291A3" w14:textId="77777777" w:rsidR="00060268" w:rsidRDefault="00060268" w:rsidP="002A51CA"/>
    <w:p w14:paraId="2B99CB72" w14:textId="77777777" w:rsidR="00060268" w:rsidRDefault="00060268" w:rsidP="002A51CA"/>
    <w:p w14:paraId="461E94DA" w14:textId="77777777" w:rsidR="00060268" w:rsidRDefault="00060268" w:rsidP="002A51CA"/>
    <w:p w14:paraId="711F86AC" w14:textId="77777777" w:rsidR="00060268" w:rsidRDefault="00060268" w:rsidP="002A51CA"/>
    <w:p w14:paraId="617E69E5" w14:textId="77777777" w:rsidR="00033AB7" w:rsidRDefault="002A51CA" w:rsidP="00400B0F">
      <w:pPr>
        <w:pStyle w:val="Subtitle"/>
        <w:numPr>
          <w:ilvl w:val="0"/>
          <w:numId w:val="0"/>
        </w:numPr>
      </w:pPr>
      <w:r w:rsidRPr="00C61187">
        <w:rPr>
          <w:rFonts w:ascii="Franklin Gothic Book" w:eastAsia="Times New Roman" w:hAnsi="Franklin Gothic Book"/>
          <w:sz w:val="21"/>
        </w:rPr>
        <w:t xml:space="preserve"> </w:t>
      </w:r>
      <w:r w:rsidR="00400B0F" w:rsidRPr="00400B0F">
        <w:t xml:space="preserve">Annex B </w:t>
      </w:r>
      <w:r w:rsidR="00033AB7">
        <w:t>–</w:t>
      </w:r>
      <w:r w:rsidR="00400B0F" w:rsidRPr="00400B0F">
        <w:t xml:space="preserve"> </w:t>
      </w:r>
      <w:r w:rsidR="00033AB7">
        <w:t>PERFORMANCE BENCHMARKS</w:t>
      </w:r>
    </w:p>
    <w:p w14:paraId="49B1684F" w14:textId="77777777" w:rsidR="00320251" w:rsidRPr="00320251" w:rsidRDefault="00320251" w:rsidP="00CE5DF0">
      <w:pPr>
        <w:rPr>
          <w:rFonts w:ascii="Franklin Gothic Book" w:eastAsia="Times New Roman" w:hAnsi="Franklin Gothic Book"/>
          <w:b/>
          <w:sz w:val="24"/>
          <w:szCs w:val="24"/>
        </w:rPr>
      </w:pPr>
      <w:r w:rsidRPr="00320251">
        <w:rPr>
          <w:rFonts w:ascii="Franklin Gothic Book" w:eastAsia="Times New Roman" w:hAnsi="Franklin Gothic Book"/>
          <w:b/>
          <w:sz w:val="24"/>
          <w:szCs w:val="24"/>
        </w:rPr>
        <w:t>Progress towards Performance Benchmarks in 2016-17</w:t>
      </w:r>
    </w:p>
    <w:p w14:paraId="35FB6AAD" w14:textId="77777777" w:rsidR="00CE5DF0" w:rsidRDefault="00CE5DF0" w:rsidP="00CE5DF0">
      <w:r>
        <w:rPr>
          <w:rFonts w:ascii="Franklin Gothic Book" w:eastAsia="Times New Roman" w:hAnsi="Franklin Gothic Book"/>
          <w:sz w:val="21"/>
        </w:rPr>
        <w:t xml:space="preserve">Discussion on progress against specific </w:t>
      </w:r>
      <w:r w:rsidRPr="00C61187">
        <w:rPr>
          <w:rFonts w:ascii="Franklin Gothic Book" w:eastAsia="Times New Roman" w:hAnsi="Franklin Gothic Book"/>
          <w:sz w:val="21"/>
        </w:rPr>
        <w:t xml:space="preserve">performance benchmarks </w:t>
      </w:r>
      <w:r>
        <w:rPr>
          <w:rFonts w:ascii="Franklin Gothic Book" w:eastAsia="Times New Roman" w:hAnsi="Franklin Gothic Book"/>
          <w:sz w:val="21"/>
        </w:rPr>
        <w:t xml:space="preserve">in 2016-17 should </w:t>
      </w:r>
      <w:r w:rsidR="00320251">
        <w:rPr>
          <w:rFonts w:ascii="Franklin Gothic Book" w:eastAsia="Times New Roman" w:hAnsi="Franklin Gothic Book"/>
          <w:sz w:val="21"/>
        </w:rPr>
        <w:t xml:space="preserve">also </w:t>
      </w:r>
      <w:r>
        <w:rPr>
          <w:rFonts w:ascii="Franklin Gothic Book" w:eastAsia="Times New Roman" w:hAnsi="Franklin Gothic Book"/>
          <w:sz w:val="21"/>
        </w:rPr>
        <w:t>be included as part of the text assessing progress against individual program objectives in the main body of the APPR.</w:t>
      </w:r>
    </w:p>
    <w:p w14:paraId="09384FBC" w14:textId="77777777" w:rsidR="00CE5DF0" w:rsidRPr="00CE5DF0" w:rsidRDefault="00CE5DF0" w:rsidP="00CE5DF0"/>
    <w:tbl>
      <w:tblPr>
        <w:tblStyle w:val="DFATTable"/>
        <w:tblW w:w="5000" w:type="pct"/>
        <w:tblLook w:val="04A0" w:firstRow="1" w:lastRow="0" w:firstColumn="1" w:lastColumn="0" w:noHBand="0" w:noVBand="1"/>
      </w:tblPr>
      <w:tblGrid>
        <w:gridCol w:w="2256"/>
        <w:gridCol w:w="2256"/>
        <w:gridCol w:w="1359"/>
        <w:gridCol w:w="8589"/>
      </w:tblGrid>
      <w:tr w:rsidR="00400B0F" w:rsidRPr="00C61187" w14:paraId="69051125" w14:textId="77777777" w:rsidTr="006F27B1">
        <w:trPr>
          <w:tblHeader/>
        </w:trPr>
        <w:tc>
          <w:tcPr>
            <w:tcW w:w="780" w:type="pct"/>
            <w:tcMar>
              <w:top w:w="57" w:type="dxa"/>
              <w:bottom w:w="57" w:type="dxa"/>
            </w:tcMar>
          </w:tcPr>
          <w:p w14:paraId="50578D74" w14:textId="77777777" w:rsidR="00400B0F" w:rsidRPr="00880004" w:rsidRDefault="00400B0F" w:rsidP="006F27B1">
            <w:pPr>
              <w:keepLines/>
              <w:spacing w:before="80" w:after="80" w:line="200" w:lineRule="atLeast"/>
              <w:rPr>
                <w:rFonts w:asciiTheme="minorHAnsi" w:eastAsia="Times New Roman" w:hAnsiTheme="minorHAnsi"/>
                <w:b/>
                <w:iCs/>
                <w:szCs w:val="17"/>
                <w:lang w:eastAsia="en-US"/>
              </w:rPr>
            </w:pPr>
            <w:r w:rsidRPr="00880004">
              <w:rPr>
                <w:rFonts w:asciiTheme="minorHAnsi" w:eastAsia="Times New Roman" w:hAnsiTheme="minorHAnsi"/>
                <w:b/>
                <w:iCs/>
                <w:szCs w:val="17"/>
                <w:lang w:eastAsia="en-US"/>
              </w:rPr>
              <w:t>Aid objective</w:t>
            </w:r>
          </w:p>
        </w:tc>
        <w:tc>
          <w:tcPr>
            <w:tcW w:w="780" w:type="pct"/>
          </w:tcPr>
          <w:p w14:paraId="49DA70C9" w14:textId="77777777" w:rsidR="00400B0F" w:rsidRPr="00880004" w:rsidRDefault="00320251" w:rsidP="00320251">
            <w:pPr>
              <w:keepLines/>
              <w:spacing w:before="80" w:after="80" w:line="200" w:lineRule="atLeast"/>
              <w:rPr>
                <w:rFonts w:asciiTheme="minorHAnsi" w:eastAsia="Times New Roman" w:hAnsiTheme="minorHAnsi"/>
                <w:b/>
                <w:iCs/>
                <w:szCs w:val="17"/>
                <w:lang w:eastAsia="en-US"/>
              </w:rPr>
            </w:pPr>
            <w:r>
              <w:rPr>
                <w:rFonts w:asciiTheme="minorHAnsi" w:eastAsia="Times New Roman" w:hAnsiTheme="minorHAnsi"/>
                <w:b/>
                <w:iCs/>
                <w:szCs w:val="17"/>
                <w:lang w:eastAsia="en-US"/>
              </w:rPr>
              <w:t>Performance B</w:t>
            </w:r>
            <w:r w:rsidR="00400B0F" w:rsidRPr="00880004">
              <w:rPr>
                <w:rFonts w:asciiTheme="minorHAnsi" w:eastAsia="Times New Roman" w:hAnsiTheme="minorHAnsi"/>
                <w:b/>
                <w:iCs/>
                <w:szCs w:val="17"/>
                <w:lang w:eastAsia="en-US"/>
              </w:rPr>
              <w:t xml:space="preserve">enchmark </w:t>
            </w:r>
          </w:p>
        </w:tc>
        <w:tc>
          <w:tcPr>
            <w:tcW w:w="470" w:type="pct"/>
          </w:tcPr>
          <w:p w14:paraId="5C259A19" w14:textId="77777777" w:rsidR="00400B0F" w:rsidRPr="00880004" w:rsidRDefault="00400B0F" w:rsidP="009E7BB8">
            <w:pPr>
              <w:keepLines/>
              <w:spacing w:before="80" w:after="80" w:line="200" w:lineRule="atLeast"/>
              <w:jc w:val="center"/>
              <w:rPr>
                <w:rFonts w:asciiTheme="minorHAnsi" w:eastAsia="Times New Roman" w:hAnsiTheme="minorHAnsi"/>
                <w:b/>
                <w:iCs/>
                <w:szCs w:val="17"/>
                <w:lang w:eastAsia="en-US"/>
              </w:rPr>
            </w:pPr>
            <w:r w:rsidRPr="00880004">
              <w:rPr>
                <w:rFonts w:asciiTheme="minorHAnsi" w:eastAsia="Times New Roman" w:hAnsiTheme="minorHAnsi"/>
                <w:b/>
                <w:iCs/>
                <w:szCs w:val="17"/>
                <w:lang w:eastAsia="en-US"/>
              </w:rPr>
              <w:t>Rating</w:t>
            </w:r>
          </w:p>
        </w:tc>
        <w:tc>
          <w:tcPr>
            <w:tcW w:w="2970" w:type="pct"/>
          </w:tcPr>
          <w:p w14:paraId="29958B13" w14:textId="77777777" w:rsidR="00400B0F" w:rsidRPr="00880004" w:rsidRDefault="00400B0F" w:rsidP="001103E6">
            <w:pPr>
              <w:keepLines/>
              <w:spacing w:before="80" w:after="80" w:line="200" w:lineRule="atLeast"/>
              <w:jc w:val="center"/>
              <w:rPr>
                <w:rFonts w:asciiTheme="minorHAnsi" w:eastAsia="Times New Roman" w:hAnsiTheme="minorHAnsi"/>
                <w:b/>
                <w:iCs/>
                <w:szCs w:val="17"/>
                <w:lang w:eastAsia="en-US"/>
              </w:rPr>
            </w:pPr>
            <w:r w:rsidRPr="00880004">
              <w:rPr>
                <w:rFonts w:asciiTheme="minorHAnsi" w:eastAsia="Times New Roman" w:hAnsiTheme="minorHAnsi"/>
                <w:b/>
                <w:iCs/>
                <w:szCs w:val="17"/>
                <w:lang w:eastAsia="en-US"/>
              </w:rPr>
              <w:t>Progress in 201</w:t>
            </w:r>
            <w:r w:rsidR="001103E6">
              <w:rPr>
                <w:rFonts w:asciiTheme="minorHAnsi" w:eastAsia="Times New Roman" w:hAnsiTheme="minorHAnsi"/>
                <w:b/>
                <w:iCs/>
                <w:szCs w:val="17"/>
                <w:lang w:eastAsia="en-US"/>
              </w:rPr>
              <w:t>6</w:t>
            </w:r>
            <w:r w:rsidRPr="00880004">
              <w:rPr>
                <w:rFonts w:asciiTheme="minorHAnsi" w:eastAsia="Times New Roman" w:hAnsiTheme="minorHAnsi"/>
                <w:b/>
                <w:iCs/>
                <w:szCs w:val="17"/>
                <w:lang w:eastAsia="en-US"/>
              </w:rPr>
              <w:t>-1</w:t>
            </w:r>
            <w:r w:rsidR="001103E6">
              <w:rPr>
                <w:rFonts w:asciiTheme="minorHAnsi" w:eastAsia="Times New Roman" w:hAnsiTheme="minorHAnsi"/>
                <w:b/>
                <w:iCs/>
                <w:szCs w:val="17"/>
                <w:lang w:eastAsia="en-US"/>
              </w:rPr>
              <w:t>7</w:t>
            </w:r>
          </w:p>
        </w:tc>
      </w:tr>
      <w:tr w:rsidR="00FA3DA5" w:rsidRPr="00C61187" w14:paraId="728551E5" w14:textId="77777777" w:rsidTr="00FA3DA5">
        <w:tc>
          <w:tcPr>
            <w:tcW w:w="780" w:type="pct"/>
            <w:tcMar>
              <w:top w:w="57" w:type="dxa"/>
              <w:bottom w:w="57" w:type="dxa"/>
            </w:tcMar>
          </w:tcPr>
          <w:p w14:paraId="4F12C102" w14:textId="77777777" w:rsidR="00FA3DA5" w:rsidRPr="005B4F70" w:rsidRDefault="00FA3DA5" w:rsidP="00FA3DA5">
            <w:pPr>
              <w:keepLines/>
              <w:spacing w:before="40" w:after="40" w:line="200" w:lineRule="atLeast"/>
              <w:rPr>
                <w:rFonts w:asciiTheme="minorHAnsi" w:eastAsia="Times New Roman" w:hAnsiTheme="minorHAnsi"/>
                <w:iCs/>
                <w:szCs w:val="17"/>
                <w:lang w:val="en-AU" w:eastAsia="en-US"/>
              </w:rPr>
            </w:pPr>
            <w:r w:rsidRPr="005B4F70">
              <w:rPr>
                <w:rFonts w:asciiTheme="minorHAnsi" w:eastAsia="Times New Roman" w:hAnsiTheme="minorHAnsi"/>
                <w:iCs/>
                <w:szCs w:val="17"/>
                <w:lang w:val="en-AU" w:eastAsia="en-US"/>
              </w:rPr>
              <w:t xml:space="preserve">ANCP program and activities consider gender equality and women’s empowerment. </w:t>
            </w:r>
          </w:p>
          <w:p w14:paraId="026FAFF5" w14:textId="77777777" w:rsidR="00FA3DA5" w:rsidRPr="00880004" w:rsidRDefault="00FA3DA5" w:rsidP="00FA3DA5">
            <w:pPr>
              <w:keepLines/>
              <w:spacing w:before="40" w:after="40" w:line="200" w:lineRule="atLeast"/>
              <w:rPr>
                <w:rFonts w:asciiTheme="minorHAnsi" w:eastAsia="Times New Roman" w:hAnsiTheme="minorHAnsi"/>
                <w:iCs/>
                <w:szCs w:val="17"/>
                <w:lang w:eastAsia="en-US"/>
              </w:rPr>
            </w:pPr>
          </w:p>
        </w:tc>
        <w:tc>
          <w:tcPr>
            <w:tcW w:w="780" w:type="pct"/>
          </w:tcPr>
          <w:p w14:paraId="11BDF29E" w14:textId="1D834D15" w:rsidR="00FA3DA5" w:rsidRPr="00880004" w:rsidRDefault="00FA3DA5" w:rsidP="00FA3DA5">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val="en-AU" w:eastAsia="en-US"/>
              </w:rPr>
              <w:t>&gt;80</w:t>
            </w:r>
            <w:r w:rsidRPr="005B4F70">
              <w:rPr>
                <w:rFonts w:asciiTheme="minorHAnsi" w:eastAsia="Times New Roman" w:hAnsiTheme="minorHAnsi"/>
                <w:iCs/>
                <w:szCs w:val="17"/>
                <w:lang w:val="en-AU" w:eastAsia="en-US"/>
              </w:rPr>
              <w:t xml:space="preserve"> per cent of activities funded under ANCP address gender equality and women’s empowerment.</w:t>
            </w:r>
          </w:p>
        </w:tc>
        <w:tc>
          <w:tcPr>
            <w:tcW w:w="470" w:type="pct"/>
            <w:shd w:val="clear" w:color="auto" w:fill="FFC000"/>
          </w:tcPr>
          <w:p w14:paraId="3F115C1C" w14:textId="05916B33" w:rsidR="00FA3DA5" w:rsidRPr="00880004" w:rsidRDefault="00214159" w:rsidP="00FA3DA5">
            <w:pPr>
              <w:keepLines/>
              <w:spacing w:before="40" w:after="40" w:line="200" w:lineRule="atLeast"/>
              <w:jc w:val="center"/>
              <w:rPr>
                <w:rFonts w:asciiTheme="minorHAnsi" w:eastAsia="Times New Roman" w:hAnsiTheme="minorHAnsi"/>
                <w:iCs/>
                <w:color w:val="FFFFFF" w:themeColor="background1"/>
                <w:szCs w:val="17"/>
                <w:lang w:eastAsia="en-US"/>
              </w:rPr>
            </w:pPr>
            <w:r>
              <w:rPr>
                <w:rFonts w:asciiTheme="minorHAnsi" w:eastAsia="Times New Roman" w:hAnsiTheme="minorHAnsi"/>
                <w:iCs/>
                <w:color w:val="FFFFFF" w:themeColor="background1"/>
                <w:szCs w:val="17"/>
                <w:lang w:eastAsia="en-US"/>
              </w:rPr>
              <w:t>Partly A</w:t>
            </w:r>
            <w:r w:rsidR="00FA3DA5" w:rsidRPr="00880004">
              <w:rPr>
                <w:rFonts w:asciiTheme="minorHAnsi" w:eastAsia="Times New Roman" w:hAnsiTheme="minorHAnsi"/>
                <w:iCs/>
                <w:color w:val="FFFFFF" w:themeColor="background1"/>
                <w:szCs w:val="17"/>
                <w:lang w:eastAsia="en-US"/>
              </w:rPr>
              <w:t>chieved</w:t>
            </w:r>
          </w:p>
        </w:tc>
        <w:tc>
          <w:tcPr>
            <w:tcW w:w="2970" w:type="pct"/>
          </w:tcPr>
          <w:p w14:paraId="18077E4F" w14:textId="2A60E662" w:rsidR="00FA3DA5" w:rsidRPr="00880004" w:rsidRDefault="00C7662B" w:rsidP="00AD1F94">
            <w:pPr>
              <w:keepLines/>
              <w:spacing w:before="40" w:after="40" w:line="200" w:lineRule="atLeast"/>
              <w:rPr>
                <w:rFonts w:asciiTheme="minorHAnsi" w:eastAsia="Times New Roman" w:hAnsiTheme="minorHAnsi"/>
                <w:iCs/>
                <w:szCs w:val="17"/>
                <w:lang w:eastAsia="en-US"/>
              </w:rPr>
            </w:pPr>
            <w:r w:rsidRPr="00C7662B">
              <w:rPr>
                <w:rFonts w:asciiTheme="minorHAnsi" w:eastAsia="Times New Roman" w:hAnsiTheme="minorHAnsi"/>
                <w:iCs/>
                <w:szCs w:val="17"/>
                <w:lang w:eastAsia="en-US"/>
              </w:rPr>
              <w:t>In 2016-17, 69 per cent of ANCP projects addressed gender equality issues. This included 72 projects (14 per cent) marking gender equality as the principal objective with expenditure of $18.4 million reaching 1,069,053 beneficiaries. This reduction in the percentage of projects targeting gender equality (down from 87 per cent in 2015-16) is largely due to introduction of new minimum recommended criteria for the OECD DAC gender equality policy marker in December 2016.</w:t>
            </w:r>
          </w:p>
        </w:tc>
      </w:tr>
      <w:tr w:rsidR="00FA3DA5" w:rsidRPr="00C61187" w14:paraId="2800F79C" w14:textId="77777777" w:rsidTr="00FA3DA5">
        <w:tc>
          <w:tcPr>
            <w:tcW w:w="780" w:type="pct"/>
            <w:tcMar>
              <w:top w:w="57" w:type="dxa"/>
              <w:bottom w:w="57" w:type="dxa"/>
            </w:tcMar>
          </w:tcPr>
          <w:p w14:paraId="7FA3BD0B" w14:textId="231D72FB" w:rsidR="00FA3DA5" w:rsidRPr="00880004" w:rsidRDefault="00FA3DA5" w:rsidP="00FA3DA5">
            <w:pPr>
              <w:keepLines/>
              <w:spacing w:before="40" w:after="40" w:line="200" w:lineRule="atLeast"/>
              <w:rPr>
                <w:rFonts w:asciiTheme="minorHAnsi" w:eastAsia="Times New Roman" w:hAnsiTheme="minorHAnsi"/>
                <w:iCs/>
                <w:szCs w:val="17"/>
                <w:lang w:eastAsia="en-US"/>
              </w:rPr>
            </w:pPr>
            <w:r w:rsidRPr="005B4F70">
              <w:rPr>
                <w:rFonts w:asciiTheme="minorHAnsi" w:eastAsia="Times New Roman" w:hAnsiTheme="minorHAnsi"/>
                <w:iCs/>
                <w:szCs w:val="17"/>
                <w:lang w:val="en-AU" w:eastAsia="en-US"/>
              </w:rPr>
              <w:t>Evidence of strengthened relationships between A</w:t>
            </w:r>
            <w:r>
              <w:rPr>
                <w:rFonts w:asciiTheme="minorHAnsi" w:eastAsia="Times New Roman" w:hAnsiTheme="minorHAnsi"/>
                <w:iCs/>
                <w:szCs w:val="17"/>
                <w:lang w:val="en-AU" w:eastAsia="en-US"/>
              </w:rPr>
              <w:t xml:space="preserve">NCP </w:t>
            </w:r>
            <w:r w:rsidRPr="005B4F70">
              <w:rPr>
                <w:rFonts w:asciiTheme="minorHAnsi" w:eastAsia="Times New Roman" w:hAnsiTheme="minorHAnsi"/>
                <w:iCs/>
                <w:szCs w:val="17"/>
                <w:lang w:val="en-AU" w:eastAsia="en-US"/>
              </w:rPr>
              <w:t>NGOs and country/thematic areas of DFAT</w:t>
            </w:r>
          </w:p>
        </w:tc>
        <w:tc>
          <w:tcPr>
            <w:tcW w:w="780" w:type="pct"/>
          </w:tcPr>
          <w:p w14:paraId="47983CC4" w14:textId="6BF92415" w:rsidR="00FA3DA5" w:rsidRPr="00880004" w:rsidRDefault="00FA3DA5" w:rsidP="00FA3DA5">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val="en-AU" w:eastAsia="en-US"/>
              </w:rPr>
              <w:t>Posts hold annual NGO roundtables</w:t>
            </w:r>
            <w:r w:rsidRPr="00880004">
              <w:rPr>
                <w:rFonts w:asciiTheme="minorHAnsi" w:eastAsia="Times New Roman" w:hAnsiTheme="minorHAnsi"/>
                <w:iCs/>
                <w:szCs w:val="17"/>
                <w:lang w:eastAsia="en-US"/>
              </w:rPr>
              <w:t xml:space="preserve"> </w:t>
            </w:r>
          </w:p>
        </w:tc>
        <w:tc>
          <w:tcPr>
            <w:tcW w:w="470" w:type="pct"/>
            <w:shd w:val="clear" w:color="auto" w:fill="92D050"/>
          </w:tcPr>
          <w:p w14:paraId="36600917" w14:textId="251BD1DF" w:rsidR="00FA3DA5" w:rsidRPr="00214159" w:rsidRDefault="00FA3DA5" w:rsidP="00FA3DA5">
            <w:pPr>
              <w:keepLines/>
              <w:spacing w:before="40" w:after="40" w:line="200" w:lineRule="atLeast"/>
              <w:jc w:val="center"/>
              <w:rPr>
                <w:rFonts w:asciiTheme="minorHAnsi" w:eastAsia="Times New Roman" w:hAnsiTheme="minorHAnsi"/>
                <w:iCs/>
                <w:color w:val="FFFFFF" w:themeColor="background1"/>
                <w:szCs w:val="17"/>
                <w:lang w:eastAsia="en-US"/>
              </w:rPr>
            </w:pPr>
            <w:r>
              <w:rPr>
                <w:rFonts w:asciiTheme="minorHAnsi" w:eastAsia="Times New Roman" w:hAnsiTheme="minorHAnsi"/>
                <w:iCs/>
                <w:color w:val="FFFFFF" w:themeColor="background1"/>
                <w:szCs w:val="17"/>
                <w:lang w:eastAsia="en-US"/>
              </w:rPr>
              <w:t>A</w:t>
            </w:r>
            <w:r w:rsidRPr="00880004">
              <w:rPr>
                <w:rFonts w:asciiTheme="minorHAnsi" w:eastAsia="Times New Roman" w:hAnsiTheme="minorHAnsi"/>
                <w:iCs/>
                <w:color w:val="FFFFFF" w:themeColor="background1"/>
                <w:szCs w:val="17"/>
                <w:lang w:eastAsia="en-US"/>
              </w:rPr>
              <w:t>chieved</w:t>
            </w:r>
          </w:p>
        </w:tc>
        <w:tc>
          <w:tcPr>
            <w:tcW w:w="2970" w:type="pct"/>
          </w:tcPr>
          <w:p w14:paraId="1D4981B0" w14:textId="7923EE79" w:rsidR="00FA3DA5" w:rsidRPr="00880004" w:rsidRDefault="00214159" w:rsidP="00AD1F94">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In 2016-17, NPQ drafted and consulted on a draft Role of Post policy for the ANCP. A Communications Strategy was developed in 2016-17 which has resulted in increased engagement and social media coverage of the program. Funding was provided to Posts to support ANCP monitoring and engagement activities</w:t>
            </w:r>
            <w:r w:rsidR="006529E0">
              <w:rPr>
                <w:rFonts w:asciiTheme="minorHAnsi" w:eastAsia="Times New Roman" w:hAnsiTheme="minorHAnsi"/>
                <w:iCs/>
                <w:szCs w:val="17"/>
                <w:lang w:eastAsia="en-US"/>
              </w:rPr>
              <w:t xml:space="preserve"> (including NGO roundtables)</w:t>
            </w:r>
            <w:r>
              <w:rPr>
                <w:rFonts w:asciiTheme="minorHAnsi" w:eastAsia="Times New Roman" w:hAnsiTheme="minorHAnsi"/>
                <w:iCs/>
                <w:szCs w:val="17"/>
                <w:lang w:eastAsia="en-US"/>
              </w:rPr>
              <w:t xml:space="preserve"> </w:t>
            </w:r>
            <w:r w:rsidR="00C7662B">
              <w:rPr>
                <w:rFonts w:asciiTheme="minorHAnsi" w:eastAsia="Times New Roman" w:hAnsiTheme="minorHAnsi"/>
                <w:iCs/>
                <w:szCs w:val="17"/>
                <w:lang w:eastAsia="en-US"/>
              </w:rPr>
              <w:t xml:space="preserve">resulting </w:t>
            </w:r>
            <w:r w:rsidR="004A0045">
              <w:rPr>
                <w:rFonts w:asciiTheme="minorHAnsi" w:eastAsia="Times New Roman" w:hAnsiTheme="minorHAnsi"/>
                <w:iCs/>
                <w:szCs w:val="17"/>
                <w:lang w:eastAsia="en-US"/>
              </w:rPr>
              <w:t xml:space="preserve">in </w:t>
            </w:r>
            <w:r w:rsidR="00C7662B">
              <w:rPr>
                <w:rFonts w:asciiTheme="minorHAnsi" w:eastAsia="Times New Roman" w:hAnsiTheme="minorHAnsi"/>
                <w:iCs/>
                <w:szCs w:val="17"/>
                <w:lang w:eastAsia="en-US"/>
              </w:rPr>
              <w:t>a total of 30 ANCP NGOs (or their implementing partners) being visited in 2016-17 – up from 17 in 2015-16.</w:t>
            </w:r>
          </w:p>
        </w:tc>
      </w:tr>
      <w:tr w:rsidR="00FA3DA5" w:rsidRPr="00C61187" w14:paraId="5E1AB16C" w14:textId="77777777" w:rsidTr="00214159">
        <w:tc>
          <w:tcPr>
            <w:tcW w:w="780" w:type="pct"/>
            <w:tcMar>
              <w:top w:w="57" w:type="dxa"/>
              <w:bottom w:w="57" w:type="dxa"/>
            </w:tcMar>
          </w:tcPr>
          <w:p w14:paraId="4827D7C4" w14:textId="79461209" w:rsidR="00FA3DA5" w:rsidRPr="00880004" w:rsidRDefault="00FA3DA5" w:rsidP="00FA3DA5">
            <w:pPr>
              <w:keepLines/>
              <w:spacing w:before="40" w:after="40" w:line="200" w:lineRule="atLeast"/>
              <w:rPr>
                <w:rFonts w:asciiTheme="minorHAnsi" w:eastAsia="Times New Roman" w:hAnsiTheme="minorHAnsi"/>
                <w:iCs/>
                <w:szCs w:val="17"/>
                <w:lang w:eastAsia="en-US"/>
              </w:rPr>
            </w:pPr>
            <w:r w:rsidRPr="009C61DA">
              <w:rPr>
                <w:rFonts w:asciiTheme="minorHAnsi" w:eastAsia="Times New Roman" w:hAnsiTheme="minorHAnsi"/>
                <w:iCs/>
                <w:szCs w:val="17"/>
                <w:lang w:val="en-AU" w:eastAsia="en-US"/>
              </w:rPr>
              <w:t>ANCP program and activities promote prosperity</w:t>
            </w:r>
          </w:p>
        </w:tc>
        <w:tc>
          <w:tcPr>
            <w:tcW w:w="780" w:type="pct"/>
          </w:tcPr>
          <w:p w14:paraId="3B8D479B" w14:textId="704CBC8C" w:rsidR="00FA3DA5" w:rsidRPr="00880004" w:rsidRDefault="00FA3DA5" w:rsidP="00FA3DA5">
            <w:pPr>
              <w:keepLines/>
              <w:spacing w:before="40" w:after="40" w:line="200" w:lineRule="atLeast"/>
              <w:rPr>
                <w:rFonts w:asciiTheme="minorHAnsi" w:eastAsia="Times New Roman" w:hAnsiTheme="minorHAnsi"/>
                <w:iCs/>
                <w:szCs w:val="17"/>
                <w:lang w:eastAsia="en-US"/>
              </w:rPr>
            </w:pPr>
            <w:r w:rsidRPr="009C61DA">
              <w:rPr>
                <w:rFonts w:asciiTheme="minorHAnsi" w:eastAsia="Times New Roman" w:hAnsiTheme="minorHAnsi"/>
                <w:iCs/>
                <w:szCs w:val="17"/>
                <w:lang w:val="en-AU" w:eastAsia="en-US"/>
              </w:rPr>
              <w:t>Maintain 20 per cent of ANCP focus on promoting prosperity</w:t>
            </w:r>
          </w:p>
        </w:tc>
        <w:tc>
          <w:tcPr>
            <w:tcW w:w="470" w:type="pct"/>
            <w:shd w:val="clear" w:color="auto" w:fill="FFC000"/>
          </w:tcPr>
          <w:p w14:paraId="3600D123" w14:textId="09EB6C0D" w:rsidR="00FA3DA5" w:rsidRPr="00214159" w:rsidRDefault="00214159" w:rsidP="00214159">
            <w:pPr>
              <w:keepLines/>
              <w:spacing w:before="40" w:after="40" w:line="200" w:lineRule="atLeast"/>
              <w:jc w:val="center"/>
              <w:rPr>
                <w:rFonts w:asciiTheme="minorHAnsi" w:eastAsia="Times New Roman" w:hAnsiTheme="minorHAnsi"/>
                <w:iCs/>
                <w:color w:val="FFFFFF" w:themeColor="background1"/>
                <w:szCs w:val="17"/>
                <w:lang w:eastAsia="en-US"/>
              </w:rPr>
            </w:pPr>
            <w:r>
              <w:rPr>
                <w:rFonts w:asciiTheme="minorHAnsi" w:eastAsia="Times New Roman" w:hAnsiTheme="minorHAnsi"/>
                <w:iCs/>
                <w:color w:val="FFFFFF" w:themeColor="background1"/>
                <w:szCs w:val="17"/>
                <w:lang w:eastAsia="en-US"/>
              </w:rPr>
              <w:t xml:space="preserve">Partly </w:t>
            </w:r>
            <w:r w:rsidR="00FA3DA5" w:rsidRPr="00880004">
              <w:rPr>
                <w:rFonts w:asciiTheme="minorHAnsi" w:eastAsia="Times New Roman" w:hAnsiTheme="minorHAnsi"/>
                <w:iCs/>
                <w:color w:val="FFFFFF" w:themeColor="background1"/>
                <w:szCs w:val="17"/>
                <w:lang w:eastAsia="en-US"/>
              </w:rPr>
              <w:t xml:space="preserve">Achieved </w:t>
            </w:r>
          </w:p>
        </w:tc>
        <w:tc>
          <w:tcPr>
            <w:tcW w:w="2970" w:type="pct"/>
          </w:tcPr>
          <w:p w14:paraId="5863FEA9" w14:textId="50AB3381" w:rsidR="00FA3DA5" w:rsidRPr="00880004" w:rsidRDefault="00214159" w:rsidP="00FA3DA5">
            <w:pPr>
              <w:pStyle w:val="TableTextEntries"/>
              <w:keepNext/>
              <w:rPr>
                <w:rFonts w:asciiTheme="minorHAnsi" w:hAnsiTheme="minorHAnsi" w:cstheme="minorBidi"/>
                <w:color w:val="495965" w:themeColor="text2"/>
                <w:lang w:val="en-GB" w:eastAsia="en-US"/>
              </w:rPr>
            </w:pPr>
            <w:r>
              <w:rPr>
                <w:rFonts w:asciiTheme="minorHAnsi" w:hAnsiTheme="minorHAnsi" w:cstheme="minorBidi"/>
                <w:color w:val="495965" w:themeColor="text2"/>
                <w:lang w:val="en-GB" w:eastAsia="en-US"/>
              </w:rPr>
              <w:t>In 2016-17, 99 projects (19 per cent) promoted aid for trade with a total investment of $23.5 million.</w:t>
            </w:r>
            <w:r w:rsidR="00F441F2">
              <w:rPr>
                <w:rFonts w:asciiTheme="minorHAnsi" w:hAnsiTheme="minorHAnsi" w:cstheme="minorBidi"/>
                <w:color w:val="495965" w:themeColor="text2"/>
                <w:lang w:val="en-GB" w:eastAsia="en-US"/>
              </w:rPr>
              <w:t xml:space="preserve"> Based on discussion at the 2017 Annual Reflections Workshops, this benchmark will be </w:t>
            </w:r>
            <w:r w:rsidR="0084212A">
              <w:rPr>
                <w:rFonts w:asciiTheme="minorHAnsi" w:hAnsiTheme="minorHAnsi" w:cstheme="minorBidi"/>
                <w:color w:val="495965" w:themeColor="text2"/>
                <w:lang w:val="en-GB" w:eastAsia="en-US"/>
              </w:rPr>
              <w:t>reviewed for</w:t>
            </w:r>
            <w:r w:rsidR="00F441F2">
              <w:rPr>
                <w:rFonts w:asciiTheme="minorHAnsi" w:hAnsiTheme="minorHAnsi" w:cstheme="minorBidi"/>
                <w:color w:val="495965" w:themeColor="text2"/>
                <w:lang w:val="en-GB" w:eastAsia="en-US"/>
              </w:rPr>
              <w:t xml:space="preserve"> future years’ reporting</w:t>
            </w:r>
            <w:r w:rsidR="0084212A">
              <w:rPr>
                <w:rFonts w:asciiTheme="minorHAnsi" w:hAnsiTheme="minorHAnsi" w:cstheme="minorBidi"/>
                <w:color w:val="495965" w:themeColor="text2"/>
                <w:lang w:val="en-GB" w:eastAsia="en-US"/>
              </w:rPr>
              <w:t xml:space="preserve"> as part of broader work by the MELF Reference Group on the Performance Assessment Framework.</w:t>
            </w:r>
          </w:p>
          <w:p w14:paraId="0F2D7629" w14:textId="77777777" w:rsidR="00FA3DA5" w:rsidRPr="00880004" w:rsidRDefault="00FA3DA5" w:rsidP="00FA3DA5">
            <w:pPr>
              <w:keepLines/>
              <w:spacing w:before="40" w:after="40" w:line="200" w:lineRule="atLeast"/>
              <w:rPr>
                <w:rFonts w:asciiTheme="minorHAnsi" w:eastAsia="Times New Roman" w:hAnsiTheme="minorHAnsi"/>
                <w:iCs/>
                <w:szCs w:val="17"/>
                <w:lang w:eastAsia="en-US"/>
              </w:rPr>
            </w:pPr>
          </w:p>
        </w:tc>
      </w:tr>
      <w:tr w:rsidR="00214159" w:rsidRPr="00C61187" w14:paraId="2A55D672" w14:textId="77777777" w:rsidTr="00214159">
        <w:tc>
          <w:tcPr>
            <w:tcW w:w="780" w:type="pct"/>
            <w:tcMar>
              <w:top w:w="57" w:type="dxa"/>
              <w:bottom w:w="57" w:type="dxa"/>
            </w:tcMar>
          </w:tcPr>
          <w:p w14:paraId="6887925D" w14:textId="39D89A6A" w:rsidR="00214159" w:rsidRPr="009C61DA" w:rsidRDefault="00214159" w:rsidP="00FA3DA5">
            <w:pPr>
              <w:keepLines/>
              <w:spacing w:before="40" w:after="40" w:line="200" w:lineRule="atLeast"/>
              <w:rPr>
                <w:rFonts w:eastAsia="Times New Roman"/>
                <w:iCs/>
                <w:szCs w:val="17"/>
                <w:lang w:val="en-AU"/>
              </w:rPr>
            </w:pPr>
            <w:r w:rsidRPr="00FD20C4">
              <w:rPr>
                <w:rFonts w:asciiTheme="minorHAnsi" w:eastAsia="Times New Roman" w:hAnsiTheme="minorHAnsi"/>
                <w:iCs/>
                <w:szCs w:val="17"/>
                <w:lang w:val="en-AU" w:eastAsia="en-US"/>
              </w:rPr>
              <w:t>ANCP program and activities engage the private sector</w:t>
            </w:r>
          </w:p>
        </w:tc>
        <w:tc>
          <w:tcPr>
            <w:tcW w:w="780" w:type="pct"/>
          </w:tcPr>
          <w:p w14:paraId="3406D6D9" w14:textId="2B049D1C" w:rsidR="00214159" w:rsidRPr="009C61DA" w:rsidRDefault="00214159" w:rsidP="00FA3DA5">
            <w:pPr>
              <w:keepLines/>
              <w:spacing w:before="40" w:after="40" w:line="200" w:lineRule="atLeast"/>
              <w:rPr>
                <w:rFonts w:eastAsia="Times New Roman"/>
                <w:iCs/>
                <w:szCs w:val="17"/>
                <w:lang w:val="en-AU"/>
              </w:rPr>
            </w:pPr>
            <w:r w:rsidRPr="00FD20C4">
              <w:rPr>
                <w:rFonts w:asciiTheme="minorHAnsi" w:eastAsia="Times New Roman" w:hAnsiTheme="minorHAnsi"/>
                <w:iCs/>
                <w:szCs w:val="17"/>
                <w:lang w:val="en-AU" w:eastAsia="en-US"/>
              </w:rPr>
              <w:t>20 per cent of activities funded under ANCP promote private sector growth or engage the private sector</w:t>
            </w:r>
          </w:p>
        </w:tc>
        <w:tc>
          <w:tcPr>
            <w:tcW w:w="470" w:type="pct"/>
            <w:shd w:val="clear" w:color="auto" w:fill="92D050"/>
          </w:tcPr>
          <w:p w14:paraId="056D0D3D" w14:textId="621C6FD5" w:rsidR="00214159" w:rsidRPr="00214159" w:rsidRDefault="00214159" w:rsidP="00214159">
            <w:pPr>
              <w:keepLines/>
              <w:spacing w:before="40" w:after="40" w:line="200" w:lineRule="atLeast"/>
              <w:jc w:val="center"/>
              <w:rPr>
                <w:rFonts w:asciiTheme="minorHAnsi" w:eastAsia="Times New Roman" w:hAnsiTheme="minorHAnsi"/>
                <w:iCs/>
                <w:color w:val="FFFFFF" w:themeColor="background1"/>
                <w:szCs w:val="17"/>
                <w:lang w:eastAsia="en-US"/>
              </w:rPr>
            </w:pPr>
            <w:r w:rsidRPr="00214159">
              <w:rPr>
                <w:rFonts w:asciiTheme="minorHAnsi" w:eastAsia="Times New Roman" w:hAnsiTheme="minorHAnsi"/>
                <w:iCs/>
                <w:color w:val="FFFFFF" w:themeColor="background1"/>
                <w:szCs w:val="17"/>
                <w:lang w:eastAsia="en-US"/>
              </w:rPr>
              <w:t>Achieved</w:t>
            </w:r>
          </w:p>
        </w:tc>
        <w:tc>
          <w:tcPr>
            <w:tcW w:w="2970" w:type="pct"/>
          </w:tcPr>
          <w:p w14:paraId="43A19ECC" w14:textId="30F6AFB4" w:rsidR="00214159" w:rsidRDefault="00214159" w:rsidP="00FA3DA5">
            <w:pPr>
              <w:pStyle w:val="TableTextEntries"/>
              <w:keepNext/>
              <w:rPr>
                <w:rFonts w:asciiTheme="minorHAnsi" w:hAnsiTheme="minorHAnsi" w:cstheme="minorBidi"/>
                <w:color w:val="495965" w:themeColor="text2"/>
                <w:lang w:val="en-GB"/>
              </w:rPr>
            </w:pPr>
            <w:r>
              <w:rPr>
                <w:rFonts w:asciiTheme="minorHAnsi" w:hAnsiTheme="minorHAnsi" w:cstheme="minorBidi"/>
                <w:color w:val="495965" w:themeColor="text2"/>
                <w:lang w:val="en-GB"/>
              </w:rPr>
              <w:t>In 2016-17, 227 projects (45 per cent) involved engagement with the private sector</w:t>
            </w:r>
          </w:p>
        </w:tc>
      </w:tr>
    </w:tbl>
    <w:p w14:paraId="411574B8" w14:textId="77777777" w:rsidR="00400B0F" w:rsidRPr="00880004" w:rsidRDefault="00400B0F" w:rsidP="00400B0F">
      <w:pPr>
        <w:spacing w:before="20" w:after="20" w:line="180" w:lineRule="atLeast"/>
        <w:jc w:val="both"/>
        <w:rPr>
          <w:rFonts w:eastAsia="Times New Roman"/>
          <w:b/>
          <w:sz w:val="16"/>
          <w:szCs w:val="14"/>
        </w:rPr>
      </w:pPr>
      <w:r w:rsidRPr="00880004">
        <w:rPr>
          <w:rFonts w:eastAsia="Times New Roman"/>
          <w:b/>
          <w:sz w:val="16"/>
          <w:szCs w:val="14"/>
        </w:rPr>
        <w:t xml:space="preserve">Note: </w:t>
      </w:r>
    </w:p>
    <w:p w14:paraId="6F2B93AD" w14:textId="77777777" w:rsidR="00400B0F" w:rsidRPr="00880004" w:rsidRDefault="00400B0F" w:rsidP="00400B0F">
      <w:pPr>
        <w:spacing w:before="20" w:after="20" w:line="180" w:lineRule="atLeast"/>
        <w:jc w:val="both"/>
        <w:rPr>
          <w:rFonts w:eastAsia="Times New Roman"/>
          <w:b/>
          <w:sz w:val="16"/>
          <w:szCs w:val="14"/>
        </w:rPr>
      </w:pPr>
      <w:r w:rsidRPr="00880004">
        <w:rPr>
          <w:rFonts w:eastAsia="Times New Roman"/>
          <w:b/>
          <w:color w:val="72AF2F"/>
          <w:sz w:val="16"/>
          <w:szCs w:val="14"/>
        </w:rPr>
        <w:sym w:font="Webdings" w:char="F067"/>
      </w:r>
      <w:r w:rsidRPr="00880004">
        <w:rPr>
          <w:rFonts w:eastAsia="Times New Roman"/>
          <w:b/>
          <w:sz w:val="16"/>
          <w:szCs w:val="14"/>
        </w:rPr>
        <w:t> </w:t>
      </w:r>
      <w:r w:rsidRPr="00880004">
        <w:rPr>
          <w:rFonts w:eastAsia="Times New Roman"/>
          <w:b/>
          <w:sz w:val="16"/>
          <w:szCs w:val="14"/>
        </w:rPr>
        <w:t xml:space="preserve"> Achieved.  Significant progress has been made and the performance benchmark was achieved </w:t>
      </w:r>
    </w:p>
    <w:p w14:paraId="75CD5612" w14:textId="77777777" w:rsidR="00400B0F" w:rsidRPr="00880004" w:rsidRDefault="00400B0F" w:rsidP="00400B0F">
      <w:pPr>
        <w:spacing w:before="20" w:after="20" w:line="180" w:lineRule="atLeast"/>
        <w:jc w:val="both"/>
        <w:rPr>
          <w:rFonts w:eastAsia="Times New Roman"/>
          <w:b/>
          <w:sz w:val="16"/>
          <w:szCs w:val="14"/>
        </w:rPr>
      </w:pPr>
      <w:r w:rsidRPr="00880004">
        <w:rPr>
          <w:rFonts w:eastAsia="Times New Roman"/>
          <w:b/>
          <w:color w:val="E36C0A"/>
          <w:sz w:val="16"/>
          <w:szCs w:val="14"/>
        </w:rPr>
        <w:sym w:font="Webdings" w:char="F067"/>
      </w:r>
      <w:r w:rsidRPr="00880004">
        <w:rPr>
          <w:rFonts w:eastAsia="Times New Roman"/>
          <w:b/>
          <w:sz w:val="16"/>
          <w:szCs w:val="14"/>
        </w:rPr>
        <w:t> </w:t>
      </w:r>
      <w:r w:rsidRPr="00880004">
        <w:rPr>
          <w:rFonts w:eastAsia="Times New Roman"/>
          <w:b/>
          <w:sz w:val="16"/>
          <w:szCs w:val="14"/>
        </w:rPr>
        <w:t xml:space="preserve"> Partly achieved.  Some progress has been made towards achieving the performance benchmark, but progress was less than anticipated. </w:t>
      </w:r>
    </w:p>
    <w:p w14:paraId="616BE50D" w14:textId="77777777" w:rsidR="00400B0F" w:rsidRPr="00880004" w:rsidRDefault="00400B0F" w:rsidP="00400B0F">
      <w:pPr>
        <w:spacing w:before="20" w:after="20" w:line="180" w:lineRule="atLeast"/>
        <w:jc w:val="both"/>
        <w:rPr>
          <w:rFonts w:eastAsia="Times New Roman"/>
          <w:b/>
          <w:sz w:val="16"/>
          <w:szCs w:val="14"/>
        </w:rPr>
      </w:pPr>
      <w:r w:rsidRPr="00880004">
        <w:rPr>
          <w:rFonts w:eastAsia="Times New Roman"/>
          <w:b/>
          <w:color w:val="FF0000"/>
          <w:sz w:val="16"/>
          <w:szCs w:val="14"/>
        </w:rPr>
        <w:sym w:font="Webdings" w:char="F067"/>
      </w:r>
      <w:r w:rsidRPr="00880004">
        <w:rPr>
          <w:rFonts w:eastAsia="Times New Roman"/>
          <w:b/>
          <w:sz w:val="16"/>
          <w:szCs w:val="14"/>
        </w:rPr>
        <w:t> </w:t>
      </w:r>
      <w:r w:rsidRPr="00880004">
        <w:rPr>
          <w:rFonts w:eastAsia="Times New Roman"/>
          <w:b/>
          <w:sz w:val="16"/>
          <w:szCs w:val="14"/>
        </w:rPr>
        <w:t xml:space="preserve"> Not achieved. Progress towards the performance benchmark has been significantly below expectations</w:t>
      </w:r>
    </w:p>
    <w:p w14:paraId="73EEB7ED" w14:textId="77777777" w:rsidR="00825966" w:rsidRDefault="00825966">
      <w:pPr>
        <w:suppressAutoHyphens w:val="0"/>
        <w:spacing w:before="0" w:after="120" w:line="440" w:lineRule="atLeast"/>
        <w:rPr>
          <w:rFonts w:eastAsiaTheme="majorEastAsia" w:cstheme="majorBidi"/>
          <w:bCs/>
          <w:iCs/>
          <w:caps/>
          <w:spacing w:val="-10"/>
          <w:kern w:val="28"/>
          <w:sz w:val="38"/>
          <w:szCs w:val="24"/>
        </w:rPr>
      </w:pPr>
      <w:r>
        <w:br w:type="page"/>
      </w:r>
    </w:p>
    <w:p w14:paraId="68014836" w14:textId="0A297809" w:rsidR="00400B0F" w:rsidRPr="00784031" w:rsidRDefault="00400B0F" w:rsidP="00784031">
      <w:pPr>
        <w:pStyle w:val="Subtitle"/>
        <w:numPr>
          <w:ilvl w:val="0"/>
          <w:numId w:val="0"/>
        </w:numPr>
      </w:pPr>
      <w:r w:rsidRPr="00784031">
        <w:t>Annex C - Evaluation Planning</w:t>
      </w:r>
    </w:p>
    <w:p w14:paraId="6C213EF7" w14:textId="77777777" w:rsidR="00400B0F" w:rsidRPr="008C2F58" w:rsidRDefault="00400B0F" w:rsidP="008C2F58">
      <w:pPr>
        <w:rPr>
          <w:b/>
          <w:sz w:val="24"/>
        </w:rPr>
      </w:pPr>
      <w:r w:rsidRPr="008C2F58">
        <w:rPr>
          <w:b/>
          <w:sz w:val="24"/>
        </w:rPr>
        <w:t xml:space="preserve">List of program prioritised evaluations planned for the next 12 months </w:t>
      </w:r>
    </w:p>
    <w:tbl>
      <w:tblPr>
        <w:tblStyle w:val="APPR"/>
        <w:tblW w:w="0" w:type="auto"/>
        <w:tblLook w:val="0600" w:firstRow="0" w:lastRow="0" w:firstColumn="0" w:lastColumn="0" w:noHBand="1" w:noVBand="1"/>
      </w:tblPr>
      <w:tblGrid>
        <w:gridCol w:w="2514"/>
        <w:gridCol w:w="2409"/>
        <w:gridCol w:w="2487"/>
        <w:gridCol w:w="2255"/>
        <w:gridCol w:w="2376"/>
        <w:gridCol w:w="2404"/>
      </w:tblGrid>
      <w:tr w:rsidR="00400B0F" w:rsidRPr="00C61187" w14:paraId="612CD8BF" w14:textId="77777777" w:rsidTr="00864454">
        <w:tc>
          <w:tcPr>
            <w:tcW w:w="2420" w:type="dxa"/>
          </w:tcPr>
          <w:p w14:paraId="527987AF" w14:textId="77777777" w:rsidR="00400B0F" w:rsidRPr="00880004" w:rsidRDefault="00400B0F" w:rsidP="006F27B1">
            <w:pPr>
              <w:keepLines/>
              <w:spacing w:before="80" w:after="80" w:line="200" w:lineRule="atLeast"/>
              <w:rPr>
                <w:rFonts w:asciiTheme="minorHAnsi" w:eastAsia="Times New Roman" w:hAnsiTheme="minorHAnsi"/>
                <w:b/>
                <w:iCs/>
                <w:szCs w:val="17"/>
                <w:lang w:eastAsia="en-US"/>
              </w:rPr>
            </w:pPr>
            <w:r w:rsidRPr="00880004">
              <w:rPr>
                <w:rFonts w:asciiTheme="minorHAnsi" w:eastAsia="Times New Roman" w:hAnsiTheme="minorHAnsi"/>
                <w:b/>
                <w:iCs/>
                <w:szCs w:val="17"/>
                <w:lang w:eastAsia="en-US"/>
              </w:rPr>
              <w:t>Evaluation title</w:t>
            </w:r>
          </w:p>
        </w:tc>
        <w:tc>
          <w:tcPr>
            <w:tcW w:w="2332" w:type="dxa"/>
          </w:tcPr>
          <w:p w14:paraId="1B572B74" w14:textId="77777777" w:rsidR="00400B0F" w:rsidRPr="00880004" w:rsidRDefault="00400B0F" w:rsidP="006F27B1">
            <w:pPr>
              <w:keepLines/>
              <w:spacing w:before="80" w:after="80" w:line="200" w:lineRule="atLeast"/>
              <w:rPr>
                <w:rFonts w:asciiTheme="minorHAnsi" w:eastAsia="Times New Roman" w:hAnsiTheme="minorHAnsi"/>
                <w:b/>
                <w:iCs/>
                <w:szCs w:val="17"/>
                <w:lang w:eastAsia="en-US"/>
              </w:rPr>
            </w:pPr>
            <w:r w:rsidRPr="00880004">
              <w:rPr>
                <w:rFonts w:asciiTheme="minorHAnsi" w:eastAsia="Times New Roman" w:hAnsiTheme="minorHAnsi"/>
                <w:b/>
                <w:iCs/>
                <w:szCs w:val="17"/>
                <w:lang w:eastAsia="en-US"/>
              </w:rPr>
              <w:t xml:space="preserve">Investment number and name (if applicable) </w:t>
            </w:r>
          </w:p>
        </w:tc>
        <w:tc>
          <w:tcPr>
            <w:tcW w:w="2419" w:type="dxa"/>
          </w:tcPr>
          <w:p w14:paraId="7A2AC3AC" w14:textId="77777777" w:rsidR="00400B0F" w:rsidRPr="00880004" w:rsidRDefault="00400B0F" w:rsidP="006F27B1">
            <w:pPr>
              <w:keepLines/>
              <w:spacing w:before="80" w:after="80" w:line="200" w:lineRule="atLeast"/>
              <w:rPr>
                <w:rFonts w:asciiTheme="minorHAnsi" w:eastAsia="Times New Roman" w:hAnsiTheme="minorHAnsi"/>
                <w:b/>
                <w:iCs/>
                <w:szCs w:val="17"/>
                <w:lang w:eastAsia="en-US"/>
              </w:rPr>
            </w:pPr>
            <w:r w:rsidRPr="00880004">
              <w:rPr>
                <w:rFonts w:asciiTheme="minorHAnsi" w:eastAsia="Times New Roman" w:hAnsiTheme="minorHAnsi"/>
                <w:b/>
                <w:iCs/>
                <w:szCs w:val="17"/>
                <w:lang w:eastAsia="en-US"/>
              </w:rPr>
              <w:t>Date – planned commencement (month/year)</w:t>
            </w:r>
          </w:p>
        </w:tc>
        <w:tc>
          <w:tcPr>
            <w:tcW w:w="2188" w:type="dxa"/>
          </w:tcPr>
          <w:p w14:paraId="55A1A913" w14:textId="77777777" w:rsidR="00400B0F" w:rsidRPr="00880004" w:rsidRDefault="00400B0F" w:rsidP="006F27B1">
            <w:pPr>
              <w:keepLines/>
              <w:spacing w:before="80" w:after="80" w:line="200" w:lineRule="atLeast"/>
              <w:rPr>
                <w:rFonts w:asciiTheme="minorHAnsi" w:eastAsia="Times New Roman" w:hAnsiTheme="minorHAnsi"/>
                <w:b/>
                <w:iCs/>
                <w:szCs w:val="17"/>
                <w:lang w:eastAsia="en-US"/>
              </w:rPr>
            </w:pPr>
            <w:r w:rsidRPr="00880004">
              <w:rPr>
                <w:rFonts w:asciiTheme="minorHAnsi" w:eastAsia="Times New Roman" w:hAnsiTheme="minorHAnsi"/>
                <w:b/>
                <w:iCs/>
                <w:szCs w:val="17"/>
                <w:lang w:eastAsia="en-US"/>
              </w:rPr>
              <w:t>Date – planned completion (month/year)</w:t>
            </w:r>
          </w:p>
        </w:tc>
        <w:tc>
          <w:tcPr>
            <w:tcW w:w="2304" w:type="dxa"/>
          </w:tcPr>
          <w:p w14:paraId="35E02707" w14:textId="77777777" w:rsidR="00400B0F" w:rsidRPr="00880004" w:rsidRDefault="00400B0F" w:rsidP="006F27B1">
            <w:pPr>
              <w:keepLines/>
              <w:spacing w:before="80" w:after="80" w:line="200" w:lineRule="atLeast"/>
              <w:rPr>
                <w:rFonts w:asciiTheme="minorHAnsi" w:eastAsia="Times New Roman" w:hAnsiTheme="minorHAnsi"/>
                <w:b/>
                <w:iCs/>
                <w:szCs w:val="17"/>
                <w:lang w:eastAsia="en-US"/>
              </w:rPr>
            </w:pPr>
            <w:r w:rsidRPr="00880004">
              <w:rPr>
                <w:rFonts w:asciiTheme="minorHAnsi" w:eastAsia="Times New Roman" w:hAnsiTheme="minorHAnsi"/>
                <w:b/>
                <w:iCs/>
                <w:szCs w:val="17"/>
                <w:lang w:eastAsia="en-US"/>
              </w:rPr>
              <w:t>Purpose of evaluation</w:t>
            </w:r>
          </w:p>
        </w:tc>
        <w:tc>
          <w:tcPr>
            <w:tcW w:w="2314" w:type="dxa"/>
          </w:tcPr>
          <w:p w14:paraId="73460B4F" w14:textId="77777777" w:rsidR="00400B0F" w:rsidRPr="00880004" w:rsidRDefault="00400B0F" w:rsidP="006F27B1">
            <w:pPr>
              <w:keepLines/>
              <w:spacing w:before="80" w:after="80" w:line="200" w:lineRule="atLeast"/>
              <w:rPr>
                <w:rFonts w:asciiTheme="minorHAnsi" w:eastAsia="Times New Roman" w:hAnsiTheme="minorHAnsi"/>
                <w:b/>
                <w:iCs/>
                <w:szCs w:val="17"/>
                <w:lang w:eastAsia="en-US"/>
              </w:rPr>
            </w:pPr>
            <w:r w:rsidRPr="00880004">
              <w:rPr>
                <w:rFonts w:asciiTheme="minorHAnsi" w:eastAsia="Times New Roman" w:hAnsiTheme="minorHAnsi"/>
                <w:b/>
                <w:iCs/>
                <w:szCs w:val="17"/>
                <w:lang w:eastAsia="en-US"/>
              </w:rPr>
              <w:t>Evaluation type</w:t>
            </w:r>
          </w:p>
        </w:tc>
      </w:tr>
      <w:tr w:rsidR="00864454" w:rsidRPr="00C61187" w14:paraId="15D94DD0" w14:textId="77777777" w:rsidTr="006F27B1">
        <w:tc>
          <w:tcPr>
            <w:tcW w:w="2472" w:type="dxa"/>
          </w:tcPr>
          <w:p w14:paraId="10840BC1" w14:textId="3FA7E5D0" w:rsidR="00864454" w:rsidRPr="00880004" w:rsidRDefault="00864454" w:rsidP="00864454">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val="en-AU" w:eastAsia="en-US"/>
              </w:rPr>
              <w:t xml:space="preserve">Data validation – Meta-Evaluation     </w:t>
            </w:r>
          </w:p>
        </w:tc>
        <w:tc>
          <w:tcPr>
            <w:tcW w:w="2381" w:type="dxa"/>
          </w:tcPr>
          <w:p w14:paraId="502932B5" w14:textId="4E626C14" w:rsidR="00864454" w:rsidRPr="00880004" w:rsidRDefault="00864454" w:rsidP="00864454">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val="en-AU" w:eastAsia="en-US"/>
              </w:rPr>
              <w:t>13B270</w:t>
            </w:r>
          </w:p>
        </w:tc>
        <w:tc>
          <w:tcPr>
            <w:tcW w:w="2459" w:type="dxa"/>
          </w:tcPr>
          <w:p w14:paraId="578B2983" w14:textId="142DD16C" w:rsidR="00864454" w:rsidRPr="00880004" w:rsidRDefault="00864454" w:rsidP="00864454">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val="en-AU" w:eastAsia="en-US"/>
              </w:rPr>
              <w:t>June 2017</w:t>
            </w:r>
          </w:p>
        </w:tc>
        <w:tc>
          <w:tcPr>
            <w:tcW w:w="2227" w:type="dxa"/>
          </w:tcPr>
          <w:p w14:paraId="10C465AD" w14:textId="5944619B" w:rsidR="00864454" w:rsidRPr="00880004" w:rsidRDefault="00864454" w:rsidP="00864454">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val="en-AU" w:eastAsia="en-US"/>
              </w:rPr>
              <w:t xml:space="preserve">June 2018                                         </w:t>
            </w:r>
          </w:p>
        </w:tc>
        <w:tc>
          <w:tcPr>
            <w:tcW w:w="2348" w:type="dxa"/>
          </w:tcPr>
          <w:p w14:paraId="40119862" w14:textId="4586B88D" w:rsidR="00864454" w:rsidRPr="00880004" w:rsidRDefault="00864454" w:rsidP="00864454">
            <w:pPr>
              <w:keepLines/>
              <w:spacing w:before="40" w:after="40" w:line="200" w:lineRule="atLeast"/>
              <w:rPr>
                <w:rFonts w:asciiTheme="minorHAnsi" w:eastAsia="Times New Roman" w:hAnsiTheme="minorHAnsi"/>
                <w:iCs/>
                <w:color w:val="000000" w:themeColor="text1" w:themeShade="BF"/>
                <w:szCs w:val="17"/>
                <w:lang w:eastAsia="en-US"/>
              </w:rPr>
            </w:pPr>
            <w:r>
              <w:rPr>
                <w:rFonts w:asciiTheme="minorHAnsi" w:eastAsia="Times New Roman" w:hAnsiTheme="minorHAnsi"/>
                <w:iCs/>
                <w:szCs w:val="17"/>
                <w:lang w:val="en-AU" w:eastAsia="en-US"/>
              </w:rPr>
              <w:t>Address recommendation 4 of ODE review</w:t>
            </w:r>
          </w:p>
        </w:tc>
        <w:tc>
          <w:tcPr>
            <w:tcW w:w="2362" w:type="dxa"/>
          </w:tcPr>
          <w:p w14:paraId="14262154" w14:textId="62A05369" w:rsidR="00864454" w:rsidRPr="00880004" w:rsidRDefault="00864454" w:rsidP="00864454">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Joint (in collaboration with the ANCP MEL Reference Group)</w:t>
            </w:r>
            <w:r w:rsidRPr="00880004">
              <w:rPr>
                <w:rFonts w:asciiTheme="minorHAnsi" w:eastAsia="Times New Roman" w:hAnsiTheme="minorHAnsi"/>
                <w:iCs/>
                <w:szCs w:val="17"/>
                <w:lang w:eastAsia="en-US"/>
              </w:rPr>
              <w:t xml:space="preserve"> </w:t>
            </w:r>
          </w:p>
        </w:tc>
      </w:tr>
      <w:tr w:rsidR="00400B0F" w:rsidRPr="00C61187" w14:paraId="0D40BA1E" w14:textId="77777777" w:rsidTr="00864454">
        <w:tc>
          <w:tcPr>
            <w:tcW w:w="2420" w:type="dxa"/>
          </w:tcPr>
          <w:p w14:paraId="4C8AE42D" w14:textId="77777777" w:rsidR="00400B0F" w:rsidRPr="00C61187" w:rsidRDefault="00400B0F" w:rsidP="006F27B1">
            <w:pPr>
              <w:keepLines/>
              <w:spacing w:before="40" w:after="40" w:line="200" w:lineRule="atLeast"/>
              <w:rPr>
                <w:rFonts w:eastAsia="Times New Roman"/>
                <w:iCs/>
                <w:szCs w:val="17"/>
                <w:lang w:eastAsia="en-US"/>
              </w:rPr>
            </w:pPr>
          </w:p>
        </w:tc>
        <w:tc>
          <w:tcPr>
            <w:tcW w:w="2332" w:type="dxa"/>
          </w:tcPr>
          <w:p w14:paraId="0760745C" w14:textId="77777777" w:rsidR="00400B0F" w:rsidRPr="00C61187" w:rsidRDefault="00400B0F" w:rsidP="006F27B1">
            <w:pPr>
              <w:keepLines/>
              <w:spacing w:before="40" w:after="40" w:line="200" w:lineRule="atLeast"/>
              <w:rPr>
                <w:rFonts w:eastAsia="Times New Roman"/>
                <w:iCs/>
                <w:szCs w:val="17"/>
                <w:lang w:eastAsia="en-US"/>
              </w:rPr>
            </w:pPr>
          </w:p>
        </w:tc>
        <w:tc>
          <w:tcPr>
            <w:tcW w:w="2419" w:type="dxa"/>
          </w:tcPr>
          <w:p w14:paraId="1A5C9104" w14:textId="77777777" w:rsidR="00400B0F" w:rsidRPr="00C61187" w:rsidRDefault="00400B0F" w:rsidP="006F27B1">
            <w:pPr>
              <w:keepLines/>
              <w:spacing w:before="40" w:after="40" w:line="200" w:lineRule="atLeast"/>
              <w:rPr>
                <w:rFonts w:eastAsia="Times New Roman"/>
                <w:iCs/>
                <w:szCs w:val="17"/>
                <w:lang w:eastAsia="en-US"/>
              </w:rPr>
            </w:pPr>
          </w:p>
        </w:tc>
        <w:tc>
          <w:tcPr>
            <w:tcW w:w="2188" w:type="dxa"/>
          </w:tcPr>
          <w:p w14:paraId="6C3404A4" w14:textId="77777777" w:rsidR="00400B0F" w:rsidRPr="00C61187" w:rsidRDefault="00400B0F" w:rsidP="006F27B1">
            <w:pPr>
              <w:keepLines/>
              <w:spacing w:before="40" w:after="40" w:line="200" w:lineRule="atLeast"/>
              <w:rPr>
                <w:rFonts w:eastAsia="Times New Roman"/>
                <w:iCs/>
                <w:szCs w:val="17"/>
                <w:lang w:eastAsia="en-US"/>
              </w:rPr>
            </w:pPr>
          </w:p>
        </w:tc>
        <w:tc>
          <w:tcPr>
            <w:tcW w:w="2304" w:type="dxa"/>
          </w:tcPr>
          <w:p w14:paraId="22A2FEA4" w14:textId="77777777" w:rsidR="00400B0F" w:rsidRPr="00C61187" w:rsidRDefault="00400B0F" w:rsidP="006F27B1">
            <w:pPr>
              <w:keepLines/>
              <w:spacing w:before="40" w:after="40" w:line="200" w:lineRule="atLeast"/>
              <w:rPr>
                <w:rFonts w:eastAsia="Times New Roman"/>
                <w:iCs/>
                <w:szCs w:val="17"/>
                <w:lang w:eastAsia="en-US"/>
              </w:rPr>
            </w:pPr>
          </w:p>
        </w:tc>
        <w:tc>
          <w:tcPr>
            <w:tcW w:w="2314" w:type="dxa"/>
          </w:tcPr>
          <w:p w14:paraId="620FA52E" w14:textId="77777777" w:rsidR="00400B0F" w:rsidRPr="00C61187" w:rsidRDefault="00400B0F" w:rsidP="006F27B1">
            <w:pPr>
              <w:keepLines/>
              <w:spacing w:before="40" w:after="40" w:line="200" w:lineRule="atLeast"/>
              <w:rPr>
                <w:rFonts w:eastAsia="Times New Roman"/>
                <w:iCs/>
                <w:szCs w:val="17"/>
                <w:lang w:eastAsia="en-US"/>
              </w:rPr>
            </w:pPr>
          </w:p>
        </w:tc>
      </w:tr>
    </w:tbl>
    <w:p w14:paraId="7734CE29" w14:textId="77777777" w:rsidR="00400B0F" w:rsidRPr="00784031" w:rsidRDefault="00400B0F" w:rsidP="00400B0F">
      <w:pPr>
        <w:keepNext/>
        <w:tabs>
          <w:tab w:val="left" w:pos="1560"/>
        </w:tabs>
        <w:spacing w:before="360" w:after="120"/>
        <w:outlineLvl w:val="1"/>
        <w:rPr>
          <w:rFonts w:eastAsiaTheme="majorEastAsia" w:cstheme="majorBidi"/>
          <w:bCs/>
          <w:iCs/>
          <w:caps/>
          <w:spacing w:val="-10"/>
          <w:kern w:val="28"/>
          <w:sz w:val="38"/>
          <w:szCs w:val="24"/>
        </w:rPr>
      </w:pPr>
      <w:r w:rsidRPr="00784031">
        <w:rPr>
          <w:rFonts w:eastAsiaTheme="majorEastAsia" w:cstheme="majorBidi"/>
          <w:bCs/>
          <w:iCs/>
          <w:caps/>
          <w:spacing w:val="-10"/>
          <w:kern w:val="28"/>
          <w:sz w:val="38"/>
          <w:szCs w:val="24"/>
        </w:rPr>
        <w:t>Annex D - Aid Quality Check ratings</w:t>
      </w:r>
    </w:p>
    <w:p w14:paraId="3FD5FDF2" w14:textId="77777777" w:rsidR="00400B0F" w:rsidRPr="00784031" w:rsidRDefault="00400B0F" w:rsidP="00400B0F">
      <w:pPr>
        <w:keepNext/>
        <w:numPr>
          <w:ilvl w:val="2"/>
          <w:numId w:val="0"/>
        </w:numPr>
        <w:spacing w:before="240" w:after="120"/>
        <w:outlineLvl w:val="2"/>
        <w:rPr>
          <w:rFonts w:asciiTheme="majorHAnsi" w:eastAsiaTheme="majorEastAsia" w:hAnsiTheme="majorHAnsi" w:cstheme="majorBidi"/>
          <w:caps/>
          <w:sz w:val="38"/>
          <w:szCs w:val="26"/>
        </w:rPr>
      </w:pPr>
      <w:r w:rsidRPr="00784031">
        <w:rPr>
          <w:rFonts w:asciiTheme="majorHAnsi" w:eastAsiaTheme="majorEastAsia" w:hAnsiTheme="majorHAnsi" w:cstheme="majorBidi"/>
          <w:caps/>
          <w:sz w:val="38"/>
          <w:szCs w:val="26"/>
        </w:rPr>
        <w:t>AQC ratings</w:t>
      </w:r>
    </w:p>
    <w:p w14:paraId="0F7BFAEB" w14:textId="77777777" w:rsidR="00400B0F" w:rsidRPr="00C61187" w:rsidRDefault="00400B0F" w:rsidP="004E0264">
      <w:r w:rsidRPr="00C61187">
        <w:t>AQC investment performance over the previous 12 months and where available last year’s AQC ratings are included.</w:t>
      </w:r>
    </w:p>
    <w:tbl>
      <w:tblPr>
        <w:tblStyle w:val="APPR"/>
        <w:tblW w:w="4077" w:type="pct"/>
        <w:tblLook w:val="0000" w:firstRow="0" w:lastRow="0" w:firstColumn="0" w:lastColumn="0" w:noHBand="0" w:noVBand="0"/>
      </w:tblPr>
      <w:tblGrid>
        <w:gridCol w:w="1933"/>
        <w:gridCol w:w="1230"/>
        <w:gridCol w:w="1239"/>
        <w:gridCol w:w="1227"/>
        <w:gridCol w:w="1239"/>
        <w:gridCol w:w="1227"/>
        <w:gridCol w:w="1239"/>
        <w:gridCol w:w="1225"/>
        <w:gridCol w:w="1232"/>
      </w:tblGrid>
      <w:tr w:rsidR="00E04C41" w:rsidRPr="00C61187" w14:paraId="77EE601D" w14:textId="77777777" w:rsidTr="00E04C41">
        <w:trPr>
          <w:cnfStyle w:val="000000010000" w:firstRow="0" w:lastRow="0" w:firstColumn="0" w:lastColumn="0" w:oddVBand="0" w:evenVBand="0" w:oddHBand="0" w:evenHBand="1" w:firstRowFirstColumn="0" w:firstRowLastColumn="0" w:lastRowFirstColumn="0" w:lastRowLastColumn="0"/>
          <w:trHeight w:val="1413"/>
        </w:trPr>
        <w:tc>
          <w:tcPr>
            <w:tcW w:w="801" w:type="pct"/>
            <w:textDirection w:val="btLr"/>
          </w:tcPr>
          <w:p w14:paraId="4EBBFCAF" w14:textId="77777777" w:rsidR="00E04C41" w:rsidRPr="00880004" w:rsidRDefault="00E04C41" w:rsidP="006F27B1">
            <w:pPr>
              <w:keepLines/>
              <w:spacing w:before="80" w:after="80" w:line="200" w:lineRule="atLeast"/>
              <w:rPr>
                <w:rFonts w:asciiTheme="minorHAnsi" w:eastAsia="Times New Roman" w:hAnsiTheme="minorHAnsi"/>
                <w:b/>
                <w:iCs/>
                <w:szCs w:val="17"/>
                <w:lang w:eastAsia="en-US"/>
              </w:rPr>
            </w:pPr>
            <w:r w:rsidRPr="00880004">
              <w:rPr>
                <w:rFonts w:asciiTheme="minorHAnsi" w:eastAsia="Times New Roman" w:hAnsiTheme="minorHAnsi"/>
                <w:b/>
                <w:iCs/>
                <w:szCs w:val="17"/>
                <w:lang w:eastAsia="en-US"/>
              </w:rPr>
              <w:t>Approved budget and duration</w:t>
            </w:r>
          </w:p>
        </w:tc>
        <w:tc>
          <w:tcPr>
            <w:tcW w:w="510" w:type="pct"/>
            <w:textDirection w:val="btLr"/>
          </w:tcPr>
          <w:p w14:paraId="1CD9A556" w14:textId="77777777" w:rsidR="00E04C41" w:rsidRPr="00880004" w:rsidRDefault="00E04C41" w:rsidP="006F27B1">
            <w:pPr>
              <w:keepLines/>
              <w:spacing w:before="80" w:after="80" w:line="200" w:lineRule="atLeast"/>
              <w:rPr>
                <w:rFonts w:asciiTheme="minorHAnsi" w:eastAsia="Times New Roman" w:hAnsiTheme="minorHAnsi"/>
                <w:b/>
                <w:iCs/>
                <w:szCs w:val="17"/>
                <w:lang w:eastAsia="en-US"/>
              </w:rPr>
            </w:pPr>
            <w:r w:rsidRPr="00880004">
              <w:rPr>
                <w:rFonts w:asciiTheme="minorHAnsi" w:eastAsia="Times New Roman" w:hAnsiTheme="minorHAnsi"/>
                <w:b/>
                <w:iCs/>
                <w:szCs w:val="17"/>
                <w:lang w:eastAsia="en-US"/>
              </w:rPr>
              <w:t>year on year</w:t>
            </w:r>
          </w:p>
        </w:tc>
        <w:tc>
          <w:tcPr>
            <w:tcW w:w="513" w:type="pct"/>
            <w:textDirection w:val="btLr"/>
          </w:tcPr>
          <w:p w14:paraId="64A88CF6" w14:textId="77777777" w:rsidR="00E04C41" w:rsidRPr="00880004" w:rsidRDefault="00E04C41" w:rsidP="006F27B1">
            <w:pPr>
              <w:keepLines/>
              <w:spacing w:before="80" w:after="80" w:line="200" w:lineRule="atLeast"/>
              <w:rPr>
                <w:rFonts w:asciiTheme="minorHAnsi" w:eastAsia="Times New Roman" w:hAnsiTheme="minorHAnsi"/>
                <w:b/>
                <w:iCs/>
                <w:szCs w:val="17"/>
                <w:lang w:eastAsia="en-US"/>
              </w:rPr>
            </w:pPr>
            <w:r w:rsidRPr="00880004">
              <w:rPr>
                <w:rFonts w:asciiTheme="minorHAnsi" w:eastAsia="Times New Roman" w:hAnsiTheme="minorHAnsi"/>
                <w:b/>
                <w:iCs/>
                <w:szCs w:val="17"/>
                <w:lang w:eastAsia="en-US"/>
              </w:rPr>
              <w:t>Relevance</w:t>
            </w:r>
          </w:p>
        </w:tc>
        <w:tc>
          <w:tcPr>
            <w:tcW w:w="509" w:type="pct"/>
            <w:textDirection w:val="btLr"/>
          </w:tcPr>
          <w:p w14:paraId="3134A677" w14:textId="77777777" w:rsidR="00E04C41" w:rsidRPr="00880004" w:rsidRDefault="00E04C41" w:rsidP="006F27B1">
            <w:pPr>
              <w:keepLines/>
              <w:spacing w:before="80" w:after="80" w:line="200" w:lineRule="atLeast"/>
              <w:rPr>
                <w:rFonts w:asciiTheme="minorHAnsi" w:eastAsia="Times New Roman" w:hAnsiTheme="minorHAnsi"/>
                <w:b/>
                <w:iCs/>
                <w:szCs w:val="17"/>
                <w:lang w:eastAsia="en-US"/>
              </w:rPr>
            </w:pPr>
            <w:r w:rsidRPr="00880004">
              <w:rPr>
                <w:rFonts w:asciiTheme="minorHAnsi" w:eastAsia="Times New Roman" w:hAnsiTheme="minorHAnsi"/>
                <w:b/>
                <w:iCs/>
                <w:szCs w:val="17"/>
                <w:lang w:eastAsia="en-US"/>
              </w:rPr>
              <w:t>Effectiveness</w:t>
            </w:r>
          </w:p>
        </w:tc>
        <w:tc>
          <w:tcPr>
            <w:tcW w:w="513" w:type="pct"/>
            <w:textDirection w:val="btLr"/>
          </w:tcPr>
          <w:p w14:paraId="4BE2E8B0" w14:textId="77777777" w:rsidR="00E04C41" w:rsidRPr="00880004" w:rsidRDefault="00E04C41" w:rsidP="006F27B1">
            <w:pPr>
              <w:keepLines/>
              <w:spacing w:before="80" w:after="80" w:line="200" w:lineRule="atLeast"/>
              <w:rPr>
                <w:rFonts w:asciiTheme="minorHAnsi" w:eastAsia="Times New Roman" w:hAnsiTheme="minorHAnsi"/>
                <w:b/>
                <w:iCs/>
                <w:szCs w:val="17"/>
                <w:lang w:eastAsia="en-US"/>
              </w:rPr>
            </w:pPr>
            <w:r w:rsidRPr="00880004">
              <w:rPr>
                <w:rFonts w:asciiTheme="minorHAnsi" w:eastAsia="Times New Roman" w:hAnsiTheme="minorHAnsi"/>
                <w:b/>
                <w:iCs/>
                <w:szCs w:val="17"/>
                <w:lang w:eastAsia="en-US"/>
              </w:rPr>
              <w:t>Efficiency</w:t>
            </w:r>
          </w:p>
        </w:tc>
        <w:tc>
          <w:tcPr>
            <w:tcW w:w="509" w:type="pct"/>
            <w:textDirection w:val="btLr"/>
          </w:tcPr>
          <w:p w14:paraId="5B059063" w14:textId="77777777" w:rsidR="00E04C41" w:rsidRPr="00880004" w:rsidRDefault="00E04C41" w:rsidP="006F27B1">
            <w:pPr>
              <w:keepLines/>
              <w:spacing w:before="80" w:after="80" w:line="200" w:lineRule="atLeast"/>
              <w:rPr>
                <w:rFonts w:asciiTheme="minorHAnsi" w:eastAsia="Times New Roman" w:hAnsiTheme="minorHAnsi"/>
                <w:b/>
                <w:iCs/>
                <w:szCs w:val="17"/>
                <w:lang w:eastAsia="en-US"/>
              </w:rPr>
            </w:pPr>
            <w:r w:rsidRPr="00880004">
              <w:rPr>
                <w:rFonts w:asciiTheme="minorHAnsi" w:eastAsia="Times New Roman" w:hAnsiTheme="minorHAnsi"/>
                <w:b/>
                <w:iCs/>
                <w:szCs w:val="17"/>
                <w:lang w:eastAsia="en-US"/>
              </w:rPr>
              <w:t>Monitoring and Evaluation</w:t>
            </w:r>
          </w:p>
        </w:tc>
        <w:tc>
          <w:tcPr>
            <w:tcW w:w="513" w:type="pct"/>
            <w:textDirection w:val="btLr"/>
          </w:tcPr>
          <w:p w14:paraId="7F8107BE" w14:textId="77777777" w:rsidR="00E04C41" w:rsidRPr="00880004" w:rsidRDefault="00E04C41" w:rsidP="006F27B1">
            <w:pPr>
              <w:keepLines/>
              <w:spacing w:before="80" w:after="80" w:line="200" w:lineRule="atLeast"/>
              <w:rPr>
                <w:rFonts w:asciiTheme="minorHAnsi" w:eastAsia="Times New Roman" w:hAnsiTheme="minorHAnsi"/>
                <w:b/>
                <w:iCs/>
                <w:szCs w:val="17"/>
                <w:lang w:eastAsia="en-US"/>
              </w:rPr>
            </w:pPr>
            <w:r w:rsidRPr="00880004">
              <w:rPr>
                <w:rFonts w:asciiTheme="minorHAnsi" w:eastAsia="Times New Roman" w:hAnsiTheme="minorHAnsi"/>
                <w:b/>
                <w:iCs/>
                <w:szCs w:val="17"/>
                <w:lang w:eastAsia="en-US"/>
              </w:rPr>
              <w:t>Sustainability</w:t>
            </w:r>
          </w:p>
        </w:tc>
        <w:tc>
          <w:tcPr>
            <w:tcW w:w="508" w:type="pct"/>
            <w:textDirection w:val="btLr"/>
          </w:tcPr>
          <w:p w14:paraId="141305CD" w14:textId="77777777" w:rsidR="00E04C41" w:rsidRPr="00880004" w:rsidRDefault="00E04C41" w:rsidP="006F27B1">
            <w:pPr>
              <w:keepLines/>
              <w:spacing w:before="80" w:after="80" w:line="200" w:lineRule="atLeast"/>
              <w:rPr>
                <w:rFonts w:asciiTheme="minorHAnsi" w:eastAsia="Times New Roman" w:hAnsiTheme="minorHAnsi"/>
                <w:b/>
                <w:iCs/>
                <w:szCs w:val="17"/>
                <w:lang w:eastAsia="en-US"/>
              </w:rPr>
            </w:pPr>
            <w:r w:rsidRPr="00880004">
              <w:rPr>
                <w:rFonts w:asciiTheme="minorHAnsi" w:eastAsia="Times New Roman" w:hAnsiTheme="minorHAnsi"/>
                <w:b/>
                <w:iCs/>
                <w:szCs w:val="17"/>
                <w:lang w:eastAsia="en-US"/>
              </w:rPr>
              <w:t>Gender equality</w:t>
            </w:r>
          </w:p>
        </w:tc>
        <w:tc>
          <w:tcPr>
            <w:tcW w:w="505" w:type="pct"/>
            <w:textDirection w:val="btLr"/>
          </w:tcPr>
          <w:p w14:paraId="38D25407" w14:textId="77777777" w:rsidR="00E04C41" w:rsidRPr="00880004" w:rsidRDefault="00E04C41" w:rsidP="006F27B1">
            <w:pPr>
              <w:keepLines/>
              <w:spacing w:before="80" w:after="80" w:line="200" w:lineRule="atLeast"/>
              <w:rPr>
                <w:rFonts w:asciiTheme="minorHAnsi" w:eastAsia="Times New Roman" w:hAnsiTheme="minorHAnsi"/>
                <w:b/>
                <w:iCs/>
                <w:szCs w:val="17"/>
                <w:lang w:eastAsia="en-US"/>
              </w:rPr>
            </w:pPr>
            <w:r w:rsidRPr="00880004">
              <w:rPr>
                <w:rFonts w:asciiTheme="minorHAnsi" w:eastAsia="Times New Roman" w:hAnsiTheme="minorHAnsi"/>
                <w:b/>
                <w:iCs/>
                <w:szCs w:val="17"/>
                <w:lang w:eastAsia="en-US"/>
              </w:rPr>
              <w:t>Risks  and Safeguards</w:t>
            </w:r>
          </w:p>
        </w:tc>
      </w:tr>
      <w:tr w:rsidR="00E04C41" w:rsidRPr="00C61187" w14:paraId="5D45B1A1" w14:textId="77777777" w:rsidTr="00E04C41">
        <w:trPr>
          <w:cnfStyle w:val="000000010000" w:firstRow="0" w:lastRow="0" w:firstColumn="0" w:lastColumn="0" w:oddVBand="0" w:evenVBand="0" w:oddHBand="0" w:evenHBand="1" w:firstRowFirstColumn="0" w:firstRowLastColumn="0" w:lastRowFirstColumn="0" w:lastRowLastColumn="0"/>
          <w:trHeight w:val="284"/>
        </w:trPr>
        <w:tc>
          <w:tcPr>
            <w:tcW w:w="801" w:type="pct"/>
          </w:tcPr>
          <w:p w14:paraId="6426E0D8" w14:textId="79BDB83E" w:rsidR="00E04C41" w:rsidRPr="00880004" w:rsidRDefault="00E04C41" w:rsidP="005F3C00">
            <w:pPr>
              <w:keepLines/>
              <w:spacing w:before="40" w:after="40" w:line="200" w:lineRule="atLeast"/>
              <w:rPr>
                <w:rFonts w:eastAsia="Times New Roman"/>
                <w:iCs/>
                <w:szCs w:val="17"/>
              </w:rPr>
            </w:pPr>
            <w:r>
              <w:rPr>
                <w:rFonts w:eastAsia="Times New Roman"/>
                <w:iCs/>
                <w:szCs w:val="17"/>
              </w:rPr>
              <w:t>127.3 m (2016-17)</w:t>
            </w:r>
          </w:p>
        </w:tc>
        <w:tc>
          <w:tcPr>
            <w:tcW w:w="510" w:type="pct"/>
          </w:tcPr>
          <w:p w14:paraId="428CA8CB" w14:textId="516E7620" w:rsidR="00E04C41" w:rsidRPr="00880004" w:rsidRDefault="00E04C41" w:rsidP="005F3C00">
            <w:pPr>
              <w:keepLines/>
              <w:spacing w:before="40" w:after="40" w:line="200" w:lineRule="atLeast"/>
              <w:rPr>
                <w:rFonts w:eastAsia="Times New Roman"/>
                <w:iCs/>
                <w:szCs w:val="17"/>
              </w:rPr>
            </w:pPr>
            <w:r w:rsidRPr="00880004">
              <w:rPr>
                <w:rFonts w:asciiTheme="minorHAnsi" w:eastAsia="Times New Roman" w:hAnsiTheme="minorHAnsi"/>
                <w:iCs/>
                <w:szCs w:val="17"/>
                <w:lang w:eastAsia="en-US"/>
              </w:rPr>
              <w:t>201</w:t>
            </w:r>
            <w:r>
              <w:rPr>
                <w:rFonts w:asciiTheme="minorHAnsi" w:eastAsia="Times New Roman" w:hAnsiTheme="minorHAnsi"/>
                <w:iCs/>
                <w:szCs w:val="17"/>
                <w:lang w:eastAsia="en-US"/>
              </w:rPr>
              <w:t>7</w:t>
            </w:r>
            <w:r w:rsidRPr="00880004">
              <w:rPr>
                <w:rFonts w:asciiTheme="minorHAnsi" w:eastAsia="Times New Roman" w:hAnsiTheme="minorHAnsi"/>
                <w:iCs/>
                <w:szCs w:val="17"/>
                <w:lang w:eastAsia="en-US"/>
              </w:rPr>
              <w:t xml:space="preserve"> AQC</w:t>
            </w:r>
          </w:p>
        </w:tc>
        <w:tc>
          <w:tcPr>
            <w:tcW w:w="513" w:type="pct"/>
            <w:shd w:val="clear" w:color="auto" w:fill="92D050"/>
            <w:noWrap/>
          </w:tcPr>
          <w:p w14:paraId="293443EC" w14:textId="56309293" w:rsidR="00E04C41" w:rsidRPr="00880004" w:rsidRDefault="00E04C41" w:rsidP="005F3C00">
            <w:pPr>
              <w:keepLines/>
              <w:spacing w:before="40" w:after="40" w:line="200" w:lineRule="atLeast"/>
              <w:jc w:val="center"/>
              <w:rPr>
                <w:rFonts w:eastAsia="Times New Roman"/>
                <w:iCs/>
                <w:szCs w:val="17"/>
              </w:rPr>
            </w:pPr>
            <w:r>
              <w:rPr>
                <w:rFonts w:eastAsia="Times New Roman"/>
                <w:iCs/>
                <w:szCs w:val="17"/>
              </w:rPr>
              <w:t>5</w:t>
            </w:r>
          </w:p>
        </w:tc>
        <w:tc>
          <w:tcPr>
            <w:tcW w:w="509" w:type="pct"/>
            <w:shd w:val="clear" w:color="auto" w:fill="92D050"/>
            <w:noWrap/>
          </w:tcPr>
          <w:p w14:paraId="551E75D9" w14:textId="207404A5" w:rsidR="00E04C41" w:rsidRPr="00880004" w:rsidRDefault="00E04C41" w:rsidP="005F3C00">
            <w:pPr>
              <w:keepLines/>
              <w:spacing w:before="40" w:after="40" w:line="200" w:lineRule="atLeast"/>
              <w:jc w:val="center"/>
              <w:rPr>
                <w:rFonts w:eastAsia="Times New Roman"/>
                <w:iCs/>
                <w:szCs w:val="17"/>
              </w:rPr>
            </w:pPr>
            <w:r>
              <w:rPr>
                <w:rFonts w:eastAsia="Times New Roman"/>
                <w:iCs/>
                <w:szCs w:val="17"/>
              </w:rPr>
              <w:t>5</w:t>
            </w:r>
          </w:p>
        </w:tc>
        <w:tc>
          <w:tcPr>
            <w:tcW w:w="513" w:type="pct"/>
            <w:shd w:val="clear" w:color="auto" w:fill="92D050"/>
            <w:noWrap/>
          </w:tcPr>
          <w:p w14:paraId="0C9BD9C1" w14:textId="1DE2EF5B" w:rsidR="00E04C41" w:rsidRPr="00880004" w:rsidRDefault="00E04C41" w:rsidP="005F3C00">
            <w:pPr>
              <w:keepLines/>
              <w:spacing w:before="40" w:after="40" w:line="200" w:lineRule="atLeast"/>
              <w:jc w:val="center"/>
              <w:rPr>
                <w:rFonts w:eastAsia="Times New Roman"/>
                <w:iCs/>
                <w:szCs w:val="17"/>
              </w:rPr>
            </w:pPr>
            <w:r>
              <w:rPr>
                <w:rFonts w:eastAsia="Times New Roman"/>
                <w:iCs/>
                <w:szCs w:val="17"/>
              </w:rPr>
              <w:t>5</w:t>
            </w:r>
          </w:p>
        </w:tc>
        <w:tc>
          <w:tcPr>
            <w:tcW w:w="509" w:type="pct"/>
            <w:shd w:val="clear" w:color="auto" w:fill="FFFF00"/>
            <w:noWrap/>
          </w:tcPr>
          <w:p w14:paraId="51FD855F" w14:textId="26053F7D" w:rsidR="00E04C41" w:rsidRPr="00880004" w:rsidRDefault="00E04C41" w:rsidP="005F3C00">
            <w:pPr>
              <w:keepLines/>
              <w:spacing w:before="40" w:after="40" w:line="200" w:lineRule="atLeast"/>
              <w:jc w:val="center"/>
              <w:rPr>
                <w:rFonts w:eastAsia="Times New Roman"/>
                <w:iCs/>
                <w:szCs w:val="17"/>
              </w:rPr>
            </w:pPr>
            <w:r>
              <w:rPr>
                <w:rFonts w:eastAsia="Times New Roman"/>
                <w:iCs/>
                <w:szCs w:val="17"/>
              </w:rPr>
              <w:t>4</w:t>
            </w:r>
          </w:p>
        </w:tc>
        <w:tc>
          <w:tcPr>
            <w:tcW w:w="513" w:type="pct"/>
            <w:shd w:val="clear" w:color="auto" w:fill="92D050"/>
            <w:noWrap/>
          </w:tcPr>
          <w:p w14:paraId="05F27990" w14:textId="3261788D" w:rsidR="00E04C41" w:rsidRPr="00880004" w:rsidRDefault="00E04C41" w:rsidP="005F3C00">
            <w:pPr>
              <w:keepLines/>
              <w:spacing w:before="40" w:after="40" w:line="200" w:lineRule="atLeast"/>
              <w:jc w:val="center"/>
              <w:rPr>
                <w:rFonts w:eastAsia="Times New Roman"/>
                <w:iCs/>
                <w:szCs w:val="17"/>
              </w:rPr>
            </w:pPr>
            <w:r>
              <w:rPr>
                <w:rFonts w:eastAsia="Times New Roman"/>
                <w:iCs/>
                <w:szCs w:val="17"/>
              </w:rPr>
              <w:t>5</w:t>
            </w:r>
          </w:p>
        </w:tc>
        <w:tc>
          <w:tcPr>
            <w:tcW w:w="508" w:type="pct"/>
            <w:shd w:val="clear" w:color="auto" w:fill="92D050"/>
            <w:noWrap/>
          </w:tcPr>
          <w:p w14:paraId="422E39F1" w14:textId="605A8067" w:rsidR="00E04C41" w:rsidRPr="00880004" w:rsidRDefault="00E04C41" w:rsidP="005F3C00">
            <w:pPr>
              <w:keepLines/>
              <w:spacing w:before="40" w:after="40" w:line="200" w:lineRule="atLeast"/>
              <w:jc w:val="center"/>
              <w:rPr>
                <w:rFonts w:eastAsia="Times New Roman"/>
                <w:iCs/>
                <w:szCs w:val="17"/>
              </w:rPr>
            </w:pPr>
            <w:r>
              <w:rPr>
                <w:rFonts w:eastAsia="Times New Roman"/>
                <w:iCs/>
                <w:szCs w:val="17"/>
              </w:rPr>
              <w:t>5</w:t>
            </w:r>
          </w:p>
        </w:tc>
        <w:tc>
          <w:tcPr>
            <w:tcW w:w="505" w:type="pct"/>
            <w:shd w:val="clear" w:color="auto" w:fill="92D050"/>
          </w:tcPr>
          <w:p w14:paraId="0271A7F9" w14:textId="0AFCDEB1" w:rsidR="00E04C41" w:rsidRPr="00880004" w:rsidRDefault="00E04C41" w:rsidP="005F3C00">
            <w:pPr>
              <w:keepLines/>
              <w:spacing w:before="40" w:after="40" w:line="200" w:lineRule="atLeast"/>
              <w:jc w:val="center"/>
              <w:rPr>
                <w:rFonts w:eastAsia="Times New Roman"/>
                <w:iCs/>
                <w:szCs w:val="17"/>
              </w:rPr>
            </w:pPr>
            <w:r>
              <w:rPr>
                <w:rFonts w:eastAsia="Times New Roman"/>
                <w:iCs/>
                <w:szCs w:val="17"/>
              </w:rPr>
              <w:t>5</w:t>
            </w:r>
          </w:p>
        </w:tc>
      </w:tr>
      <w:tr w:rsidR="00E04C41" w:rsidRPr="00C61187" w14:paraId="1F42C8AC" w14:textId="77777777" w:rsidTr="00E04C41">
        <w:trPr>
          <w:cnfStyle w:val="000000010000" w:firstRow="0" w:lastRow="0" w:firstColumn="0" w:lastColumn="0" w:oddVBand="0" w:evenVBand="0" w:oddHBand="0" w:evenHBand="1" w:firstRowFirstColumn="0" w:firstRowLastColumn="0" w:lastRowFirstColumn="0" w:lastRowLastColumn="0"/>
          <w:trHeight w:val="284"/>
        </w:trPr>
        <w:tc>
          <w:tcPr>
            <w:tcW w:w="801" w:type="pct"/>
          </w:tcPr>
          <w:p w14:paraId="34E95498" w14:textId="2352C364" w:rsidR="00E04C41" w:rsidRPr="00880004" w:rsidRDefault="00E04C41" w:rsidP="005F3C00">
            <w:pPr>
              <w:keepLines/>
              <w:spacing w:before="40" w:after="40" w:line="200" w:lineRule="atLeast"/>
              <w:rPr>
                <w:rFonts w:eastAsia="Times New Roman"/>
                <w:iCs/>
                <w:szCs w:val="17"/>
              </w:rPr>
            </w:pPr>
            <w:r>
              <w:rPr>
                <w:rFonts w:eastAsia="Times New Roman"/>
                <w:iCs/>
                <w:szCs w:val="17"/>
              </w:rPr>
              <w:t>127.3m (2015-16)</w:t>
            </w:r>
          </w:p>
        </w:tc>
        <w:tc>
          <w:tcPr>
            <w:tcW w:w="510" w:type="pct"/>
          </w:tcPr>
          <w:p w14:paraId="765F1DDD" w14:textId="15B683C4" w:rsidR="00E04C41" w:rsidRPr="00880004" w:rsidRDefault="00E04C41" w:rsidP="005F3C00">
            <w:pPr>
              <w:keepLines/>
              <w:spacing w:before="40" w:after="40" w:line="200" w:lineRule="atLeast"/>
              <w:rPr>
                <w:rFonts w:eastAsia="Times New Roman"/>
                <w:iCs/>
                <w:szCs w:val="17"/>
              </w:rPr>
            </w:pPr>
            <w:r w:rsidRPr="00880004">
              <w:rPr>
                <w:rFonts w:asciiTheme="minorHAnsi" w:eastAsia="Times New Roman" w:hAnsiTheme="minorHAnsi"/>
                <w:iCs/>
                <w:szCs w:val="17"/>
                <w:lang w:eastAsia="en-US"/>
              </w:rPr>
              <w:t>201</w:t>
            </w:r>
            <w:r>
              <w:rPr>
                <w:rFonts w:asciiTheme="minorHAnsi" w:eastAsia="Times New Roman" w:hAnsiTheme="minorHAnsi"/>
                <w:iCs/>
                <w:szCs w:val="17"/>
                <w:lang w:eastAsia="en-US"/>
              </w:rPr>
              <w:t>6</w:t>
            </w:r>
            <w:r w:rsidRPr="00880004">
              <w:rPr>
                <w:rFonts w:asciiTheme="minorHAnsi" w:eastAsia="Times New Roman" w:hAnsiTheme="minorHAnsi"/>
                <w:iCs/>
                <w:szCs w:val="17"/>
                <w:lang w:eastAsia="en-US"/>
              </w:rPr>
              <w:t xml:space="preserve"> AQC</w:t>
            </w:r>
          </w:p>
        </w:tc>
        <w:tc>
          <w:tcPr>
            <w:tcW w:w="513" w:type="pct"/>
            <w:shd w:val="clear" w:color="auto" w:fill="92D050"/>
            <w:noWrap/>
          </w:tcPr>
          <w:p w14:paraId="3A098E89" w14:textId="0988C75B" w:rsidR="00E04C41" w:rsidRPr="00880004" w:rsidRDefault="00E04C41" w:rsidP="005F3C00">
            <w:pPr>
              <w:keepLines/>
              <w:spacing w:before="40" w:after="40" w:line="200" w:lineRule="atLeast"/>
              <w:jc w:val="center"/>
              <w:rPr>
                <w:rFonts w:eastAsia="Times New Roman"/>
                <w:iCs/>
                <w:szCs w:val="17"/>
              </w:rPr>
            </w:pPr>
            <w:r>
              <w:rPr>
                <w:rFonts w:eastAsia="Times New Roman"/>
                <w:iCs/>
                <w:szCs w:val="17"/>
              </w:rPr>
              <w:t>5</w:t>
            </w:r>
          </w:p>
        </w:tc>
        <w:tc>
          <w:tcPr>
            <w:tcW w:w="509" w:type="pct"/>
            <w:shd w:val="clear" w:color="auto" w:fill="92D050"/>
            <w:noWrap/>
          </w:tcPr>
          <w:p w14:paraId="1BAE034D" w14:textId="5F549BB0" w:rsidR="00E04C41" w:rsidRPr="00880004" w:rsidRDefault="00E04C41" w:rsidP="005F3C00">
            <w:pPr>
              <w:keepLines/>
              <w:spacing w:before="40" w:after="40" w:line="200" w:lineRule="atLeast"/>
              <w:jc w:val="center"/>
              <w:rPr>
                <w:rFonts w:eastAsia="Times New Roman"/>
                <w:iCs/>
                <w:szCs w:val="17"/>
              </w:rPr>
            </w:pPr>
            <w:r>
              <w:rPr>
                <w:rFonts w:eastAsia="Times New Roman"/>
                <w:iCs/>
                <w:szCs w:val="17"/>
              </w:rPr>
              <w:t>5</w:t>
            </w:r>
          </w:p>
        </w:tc>
        <w:tc>
          <w:tcPr>
            <w:tcW w:w="513" w:type="pct"/>
            <w:shd w:val="clear" w:color="auto" w:fill="92D050"/>
            <w:noWrap/>
          </w:tcPr>
          <w:p w14:paraId="7DC1592A" w14:textId="4BE5A087" w:rsidR="00E04C41" w:rsidRPr="00880004" w:rsidRDefault="00E04C41" w:rsidP="005F3C00">
            <w:pPr>
              <w:keepLines/>
              <w:spacing w:before="40" w:after="40" w:line="200" w:lineRule="atLeast"/>
              <w:jc w:val="center"/>
              <w:rPr>
                <w:rFonts w:eastAsia="Times New Roman"/>
                <w:iCs/>
                <w:szCs w:val="17"/>
              </w:rPr>
            </w:pPr>
            <w:r>
              <w:rPr>
                <w:rFonts w:eastAsia="Times New Roman"/>
                <w:iCs/>
                <w:szCs w:val="17"/>
              </w:rPr>
              <w:t>5</w:t>
            </w:r>
          </w:p>
        </w:tc>
        <w:tc>
          <w:tcPr>
            <w:tcW w:w="509" w:type="pct"/>
            <w:shd w:val="clear" w:color="auto" w:fill="92D050"/>
            <w:noWrap/>
          </w:tcPr>
          <w:p w14:paraId="7D86A94C" w14:textId="434C42F8" w:rsidR="00E04C41" w:rsidRPr="00880004" w:rsidRDefault="00E04C41" w:rsidP="005F3C00">
            <w:pPr>
              <w:keepLines/>
              <w:spacing w:before="40" w:after="40" w:line="200" w:lineRule="atLeast"/>
              <w:jc w:val="center"/>
              <w:rPr>
                <w:rFonts w:eastAsia="Times New Roman"/>
                <w:iCs/>
                <w:szCs w:val="17"/>
              </w:rPr>
            </w:pPr>
            <w:r>
              <w:rPr>
                <w:rFonts w:eastAsia="Times New Roman"/>
                <w:iCs/>
                <w:szCs w:val="17"/>
              </w:rPr>
              <w:t>5</w:t>
            </w:r>
          </w:p>
        </w:tc>
        <w:tc>
          <w:tcPr>
            <w:tcW w:w="513" w:type="pct"/>
            <w:shd w:val="clear" w:color="auto" w:fill="92D050"/>
            <w:noWrap/>
          </w:tcPr>
          <w:p w14:paraId="3219D15B" w14:textId="5FB1FB75" w:rsidR="00E04C41" w:rsidRPr="00880004" w:rsidRDefault="00E04C41" w:rsidP="005F3C00">
            <w:pPr>
              <w:keepLines/>
              <w:spacing w:before="40" w:after="40" w:line="200" w:lineRule="atLeast"/>
              <w:jc w:val="center"/>
              <w:rPr>
                <w:rFonts w:eastAsia="Times New Roman"/>
                <w:iCs/>
                <w:szCs w:val="17"/>
              </w:rPr>
            </w:pPr>
            <w:r>
              <w:rPr>
                <w:rFonts w:eastAsia="Times New Roman"/>
                <w:iCs/>
                <w:szCs w:val="17"/>
              </w:rPr>
              <w:t>5</w:t>
            </w:r>
          </w:p>
        </w:tc>
        <w:tc>
          <w:tcPr>
            <w:tcW w:w="508" w:type="pct"/>
            <w:shd w:val="clear" w:color="auto" w:fill="92D050"/>
            <w:noWrap/>
          </w:tcPr>
          <w:p w14:paraId="23815691" w14:textId="4A08AFC3" w:rsidR="00E04C41" w:rsidRPr="00880004" w:rsidRDefault="00E04C41" w:rsidP="005F3C00">
            <w:pPr>
              <w:keepLines/>
              <w:spacing w:before="40" w:after="40" w:line="200" w:lineRule="atLeast"/>
              <w:jc w:val="center"/>
              <w:rPr>
                <w:rFonts w:eastAsia="Times New Roman"/>
                <w:iCs/>
                <w:szCs w:val="17"/>
              </w:rPr>
            </w:pPr>
            <w:r>
              <w:rPr>
                <w:rFonts w:eastAsia="Times New Roman"/>
                <w:iCs/>
                <w:szCs w:val="17"/>
              </w:rPr>
              <w:t>5</w:t>
            </w:r>
          </w:p>
        </w:tc>
        <w:tc>
          <w:tcPr>
            <w:tcW w:w="505" w:type="pct"/>
            <w:shd w:val="clear" w:color="auto" w:fill="92D050"/>
          </w:tcPr>
          <w:p w14:paraId="33E2CF98" w14:textId="4A4BBA22" w:rsidR="00E04C41" w:rsidRPr="00880004" w:rsidRDefault="00E04C41" w:rsidP="005F3C00">
            <w:pPr>
              <w:keepLines/>
              <w:spacing w:before="40" w:after="40" w:line="200" w:lineRule="atLeast"/>
              <w:jc w:val="center"/>
              <w:rPr>
                <w:rFonts w:eastAsia="Times New Roman"/>
                <w:iCs/>
                <w:szCs w:val="17"/>
              </w:rPr>
            </w:pPr>
            <w:r>
              <w:rPr>
                <w:rFonts w:eastAsia="Times New Roman"/>
                <w:iCs/>
                <w:szCs w:val="17"/>
              </w:rPr>
              <w:t>5</w:t>
            </w:r>
          </w:p>
        </w:tc>
      </w:tr>
    </w:tbl>
    <w:p w14:paraId="170735A7" w14:textId="77777777" w:rsidR="00864454" w:rsidRDefault="00864454" w:rsidP="00400B0F">
      <w:pPr>
        <w:spacing w:before="20" w:after="20" w:line="180" w:lineRule="atLeast"/>
        <w:rPr>
          <w:rFonts w:eastAsiaTheme="majorEastAsia" w:cstheme="majorBidi"/>
          <w:bCs/>
          <w:iCs/>
          <w:caps/>
          <w:spacing w:val="-10"/>
          <w:kern w:val="28"/>
          <w:sz w:val="38"/>
          <w:szCs w:val="24"/>
        </w:rPr>
      </w:pPr>
    </w:p>
    <w:p w14:paraId="698DFFF5" w14:textId="412DD9BE" w:rsidR="00400B0F" w:rsidRPr="00784031" w:rsidRDefault="00400B0F" w:rsidP="00400B0F">
      <w:pPr>
        <w:spacing w:before="20" w:after="20" w:line="180" w:lineRule="atLeast"/>
        <w:rPr>
          <w:rFonts w:eastAsiaTheme="majorEastAsia" w:cstheme="majorBidi"/>
          <w:bCs/>
          <w:iCs/>
          <w:caps/>
          <w:spacing w:val="-10"/>
          <w:kern w:val="28"/>
          <w:sz w:val="38"/>
          <w:szCs w:val="24"/>
        </w:rPr>
      </w:pPr>
      <w:r w:rsidRPr="00784031">
        <w:rPr>
          <w:rFonts w:eastAsiaTheme="majorEastAsia" w:cstheme="majorBidi"/>
          <w:bCs/>
          <w:iCs/>
          <w:caps/>
          <w:spacing w:val="-10"/>
          <w:kern w:val="28"/>
          <w:sz w:val="38"/>
          <w:szCs w:val="24"/>
        </w:rPr>
        <w:t>Annex E – Performance Assessment Framework</w:t>
      </w:r>
    </w:p>
    <w:p w14:paraId="178C3982" w14:textId="650CCD66" w:rsidR="00CA7DD8" w:rsidRDefault="0059536F" w:rsidP="00825966">
      <w:hyperlink r:id="rId43" w:history="1">
        <w:r w:rsidR="00864454" w:rsidRPr="00FB2030">
          <w:rPr>
            <w:rStyle w:val="Hyperlink"/>
            <w:rFonts w:cstheme="minorBidi"/>
            <w:lang w:val="en-AU"/>
          </w:rPr>
          <w:t>http://dfat.gov.au/about-us/publications/Pages/ancp-program-logic.aspx</w:t>
        </w:r>
      </w:hyperlink>
      <w:r w:rsidR="00864454">
        <w:rPr>
          <w:lang w:val="en-AU"/>
        </w:rPr>
        <w:t xml:space="preserve">  </w:t>
      </w:r>
    </w:p>
    <w:sectPr w:rsidR="00CA7DD8" w:rsidSect="003E2340">
      <w:headerReference w:type="default" r:id="rId44"/>
      <w:pgSz w:w="16838" w:h="11906" w:orient="landscape" w:code="9"/>
      <w:pgMar w:top="1134" w:right="1527" w:bottom="1134" w:left="851" w:header="1418" w:footer="0" w:gutter="0"/>
      <w:cols w:space="39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5E30F7" w14:textId="77777777" w:rsidR="007F7DAB" w:rsidRDefault="007F7DAB" w:rsidP="00EF4574">
      <w:pPr>
        <w:spacing w:before="0" w:after="0" w:line="240" w:lineRule="auto"/>
      </w:pPr>
      <w:r>
        <w:separator/>
      </w:r>
    </w:p>
  </w:endnote>
  <w:endnote w:type="continuationSeparator" w:id="0">
    <w:p w14:paraId="1D4EAAE3" w14:textId="77777777" w:rsidR="007F7DAB" w:rsidRDefault="007F7DAB" w:rsidP="00EF457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MuseoSans-500">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7E594C" w14:textId="77777777" w:rsidR="0059536F" w:rsidRDefault="005953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5075634"/>
      <w:docPartObj>
        <w:docPartGallery w:val="Page Numbers (Bottom of Page)"/>
        <w:docPartUnique/>
      </w:docPartObj>
    </w:sdtPr>
    <w:sdtEndPr>
      <w:rPr>
        <w:noProof/>
        <w:color w:val="auto"/>
      </w:rPr>
    </w:sdtEndPr>
    <w:sdtContent>
      <w:p w14:paraId="631C0665" w14:textId="64F4D8E2" w:rsidR="007F7DAB" w:rsidRPr="003E2340" w:rsidRDefault="007F7DAB">
        <w:pPr>
          <w:pStyle w:val="Footer"/>
          <w:jc w:val="center"/>
          <w:rPr>
            <w:color w:val="auto"/>
          </w:rPr>
        </w:pPr>
        <w:r w:rsidRPr="0038675C">
          <w:rPr>
            <w:color w:val="auto"/>
            <w:sz w:val="18"/>
            <w:szCs w:val="18"/>
          </w:rPr>
          <w:fldChar w:fldCharType="begin"/>
        </w:r>
        <w:r w:rsidRPr="0038675C">
          <w:rPr>
            <w:color w:val="auto"/>
            <w:sz w:val="18"/>
            <w:szCs w:val="18"/>
          </w:rPr>
          <w:instrText xml:space="preserve"> PAGE   \* MERGEFORMAT </w:instrText>
        </w:r>
        <w:r w:rsidRPr="0038675C">
          <w:rPr>
            <w:color w:val="auto"/>
            <w:sz w:val="18"/>
            <w:szCs w:val="18"/>
          </w:rPr>
          <w:fldChar w:fldCharType="separate"/>
        </w:r>
        <w:r w:rsidR="0059536F">
          <w:rPr>
            <w:noProof/>
            <w:color w:val="auto"/>
            <w:sz w:val="18"/>
            <w:szCs w:val="18"/>
          </w:rPr>
          <w:t>2</w:t>
        </w:r>
        <w:r w:rsidRPr="0038675C">
          <w:rPr>
            <w:noProof/>
            <w:color w:val="auto"/>
            <w:sz w:val="18"/>
            <w:szCs w:val="18"/>
          </w:rPr>
          <w:fldChar w:fldCharType="end"/>
        </w:r>
        <w:r w:rsidRPr="0038675C">
          <w:rPr>
            <w:noProof/>
            <w:color w:val="auto"/>
            <w:sz w:val="18"/>
            <w:szCs w:val="18"/>
          </w:rPr>
          <w:t>/</w:t>
        </w:r>
        <w:r w:rsidRPr="0038675C">
          <w:rPr>
            <w:noProof/>
            <w:color w:val="auto"/>
            <w:sz w:val="18"/>
            <w:szCs w:val="18"/>
          </w:rPr>
          <w:fldChar w:fldCharType="begin"/>
        </w:r>
        <w:r w:rsidRPr="0038675C">
          <w:rPr>
            <w:noProof/>
            <w:color w:val="auto"/>
            <w:sz w:val="18"/>
            <w:szCs w:val="18"/>
          </w:rPr>
          <w:instrText xml:space="preserve"> NUMPAGES  \* Arabic  \* MERGEFORMAT </w:instrText>
        </w:r>
        <w:r w:rsidRPr="0038675C">
          <w:rPr>
            <w:noProof/>
            <w:color w:val="auto"/>
            <w:sz w:val="18"/>
            <w:szCs w:val="18"/>
          </w:rPr>
          <w:fldChar w:fldCharType="separate"/>
        </w:r>
        <w:r w:rsidR="0059536F">
          <w:rPr>
            <w:noProof/>
            <w:color w:val="auto"/>
            <w:sz w:val="18"/>
            <w:szCs w:val="18"/>
          </w:rPr>
          <w:t>18</w:t>
        </w:r>
        <w:r w:rsidRPr="0038675C">
          <w:rPr>
            <w:noProof/>
            <w:color w:val="auto"/>
            <w:sz w:val="18"/>
            <w:szCs w:val="18"/>
          </w:rPr>
          <w:fldChar w:fldCharType="end"/>
        </w:r>
      </w:p>
    </w:sdtContent>
  </w:sdt>
  <w:p w14:paraId="01DA9299" w14:textId="7F384444" w:rsidR="007F7DAB" w:rsidRDefault="007F7DAB" w:rsidP="006F6DA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308DB8" w14:textId="77777777" w:rsidR="0059536F" w:rsidRDefault="005953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FCBBDA" w14:textId="062C12FE" w:rsidR="007F7DAB" w:rsidRPr="008C5A0E" w:rsidRDefault="007F7DAB" w:rsidP="003E2340">
      <w:pPr>
        <w:pStyle w:val="Footer"/>
        <w:jc w:val="left"/>
      </w:pPr>
      <w:r>
        <w:separator/>
      </w:r>
    </w:p>
  </w:footnote>
  <w:footnote w:type="continuationSeparator" w:id="0">
    <w:p w14:paraId="6D1A523B" w14:textId="56EE39EC" w:rsidR="007F7DAB" w:rsidRDefault="007F7DAB" w:rsidP="00EF4574">
      <w:pPr>
        <w:spacing w:before="0" w:after="0" w:line="240" w:lineRule="auto"/>
      </w:pPr>
      <w:r>
        <w:continuationSeparator/>
      </w:r>
    </w:p>
  </w:footnote>
  <w:footnote w:type="continuationNotice" w:id="1">
    <w:p w14:paraId="4BAFD207" w14:textId="77777777" w:rsidR="007F7DAB" w:rsidRDefault="007F7DAB">
      <w:pPr>
        <w:spacing w:before="0" w:after="0" w:line="240" w:lineRule="auto"/>
      </w:pPr>
    </w:p>
  </w:footnote>
  <w:footnote w:id="2">
    <w:p w14:paraId="0B663889" w14:textId="2C71572A" w:rsidR="007F7DAB" w:rsidRPr="00EC1A4A" w:rsidRDefault="007F7DAB" w:rsidP="00542905">
      <w:pPr>
        <w:pStyle w:val="FootnoteText"/>
        <w:ind w:left="0" w:firstLine="0"/>
      </w:pPr>
      <w:r>
        <w:rPr>
          <w:rStyle w:val="FootnoteReference"/>
        </w:rPr>
        <w:footnoteRef/>
      </w:r>
      <w:r w:rsidRPr="00EC1A4A">
        <w:t>International Center for Not-For-Profit Law, “Survey of Trends Affecting Civic Space: 2015-16”, Global Trends in NGO Law, Vol 7, Issue 4, September 2016</w:t>
      </w:r>
    </w:p>
  </w:footnote>
  <w:footnote w:id="3">
    <w:p w14:paraId="6B93A946" w14:textId="77777777" w:rsidR="007F7DAB" w:rsidRPr="00EC1A4A" w:rsidRDefault="007F7DAB" w:rsidP="008563EF">
      <w:pPr>
        <w:pStyle w:val="FootnoteText"/>
      </w:pPr>
      <w:r>
        <w:rPr>
          <w:rStyle w:val="FootnoteReference"/>
        </w:rPr>
        <w:footnoteRef/>
      </w:r>
      <w:r>
        <w:t xml:space="preserve"> </w:t>
      </w:r>
      <w:r w:rsidRPr="00EC1A4A">
        <w:t xml:space="preserve">Maria J. Stephan; Responding to the Global Threat of Closing Civic Space: Testimony before the Tom Lantos Human Rights Commission, United States Institute of Peace, March 2017, </w:t>
      </w:r>
      <w:hyperlink r:id="rId1" w:history="1">
        <w:r w:rsidRPr="006F1EB4">
          <w:rPr>
            <w:rStyle w:val="Hyperlink"/>
            <w:rFonts w:cstheme="minorBidi"/>
          </w:rPr>
          <w:t>https://www.usip.org/publications/2017/03/responding-global-threat-closing-civic-space-policy-options</w:t>
        </w:r>
      </w:hyperlink>
      <w:r>
        <w:t xml:space="preserve"> </w:t>
      </w:r>
    </w:p>
  </w:footnote>
  <w:footnote w:id="4">
    <w:p w14:paraId="4E2D1E3A" w14:textId="77777777" w:rsidR="007F7DAB" w:rsidRPr="00B621D2" w:rsidRDefault="007F7DAB" w:rsidP="00E63881">
      <w:pPr>
        <w:pStyle w:val="FootnoteText"/>
        <w:rPr>
          <w:lang w:val="en-AU"/>
        </w:rPr>
      </w:pPr>
      <w:r>
        <w:rPr>
          <w:rStyle w:val="FootnoteReference"/>
        </w:rPr>
        <w:footnoteRef/>
      </w:r>
      <w:r>
        <w:t xml:space="preserve"> </w:t>
      </w:r>
      <w:r w:rsidRPr="00B621D2">
        <w:t>RDE is the total eligible contribution that each NGO receives from the Australian community for the NGO's own development assistance, emergency relief or rehabilitation activities overseas.</w:t>
      </w:r>
    </w:p>
  </w:footnote>
  <w:footnote w:id="5">
    <w:p w14:paraId="247C41D1" w14:textId="2443B1A5" w:rsidR="007F7DAB" w:rsidRPr="00331D71" w:rsidRDefault="007F7DAB">
      <w:pPr>
        <w:pStyle w:val="FootnoteText"/>
        <w:rPr>
          <w:lang w:val="en-AU"/>
        </w:rPr>
      </w:pPr>
      <w:r>
        <w:rPr>
          <w:rStyle w:val="FootnoteReference"/>
        </w:rPr>
        <w:footnoteRef/>
      </w:r>
      <w:r>
        <w:t xml:space="preserve"> </w:t>
      </w:r>
      <w:r>
        <w:rPr>
          <w:lang w:val="en-AU"/>
        </w:rPr>
        <w:t>Program management is the responsibility of DFAT’s NGO Program, Performance and Quality Section (NPQ) in NGOs and Volunteers Branch</w:t>
      </w:r>
    </w:p>
  </w:footnote>
  <w:footnote w:id="6">
    <w:p w14:paraId="484F3961" w14:textId="32BECD1E" w:rsidR="007F7DAB" w:rsidRPr="008C0A46" w:rsidRDefault="007F7DAB">
      <w:pPr>
        <w:pStyle w:val="FootnoteText"/>
      </w:pPr>
      <w:r>
        <w:rPr>
          <w:rStyle w:val="FootnoteReference"/>
        </w:rPr>
        <w:footnoteRef/>
      </w:r>
      <w:r>
        <w:t xml:space="preserve"> </w:t>
      </w:r>
      <w:r>
        <w:rPr>
          <w:lang w:val="en-AU"/>
        </w:rPr>
        <w:t>Results are drawn from the 2016-17 Performance Reports from ANCP NGOs against the MELF indicators</w:t>
      </w:r>
    </w:p>
  </w:footnote>
  <w:footnote w:id="7">
    <w:p w14:paraId="61221064" w14:textId="7BF4C29E" w:rsidR="007F7DAB" w:rsidRPr="007E2915" w:rsidRDefault="007F7DAB">
      <w:pPr>
        <w:pStyle w:val="FootnoteText"/>
      </w:pPr>
      <w:r>
        <w:rPr>
          <w:rStyle w:val="FootnoteReference"/>
        </w:rPr>
        <w:footnoteRef/>
      </w:r>
      <w:r>
        <w:t xml:space="preserve"> Results drawn from </w:t>
      </w:r>
      <w:r>
        <w:rPr>
          <w:lang w:val="en-AU"/>
        </w:rPr>
        <w:t>the 2016-17 Performance Reports from ANCP NGOs against the MELF indicators</w:t>
      </w:r>
    </w:p>
  </w:footnote>
  <w:footnote w:id="8">
    <w:p w14:paraId="51D181A1" w14:textId="22F83611" w:rsidR="007F7DAB" w:rsidRPr="00331D71" w:rsidRDefault="007F7DAB">
      <w:pPr>
        <w:pStyle w:val="FootnoteText"/>
        <w:rPr>
          <w:lang w:val="en-AU"/>
        </w:rPr>
      </w:pPr>
      <w:r>
        <w:rPr>
          <w:rStyle w:val="FootnoteReference"/>
        </w:rPr>
        <w:footnoteRef/>
      </w:r>
      <w:r>
        <w:t xml:space="preserve"> </w:t>
      </w:r>
      <w:r>
        <w:rPr>
          <w:lang w:val="en-AU"/>
        </w:rPr>
        <w:t xml:space="preserve">A yearly workshop is held in Sydney and Melbourne with DFAT and ANCP NGOs to discuss program highlights </w:t>
      </w:r>
      <w:r w:rsidR="0038675C">
        <w:rPr>
          <w:lang w:val="en-AU"/>
        </w:rPr>
        <w:t xml:space="preserve">from the previous year </w:t>
      </w:r>
      <w:r>
        <w:rPr>
          <w:lang w:val="en-AU"/>
        </w:rPr>
        <w:t>and emerging issues for the ANCP.</w:t>
      </w:r>
    </w:p>
  </w:footnote>
  <w:footnote w:id="9">
    <w:p w14:paraId="3717ADB7" w14:textId="338E2312" w:rsidR="007F7DAB" w:rsidRPr="00DC3412" w:rsidRDefault="007F7DAB">
      <w:pPr>
        <w:pStyle w:val="FootnoteText"/>
        <w:rPr>
          <w:lang w:val="en-AU"/>
        </w:rPr>
      </w:pPr>
      <w:r>
        <w:rPr>
          <w:rStyle w:val="FootnoteReference"/>
        </w:rPr>
        <w:footnoteRef/>
      </w:r>
      <w:r>
        <w:t xml:space="preserve"> </w:t>
      </w:r>
      <w:hyperlink r:id="rId2" w:history="1">
        <w:r w:rsidRPr="008151B6">
          <w:rPr>
            <w:rStyle w:val="Hyperlink"/>
            <w:rFonts w:cstheme="minorBidi"/>
          </w:rPr>
          <w:t>http://dfat.gov.au/aid/who-we-work-with/ngos/pages/australian-ngo-gender-action-platform.aspx</w:t>
        </w:r>
      </w:hyperlink>
      <w:r>
        <w:t xml:space="preserve"> </w:t>
      </w:r>
    </w:p>
  </w:footnote>
  <w:footnote w:id="10">
    <w:p w14:paraId="2E8AE51C" w14:textId="40155D26" w:rsidR="007F7DAB" w:rsidRPr="007E2915" w:rsidRDefault="007F7DAB">
      <w:pPr>
        <w:pStyle w:val="FootnoteText"/>
        <w:rPr>
          <w:lang w:val="en-AU"/>
        </w:rPr>
      </w:pPr>
      <w:r>
        <w:rPr>
          <w:rStyle w:val="FootnoteReference"/>
        </w:rPr>
        <w:footnoteRef/>
      </w:r>
      <w:r>
        <w:t xml:space="preserve"> </w:t>
      </w:r>
      <w:r>
        <w:rPr>
          <w:lang w:val="en-AU"/>
        </w:rPr>
        <w:t>Results drawn from the 2016-17 Performance Reports from ANCP NGOs against the ANCP Monitoring, Evaluation and Learning Framework (MELF) indicators</w:t>
      </w:r>
    </w:p>
  </w:footnote>
  <w:footnote w:id="11">
    <w:p w14:paraId="5AE26DBF" w14:textId="78D4C5A9" w:rsidR="007F7DAB" w:rsidRPr="00100F41" w:rsidRDefault="007F7DAB">
      <w:pPr>
        <w:pStyle w:val="FootnoteText"/>
        <w:rPr>
          <w:lang w:val="en-AU"/>
        </w:rPr>
      </w:pPr>
      <w:r>
        <w:rPr>
          <w:rStyle w:val="FootnoteReference"/>
        </w:rPr>
        <w:footnoteRef/>
      </w:r>
      <w:r>
        <w:t xml:space="preserve"> </w:t>
      </w:r>
      <w:r>
        <w:rPr>
          <w:lang w:val="en-AU"/>
        </w:rPr>
        <w:t>Results drawn from the 2016-17 Performance Reports from ANCP NGOs against the MELF indicators</w:t>
      </w:r>
    </w:p>
  </w:footnote>
  <w:footnote w:id="12">
    <w:p w14:paraId="50EA20D2" w14:textId="2C09E609" w:rsidR="007F7DAB" w:rsidRPr="002A4F4A" w:rsidRDefault="007F7DAB" w:rsidP="00F151D8">
      <w:pPr>
        <w:pStyle w:val="FootnoteText"/>
        <w:ind w:left="0" w:firstLine="0"/>
        <w:rPr>
          <w:lang w:val="en-AU"/>
        </w:rPr>
      </w:pPr>
      <w:r>
        <w:rPr>
          <w:rStyle w:val="FootnoteReference"/>
        </w:rPr>
        <w:footnoteRef/>
      </w:r>
      <w:r>
        <w:t xml:space="preserve"> </w:t>
      </w:r>
      <w:r w:rsidR="00F151D8">
        <w:t xml:space="preserve">The </w:t>
      </w:r>
      <w:r>
        <w:rPr>
          <w:lang w:val="en-AU"/>
        </w:rPr>
        <w:t>ANCP Partner Agency Collaboration consist</w:t>
      </w:r>
      <w:r w:rsidR="00F151D8">
        <w:rPr>
          <w:lang w:val="en-AU"/>
        </w:rPr>
        <w:t>ed</w:t>
      </w:r>
      <w:r>
        <w:rPr>
          <w:lang w:val="en-AU"/>
        </w:rPr>
        <w:t xml:space="preserve"> the following ten NGOs: CARE Australia, Caritas Australia, CBM Australia, ChildFund Australia, The Fred Hollows Foundation, Oxfam Australia, Plan International Australia, Save the Children Australia, TEAR Australia and World Vision Australia</w:t>
      </w:r>
    </w:p>
  </w:footnote>
  <w:footnote w:id="13">
    <w:p w14:paraId="400AFA9A" w14:textId="3387731F" w:rsidR="007F7DAB" w:rsidRPr="00083BCB" w:rsidRDefault="007F7DAB">
      <w:pPr>
        <w:pStyle w:val="FootnoteText"/>
        <w:rPr>
          <w:lang w:val="en-AU"/>
        </w:rPr>
      </w:pPr>
      <w:r>
        <w:rPr>
          <w:rStyle w:val="FootnoteReference"/>
        </w:rPr>
        <w:footnoteRef/>
      </w:r>
      <w:r>
        <w:t xml:space="preserve"> </w:t>
      </w:r>
      <w:r>
        <w:rPr>
          <w:lang w:val="en-AU"/>
        </w:rPr>
        <w:t>As at October 2017. The most viewed webinars on YouTube were Child Protection and Communications with 130 views each.</w:t>
      </w:r>
    </w:p>
  </w:footnote>
  <w:footnote w:id="14">
    <w:p w14:paraId="73C6BA3D" w14:textId="77777777" w:rsidR="007F7DAB" w:rsidRPr="0049241A" w:rsidRDefault="007F7DAB" w:rsidP="007962AE">
      <w:pPr>
        <w:pStyle w:val="FootnoteText"/>
      </w:pPr>
      <w:r>
        <w:rPr>
          <w:rStyle w:val="FootnoteReference"/>
        </w:rPr>
        <w:footnoteRef/>
      </w:r>
      <w:r>
        <w:t xml:space="preserve"> </w:t>
      </w:r>
      <w:hyperlink r:id="rId3" w:history="1">
        <w:r w:rsidRPr="00FF5776">
          <w:rPr>
            <w:rStyle w:val="Hyperlink"/>
            <w:rFonts w:cstheme="minorBidi"/>
          </w:rPr>
          <w:t>http://dfat.gov.au/about-us/publications/corporate/Pages/digital-media-strategy-2016-18.aspx</w:t>
        </w:r>
      </w:hyperlink>
      <w:r>
        <w:t xml:space="preserve"> </w:t>
      </w:r>
    </w:p>
  </w:footnote>
  <w:footnote w:id="15">
    <w:p w14:paraId="29E3A6A1" w14:textId="77777777" w:rsidR="007F7DAB" w:rsidRPr="00C456D6" w:rsidRDefault="007F7DAB" w:rsidP="007962AE">
      <w:pPr>
        <w:pStyle w:val="FootnoteText"/>
        <w:rPr>
          <w:lang w:val="en-AU"/>
        </w:rPr>
      </w:pPr>
      <w:r>
        <w:rPr>
          <w:rStyle w:val="FootnoteReference"/>
        </w:rPr>
        <w:footnoteRef/>
      </w:r>
      <w:r>
        <w:t xml:space="preserve"> </w:t>
      </w:r>
      <w:hyperlink r:id="rId4" w:history="1">
        <w:r w:rsidRPr="00FF5776">
          <w:rPr>
            <w:rStyle w:val="Hyperlink"/>
            <w:rFonts w:cstheme="minorBidi"/>
          </w:rPr>
          <w:t>http://devpolicy.org/dfat-aid-communications-improve-20160908/?utm_source=Devpolicy&amp;utm_campaign=32111c3075-RSS_EMAIL_CAMPAIGN&amp;utm_medium=email&amp;utm_term=0_082b498f84-32111c3075-312084869</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005C5B" w14:textId="77777777" w:rsidR="0059536F" w:rsidRDefault="005953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5C86F0" w14:textId="6B4540C5" w:rsidR="007F7DAB" w:rsidRPr="00333501" w:rsidRDefault="007F7DAB" w:rsidP="008F56A8">
    <w:pPr>
      <w:pStyle w:val="Header"/>
      <w:jc w:val="left"/>
    </w:pPr>
    <w:r>
      <w:rPr>
        <w:noProof/>
        <w:lang w:val="en-AU" w:eastAsia="en-AU"/>
      </w:rPr>
      <w:drawing>
        <wp:anchor distT="0" distB="0" distL="114300" distR="114300" simplePos="0" relativeHeight="251656704" behindDoc="1" locked="1" layoutInCell="1" allowOverlap="1" wp14:anchorId="058ED757" wp14:editId="6BF70005">
          <wp:simplePos x="0" y="0"/>
          <wp:positionH relativeFrom="page">
            <wp:posOffset>7620</wp:posOffset>
          </wp:positionH>
          <wp:positionV relativeFrom="page">
            <wp:posOffset>55880</wp:posOffset>
          </wp:positionV>
          <wp:extent cx="7545705" cy="10702290"/>
          <wp:effectExtent l="0" t="0" r="0" b="381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545705" cy="1070229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4F4D8D" w14:textId="77777777" w:rsidR="0059536F" w:rsidRDefault="0059536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EEF8C1" w14:textId="77777777" w:rsidR="007F7DAB" w:rsidRPr="00333501" w:rsidRDefault="007F7DAB" w:rsidP="008F56A8">
    <w:pPr>
      <w:pStyle w:val="Header"/>
      <w:jc w:val="left"/>
    </w:pPr>
    <w:r>
      <w:rPr>
        <w:noProof/>
        <w:lang w:val="en-AU" w:eastAsia="en-AU"/>
      </w:rPr>
      <w:drawing>
        <wp:anchor distT="0" distB="0" distL="114300" distR="114300" simplePos="0" relativeHeight="251657728" behindDoc="1" locked="1" layoutInCell="1" allowOverlap="1" wp14:anchorId="75E96311" wp14:editId="7A35F157">
          <wp:simplePos x="0" y="0"/>
          <wp:positionH relativeFrom="page">
            <wp:posOffset>327660</wp:posOffset>
          </wp:positionH>
          <wp:positionV relativeFrom="page">
            <wp:posOffset>249555</wp:posOffset>
          </wp:positionV>
          <wp:extent cx="9784080" cy="7056755"/>
          <wp:effectExtent l="0" t="0" r="7620" b="0"/>
          <wp:wrapNone/>
          <wp:docPr id="45" name="Picture 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Report-Page-1-Gradient.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9784080" cy="705675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F6B80"/>
    <w:multiLevelType w:val="multilevel"/>
    <w:tmpl w:val="73283DF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 w15:restartNumberingAfterBreak="0">
    <w:nsid w:val="177B7DD8"/>
    <w:multiLevelType w:val="hybridMultilevel"/>
    <w:tmpl w:val="3EA6F6DE"/>
    <w:lvl w:ilvl="0" w:tplc="FFFFFFFF">
      <w:start w:val="1"/>
      <w:numFmt w:val="lowerLetter"/>
      <w:pStyle w:val="TableListNumber2"/>
      <w:lvlText w:val="%1."/>
      <w:lvlJc w:val="left"/>
      <w:pPr>
        <w:tabs>
          <w:tab w:val="num" w:pos="454"/>
        </w:tabs>
        <w:ind w:left="454" w:hanging="22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1A0A38D0"/>
    <w:multiLevelType w:val="multilevel"/>
    <w:tmpl w:val="0442D5A8"/>
    <w:lvl w:ilvl="0">
      <w:start w:val="1"/>
      <w:numFmt w:val="bullet"/>
      <w:pStyle w:val="Bullet1"/>
      <w:lvlText w:val=""/>
      <w:lvlJc w:val="left"/>
      <w:pPr>
        <w:ind w:left="170" w:hanging="170"/>
      </w:pPr>
      <w:rPr>
        <w:rFonts w:ascii="Symbol" w:hAnsi="Symbol" w:hint="default"/>
      </w:rPr>
    </w:lvl>
    <w:lvl w:ilvl="1">
      <w:start w:val="1"/>
      <w:numFmt w:val="bullet"/>
      <w:pStyle w:val="Bullet2"/>
      <w:lvlText w:val="–"/>
      <w:lvlJc w:val="left"/>
      <w:pPr>
        <w:ind w:left="340" w:hanging="170"/>
      </w:pPr>
      <w:rPr>
        <w:rFonts w:ascii="Arial" w:hAnsi="Arial" w:hint="default"/>
      </w:rPr>
    </w:lvl>
    <w:lvl w:ilvl="2">
      <w:start w:val="1"/>
      <w:numFmt w:val="bullet"/>
      <w:pStyle w:val="Bullet3"/>
      <w:lvlText w:val="»"/>
      <w:lvlJc w:val="left"/>
      <w:pPr>
        <w:ind w:left="510" w:hanging="170"/>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 w15:restartNumberingAfterBreak="0">
    <w:nsid w:val="205051E1"/>
    <w:multiLevelType w:val="hybridMultilevel"/>
    <w:tmpl w:val="B27E428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2B9B159F"/>
    <w:multiLevelType w:val="multilevel"/>
    <w:tmpl w:val="1F38FDB4"/>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5" w15:restartNumberingAfterBreak="0">
    <w:nsid w:val="46CD579B"/>
    <w:multiLevelType w:val="hybridMultilevel"/>
    <w:tmpl w:val="A5308B10"/>
    <w:lvl w:ilvl="0" w:tplc="35321CFE">
      <w:start w:val="1"/>
      <w:numFmt w:val="bullet"/>
      <w:pStyle w:val="BoxListBullet"/>
      <w:lvlText w:val="›"/>
      <w:lvlJc w:val="left"/>
      <w:pPr>
        <w:ind w:left="360" w:hanging="360"/>
      </w:pPr>
      <w:rPr>
        <w:rFonts w:ascii="Times New Roman" w:hAnsi="Times New Roman" w:cs="Times New Roman" w:hint="default"/>
        <w:color w:val="auto"/>
        <w:position w:val="3"/>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7" w15:restartNumberingAfterBreak="0">
    <w:nsid w:val="5D3C1EA7"/>
    <w:multiLevelType w:val="multilevel"/>
    <w:tmpl w:val="CBB2FD22"/>
    <w:numStyleLink w:val="BulletsList"/>
  </w:abstractNum>
  <w:abstractNum w:abstractNumId="8"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9" w15:restartNumberingAfterBreak="0">
    <w:nsid w:val="73107305"/>
    <w:multiLevelType w:val="multilevel"/>
    <w:tmpl w:val="CBB2FD22"/>
    <w:styleLink w:val="BulletsList"/>
    <w:lvl w:ilvl="0">
      <w:start w:val="1"/>
      <w:numFmt w:val="bullet"/>
      <w:lvlText w:val=""/>
      <w:lvlJc w:val="left"/>
      <w:pPr>
        <w:ind w:left="170" w:hanging="170"/>
      </w:pPr>
      <w:rPr>
        <w:rFonts w:ascii="Symbol" w:hAnsi="Symbol" w:hint="default"/>
      </w:rPr>
    </w:lvl>
    <w:lvl w:ilvl="1">
      <w:start w:val="1"/>
      <w:numFmt w:val="bullet"/>
      <w:lvlText w:val="–"/>
      <w:lvlJc w:val="left"/>
      <w:pPr>
        <w:ind w:left="340" w:hanging="170"/>
      </w:pPr>
      <w:rPr>
        <w:rFonts w:ascii="Arial" w:hAnsi="Arial" w:hint="default"/>
      </w:rPr>
    </w:lvl>
    <w:lvl w:ilvl="2">
      <w:start w:val="1"/>
      <w:numFmt w:val="bullet"/>
      <w:lvlText w:val="»"/>
      <w:lvlJc w:val="left"/>
      <w:pPr>
        <w:ind w:left="510" w:hanging="170"/>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9"/>
  </w:num>
  <w:num w:numId="2">
    <w:abstractNumId w:val="0"/>
  </w:num>
  <w:num w:numId="3">
    <w:abstractNumId w:val="4"/>
  </w:num>
  <w:num w:numId="4">
    <w:abstractNumId w:val="6"/>
  </w:num>
  <w:num w:numId="5">
    <w:abstractNumId w:val="8"/>
  </w:num>
  <w:num w:numId="6">
    <w:abstractNumId w:val="4"/>
  </w:num>
  <w:num w:numId="7">
    <w:abstractNumId w:val="7"/>
  </w:num>
  <w:num w:numId="8">
    <w:abstractNumId w:val="0"/>
  </w:num>
  <w:num w:numId="9">
    <w:abstractNumId w:val="5"/>
  </w:num>
  <w:num w:numId="10">
    <w:abstractNumId w:val="1"/>
  </w:num>
  <w:num w:numId="11">
    <w:abstractNumId w:val="2"/>
  </w:num>
  <w:num w:numId="12">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88065"/>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96C"/>
    <w:rsid w:val="00001DA8"/>
    <w:rsid w:val="000043C5"/>
    <w:rsid w:val="00004BC2"/>
    <w:rsid w:val="00010273"/>
    <w:rsid w:val="00015316"/>
    <w:rsid w:val="00016EB2"/>
    <w:rsid w:val="0002080A"/>
    <w:rsid w:val="00025D9D"/>
    <w:rsid w:val="0002782F"/>
    <w:rsid w:val="00027F29"/>
    <w:rsid w:val="0003104C"/>
    <w:rsid w:val="00031512"/>
    <w:rsid w:val="00033AB7"/>
    <w:rsid w:val="0003722D"/>
    <w:rsid w:val="0005393E"/>
    <w:rsid w:val="00054E4D"/>
    <w:rsid w:val="00060073"/>
    <w:rsid w:val="00060268"/>
    <w:rsid w:val="00080461"/>
    <w:rsid w:val="00082AF4"/>
    <w:rsid w:val="00083BCB"/>
    <w:rsid w:val="00084483"/>
    <w:rsid w:val="000861DE"/>
    <w:rsid w:val="00090180"/>
    <w:rsid w:val="00092D94"/>
    <w:rsid w:val="0009384B"/>
    <w:rsid w:val="000A53A5"/>
    <w:rsid w:val="000B29B6"/>
    <w:rsid w:val="000D627A"/>
    <w:rsid w:val="000D66D6"/>
    <w:rsid w:val="000E314A"/>
    <w:rsid w:val="000E5F35"/>
    <w:rsid w:val="000F1E04"/>
    <w:rsid w:val="00100F41"/>
    <w:rsid w:val="001103E6"/>
    <w:rsid w:val="0011547C"/>
    <w:rsid w:val="001541EA"/>
    <w:rsid w:val="00160A01"/>
    <w:rsid w:val="00162218"/>
    <w:rsid w:val="001655B6"/>
    <w:rsid w:val="00166962"/>
    <w:rsid w:val="0017237C"/>
    <w:rsid w:val="00174B8C"/>
    <w:rsid w:val="00174D1B"/>
    <w:rsid w:val="001806A0"/>
    <w:rsid w:val="00182789"/>
    <w:rsid w:val="00184818"/>
    <w:rsid w:val="00186EA3"/>
    <w:rsid w:val="001948A0"/>
    <w:rsid w:val="001B5019"/>
    <w:rsid w:val="001D2A83"/>
    <w:rsid w:val="001D3156"/>
    <w:rsid w:val="001D3451"/>
    <w:rsid w:val="001D663E"/>
    <w:rsid w:val="001E1DC0"/>
    <w:rsid w:val="001F0708"/>
    <w:rsid w:val="001F6CBE"/>
    <w:rsid w:val="0020363F"/>
    <w:rsid w:val="00203D91"/>
    <w:rsid w:val="00214159"/>
    <w:rsid w:val="00220ACA"/>
    <w:rsid w:val="002309D8"/>
    <w:rsid w:val="00236A53"/>
    <w:rsid w:val="00275DB7"/>
    <w:rsid w:val="0027602A"/>
    <w:rsid w:val="00284957"/>
    <w:rsid w:val="0028602A"/>
    <w:rsid w:val="002A0893"/>
    <w:rsid w:val="002A4F4A"/>
    <w:rsid w:val="002A51CA"/>
    <w:rsid w:val="002A6AC8"/>
    <w:rsid w:val="002B3E95"/>
    <w:rsid w:val="002B5E10"/>
    <w:rsid w:val="002C6ADE"/>
    <w:rsid w:val="002D2B16"/>
    <w:rsid w:val="002D6A41"/>
    <w:rsid w:val="002E042C"/>
    <w:rsid w:val="002E1A28"/>
    <w:rsid w:val="002F1E39"/>
    <w:rsid w:val="002F43F6"/>
    <w:rsid w:val="003002C0"/>
    <w:rsid w:val="00301144"/>
    <w:rsid w:val="00305647"/>
    <w:rsid w:val="003060DA"/>
    <w:rsid w:val="00311B6C"/>
    <w:rsid w:val="003148B7"/>
    <w:rsid w:val="003158C3"/>
    <w:rsid w:val="00320251"/>
    <w:rsid w:val="00324651"/>
    <w:rsid w:val="003274CD"/>
    <w:rsid w:val="00331D71"/>
    <w:rsid w:val="00332EC9"/>
    <w:rsid w:val="00333501"/>
    <w:rsid w:val="003457C4"/>
    <w:rsid w:val="0035119D"/>
    <w:rsid w:val="00354E10"/>
    <w:rsid w:val="00385DFD"/>
    <w:rsid w:val="0038675C"/>
    <w:rsid w:val="0039064F"/>
    <w:rsid w:val="003948B5"/>
    <w:rsid w:val="00397A30"/>
    <w:rsid w:val="003A44F8"/>
    <w:rsid w:val="003A7E21"/>
    <w:rsid w:val="003A7EF3"/>
    <w:rsid w:val="003B4F12"/>
    <w:rsid w:val="003D352D"/>
    <w:rsid w:val="003E2340"/>
    <w:rsid w:val="003F22FE"/>
    <w:rsid w:val="00400B0F"/>
    <w:rsid w:val="00401172"/>
    <w:rsid w:val="00402ACC"/>
    <w:rsid w:val="004120EC"/>
    <w:rsid w:val="00423B94"/>
    <w:rsid w:val="00423F31"/>
    <w:rsid w:val="00431899"/>
    <w:rsid w:val="00431E2C"/>
    <w:rsid w:val="0043564E"/>
    <w:rsid w:val="00447654"/>
    <w:rsid w:val="00453E89"/>
    <w:rsid w:val="00475F46"/>
    <w:rsid w:val="00486804"/>
    <w:rsid w:val="0049241A"/>
    <w:rsid w:val="004977A1"/>
    <w:rsid w:val="004A0045"/>
    <w:rsid w:val="004B20D5"/>
    <w:rsid w:val="004B3775"/>
    <w:rsid w:val="004C45F3"/>
    <w:rsid w:val="004D0BA0"/>
    <w:rsid w:val="004D17A2"/>
    <w:rsid w:val="004D43F3"/>
    <w:rsid w:val="004E0264"/>
    <w:rsid w:val="004E058F"/>
    <w:rsid w:val="004E3B87"/>
    <w:rsid w:val="004F437F"/>
    <w:rsid w:val="004F459A"/>
    <w:rsid w:val="00510921"/>
    <w:rsid w:val="00510AD3"/>
    <w:rsid w:val="00510FAB"/>
    <w:rsid w:val="00513348"/>
    <w:rsid w:val="00530636"/>
    <w:rsid w:val="00533B5D"/>
    <w:rsid w:val="005356F5"/>
    <w:rsid w:val="00542905"/>
    <w:rsid w:val="005511BF"/>
    <w:rsid w:val="0056794B"/>
    <w:rsid w:val="005730BF"/>
    <w:rsid w:val="0059146A"/>
    <w:rsid w:val="0059150F"/>
    <w:rsid w:val="005917BE"/>
    <w:rsid w:val="00592167"/>
    <w:rsid w:val="0059536F"/>
    <w:rsid w:val="005B5769"/>
    <w:rsid w:val="005D3655"/>
    <w:rsid w:val="005E4A43"/>
    <w:rsid w:val="005E606B"/>
    <w:rsid w:val="005F3C00"/>
    <w:rsid w:val="005F77FF"/>
    <w:rsid w:val="00600479"/>
    <w:rsid w:val="00604ED6"/>
    <w:rsid w:val="00613122"/>
    <w:rsid w:val="00615669"/>
    <w:rsid w:val="0061652A"/>
    <w:rsid w:val="0062062C"/>
    <w:rsid w:val="00623283"/>
    <w:rsid w:val="00623BA1"/>
    <w:rsid w:val="0062636F"/>
    <w:rsid w:val="006346BC"/>
    <w:rsid w:val="006423B8"/>
    <w:rsid w:val="0064683D"/>
    <w:rsid w:val="006529E0"/>
    <w:rsid w:val="00653F35"/>
    <w:rsid w:val="00654627"/>
    <w:rsid w:val="00657AEE"/>
    <w:rsid w:val="0066652A"/>
    <w:rsid w:val="00671943"/>
    <w:rsid w:val="00680522"/>
    <w:rsid w:val="00681F08"/>
    <w:rsid w:val="00682167"/>
    <w:rsid w:val="0068627B"/>
    <w:rsid w:val="006926A1"/>
    <w:rsid w:val="006932A9"/>
    <w:rsid w:val="0069688F"/>
    <w:rsid w:val="006A285B"/>
    <w:rsid w:val="006C42AF"/>
    <w:rsid w:val="006C4F09"/>
    <w:rsid w:val="006D03C6"/>
    <w:rsid w:val="006D0CDE"/>
    <w:rsid w:val="006F27B1"/>
    <w:rsid w:val="006F6DA0"/>
    <w:rsid w:val="007114F8"/>
    <w:rsid w:val="00711D8E"/>
    <w:rsid w:val="00712672"/>
    <w:rsid w:val="007278A4"/>
    <w:rsid w:val="00732D3C"/>
    <w:rsid w:val="00734E3F"/>
    <w:rsid w:val="00736985"/>
    <w:rsid w:val="00745DF5"/>
    <w:rsid w:val="0076250F"/>
    <w:rsid w:val="00771B53"/>
    <w:rsid w:val="00784031"/>
    <w:rsid w:val="00787B52"/>
    <w:rsid w:val="007962AE"/>
    <w:rsid w:val="007B4865"/>
    <w:rsid w:val="007B6108"/>
    <w:rsid w:val="007B6200"/>
    <w:rsid w:val="007C1AEB"/>
    <w:rsid w:val="007C2540"/>
    <w:rsid w:val="007C7418"/>
    <w:rsid w:val="007D0299"/>
    <w:rsid w:val="007D2E25"/>
    <w:rsid w:val="007E2915"/>
    <w:rsid w:val="007F3395"/>
    <w:rsid w:val="007F608B"/>
    <w:rsid w:val="007F7DAB"/>
    <w:rsid w:val="00801B9F"/>
    <w:rsid w:val="008057FD"/>
    <w:rsid w:val="008064BB"/>
    <w:rsid w:val="00814F91"/>
    <w:rsid w:val="00825966"/>
    <w:rsid w:val="0084212A"/>
    <w:rsid w:val="008475F0"/>
    <w:rsid w:val="008518C3"/>
    <w:rsid w:val="008563EF"/>
    <w:rsid w:val="00864210"/>
    <w:rsid w:val="00864454"/>
    <w:rsid w:val="00866D4F"/>
    <w:rsid w:val="00876264"/>
    <w:rsid w:val="00880004"/>
    <w:rsid w:val="008802BC"/>
    <w:rsid w:val="00891631"/>
    <w:rsid w:val="0089194A"/>
    <w:rsid w:val="00893328"/>
    <w:rsid w:val="00893596"/>
    <w:rsid w:val="008A241B"/>
    <w:rsid w:val="008A5AFE"/>
    <w:rsid w:val="008B25A4"/>
    <w:rsid w:val="008B68D7"/>
    <w:rsid w:val="008B7D42"/>
    <w:rsid w:val="008C0A46"/>
    <w:rsid w:val="008C2F58"/>
    <w:rsid w:val="008C5A0E"/>
    <w:rsid w:val="008D272A"/>
    <w:rsid w:val="008D3C92"/>
    <w:rsid w:val="008F0C31"/>
    <w:rsid w:val="008F56A8"/>
    <w:rsid w:val="00942EF8"/>
    <w:rsid w:val="00962E6D"/>
    <w:rsid w:val="0096567F"/>
    <w:rsid w:val="00970924"/>
    <w:rsid w:val="009903F3"/>
    <w:rsid w:val="00992C76"/>
    <w:rsid w:val="00993F40"/>
    <w:rsid w:val="009B4D3B"/>
    <w:rsid w:val="009D3FD2"/>
    <w:rsid w:val="009D682C"/>
    <w:rsid w:val="009D7407"/>
    <w:rsid w:val="009E0866"/>
    <w:rsid w:val="009E3DDE"/>
    <w:rsid w:val="009E7BB8"/>
    <w:rsid w:val="009F3E53"/>
    <w:rsid w:val="009F5488"/>
    <w:rsid w:val="009F6423"/>
    <w:rsid w:val="009F75A2"/>
    <w:rsid w:val="00A15503"/>
    <w:rsid w:val="00A24A62"/>
    <w:rsid w:val="00A31C9F"/>
    <w:rsid w:val="00A4144F"/>
    <w:rsid w:val="00A532AF"/>
    <w:rsid w:val="00A54034"/>
    <w:rsid w:val="00A56F14"/>
    <w:rsid w:val="00A574D9"/>
    <w:rsid w:val="00A63FB4"/>
    <w:rsid w:val="00A80F95"/>
    <w:rsid w:val="00A8197B"/>
    <w:rsid w:val="00A859E6"/>
    <w:rsid w:val="00A909DE"/>
    <w:rsid w:val="00A90A60"/>
    <w:rsid w:val="00AA77D1"/>
    <w:rsid w:val="00AA7BE3"/>
    <w:rsid w:val="00AB5E7F"/>
    <w:rsid w:val="00AC164A"/>
    <w:rsid w:val="00AC302F"/>
    <w:rsid w:val="00AD1F94"/>
    <w:rsid w:val="00AD5B9E"/>
    <w:rsid w:val="00AE065B"/>
    <w:rsid w:val="00AF1B85"/>
    <w:rsid w:val="00AF2050"/>
    <w:rsid w:val="00AF32E7"/>
    <w:rsid w:val="00B03CA8"/>
    <w:rsid w:val="00B115A7"/>
    <w:rsid w:val="00B16300"/>
    <w:rsid w:val="00B331DC"/>
    <w:rsid w:val="00B37C19"/>
    <w:rsid w:val="00B438D3"/>
    <w:rsid w:val="00B55E19"/>
    <w:rsid w:val="00B62ED9"/>
    <w:rsid w:val="00B65C42"/>
    <w:rsid w:val="00BA4B6D"/>
    <w:rsid w:val="00BB254C"/>
    <w:rsid w:val="00BB26C5"/>
    <w:rsid w:val="00BB738D"/>
    <w:rsid w:val="00BC337C"/>
    <w:rsid w:val="00BC4075"/>
    <w:rsid w:val="00BD421E"/>
    <w:rsid w:val="00BD6106"/>
    <w:rsid w:val="00BD7935"/>
    <w:rsid w:val="00BE6C6D"/>
    <w:rsid w:val="00BE737D"/>
    <w:rsid w:val="00BF4DE6"/>
    <w:rsid w:val="00BF7FB4"/>
    <w:rsid w:val="00C0275C"/>
    <w:rsid w:val="00C030FC"/>
    <w:rsid w:val="00C04C8B"/>
    <w:rsid w:val="00C143CA"/>
    <w:rsid w:val="00C406F0"/>
    <w:rsid w:val="00C42CDE"/>
    <w:rsid w:val="00C456D6"/>
    <w:rsid w:val="00C500D7"/>
    <w:rsid w:val="00C5182A"/>
    <w:rsid w:val="00C61D20"/>
    <w:rsid w:val="00C62D6F"/>
    <w:rsid w:val="00C63EE9"/>
    <w:rsid w:val="00C6626C"/>
    <w:rsid w:val="00C7662B"/>
    <w:rsid w:val="00C8303D"/>
    <w:rsid w:val="00C86822"/>
    <w:rsid w:val="00C90AA1"/>
    <w:rsid w:val="00CA37B1"/>
    <w:rsid w:val="00CA7DD8"/>
    <w:rsid w:val="00CB1959"/>
    <w:rsid w:val="00CC4839"/>
    <w:rsid w:val="00CD0E4B"/>
    <w:rsid w:val="00CE0155"/>
    <w:rsid w:val="00CE5DF0"/>
    <w:rsid w:val="00CF1520"/>
    <w:rsid w:val="00D00802"/>
    <w:rsid w:val="00D0296C"/>
    <w:rsid w:val="00D07A0B"/>
    <w:rsid w:val="00D146A2"/>
    <w:rsid w:val="00D15245"/>
    <w:rsid w:val="00D15A00"/>
    <w:rsid w:val="00D27EA5"/>
    <w:rsid w:val="00D3315E"/>
    <w:rsid w:val="00D33BF8"/>
    <w:rsid w:val="00D40AEB"/>
    <w:rsid w:val="00D42E88"/>
    <w:rsid w:val="00D434B1"/>
    <w:rsid w:val="00D43E78"/>
    <w:rsid w:val="00D460DC"/>
    <w:rsid w:val="00D4640A"/>
    <w:rsid w:val="00D56470"/>
    <w:rsid w:val="00D566E1"/>
    <w:rsid w:val="00D64BD1"/>
    <w:rsid w:val="00D72760"/>
    <w:rsid w:val="00D727CC"/>
    <w:rsid w:val="00D73EFE"/>
    <w:rsid w:val="00D83FAC"/>
    <w:rsid w:val="00D85ED3"/>
    <w:rsid w:val="00D86954"/>
    <w:rsid w:val="00D95D0E"/>
    <w:rsid w:val="00DA040F"/>
    <w:rsid w:val="00DA0AB1"/>
    <w:rsid w:val="00DB41FA"/>
    <w:rsid w:val="00DB77E3"/>
    <w:rsid w:val="00DC3412"/>
    <w:rsid w:val="00DC7781"/>
    <w:rsid w:val="00DD1986"/>
    <w:rsid w:val="00DD2BE2"/>
    <w:rsid w:val="00DE084C"/>
    <w:rsid w:val="00E04C41"/>
    <w:rsid w:val="00E0719C"/>
    <w:rsid w:val="00E2023E"/>
    <w:rsid w:val="00E245D7"/>
    <w:rsid w:val="00E314DD"/>
    <w:rsid w:val="00E32E63"/>
    <w:rsid w:val="00E357B7"/>
    <w:rsid w:val="00E36F91"/>
    <w:rsid w:val="00E41603"/>
    <w:rsid w:val="00E47CE3"/>
    <w:rsid w:val="00E53800"/>
    <w:rsid w:val="00E6081F"/>
    <w:rsid w:val="00E63881"/>
    <w:rsid w:val="00E954F9"/>
    <w:rsid w:val="00E96D67"/>
    <w:rsid w:val="00EA04B2"/>
    <w:rsid w:val="00EA20F3"/>
    <w:rsid w:val="00EA2D5B"/>
    <w:rsid w:val="00EB03B3"/>
    <w:rsid w:val="00EB2D0F"/>
    <w:rsid w:val="00EB67C8"/>
    <w:rsid w:val="00EC1A4A"/>
    <w:rsid w:val="00ED2831"/>
    <w:rsid w:val="00ED43D1"/>
    <w:rsid w:val="00EE4EE1"/>
    <w:rsid w:val="00EF4574"/>
    <w:rsid w:val="00EF4CD8"/>
    <w:rsid w:val="00EF6543"/>
    <w:rsid w:val="00EF7FA5"/>
    <w:rsid w:val="00F041C0"/>
    <w:rsid w:val="00F075FD"/>
    <w:rsid w:val="00F10DEB"/>
    <w:rsid w:val="00F11F09"/>
    <w:rsid w:val="00F151D8"/>
    <w:rsid w:val="00F16C52"/>
    <w:rsid w:val="00F262AC"/>
    <w:rsid w:val="00F2684E"/>
    <w:rsid w:val="00F27335"/>
    <w:rsid w:val="00F328A8"/>
    <w:rsid w:val="00F33B88"/>
    <w:rsid w:val="00F441F2"/>
    <w:rsid w:val="00F4664D"/>
    <w:rsid w:val="00F46862"/>
    <w:rsid w:val="00F5404C"/>
    <w:rsid w:val="00F5411B"/>
    <w:rsid w:val="00F57483"/>
    <w:rsid w:val="00F729EF"/>
    <w:rsid w:val="00F77CAE"/>
    <w:rsid w:val="00F77ECA"/>
    <w:rsid w:val="00F81092"/>
    <w:rsid w:val="00F82271"/>
    <w:rsid w:val="00F83428"/>
    <w:rsid w:val="00F8454F"/>
    <w:rsid w:val="00F954A8"/>
    <w:rsid w:val="00F96BB9"/>
    <w:rsid w:val="00F97B2C"/>
    <w:rsid w:val="00FA3DA5"/>
    <w:rsid w:val="00FA7AD9"/>
    <w:rsid w:val="00FD3C5E"/>
    <w:rsid w:val="00FE4813"/>
    <w:rsid w:val="00FE6D51"/>
    <w:rsid w:val="00FF09F3"/>
    <w:rsid w:val="00FF0F6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14:docId w14:val="0AF5B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197B"/>
    <w:pPr>
      <w:suppressAutoHyphens/>
      <w:spacing w:before="120" w:after="60" w:line="230" w:lineRule="atLeast"/>
    </w:pPr>
    <w:rPr>
      <w:color w:val="495965" w:themeColor="text2"/>
      <w:lang w:val="en-GB"/>
    </w:rPr>
  </w:style>
  <w:style w:type="paragraph" w:styleId="Heading1">
    <w:name w:val="heading 1"/>
    <w:basedOn w:val="Normal"/>
    <w:next w:val="Normal"/>
    <w:link w:val="Heading1Char"/>
    <w:uiPriority w:val="9"/>
    <w:qFormat/>
    <w:rsid w:val="00F83428"/>
    <w:pPr>
      <w:keepNext/>
      <w:keepLines/>
      <w:pageBreakBefore/>
      <w:spacing w:before="0" w:after="180" w:line="380" w:lineRule="exact"/>
      <w:contextualSpacing/>
      <w:outlineLvl w:val="0"/>
    </w:pPr>
    <w:rPr>
      <w:rFonts w:asciiTheme="majorHAnsi" w:eastAsiaTheme="majorEastAsia" w:hAnsiTheme="majorHAnsi" w:cstheme="majorBidi"/>
      <w:b/>
      <w:bCs/>
      <w:caps/>
      <w:sz w:val="38"/>
      <w:szCs w:val="28"/>
    </w:rPr>
  </w:style>
  <w:style w:type="paragraph" w:styleId="Heading2">
    <w:name w:val="heading 2"/>
    <w:basedOn w:val="Heading1"/>
    <w:next w:val="Normal"/>
    <w:link w:val="Heading2Char"/>
    <w:uiPriority w:val="9"/>
    <w:unhideWhenUsed/>
    <w:qFormat/>
    <w:rsid w:val="00A4144F"/>
    <w:pPr>
      <w:pageBreakBefore w:val="0"/>
      <w:spacing w:before="300" w:after="120"/>
      <w:outlineLvl w:val="1"/>
    </w:pPr>
    <w:rPr>
      <w:b w:val="0"/>
      <w:bCs w:val="0"/>
      <w:szCs w:val="26"/>
    </w:rPr>
  </w:style>
  <w:style w:type="paragraph" w:styleId="Heading3">
    <w:name w:val="heading 3"/>
    <w:basedOn w:val="Heading2"/>
    <w:next w:val="Normal"/>
    <w:link w:val="Heading3Char"/>
    <w:uiPriority w:val="9"/>
    <w:unhideWhenUsed/>
    <w:qFormat/>
    <w:rsid w:val="00ED2831"/>
    <w:pPr>
      <w:spacing w:before="480" w:line="360" w:lineRule="atLeast"/>
      <w:outlineLvl w:val="2"/>
    </w:pPr>
    <w:rPr>
      <w:bCs/>
      <w:caps w:val="0"/>
      <w:sz w:val="30"/>
    </w:rPr>
  </w:style>
  <w:style w:type="paragraph" w:styleId="Heading4">
    <w:name w:val="heading 4"/>
    <w:basedOn w:val="Heading3"/>
    <w:next w:val="Normal"/>
    <w:link w:val="Heading4Char"/>
    <w:uiPriority w:val="9"/>
    <w:unhideWhenUsed/>
    <w:qFormat/>
    <w:rsid w:val="00A4144F"/>
    <w:pPr>
      <w:spacing w:before="240" w:line="280" w:lineRule="atLeast"/>
      <w:outlineLvl w:val="3"/>
    </w:pPr>
    <w:rPr>
      <w:iCs/>
      <w:sz w:val="24"/>
    </w:rPr>
  </w:style>
  <w:style w:type="paragraph" w:styleId="Heading5">
    <w:name w:val="heading 5"/>
    <w:basedOn w:val="Heading4"/>
    <w:next w:val="Normal"/>
    <w:link w:val="Heading5Char"/>
    <w:uiPriority w:val="9"/>
    <w:unhideWhenUsed/>
    <w:qFormat/>
    <w:rsid w:val="00A4144F"/>
    <w:pPr>
      <w:spacing w:line="200" w:lineRule="atLeast"/>
      <w:outlineLvl w:val="4"/>
    </w:pPr>
    <w:rPr>
      <w:b/>
      <w:sz w:val="16"/>
    </w:rPr>
  </w:style>
  <w:style w:type="paragraph" w:styleId="Heading6">
    <w:name w:val="heading 6"/>
    <w:basedOn w:val="Heading5"/>
    <w:next w:val="Normal"/>
    <w:link w:val="Heading6Char"/>
    <w:uiPriority w:val="9"/>
    <w:semiHidden/>
    <w:unhideWhenUsed/>
    <w:qFormat/>
    <w:rsid w:val="00486804"/>
    <w:pPr>
      <w:spacing w:before="40"/>
      <w:outlineLvl w:val="5"/>
    </w:pPr>
    <w:rPr>
      <w:color w:val="286B5F" w:themeColor="accent1" w:themeShade="7F"/>
    </w:rPr>
  </w:style>
  <w:style w:type="paragraph" w:styleId="Heading7">
    <w:name w:val="heading 7"/>
    <w:basedOn w:val="Heading6"/>
    <w:next w:val="Normal"/>
    <w:link w:val="Heading7Char"/>
    <w:uiPriority w:val="9"/>
    <w:semiHidden/>
    <w:unhideWhenUsed/>
    <w:qFormat/>
    <w:rsid w:val="00486804"/>
    <w:pPr>
      <w:outlineLvl w:val="6"/>
    </w:pPr>
    <w:rPr>
      <w:i/>
      <w:iCs w:val="0"/>
    </w:rPr>
  </w:style>
  <w:style w:type="paragraph" w:styleId="Heading8">
    <w:name w:val="heading 8"/>
    <w:basedOn w:val="Heading7"/>
    <w:next w:val="Normal"/>
    <w:link w:val="Heading8Char"/>
    <w:uiPriority w:val="9"/>
    <w:semiHidden/>
    <w:unhideWhenUsed/>
    <w:qFormat/>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rsid w:val="00486804"/>
    <w:pPr>
      <w:outlineLvl w:val="8"/>
    </w:pPr>
    <w:rPr>
      <w:i w:val="0"/>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3428"/>
    <w:rPr>
      <w:rFonts w:asciiTheme="majorHAnsi" w:eastAsiaTheme="majorEastAsia" w:hAnsiTheme="majorHAnsi" w:cstheme="majorBidi"/>
      <w:b/>
      <w:bCs/>
      <w:caps/>
      <w:color w:val="495965" w:themeColor="text2"/>
      <w:sz w:val="38"/>
      <w:szCs w:val="28"/>
    </w:rPr>
  </w:style>
  <w:style w:type="character" w:customStyle="1" w:styleId="Heading2Char">
    <w:name w:val="Heading 2 Char"/>
    <w:basedOn w:val="DefaultParagraphFont"/>
    <w:link w:val="Heading2"/>
    <w:uiPriority w:val="9"/>
    <w:rsid w:val="00A4144F"/>
    <w:rPr>
      <w:rFonts w:asciiTheme="majorHAnsi" w:eastAsiaTheme="majorEastAsia" w:hAnsiTheme="majorHAnsi" w:cstheme="majorBidi"/>
      <w:caps/>
      <w:color w:val="495965" w:themeColor="text2"/>
      <w:sz w:val="38"/>
      <w:szCs w:val="26"/>
    </w:rPr>
  </w:style>
  <w:style w:type="character" w:customStyle="1" w:styleId="Heading3Char">
    <w:name w:val="Heading 3 Char"/>
    <w:basedOn w:val="DefaultParagraphFont"/>
    <w:link w:val="Heading3"/>
    <w:uiPriority w:val="9"/>
    <w:rsid w:val="00ED2831"/>
    <w:rPr>
      <w:rFonts w:asciiTheme="majorHAnsi" w:eastAsiaTheme="majorEastAsia" w:hAnsiTheme="majorHAnsi" w:cstheme="majorBidi"/>
      <w:bCs/>
      <w:color w:val="495965" w:themeColor="text2"/>
      <w:sz w:val="30"/>
      <w:szCs w:val="26"/>
      <w:lang w:val="en-GB"/>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uiPriority w:val="10"/>
    <w:qFormat/>
    <w:rsid w:val="00D64BD1"/>
    <w:pPr>
      <w:pageBreakBefore w:val="0"/>
      <w:spacing w:after="0"/>
    </w:pPr>
    <w:rPr>
      <w:spacing w:val="-10"/>
      <w:kern w:val="28"/>
      <w:szCs w:val="52"/>
    </w:rPr>
  </w:style>
  <w:style w:type="character" w:customStyle="1" w:styleId="TitleChar">
    <w:name w:val="Title Char"/>
    <w:basedOn w:val="DefaultParagraphFont"/>
    <w:link w:val="Title"/>
    <w:uiPriority w:val="10"/>
    <w:rsid w:val="00D64BD1"/>
    <w:rPr>
      <w:rFonts w:asciiTheme="majorHAnsi" w:eastAsiaTheme="majorEastAsia" w:hAnsiTheme="majorHAnsi" w:cstheme="majorBidi"/>
      <w:b/>
      <w:bCs/>
      <w:caps/>
      <w:color w:val="495965" w:themeColor="text2"/>
      <w:spacing w:val="-10"/>
      <w:kern w:val="28"/>
      <w:sz w:val="38"/>
      <w:szCs w:val="52"/>
    </w:rPr>
  </w:style>
  <w:style w:type="paragraph" w:styleId="Subtitle">
    <w:name w:val="Subtitle"/>
    <w:basedOn w:val="Title"/>
    <w:next w:val="Normal"/>
    <w:link w:val="SubtitleChar"/>
    <w:qFormat/>
    <w:rsid w:val="00D64BD1"/>
    <w:pPr>
      <w:numPr>
        <w:ilvl w:val="1"/>
      </w:numPr>
      <w:spacing w:before="60" w:after="300"/>
    </w:pPr>
    <w:rPr>
      <w:rFonts w:asciiTheme="minorHAnsi" w:hAnsiTheme="minorHAnsi"/>
      <w:b w:val="0"/>
      <w:iCs/>
      <w:szCs w:val="24"/>
    </w:rPr>
  </w:style>
  <w:style w:type="character" w:customStyle="1" w:styleId="SubtitleChar">
    <w:name w:val="Subtitle Char"/>
    <w:basedOn w:val="DefaultParagraphFont"/>
    <w:link w:val="Subtitle"/>
    <w:rsid w:val="00D64BD1"/>
    <w:rPr>
      <w:rFonts w:eastAsiaTheme="majorEastAsia" w:cstheme="majorBidi"/>
      <w:bCs/>
      <w:iCs/>
      <w:caps/>
      <w:color w:val="495965" w:themeColor="text2"/>
      <w:spacing w:val="-10"/>
      <w:kern w:val="28"/>
      <w:sz w:val="38"/>
      <w:szCs w:val="24"/>
    </w:rPr>
  </w:style>
  <w:style w:type="paragraph" w:customStyle="1" w:styleId="Bullet1">
    <w:name w:val="Bullet 1"/>
    <w:basedOn w:val="Normal"/>
    <w:qFormat/>
    <w:rsid w:val="001D663E"/>
    <w:pPr>
      <w:numPr>
        <w:numId w:val="11"/>
      </w:numPr>
      <w:spacing w:before="0"/>
    </w:pPr>
  </w:style>
  <w:style w:type="paragraph" w:customStyle="1" w:styleId="Bullet2">
    <w:name w:val="Bullet 2"/>
    <w:basedOn w:val="Bullet1"/>
    <w:qFormat/>
    <w:rsid w:val="00F2684E"/>
    <w:pPr>
      <w:numPr>
        <w:ilvl w:val="1"/>
      </w:numPr>
    </w:pPr>
  </w:style>
  <w:style w:type="paragraph" w:customStyle="1" w:styleId="Bullet3">
    <w:name w:val="Bullet 3"/>
    <w:basedOn w:val="Bullet2"/>
    <w:qFormat/>
    <w:rsid w:val="00F2684E"/>
    <w:pPr>
      <w:numPr>
        <w:ilvl w:val="2"/>
      </w:numPr>
    </w:pPr>
  </w:style>
  <w:style w:type="paragraph" w:customStyle="1" w:styleId="NumberedList1">
    <w:name w:val="Numbered List 1"/>
    <w:basedOn w:val="Normal"/>
    <w:qFormat/>
    <w:rsid w:val="00F2684E"/>
    <w:pPr>
      <w:numPr>
        <w:numId w:val="8"/>
      </w:numPr>
      <w:spacing w:before="0"/>
    </w:pPr>
  </w:style>
  <w:style w:type="paragraph" w:customStyle="1" w:styleId="NumberedList2">
    <w:name w:val="Numbered List 2"/>
    <w:basedOn w:val="NumberedList1"/>
    <w:qFormat/>
    <w:rsid w:val="00F2684E"/>
    <w:pPr>
      <w:numPr>
        <w:ilvl w:val="1"/>
      </w:numPr>
    </w:pPr>
  </w:style>
  <w:style w:type="paragraph" w:customStyle="1" w:styleId="NumberedList3">
    <w:name w:val="Numbered List 3"/>
    <w:basedOn w:val="NumberedList2"/>
    <w:qFormat/>
    <w:rsid w:val="00F2684E"/>
    <w:pPr>
      <w:numPr>
        <w:ilvl w:val="2"/>
      </w:numPr>
    </w:pPr>
  </w:style>
  <w:style w:type="paragraph" w:customStyle="1" w:styleId="Heading1Numbered">
    <w:name w:val="Heading 1 Numbered"/>
    <w:basedOn w:val="Heading1"/>
    <w:next w:val="Normal"/>
    <w:qFormat/>
    <w:rsid w:val="001E1DC0"/>
    <w:pPr>
      <w:numPr>
        <w:numId w:val="6"/>
      </w:numPr>
    </w:pPr>
  </w:style>
  <w:style w:type="paragraph" w:customStyle="1" w:styleId="Heading2Numbered">
    <w:name w:val="Heading 2 Numbered"/>
    <w:basedOn w:val="Heading2"/>
    <w:next w:val="Normal"/>
    <w:qFormat/>
    <w:rsid w:val="00ED2831"/>
    <w:pPr>
      <w:numPr>
        <w:ilvl w:val="1"/>
        <w:numId w:val="6"/>
      </w:numPr>
      <w:spacing w:before="480" w:after="60"/>
    </w:pPr>
    <w:rPr>
      <w:bCs/>
    </w:rPr>
  </w:style>
  <w:style w:type="paragraph" w:customStyle="1" w:styleId="Heading3Numbered">
    <w:name w:val="Heading 3 Numbered"/>
    <w:basedOn w:val="Heading3"/>
    <w:next w:val="Normal"/>
    <w:qFormat/>
    <w:rsid w:val="00ED2831"/>
    <w:pPr>
      <w:numPr>
        <w:ilvl w:val="2"/>
        <w:numId w:val="6"/>
      </w:numPr>
      <w:spacing w:before="300" w:after="60"/>
    </w:pPr>
    <w:rPr>
      <w:szCs w:val="22"/>
    </w:rPr>
  </w:style>
  <w:style w:type="numbering" w:customStyle="1" w:styleId="BulletsList">
    <w:name w:val="Bullets List"/>
    <w:uiPriority w:val="99"/>
    <w:rsid w:val="001D663E"/>
    <w:pPr>
      <w:numPr>
        <w:numId w:val="1"/>
      </w:numPr>
    </w:pPr>
  </w:style>
  <w:style w:type="numbering" w:customStyle="1" w:styleId="Numberedlist">
    <w:name w:val="Numbered list"/>
    <w:uiPriority w:val="99"/>
    <w:rsid w:val="00F2684E"/>
    <w:pPr>
      <w:numPr>
        <w:numId w:val="2"/>
      </w:numPr>
    </w:pPr>
  </w:style>
  <w:style w:type="numbering" w:customStyle="1" w:styleId="HeadingsList">
    <w:name w:val="Headings List"/>
    <w:uiPriority w:val="99"/>
    <w:rsid w:val="001E1DC0"/>
    <w:pPr>
      <w:numPr>
        <w:numId w:val="3"/>
      </w:numPr>
    </w:pPr>
  </w:style>
  <w:style w:type="table" w:customStyle="1" w:styleId="PlainTable21">
    <w:name w:val="Plain Table 21"/>
    <w:basedOn w:val="TableNormal"/>
    <w:uiPriority w:val="42"/>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ED2831"/>
    <w:pPr>
      <w:pageBreakBefore w:val="0"/>
      <w:suppressAutoHyphens w:val="0"/>
      <w:spacing w:after="600"/>
      <w:contextualSpacing w:val="0"/>
      <w:outlineLvl w:val="9"/>
    </w:pPr>
    <w:rPr>
      <w:bCs w:val="0"/>
      <w:szCs w:val="32"/>
    </w:rPr>
  </w:style>
  <w:style w:type="character" w:customStyle="1" w:styleId="Heading4Char">
    <w:name w:val="Heading 4 Char"/>
    <w:basedOn w:val="DefaultParagraphFont"/>
    <w:link w:val="Heading4"/>
    <w:uiPriority w:val="9"/>
    <w:rsid w:val="00A4144F"/>
    <w:rPr>
      <w:rFonts w:asciiTheme="majorHAnsi" w:eastAsiaTheme="majorEastAsia" w:hAnsiTheme="majorHAnsi" w:cstheme="majorBidi"/>
      <w:bCs/>
      <w:iCs/>
      <w:color w:val="495965" w:themeColor="text2"/>
      <w:sz w:val="24"/>
      <w:szCs w:val="26"/>
    </w:rPr>
  </w:style>
  <w:style w:type="paragraph" w:styleId="TOC1">
    <w:name w:val="toc 1"/>
    <w:basedOn w:val="Normal"/>
    <w:next w:val="Normal"/>
    <w:autoRedefine/>
    <w:uiPriority w:val="39"/>
    <w:unhideWhenUsed/>
    <w:rsid w:val="00ED2831"/>
    <w:pPr>
      <w:pBdr>
        <w:top w:val="single" w:sz="4" w:space="6" w:color="65C5B4" w:themeColor="accent1"/>
        <w:between w:val="single" w:sz="4" w:space="6" w:color="65C5B4" w:themeColor="accent1"/>
      </w:pBdr>
      <w:tabs>
        <w:tab w:val="right" w:pos="9639"/>
      </w:tabs>
      <w:spacing w:after="100" w:line="320" w:lineRule="atLeast"/>
    </w:pPr>
    <w:rPr>
      <w:b/>
      <w:caps/>
      <w:color w:val="65C5B4" w:themeColor="accent1"/>
      <w:sz w:val="28"/>
    </w:rPr>
  </w:style>
  <w:style w:type="paragraph" w:styleId="TOC2">
    <w:name w:val="toc 2"/>
    <w:basedOn w:val="Normal"/>
    <w:next w:val="Normal"/>
    <w:autoRedefine/>
    <w:uiPriority w:val="39"/>
    <w:unhideWhenUsed/>
    <w:rsid w:val="00ED2831"/>
    <w:pPr>
      <w:spacing w:after="100"/>
      <w:ind w:left="199" w:right="454"/>
    </w:pPr>
  </w:style>
  <w:style w:type="paragraph" w:styleId="TOC3">
    <w:name w:val="toc 3"/>
    <w:basedOn w:val="Normal"/>
    <w:next w:val="Normal"/>
    <w:autoRedefine/>
    <w:uiPriority w:val="39"/>
    <w:unhideWhenUsed/>
    <w:rsid w:val="0035119D"/>
    <w:pPr>
      <w:spacing w:after="100"/>
      <w:ind w:left="400"/>
    </w:pPr>
  </w:style>
  <w:style w:type="paragraph" w:styleId="Header">
    <w:name w:val="header"/>
    <w:basedOn w:val="Normal"/>
    <w:link w:val="HeaderChar"/>
    <w:uiPriority w:val="99"/>
    <w:unhideWhenUsed/>
    <w:rsid w:val="00992C76"/>
    <w:pPr>
      <w:tabs>
        <w:tab w:val="center" w:pos="4513"/>
        <w:tab w:val="right" w:pos="9026"/>
      </w:tabs>
      <w:spacing w:before="0" w:after="0"/>
      <w:jc w:val="right"/>
    </w:pPr>
    <w:rPr>
      <w:b/>
      <w:caps/>
      <w:sz w:val="20"/>
    </w:rPr>
  </w:style>
  <w:style w:type="paragraph" w:styleId="TOC4">
    <w:name w:val="toc 4"/>
    <w:basedOn w:val="Normal"/>
    <w:next w:val="Normal"/>
    <w:autoRedefine/>
    <w:uiPriority w:val="39"/>
    <w:unhideWhenUs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ED2831"/>
    <w:pPr>
      <w:numPr>
        <w:numId w:val="4"/>
      </w:numPr>
    </w:pPr>
  </w:style>
  <w:style w:type="paragraph" w:styleId="TOC8">
    <w:name w:val="toc 8"/>
    <w:basedOn w:val="Normal"/>
    <w:next w:val="Normal"/>
    <w:autoRedefine/>
    <w:uiPriority w:val="39"/>
    <w:unhideWhenUs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ED2831"/>
    <w:pPr>
      <w:spacing w:before="400" w:after="400" w:line="280" w:lineRule="exact"/>
    </w:pPr>
    <w:rPr>
      <w:b/>
      <w:caps/>
      <w:color w:val="ACD08C" w:themeColor="accent3"/>
      <w:sz w:val="28"/>
    </w:rPr>
  </w:style>
  <w:style w:type="table" w:styleId="TableGrid">
    <w:name w:val="Table Grid"/>
    <w:basedOn w:val="TableNormal"/>
    <w:uiPriority w:val="39"/>
    <w:rsid w:val="00ED28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992C76"/>
    <w:rPr>
      <w:b/>
      <w:caps/>
      <w:color w:val="495965" w:themeColor="text2"/>
      <w:sz w:val="20"/>
    </w:rPr>
  </w:style>
  <w:style w:type="numbering" w:customStyle="1" w:styleId="FigureTitles">
    <w:name w:val="Figure Titles"/>
    <w:uiPriority w:val="99"/>
    <w:rsid w:val="006346BC"/>
    <w:pPr>
      <w:numPr>
        <w:numId w:val="5"/>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FE6D51"/>
    <w:rPr>
      <w:b/>
      <w:i/>
      <w:iCs/>
      <w:color w:val="auto"/>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uiPriority w:val="9"/>
    <w:rsid w:val="00A4144F"/>
    <w:rPr>
      <w:rFonts w:asciiTheme="majorHAnsi" w:eastAsiaTheme="majorEastAsia" w:hAnsiTheme="majorHAnsi" w:cstheme="majorBidi"/>
      <w:b/>
      <w:bCs/>
      <w:iCs/>
      <w:color w:val="495965" w:themeColor="text2"/>
      <w:sz w:val="16"/>
      <w:szCs w:val="26"/>
    </w:rPr>
  </w:style>
  <w:style w:type="paragraph" w:styleId="Caption">
    <w:name w:val="caption"/>
    <w:basedOn w:val="Normal"/>
    <w:next w:val="Normal"/>
    <w:link w:val="CaptionChar"/>
    <w:uiPriority w:val="99"/>
    <w:unhideWhenUsed/>
    <w:qFormat/>
    <w:rsid w:val="00ED2831"/>
    <w:pPr>
      <w:spacing w:before="240" w:after="180" w:line="240" w:lineRule="atLeast"/>
      <w:contextualSpacing/>
    </w:pPr>
    <w:rPr>
      <w:b/>
      <w:iCs/>
      <w:color w:val="000000" w:themeColor="text1"/>
      <w:sz w:val="20"/>
      <w:szCs w:val="18"/>
    </w:rPr>
  </w:style>
  <w:style w:type="paragraph" w:styleId="Footer">
    <w:name w:val="footer"/>
    <w:basedOn w:val="Normal"/>
    <w:link w:val="FooterChar"/>
    <w:uiPriority w:val="99"/>
    <w:unhideWhenUsed/>
    <w:rsid w:val="00CD0E4B"/>
    <w:pPr>
      <w:spacing w:before="0" w:after="0" w:line="240" w:lineRule="exact"/>
      <w:ind w:right="284"/>
      <w:jc w:val="right"/>
    </w:pPr>
    <w:rPr>
      <w:color w:val="FFFFFF" w:themeColor="background1"/>
    </w:rPr>
  </w:style>
  <w:style w:type="character" w:customStyle="1" w:styleId="FooterChar">
    <w:name w:val="Footer Char"/>
    <w:basedOn w:val="DefaultParagraphFont"/>
    <w:link w:val="Footer"/>
    <w:uiPriority w:val="99"/>
    <w:rsid w:val="00CD0E4B"/>
    <w:rPr>
      <w:color w:val="FFFFFF" w:themeColor="background1"/>
    </w:rPr>
  </w:style>
  <w:style w:type="character" w:customStyle="1" w:styleId="Heading6Char">
    <w:name w:val="Heading 6 Char"/>
    <w:basedOn w:val="DefaultParagraphFont"/>
    <w:link w:val="Heading6"/>
    <w:uiPriority w:val="9"/>
    <w:semiHidden/>
    <w:rsid w:val="00486804"/>
    <w:rPr>
      <w:rFonts w:asciiTheme="majorHAnsi" w:eastAsiaTheme="majorEastAsia" w:hAnsiTheme="majorHAnsi" w:cstheme="majorBidi"/>
      <w:bCs/>
      <w:iCs/>
      <w:color w:val="286B5F"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286B5F" w:themeColor="accent1" w:themeShade="7F"/>
      <w:szCs w:val="26"/>
    </w:rPr>
  </w:style>
  <w:style w:type="character" w:customStyle="1" w:styleId="Heading8Char">
    <w:name w:val="Heading 8 Char"/>
    <w:basedOn w:val="DefaultParagraphFont"/>
    <w:link w:val="Heading8"/>
    <w:uiPriority w:val="9"/>
    <w:semiHidden/>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character" w:customStyle="1" w:styleId="LightGrey">
    <w:name w:val="Light Grey"/>
    <w:basedOn w:val="DefaultParagraphFont"/>
    <w:uiPriority w:val="1"/>
    <w:qFormat/>
    <w:rsid w:val="00ED2831"/>
    <w:rPr>
      <w:color w:val="B0BDC6" w:themeColor="text2" w:themeTint="66"/>
    </w:rPr>
  </w:style>
  <w:style w:type="character" w:styleId="PageNumber">
    <w:name w:val="page number"/>
    <w:basedOn w:val="DefaultParagraphFont"/>
    <w:uiPriority w:val="99"/>
    <w:unhideWhenUsed/>
    <w:rsid w:val="00F5404C"/>
    <w:rPr>
      <w:color w:val="495965" w:themeColor="text2"/>
    </w:rPr>
  </w:style>
  <w:style w:type="paragraph" w:styleId="Quote">
    <w:name w:val="Quote"/>
    <w:basedOn w:val="Normal"/>
    <w:next w:val="Normal"/>
    <w:link w:val="QuoteChar"/>
    <w:uiPriority w:val="29"/>
    <w:qFormat/>
    <w:rsid w:val="00D64BD1"/>
    <w:pPr>
      <w:spacing w:before="0" w:after="180" w:line="320" w:lineRule="atLeast"/>
    </w:pPr>
    <w:rPr>
      <w:iCs/>
      <w:sz w:val="28"/>
    </w:rPr>
  </w:style>
  <w:style w:type="character" w:customStyle="1" w:styleId="QuoteChar">
    <w:name w:val="Quote Char"/>
    <w:basedOn w:val="DefaultParagraphFont"/>
    <w:link w:val="Quote"/>
    <w:uiPriority w:val="29"/>
    <w:rsid w:val="00D64BD1"/>
    <w:rPr>
      <w:iCs/>
      <w:color w:val="495965" w:themeColor="text2"/>
      <w:sz w:val="28"/>
      <w:lang w:val="en-GB"/>
    </w:rPr>
  </w:style>
  <w:style w:type="paragraph" w:customStyle="1" w:styleId="QuoteHeading">
    <w:name w:val="Quote Heading"/>
    <w:basedOn w:val="Quote"/>
    <w:qFormat/>
    <w:rsid w:val="00C5182A"/>
    <w:rPr>
      <w:b/>
      <w:sz w:val="20"/>
    </w:rPr>
  </w:style>
  <w:style w:type="paragraph" w:styleId="FootnoteText">
    <w:name w:val="footnote text"/>
    <w:basedOn w:val="Normal"/>
    <w:link w:val="FootnoteTextChar"/>
    <w:uiPriority w:val="99"/>
    <w:semiHidden/>
    <w:unhideWhenUsed/>
    <w:rsid w:val="008C5A0E"/>
    <w:pPr>
      <w:spacing w:before="60" w:after="0" w:line="140" w:lineRule="atLeast"/>
      <w:ind w:left="170" w:hanging="170"/>
    </w:pPr>
    <w:rPr>
      <w:sz w:val="12"/>
      <w:szCs w:val="20"/>
    </w:rPr>
  </w:style>
  <w:style w:type="character" w:customStyle="1" w:styleId="FootnoteTextChar">
    <w:name w:val="Footnote Text Char"/>
    <w:basedOn w:val="DefaultParagraphFont"/>
    <w:link w:val="FootnoteText"/>
    <w:uiPriority w:val="99"/>
    <w:semiHidden/>
    <w:rsid w:val="008C5A0E"/>
    <w:rPr>
      <w:color w:val="495965" w:themeColor="text2"/>
      <w:sz w:val="12"/>
      <w:szCs w:val="20"/>
    </w:rPr>
  </w:style>
  <w:style w:type="character" w:styleId="FootnoteReference">
    <w:name w:val="footnote reference"/>
    <w:basedOn w:val="DefaultParagraphFont"/>
    <w:uiPriority w:val="99"/>
    <w:semiHidden/>
    <w:unhideWhenUsed/>
    <w:rsid w:val="003002C0"/>
    <w:rPr>
      <w:vertAlign w:val="superscript"/>
    </w:rPr>
  </w:style>
  <w:style w:type="paragraph" w:customStyle="1" w:styleId="GreyRoundBoxText">
    <w:name w:val="Grey Round Box Text"/>
    <w:basedOn w:val="Normal"/>
    <w:qFormat/>
    <w:rsid w:val="000D66D6"/>
    <w:pPr>
      <w:spacing w:before="0"/>
    </w:pPr>
    <w:rPr>
      <w:b/>
      <w:caps/>
      <w:color w:val="FFFFFF" w:themeColor="background1"/>
      <w:sz w:val="18"/>
    </w:rPr>
  </w:style>
  <w:style w:type="character" w:customStyle="1" w:styleId="Green">
    <w:name w:val="Green"/>
    <w:basedOn w:val="DefaultParagraphFont"/>
    <w:uiPriority w:val="1"/>
    <w:qFormat/>
    <w:rsid w:val="00F83428"/>
    <w:rPr>
      <w:color w:val="ACD08C" w:themeColor="accent3"/>
    </w:rPr>
  </w:style>
  <w:style w:type="paragraph" w:customStyle="1" w:styleId="PhotoMargins">
    <w:name w:val="Photo Margins"/>
    <w:basedOn w:val="Normal"/>
    <w:qFormat/>
    <w:rsid w:val="00992C76"/>
  </w:style>
  <w:style w:type="paragraph" w:customStyle="1" w:styleId="PhotoLeft">
    <w:name w:val="Photo Left"/>
    <w:basedOn w:val="PhotoMargins"/>
    <w:qFormat/>
    <w:rsid w:val="00F82271"/>
    <w:pPr>
      <w:ind w:left="-851"/>
    </w:pPr>
  </w:style>
  <w:style w:type="paragraph" w:customStyle="1" w:styleId="PhotoRight">
    <w:name w:val="Photo Right"/>
    <w:basedOn w:val="PhotoMargins"/>
    <w:qFormat/>
    <w:rsid w:val="00F82271"/>
    <w:pPr>
      <w:ind w:right="-851"/>
      <w:jc w:val="right"/>
    </w:pPr>
  </w:style>
  <w:style w:type="paragraph" w:customStyle="1" w:styleId="PhotoCaption">
    <w:name w:val="Photo Caption"/>
    <w:basedOn w:val="Normal"/>
    <w:qFormat/>
    <w:rsid w:val="00F82271"/>
    <w:pPr>
      <w:spacing w:after="200" w:line="140" w:lineRule="atLeast"/>
      <w:jc w:val="right"/>
    </w:pPr>
    <w:rPr>
      <w:sz w:val="12"/>
    </w:rPr>
  </w:style>
  <w:style w:type="table" w:customStyle="1" w:styleId="DFATTable1">
    <w:name w:val="DFAT Table 1"/>
    <w:basedOn w:val="TableNormal"/>
    <w:uiPriority w:val="99"/>
    <w:rsid w:val="00ED2831"/>
    <w:pPr>
      <w:spacing w:before="60" w:after="60" w:line="220" w:lineRule="atLeast"/>
    </w:pPr>
    <w:rPr>
      <w:rFonts w:ascii="Calibri" w:hAnsi="Calibri"/>
      <w:sz w:val="18"/>
    </w:rPr>
    <w:tblPr>
      <w:tblStyleRowBandSize w:val="1"/>
      <w:tblStyleColBandSize w:val="1"/>
      <w:tblBorders>
        <w:top w:val="single" w:sz="4" w:space="0" w:color="495965" w:themeColor="text2"/>
        <w:bottom w:val="single" w:sz="4" w:space="0" w:color="495965" w:themeColor="text2"/>
        <w:insideH w:val="single" w:sz="4" w:space="0" w:color="495965" w:themeColor="text2"/>
      </w:tblBorders>
      <w:tblCellMar>
        <w:top w:w="57" w:type="dxa"/>
        <w:bottom w:w="57" w:type="dxa"/>
      </w:tblCellMar>
    </w:tblPr>
    <w:tblStylePr w:type="firstRow">
      <w:rPr>
        <w:b w:val="0"/>
      </w:rPr>
      <w:tblPr/>
      <w:tcPr>
        <w:tcBorders>
          <w:top w:val="single" w:sz="4" w:space="0" w:color="65C5B4" w:themeColor="accent1"/>
          <w:bottom w:val="single" w:sz="4" w:space="0" w:color="65C5B4" w:themeColor="accent1"/>
          <w:insideH w:val="single" w:sz="4" w:space="0" w:color="65C5B4" w:themeColor="accent1"/>
        </w:tcBorders>
        <w:shd w:val="clear" w:color="auto" w:fill="65C5B4" w:themeFill="accent1"/>
      </w:tcPr>
    </w:tblStylePr>
    <w:tblStylePr w:type="lastRow">
      <w:rPr>
        <w:b/>
        <w:color w:val="FFFFFF"/>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E0F3EF" w:themeFill="accent1" w:themeFillTint="33"/>
      </w:tcPr>
    </w:tblStylePr>
    <w:tblStylePr w:type="band2Vert">
      <w:tblPr/>
      <w:tcPr>
        <w:shd w:val="clear" w:color="auto" w:fill="C1E7E0" w:themeFill="accent1" w:themeFillTint="66"/>
      </w:tcPr>
    </w:tblStylePr>
    <w:tblStylePr w:type="band1Horz">
      <w:tblPr/>
      <w:tcPr>
        <w:shd w:val="clear" w:color="auto" w:fill="E0F3EF" w:themeFill="accent1" w:themeFillTint="33"/>
      </w:tcPr>
    </w:tblStylePr>
    <w:tblStylePr w:type="band2Horz">
      <w:tblPr/>
      <w:tcPr>
        <w:shd w:val="clear" w:color="auto" w:fill="C1E7E0" w:themeFill="accent1" w:themeFillTint="66"/>
      </w:tcPr>
    </w:tblStylePr>
  </w:style>
  <w:style w:type="paragraph" w:customStyle="1" w:styleId="FootnoteSeparator">
    <w:name w:val="Footnote Separator"/>
    <w:basedOn w:val="Footer"/>
    <w:qFormat/>
    <w:rsid w:val="00ED2831"/>
    <w:pPr>
      <w:pBdr>
        <w:top w:val="single" w:sz="4" w:space="1" w:color="495965" w:themeColor="text2"/>
      </w:pBdr>
      <w:tabs>
        <w:tab w:val="right" w:pos="9356"/>
        <w:tab w:val="center" w:pos="10036"/>
      </w:tabs>
      <w:spacing w:line="220" w:lineRule="atLeast"/>
      <w:ind w:right="0"/>
      <w:jc w:val="left"/>
    </w:pPr>
    <w:rPr>
      <w:color w:val="495965" w:themeColor="text2"/>
      <w:sz w:val="14"/>
    </w:rPr>
  </w:style>
  <w:style w:type="paragraph" w:customStyle="1" w:styleId="Heading1smallspaceafter">
    <w:name w:val="Heading 1 small space after"/>
    <w:basedOn w:val="Heading1"/>
    <w:qFormat/>
    <w:rsid w:val="00ED2831"/>
    <w:pPr>
      <w:pageBreakBefore w:val="0"/>
      <w:spacing w:after="600"/>
    </w:pPr>
  </w:style>
  <w:style w:type="paragraph" w:customStyle="1" w:styleId="TableBullet1">
    <w:name w:val="Table Bullet 1"/>
    <w:basedOn w:val="Bullet1"/>
    <w:qFormat/>
    <w:rsid w:val="00ED2831"/>
    <w:pPr>
      <w:spacing w:before="60" w:line="220" w:lineRule="atLeast"/>
    </w:pPr>
    <w:rPr>
      <w:rFonts w:ascii="Calibri" w:hAnsi="Calibri"/>
      <w:sz w:val="18"/>
    </w:rPr>
  </w:style>
  <w:style w:type="paragraph" w:customStyle="1" w:styleId="TableBullet2">
    <w:name w:val="Table Bullet 2"/>
    <w:basedOn w:val="Bullet2"/>
    <w:qFormat/>
    <w:rsid w:val="00ED2831"/>
    <w:pPr>
      <w:spacing w:before="60" w:line="220" w:lineRule="atLeast"/>
    </w:pPr>
    <w:rPr>
      <w:rFonts w:ascii="Calibri" w:hAnsi="Calibri"/>
      <w:sz w:val="18"/>
    </w:rPr>
  </w:style>
  <w:style w:type="paragraph" w:customStyle="1" w:styleId="TableBullet3">
    <w:name w:val="Table Bullet 3"/>
    <w:basedOn w:val="Bullet3"/>
    <w:qFormat/>
    <w:rsid w:val="00ED2831"/>
    <w:pPr>
      <w:spacing w:before="60" w:line="220" w:lineRule="atLeast"/>
    </w:pPr>
    <w:rPr>
      <w:rFonts w:ascii="Calibri" w:hAnsi="Calibri"/>
      <w:sz w:val="18"/>
    </w:rPr>
  </w:style>
  <w:style w:type="paragraph" w:customStyle="1" w:styleId="TableHeaderRow">
    <w:name w:val="Table Header Row"/>
    <w:basedOn w:val="Normal"/>
    <w:qFormat/>
    <w:rsid w:val="00ED2831"/>
    <w:pPr>
      <w:spacing w:before="60" w:line="220" w:lineRule="atLeast"/>
    </w:pPr>
    <w:rPr>
      <w:rFonts w:ascii="Calibri" w:hAnsi="Calibri"/>
      <w:b/>
      <w:sz w:val="18"/>
    </w:rPr>
  </w:style>
  <w:style w:type="paragraph" w:customStyle="1" w:styleId="TableNumberedList1">
    <w:name w:val="Table Numbered List 1"/>
    <w:basedOn w:val="NumberedList1"/>
    <w:qFormat/>
    <w:rsid w:val="00ED2831"/>
    <w:pPr>
      <w:spacing w:before="60" w:line="220" w:lineRule="atLeast"/>
    </w:pPr>
    <w:rPr>
      <w:rFonts w:ascii="Calibri" w:hAnsi="Calibri"/>
      <w:sz w:val="18"/>
    </w:rPr>
  </w:style>
  <w:style w:type="paragraph" w:customStyle="1" w:styleId="TableNumberedList2">
    <w:name w:val="Table Numbered List 2"/>
    <w:basedOn w:val="NumberedList2"/>
    <w:qFormat/>
    <w:rsid w:val="00ED2831"/>
    <w:pPr>
      <w:spacing w:before="60" w:line="220" w:lineRule="atLeast"/>
    </w:pPr>
    <w:rPr>
      <w:rFonts w:ascii="Calibri" w:hAnsi="Calibri"/>
      <w:sz w:val="18"/>
    </w:rPr>
  </w:style>
  <w:style w:type="paragraph" w:customStyle="1" w:styleId="TableNumberedList3">
    <w:name w:val="Table Numbered List 3"/>
    <w:basedOn w:val="NumberedList3"/>
    <w:qFormat/>
    <w:rsid w:val="00ED2831"/>
    <w:pPr>
      <w:spacing w:before="60" w:line="220" w:lineRule="atLeast"/>
      <w:ind w:left="851"/>
    </w:pPr>
    <w:rPr>
      <w:rFonts w:ascii="Calibri" w:hAnsi="Calibri"/>
      <w:sz w:val="18"/>
    </w:rPr>
  </w:style>
  <w:style w:type="paragraph" w:customStyle="1" w:styleId="TableSourceNotes">
    <w:name w:val="Table Source Notes"/>
    <w:basedOn w:val="Normal"/>
    <w:qFormat/>
    <w:rsid w:val="00ED2831"/>
    <w:pPr>
      <w:tabs>
        <w:tab w:val="left" w:pos="284"/>
      </w:tabs>
      <w:spacing w:line="160" w:lineRule="atLeast"/>
      <w:ind w:left="284" w:hanging="284"/>
      <w:contextualSpacing/>
    </w:pPr>
    <w:rPr>
      <w:sz w:val="12"/>
    </w:rPr>
  </w:style>
  <w:style w:type="paragraph" w:customStyle="1" w:styleId="TableTotalRow">
    <w:name w:val="Table Total Row"/>
    <w:basedOn w:val="Normal"/>
    <w:qFormat/>
    <w:rsid w:val="00ED2831"/>
    <w:pPr>
      <w:spacing w:before="60" w:line="220" w:lineRule="atLeast"/>
    </w:pPr>
    <w:rPr>
      <w:rFonts w:ascii="Calibri" w:hAnsi="Calibri"/>
      <w:b/>
      <w:color w:val="FFFFFF" w:themeColor="background1"/>
      <w:sz w:val="18"/>
    </w:rPr>
  </w:style>
  <w:style w:type="paragraph" w:customStyle="1" w:styleId="BoxHeading">
    <w:name w:val="Box Heading"/>
    <w:basedOn w:val="Heading3"/>
    <w:qFormat/>
    <w:rsid w:val="00ED2831"/>
    <w:pPr>
      <w:spacing w:before="60"/>
    </w:pPr>
  </w:style>
  <w:style w:type="paragraph" w:customStyle="1" w:styleId="QuoteAuthor">
    <w:name w:val="Quote Author"/>
    <w:basedOn w:val="Quote"/>
    <w:qFormat/>
    <w:rsid w:val="00D64BD1"/>
    <w:pPr>
      <w:spacing w:after="60" w:line="200" w:lineRule="atLeast"/>
    </w:pPr>
    <w:rPr>
      <w:sz w:val="16"/>
    </w:rPr>
  </w:style>
  <w:style w:type="paragraph" w:customStyle="1" w:styleId="TableText">
    <w:name w:val="Table Text"/>
    <w:basedOn w:val="Normal"/>
    <w:qFormat/>
    <w:rsid w:val="00A80F95"/>
    <w:pPr>
      <w:spacing w:before="60" w:line="220" w:lineRule="atLeast"/>
    </w:pPr>
    <w:rPr>
      <w:rFonts w:ascii="Calibri" w:hAnsi="Calibri"/>
      <w:sz w:val="18"/>
    </w:rPr>
  </w:style>
  <w:style w:type="paragraph" w:customStyle="1" w:styleId="PhotoCredit">
    <w:name w:val="Photo Credit"/>
    <w:basedOn w:val="Normal"/>
    <w:qFormat/>
    <w:rsid w:val="00A80F95"/>
    <w:pPr>
      <w:spacing w:after="200" w:line="160" w:lineRule="atLeast"/>
      <w:jc w:val="right"/>
    </w:pPr>
    <w:rPr>
      <w:sz w:val="12"/>
    </w:rPr>
  </w:style>
  <w:style w:type="paragraph" w:styleId="BalloonText">
    <w:name w:val="Balloon Text"/>
    <w:basedOn w:val="Normal"/>
    <w:link w:val="BalloonTextChar"/>
    <w:uiPriority w:val="99"/>
    <w:semiHidden/>
    <w:unhideWhenUsed/>
    <w:rsid w:val="002B3E95"/>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3E95"/>
    <w:rPr>
      <w:rFonts w:ascii="Tahoma" w:hAnsi="Tahoma" w:cs="Tahoma"/>
      <w:color w:val="495965" w:themeColor="text2"/>
      <w:sz w:val="16"/>
      <w:szCs w:val="16"/>
      <w:lang w:val="en-GB"/>
    </w:rPr>
  </w:style>
  <w:style w:type="paragraph" w:styleId="BodyText">
    <w:name w:val="Body Text"/>
    <w:basedOn w:val="Normal"/>
    <w:link w:val="BodyTextChar"/>
    <w:qFormat/>
    <w:rsid w:val="008F56A8"/>
    <w:pPr>
      <w:suppressAutoHyphens w:val="0"/>
      <w:spacing w:before="0" w:after="160" w:line="280" w:lineRule="exact"/>
    </w:pPr>
    <w:rPr>
      <w:rFonts w:ascii="Franklin Gothic Book" w:eastAsia="Times New Roman" w:hAnsi="Franklin Gothic Book" w:cs="Times New Roman"/>
      <w:color w:val="auto"/>
      <w:sz w:val="21"/>
      <w:szCs w:val="24"/>
      <w:lang w:val="en-AU" w:eastAsia="en-AU"/>
    </w:rPr>
  </w:style>
  <w:style w:type="character" w:customStyle="1" w:styleId="BodyTextChar">
    <w:name w:val="Body Text Char"/>
    <w:basedOn w:val="DefaultParagraphFont"/>
    <w:link w:val="BodyText"/>
    <w:rsid w:val="008F56A8"/>
    <w:rPr>
      <w:rFonts w:ascii="Franklin Gothic Book" w:eastAsia="Times New Roman" w:hAnsi="Franklin Gothic Book" w:cs="Times New Roman"/>
      <w:sz w:val="21"/>
      <w:szCs w:val="24"/>
      <w:lang w:eastAsia="en-AU"/>
    </w:rPr>
  </w:style>
  <w:style w:type="paragraph" w:styleId="ListBullet">
    <w:name w:val="List Bullet"/>
    <w:basedOn w:val="BodyText"/>
    <w:qFormat/>
    <w:rsid w:val="008F56A8"/>
    <w:pPr>
      <w:tabs>
        <w:tab w:val="left" w:pos="284"/>
      </w:tabs>
      <w:spacing w:after="120"/>
    </w:pPr>
  </w:style>
  <w:style w:type="character" w:customStyle="1" w:styleId="CaptionChar">
    <w:name w:val="Caption Char"/>
    <w:link w:val="Caption"/>
    <w:uiPriority w:val="99"/>
    <w:locked/>
    <w:rsid w:val="008F56A8"/>
    <w:rPr>
      <w:b/>
      <w:iCs/>
      <w:color w:val="000000" w:themeColor="text1"/>
      <w:sz w:val="20"/>
      <w:szCs w:val="18"/>
      <w:lang w:val="en-GB"/>
    </w:rPr>
  </w:style>
  <w:style w:type="paragraph" w:customStyle="1" w:styleId="Note">
    <w:name w:val="Note"/>
    <w:basedOn w:val="TableTextEntries"/>
    <w:next w:val="BodyText"/>
    <w:link w:val="NoteCharChar"/>
    <w:autoRedefine/>
    <w:rsid w:val="005B5769"/>
    <w:pPr>
      <w:keepNext/>
      <w:spacing w:before="20" w:after="20" w:line="180" w:lineRule="atLeast"/>
      <w:jc w:val="both"/>
    </w:pPr>
    <w:rPr>
      <w:iCs w:val="0"/>
      <w:sz w:val="14"/>
      <w:szCs w:val="14"/>
      <w:lang w:eastAsia="en-AU"/>
    </w:rPr>
  </w:style>
  <w:style w:type="paragraph" w:customStyle="1" w:styleId="TableTextEntries">
    <w:name w:val="Table Text Entries"/>
    <w:rsid w:val="005B5769"/>
    <w:pPr>
      <w:keepLines/>
      <w:spacing w:before="40" w:after="40" w:line="200" w:lineRule="atLeast"/>
    </w:pPr>
    <w:rPr>
      <w:rFonts w:ascii="Franklin Gothic Book" w:eastAsia="Times New Roman" w:hAnsi="Franklin Gothic Book" w:cs="Times New Roman"/>
      <w:iCs/>
      <w:sz w:val="17"/>
      <w:szCs w:val="17"/>
    </w:rPr>
  </w:style>
  <w:style w:type="character" w:customStyle="1" w:styleId="NoteCharChar">
    <w:name w:val="Note Char Char"/>
    <w:link w:val="Note"/>
    <w:rsid w:val="005B5769"/>
    <w:rPr>
      <w:rFonts w:ascii="Franklin Gothic Book" w:eastAsia="Times New Roman" w:hAnsi="Franklin Gothic Book" w:cs="Times New Roman"/>
      <w:sz w:val="14"/>
      <w:szCs w:val="14"/>
      <w:lang w:eastAsia="en-AU"/>
    </w:rPr>
  </w:style>
  <w:style w:type="paragraph" w:customStyle="1" w:styleId="TableTextColumnHeading">
    <w:name w:val="Table Text Column Heading"/>
    <w:basedOn w:val="Normal"/>
    <w:autoRedefine/>
    <w:rsid w:val="005B5769"/>
    <w:pPr>
      <w:keepLines/>
      <w:suppressAutoHyphens w:val="0"/>
      <w:spacing w:before="80" w:after="80" w:line="200" w:lineRule="atLeast"/>
    </w:pPr>
    <w:rPr>
      <w:rFonts w:ascii="Franklin Gothic Medium" w:eastAsia="Times New Roman" w:hAnsi="Franklin Gothic Medium" w:cs="Times New Roman"/>
      <w:b/>
      <w:iCs/>
      <w:color w:val="auto"/>
      <w:sz w:val="17"/>
      <w:szCs w:val="17"/>
      <w:lang w:val="en-AU"/>
    </w:rPr>
  </w:style>
  <w:style w:type="table" w:customStyle="1" w:styleId="DFATTable">
    <w:name w:val="DFAT Table"/>
    <w:basedOn w:val="TableNormal"/>
    <w:uiPriority w:val="99"/>
    <w:rsid w:val="005B5769"/>
    <w:pPr>
      <w:spacing w:after="0" w:line="240" w:lineRule="auto"/>
    </w:pPr>
    <w:rPr>
      <w:rFonts w:ascii="Helvetica" w:hAnsi="Helvetica"/>
      <w:sz w:val="17"/>
      <w:lang w:eastAsia="en-AU"/>
    </w:rPr>
    <w:tblPr>
      <w:tblBorders>
        <w:top w:val="single" w:sz="12" w:space="0" w:color="auto"/>
        <w:bottom w:val="single" w:sz="12" w:space="0" w:color="auto"/>
      </w:tblBorders>
    </w:tblPr>
  </w:style>
  <w:style w:type="paragraph" w:customStyle="1" w:styleId="BoxListBullet">
    <w:name w:val="Box List Bullet"/>
    <w:basedOn w:val="Normal"/>
    <w:rsid w:val="005B5769"/>
    <w:pPr>
      <w:keepLines/>
      <w:numPr>
        <w:numId w:val="9"/>
      </w:numPr>
      <w:pBdr>
        <w:top w:val="single" w:sz="4" w:space="10" w:color="auto"/>
        <w:left w:val="single" w:sz="4" w:space="10" w:color="auto"/>
        <w:bottom w:val="single" w:sz="4" w:space="10" w:color="auto"/>
        <w:right w:val="single" w:sz="4" w:space="10" w:color="auto"/>
      </w:pBdr>
      <w:shd w:val="clear" w:color="auto" w:fill="C7D5E6"/>
      <w:suppressAutoHyphens w:val="0"/>
      <w:spacing w:before="0" w:after="120" w:line="240" w:lineRule="auto"/>
      <w:ind w:left="284" w:hanging="284"/>
      <w:contextualSpacing/>
      <w:mirrorIndents/>
    </w:pPr>
    <w:rPr>
      <w:rFonts w:ascii="Franklin Gothic Book" w:eastAsia="Times New Roman" w:hAnsi="Franklin Gothic Book" w:cs="Times New Roman"/>
      <w:iCs/>
      <w:color w:val="auto"/>
      <w:sz w:val="20"/>
      <w:szCs w:val="20"/>
      <w:lang w:val="en-AU" w:eastAsia="en-AU"/>
    </w:rPr>
  </w:style>
  <w:style w:type="paragraph" w:customStyle="1" w:styleId="TableHeading1">
    <w:name w:val="Table Heading 1"/>
    <w:basedOn w:val="TableTextEntries"/>
    <w:next w:val="TableTextEntries"/>
    <w:rsid w:val="005B5769"/>
    <w:pPr>
      <w:spacing w:before="80" w:after="80"/>
    </w:pPr>
    <w:rPr>
      <w:b/>
    </w:rPr>
  </w:style>
  <w:style w:type="table" w:customStyle="1" w:styleId="APPR">
    <w:name w:val="APPR"/>
    <w:basedOn w:val="TableNormal"/>
    <w:uiPriority w:val="99"/>
    <w:rsid w:val="005B5769"/>
    <w:pPr>
      <w:spacing w:after="0" w:line="240" w:lineRule="auto"/>
    </w:pPr>
    <w:rPr>
      <w:rFonts w:ascii="Franklin Gothic Book" w:hAnsi="Franklin Gothic Book"/>
      <w:sz w:val="17"/>
      <w:lang w:eastAsia="en-AU"/>
    </w:rPr>
    <w:tblPr>
      <w:tblStyleRowBandSize w:val="1"/>
      <w:tblCellSpacing w:w="14" w:type="dxa"/>
      <w:tblBorders>
        <w:top w:val="single" w:sz="12" w:space="0" w:color="000000" w:themeColor="text1"/>
        <w:bottom w:val="single" w:sz="12" w:space="0" w:color="000000" w:themeColor="text1"/>
      </w:tblBorders>
    </w:tblPr>
    <w:trPr>
      <w:tblHeader/>
      <w:tblCellSpacing w:w="14" w:type="dxa"/>
    </w:trPr>
    <w:tblStylePr w:type="firstRow">
      <w:pPr>
        <w:wordWrap/>
      </w:pPr>
      <w:rPr>
        <w:rFonts w:ascii="Franklin Gothic Medium" w:hAnsi="Franklin Gothic Medium"/>
        <w:b/>
        <w:sz w:val="17"/>
      </w:rPr>
      <w:tblPr/>
      <w:tcPr>
        <w:tcBorders>
          <w:top w:val="nil"/>
          <w:bottom w:val="nil"/>
        </w:tcBorders>
      </w:tcPr>
    </w:tblStylePr>
    <w:tblStylePr w:type="band2Horz">
      <w:tblPr/>
      <w:tcPr>
        <w:tcBorders>
          <w:top w:val="nil"/>
          <w:left w:val="nil"/>
          <w:bottom w:val="nil"/>
          <w:right w:val="nil"/>
          <w:insideH w:val="nil"/>
          <w:insideV w:val="nil"/>
          <w:tl2br w:val="nil"/>
          <w:tr2bl w:val="nil"/>
        </w:tcBorders>
      </w:tcPr>
    </w:tblStylePr>
  </w:style>
  <w:style w:type="paragraph" w:customStyle="1" w:styleId="TableListNumber2">
    <w:name w:val="Table List Number 2"/>
    <w:basedOn w:val="Normal"/>
    <w:rsid w:val="005B5769"/>
    <w:pPr>
      <w:keepLines/>
      <w:numPr>
        <w:numId w:val="10"/>
      </w:numPr>
      <w:suppressAutoHyphens w:val="0"/>
      <w:spacing w:before="40" w:after="40" w:line="200" w:lineRule="atLeast"/>
      <w:ind w:left="568" w:hanging="284"/>
    </w:pPr>
    <w:rPr>
      <w:rFonts w:ascii="Helvetica" w:eastAsia="Times New Roman" w:hAnsi="Helvetica" w:cs="Times New Roman"/>
      <w:iCs/>
      <w:color w:val="auto"/>
      <w:sz w:val="17"/>
      <w:szCs w:val="17"/>
      <w:lang w:val="en-AU"/>
    </w:rPr>
  </w:style>
  <w:style w:type="paragraph" w:styleId="ListParagraph">
    <w:name w:val="List Paragraph"/>
    <w:aliases w:val="List Paragraph (numbered (a)),Normal 2,Main numbered paragraph"/>
    <w:basedOn w:val="Normal"/>
    <w:link w:val="ListParagraphChar"/>
    <w:uiPriority w:val="34"/>
    <w:qFormat/>
    <w:rsid w:val="00E36F91"/>
    <w:pPr>
      <w:suppressAutoHyphens w:val="0"/>
      <w:spacing w:before="0" w:after="0" w:line="240" w:lineRule="auto"/>
      <w:ind w:left="720"/>
      <w:contextualSpacing/>
    </w:pPr>
    <w:rPr>
      <w:rFonts w:ascii="Times New Roman" w:eastAsia="Times New Roman" w:hAnsi="Times New Roman" w:cs="Times New Roman"/>
      <w:color w:val="auto"/>
      <w:sz w:val="24"/>
      <w:szCs w:val="24"/>
      <w:lang w:val="en-AU"/>
    </w:rPr>
  </w:style>
  <w:style w:type="character" w:customStyle="1" w:styleId="ListParagraphChar">
    <w:name w:val="List Paragraph Char"/>
    <w:aliases w:val="List Paragraph (numbered (a)) Char,Normal 2 Char,Main numbered paragraph Char"/>
    <w:basedOn w:val="DefaultParagraphFont"/>
    <w:link w:val="ListParagraph"/>
    <w:uiPriority w:val="34"/>
    <w:locked/>
    <w:rsid w:val="00E36F91"/>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7C7418"/>
    <w:rPr>
      <w:color w:val="800080" w:themeColor="followedHyperlink"/>
      <w:u w:val="single"/>
    </w:rPr>
  </w:style>
  <w:style w:type="character" w:styleId="CommentReference">
    <w:name w:val="annotation reference"/>
    <w:basedOn w:val="DefaultParagraphFont"/>
    <w:uiPriority w:val="99"/>
    <w:semiHidden/>
    <w:unhideWhenUsed/>
    <w:rsid w:val="001655B6"/>
    <w:rPr>
      <w:sz w:val="16"/>
      <w:szCs w:val="16"/>
    </w:rPr>
  </w:style>
  <w:style w:type="paragraph" w:styleId="CommentText">
    <w:name w:val="annotation text"/>
    <w:basedOn w:val="Normal"/>
    <w:link w:val="CommentTextChar"/>
    <w:uiPriority w:val="99"/>
    <w:semiHidden/>
    <w:unhideWhenUsed/>
    <w:rsid w:val="001655B6"/>
    <w:pPr>
      <w:spacing w:line="240" w:lineRule="auto"/>
    </w:pPr>
    <w:rPr>
      <w:sz w:val="20"/>
      <w:szCs w:val="20"/>
    </w:rPr>
  </w:style>
  <w:style w:type="character" w:customStyle="1" w:styleId="CommentTextChar">
    <w:name w:val="Comment Text Char"/>
    <w:basedOn w:val="DefaultParagraphFont"/>
    <w:link w:val="CommentText"/>
    <w:uiPriority w:val="99"/>
    <w:semiHidden/>
    <w:rsid w:val="001655B6"/>
    <w:rPr>
      <w:color w:val="495965" w:themeColor="text2"/>
      <w:sz w:val="20"/>
      <w:szCs w:val="20"/>
      <w:lang w:val="en-GB"/>
    </w:rPr>
  </w:style>
  <w:style w:type="paragraph" w:styleId="CommentSubject">
    <w:name w:val="annotation subject"/>
    <w:basedOn w:val="CommentText"/>
    <w:next w:val="CommentText"/>
    <w:link w:val="CommentSubjectChar"/>
    <w:uiPriority w:val="99"/>
    <w:semiHidden/>
    <w:unhideWhenUsed/>
    <w:rsid w:val="001655B6"/>
    <w:rPr>
      <w:b/>
      <w:bCs/>
    </w:rPr>
  </w:style>
  <w:style w:type="character" w:customStyle="1" w:styleId="CommentSubjectChar">
    <w:name w:val="Comment Subject Char"/>
    <w:basedOn w:val="CommentTextChar"/>
    <w:link w:val="CommentSubject"/>
    <w:uiPriority w:val="99"/>
    <w:semiHidden/>
    <w:rsid w:val="001655B6"/>
    <w:rPr>
      <w:b/>
      <w:bCs/>
      <w:color w:val="495965" w:themeColor="text2"/>
      <w:sz w:val="20"/>
      <w:szCs w:val="20"/>
      <w:lang w:val="en-GB"/>
    </w:rPr>
  </w:style>
  <w:style w:type="character" w:customStyle="1" w:styleId="longresponseview">
    <w:name w:val="longresponseview"/>
    <w:basedOn w:val="DefaultParagraphFont"/>
    <w:rsid w:val="005679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9529530">
      <w:bodyDiv w:val="1"/>
      <w:marLeft w:val="0"/>
      <w:marRight w:val="0"/>
      <w:marTop w:val="0"/>
      <w:marBottom w:val="0"/>
      <w:divBdr>
        <w:top w:val="none" w:sz="0" w:space="0" w:color="auto"/>
        <w:left w:val="none" w:sz="0" w:space="0" w:color="auto"/>
        <w:bottom w:val="none" w:sz="0" w:space="0" w:color="auto"/>
        <w:right w:val="none" w:sz="0" w:space="0" w:color="auto"/>
      </w:divBdr>
    </w:div>
    <w:div w:id="710227013">
      <w:bodyDiv w:val="1"/>
      <w:marLeft w:val="0"/>
      <w:marRight w:val="0"/>
      <w:marTop w:val="0"/>
      <w:marBottom w:val="0"/>
      <w:divBdr>
        <w:top w:val="none" w:sz="0" w:space="0" w:color="auto"/>
        <w:left w:val="none" w:sz="0" w:space="0" w:color="auto"/>
        <w:bottom w:val="none" w:sz="0" w:space="0" w:color="auto"/>
        <w:right w:val="none" w:sz="0" w:space="0" w:color="auto"/>
      </w:divBdr>
    </w:div>
    <w:div w:id="1173759592">
      <w:bodyDiv w:val="1"/>
      <w:marLeft w:val="0"/>
      <w:marRight w:val="0"/>
      <w:marTop w:val="0"/>
      <w:marBottom w:val="0"/>
      <w:divBdr>
        <w:top w:val="none" w:sz="0" w:space="0" w:color="auto"/>
        <w:left w:val="none" w:sz="0" w:space="0" w:color="auto"/>
        <w:bottom w:val="none" w:sz="0" w:space="0" w:color="auto"/>
        <w:right w:val="none" w:sz="0" w:space="0" w:color="auto"/>
      </w:divBdr>
    </w:div>
    <w:div w:id="2022852590">
      <w:bodyDiv w:val="1"/>
      <w:marLeft w:val="0"/>
      <w:marRight w:val="0"/>
      <w:marTop w:val="0"/>
      <w:marBottom w:val="0"/>
      <w:divBdr>
        <w:top w:val="none" w:sz="0" w:space="0" w:color="auto"/>
        <w:left w:val="none" w:sz="0" w:space="0" w:color="auto"/>
        <w:bottom w:val="none" w:sz="0" w:space="0" w:color="auto"/>
        <w:right w:val="none" w:sz="0" w:space="0" w:color="auto"/>
      </w:divBdr>
    </w:div>
    <w:div w:id="2091805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dfat.gov.au/about-us/publications/Pages/dfat-and-ngos-effective-development-partners.aspx" TargetMode="External"/><Relationship Id="rId26" Type="http://schemas.openxmlformats.org/officeDocument/2006/relationships/image" Target="media/image8.png"/><Relationship Id="rId39" Type="http://schemas.openxmlformats.org/officeDocument/2006/relationships/image" Target="media/image21.png"/><Relationship Id="rId21" Type="http://schemas.openxmlformats.org/officeDocument/2006/relationships/chart" Target="charts/chart2.xml"/><Relationship Id="rId34" Type="http://schemas.openxmlformats.org/officeDocument/2006/relationships/image" Target="media/image16.jpeg"/><Relationship Id="rId42" Type="http://schemas.openxmlformats.org/officeDocument/2006/relationships/chart" Target="charts/chart3.xml"/><Relationship Id="rId47" Type="http://schemas.openxmlformats.org/officeDocument/2006/relationships/customXml" Target="../customXml/item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dfat.gov.au/about-us/publications/Pages/dfat-and-ngos-effective-development-partners.aspx" TargetMode="External"/><Relationship Id="rId29" Type="http://schemas.openxmlformats.org/officeDocument/2006/relationships/image" Target="media/image11.png"/><Relationship Id="rId11" Type="http://schemas.openxmlformats.org/officeDocument/2006/relationships/header" Target="header2.xml"/><Relationship Id="rId24" Type="http://schemas.openxmlformats.org/officeDocument/2006/relationships/image" Target="media/image6.png"/><Relationship Id="rId32" Type="http://schemas.openxmlformats.org/officeDocument/2006/relationships/image" Target="media/image14.png"/><Relationship Id="rId37" Type="http://schemas.openxmlformats.org/officeDocument/2006/relationships/image" Target="media/image19.jpeg"/><Relationship Id="rId40" Type="http://schemas.openxmlformats.org/officeDocument/2006/relationships/image" Target="media/image22.jpeg"/><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media/image5.JPG"/><Relationship Id="rId28" Type="http://schemas.openxmlformats.org/officeDocument/2006/relationships/image" Target="media/image10.png"/><Relationship Id="rId36" Type="http://schemas.openxmlformats.org/officeDocument/2006/relationships/image" Target="media/image18.png"/><Relationship Id="rId49" Type="http://schemas.openxmlformats.org/officeDocument/2006/relationships/customXml" Target="../customXml/item4.xml"/><Relationship Id="rId10" Type="http://schemas.openxmlformats.org/officeDocument/2006/relationships/header" Target="header1.xml"/><Relationship Id="rId19" Type="http://schemas.openxmlformats.org/officeDocument/2006/relationships/hyperlink" Target="https://sustainabledevelopment.un.org/post2015/transformingourworld" TargetMode="External"/><Relationship Id="rId31" Type="http://schemas.openxmlformats.org/officeDocument/2006/relationships/image" Target="media/image13.jpeg"/><Relationship Id="rId44" Type="http://schemas.openxmlformats.org/officeDocument/2006/relationships/header" Target="header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image" Target="media/image4.wmf"/><Relationship Id="rId27" Type="http://schemas.openxmlformats.org/officeDocument/2006/relationships/image" Target="media/image9.png"/><Relationship Id="rId30" Type="http://schemas.openxmlformats.org/officeDocument/2006/relationships/image" Target="media/image12.jpeg"/><Relationship Id="rId35" Type="http://schemas.openxmlformats.org/officeDocument/2006/relationships/image" Target="media/image17.png"/><Relationship Id="rId43" Type="http://schemas.openxmlformats.org/officeDocument/2006/relationships/hyperlink" Target="http://dfat.gov.au/about-us/publications/Pages/ancp-program-logic.aspx" TargetMode="External"/><Relationship Id="rId48" Type="http://schemas.openxmlformats.org/officeDocument/2006/relationships/customXml" Target="../customXml/item3.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dfat.gov.au/aid/topics/investment-priorities/effective-governance/Pages/effective-governance.aspx" TargetMode="External"/><Relationship Id="rId25" Type="http://schemas.openxmlformats.org/officeDocument/2006/relationships/image" Target="media/image7.png"/><Relationship Id="rId33" Type="http://schemas.openxmlformats.org/officeDocument/2006/relationships/image" Target="media/image15.png"/><Relationship Id="rId38" Type="http://schemas.openxmlformats.org/officeDocument/2006/relationships/image" Target="media/image20.jpeg"/><Relationship Id="rId46" Type="http://schemas.openxmlformats.org/officeDocument/2006/relationships/theme" Target="theme/theme1.xml"/><Relationship Id="rId20" Type="http://schemas.openxmlformats.org/officeDocument/2006/relationships/chart" Target="charts/chart1.xml"/><Relationship Id="rId41" Type="http://schemas.openxmlformats.org/officeDocument/2006/relationships/image" Target="media/image23.png"/><Relationship Id="rId1" Type="http://schemas.openxmlformats.org/officeDocument/2006/relationships/customXml" Target="../customXml/item1.xml"/><Relationship Id="rId6" Type="http://schemas.openxmlformats.org/officeDocument/2006/relationships/footnotes" Target="footnotes.xml"/></Relationships>
</file>

<file path=word/_rels/footnotes.xml.rels><?xml version="1.0" encoding="UTF-8" standalone="yes"?>
<Relationships xmlns="http://schemas.openxmlformats.org/package/2006/relationships"><Relationship Id="rId3" Type="http://schemas.openxmlformats.org/officeDocument/2006/relationships/hyperlink" Target="http://dfat.gov.au/about-us/publications/corporate/Pages/digital-media-strategy-2016-18.aspx" TargetMode="External"/><Relationship Id="rId2" Type="http://schemas.openxmlformats.org/officeDocument/2006/relationships/hyperlink" Target="http://dfat.gov.au/aid/who-we-work-with/ngos/pages/australian-ngo-gender-action-platform.aspx" TargetMode="External"/><Relationship Id="rId1" Type="http://schemas.openxmlformats.org/officeDocument/2006/relationships/hyperlink" Target="https://www.usip.org/publications/2017/03/responding-global-threat-closing-civic-space-policy-options" TargetMode="External"/><Relationship Id="rId4" Type="http://schemas.openxmlformats.org/officeDocument/2006/relationships/hyperlink" Target="http://devpolicy.org/dfat-aid-communications-improve-20160908/?utm_source=Devpolicy&amp;utm_campaign=32111c3075-RSS_EMAIL_CAMPAIGN&amp;utm_medium=email&amp;utm_term=0_082b498f84-32111c3075-312084869"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charts/_rels/chart1.xml.rels><?xml version="1.0" encoding="UTF-8" standalone="yes"?>
<Relationships xmlns="http://schemas.openxmlformats.org/package/2006/relationships"><Relationship Id="rId3" Type="http://schemas.openxmlformats.org/officeDocument/2006/relationships/oleObject" Target="file:///\\TITAN\CHCH\Clients\kdollman\Docs\Offline%20Records%20(CH)\Data%20and%20reference%20docs\Data%20set%20v5.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1" Type="http://schemas.openxmlformats.org/officeDocument/2006/relationships/oleObject" Target="file:///\\TITAN\CHCH\Clients\kdollman\Docs\Offline%20Records%20(CH)\Data%20and%20reference%20docs\Data%20set%20v5.XLSX" TargetMode="External"/></Relationships>
</file>

<file path=word/charts/_rels/chart3.xml.rels><?xml version="1.0" encoding="UTF-8" standalone="yes"?>
<Relationships xmlns="http://schemas.openxmlformats.org/package/2006/relationships"><Relationship Id="rId3" Type="http://schemas.openxmlformats.org/officeDocument/2006/relationships/oleObject" Target="file:///\\TITAN\CHCH\Clients\kdollman\Docs\Offline%20Records%20(CH)\Data%20set%20v5.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1" i="0" u="none" strike="noStrike" kern="1200" spc="0" baseline="0">
                <a:solidFill>
                  <a:schemeClr val="tx1">
                    <a:lumMod val="65000"/>
                    <a:lumOff val="35000"/>
                  </a:schemeClr>
                </a:solidFill>
                <a:latin typeface="+mn-lt"/>
                <a:ea typeface="+mn-ea"/>
                <a:cs typeface="+mn-cs"/>
              </a:defRPr>
            </a:pPr>
            <a:r>
              <a:rPr lang="en-AU" sz="1100" b="1"/>
              <a:t>2016-17</a:t>
            </a:r>
            <a:r>
              <a:rPr lang="en-AU" sz="1100" b="1" baseline="0"/>
              <a:t> ANCP Expenditure by Region</a:t>
            </a:r>
            <a:endParaRPr lang="en-AU" sz="1100" b="1"/>
          </a:p>
        </c:rich>
      </c:tx>
      <c:layout/>
      <c:overlay val="0"/>
      <c:spPr>
        <a:noFill/>
        <a:ln>
          <a:noFill/>
        </a:ln>
        <a:effectLst/>
      </c:spPr>
      <c:txPr>
        <a:bodyPr rot="0" spcFirstLastPara="1" vertOverflow="ellipsis" vert="horz" wrap="square" anchor="ctr" anchorCtr="1"/>
        <a:lstStyle/>
        <a:p>
          <a:pPr>
            <a:defRPr sz="11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5.1786858539234322E-2"/>
          <c:y val="0.12851043159482364"/>
          <c:w val="0.84000325821341315"/>
          <c:h val="0.83026906912709542"/>
        </c:manualLayout>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32C9-4F87-9B35-C13B0EB596F1}"/>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32C9-4F87-9B35-C13B0EB596F1}"/>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32C9-4F87-9B35-C13B0EB596F1}"/>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32C9-4F87-9B35-C13B0EB596F1}"/>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32C9-4F87-9B35-C13B0EB596F1}"/>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32C9-4F87-9B35-C13B0EB596F1}"/>
              </c:ext>
            </c:extLst>
          </c:dPt>
          <c:dLbls>
            <c:dLbl>
              <c:idx val="1"/>
              <c:layout>
                <c:manualLayout>
                  <c:x val="-0.16765910014386276"/>
                  <c:y val="-0.21623839964789676"/>
                </c:manualLayout>
              </c:layout>
              <c:showLegendKey val="0"/>
              <c:showVal val="0"/>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3-32C9-4F87-9B35-C13B0EB596F1}"/>
                </c:ext>
              </c:extLst>
            </c:dLbl>
            <c:dLbl>
              <c:idx val="2"/>
              <c:layout>
                <c:manualLayout>
                  <c:x val="0.155342926961716"/>
                  <c:y val="-0.10338304266817069"/>
                </c:manualLayout>
              </c:layout>
              <c:showLegendKey val="0"/>
              <c:showVal val="0"/>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5-32C9-4F87-9B35-C13B0EB596F1}"/>
                </c:ext>
              </c:extLst>
            </c:dLbl>
            <c:dLbl>
              <c:idx val="3"/>
              <c:layout>
                <c:manualLayout>
                  <c:x val="0.1439400828034571"/>
                  <c:y val="-5.2792726062616403E-2"/>
                </c:manualLayout>
              </c:layout>
              <c:showLegendKey val="0"/>
              <c:showVal val="0"/>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7-32C9-4F87-9B35-C13B0EB596F1}"/>
                </c:ext>
              </c:extLst>
            </c:dLbl>
            <c:dLbl>
              <c:idx val="4"/>
              <c:layout>
                <c:manualLayout>
                  <c:x val="0.10228916644040183"/>
                  <c:y val="4.7115882953434086E-2"/>
                </c:manualLayout>
              </c:layout>
              <c:showLegendKey val="0"/>
              <c:showVal val="0"/>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9-32C9-4F87-9B35-C13B0EB596F1}"/>
                </c:ext>
              </c:extLst>
            </c:dLbl>
            <c:dLbl>
              <c:idx val="5"/>
              <c:layout>
                <c:manualLayout>
                  <c:x val="0.16219396215640403"/>
                  <c:y val="0.15831419845525443"/>
                </c:manualLayout>
              </c:layout>
              <c:showLegendKey val="0"/>
              <c:showVal val="0"/>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B-32C9-4F87-9B35-C13B0EB596F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'Investment Priority'!$J$3:$J$8</c:f>
              <c:strCache>
                <c:ptCount val="6"/>
                <c:pt idx="0">
                  <c:v>South Asia &amp; Other Asia</c:v>
                </c:pt>
                <c:pt idx="1">
                  <c:v>East Asia</c:v>
                </c:pt>
                <c:pt idx="2">
                  <c:v>North Africa &amp; Middle East </c:v>
                </c:pt>
                <c:pt idx="3">
                  <c:v>PNG &amp; Pacific</c:v>
                </c:pt>
                <c:pt idx="4">
                  <c:v>The Americas</c:v>
                </c:pt>
                <c:pt idx="5">
                  <c:v>Sub-Saharan Africa</c:v>
                </c:pt>
              </c:strCache>
            </c:strRef>
          </c:cat>
          <c:val>
            <c:numRef>
              <c:f>'Investment Priority'!$K$3:$K$8</c:f>
              <c:numCache>
                <c:formatCode>0%</c:formatCode>
                <c:ptCount val="6"/>
                <c:pt idx="0">
                  <c:v>0.16506971854220148</c:v>
                </c:pt>
                <c:pt idx="1">
                  <c:v>0.44137125061835508</c:v>
                </c:pt>
                <c:pt idx="2">
                  <c:v>6.2440364055535279E-3</c:v>
                </c:pt>
                <c:pt idx="3">
                  <c:v>0.17884200131068254</c:v>
                </c:pt>
                <c:pt idx="4">
                  <c:v>2.8740657925866157E-2</c:v>
                </c:pt>
                <c:pt idx="5">
                  <c:v>0.17973233519734136</c:v>
                </c:pt>
              </c:numCache>
            </c:numRef>
          </c:val>
          <c:extLst>
            <c:ext xmlns:c16="http://schemas.microsoft.com/office/drawing/2014/chart" uri="{C3380CC4-5D6E-409C-BE32-E72D297353CC}">
              <c16:uniqueId val="{0000000C-32C9-4F87-9B35-C13B0EB596F1}"/>
            </c:ext>
          </c:extLst>
        </c:ser>
        <c:dLbls>
          <c:showLegendKey val="0"/>
          <c:showVal val="0"/>
          <c:showCatName val="1"/>
          <c:showSerName val="0"/>
          <c:showPercent val="1"/>
          <c:showBubbleSize val="0"/>
          <c:showLeaderLines val="1"/>
        </c:dLbls>
        <c:firstSliceAng val="0"/>
      </c:pieChart>
      <c:spPr>
        <a:noFill/>
        <a:ln>
          <a:noFill/>
        </a:ln>
        <a:effectLst/>
      </c:spPr>
    </c:plotArea>
    <c:plotVisOnly val="1"/>
    <c:dispBlanksAs val="gap"/>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b="1"/>
            </a:pPr>
            <a:r>
              <a:rPr lang="en-US" sz="1100" b="1" i="0" u="none" strike="noStrike" kern="1200" spc="0" baseline="0">
                <a:solidFill>
                  <a:sysClr val="windowText" lastClr="000000">
                    <a:lumMod val="65000"/>
                    <a:lumOff val="35000"/>
                  </a:sysClr>
                </a:solidFill>
                <a:latin typeface="+mn-lt"/>
                <a:ea typeface="+mn-ea"/>
                <a:cs typeface="+mn-cs"/>
              </a:rPr>
              <a:t>2016-17 ANCP Expenditure by Investment Priority                  </a:t>
            </a:r>
          </a:p>
        </c:rich>
      </c:tx>
      <c:layout/>
      <c:overlay val="0"/>
    </c:title>
    <c:autoTitleDeleted val="0"/>
    <c:plotArea>
      <c:layout>
        <c:manualLayout>
          <c:layoutTarget val="inner"/>
          <c:xMode val="edge"/>
          <c:yMode val="edge"/>
          <c:x val="0.10721631032351064"/>
          <c:y val="0.12045448070760857"/>
          <c:w val="0.85340094422101764"/>
          <c:h val="0.76775208431650155"/>
        </c:manualLayout>
      </c:layout>
      <c:pieChart>
        <c:varyColors val="1"/>
        <c:ser>
          <c:idx val="0"/>
          <c:order val="0"/>
          <c:tx>
            <c:strRef>
              <c:f>'Investment Priority'!$B$2</c:f>
              <c:strCache>
                <c:ptCount val="1"/>
                <c:pt idx="0">
                  <c:v>Grant project expenditure</c:v>
                </c:pt>
              </c:strCache>
            </c:strRef>
          </c:tx>
          <c:dLbls>
            <c:dLbl>
              <c:idx val="1"/>
              <c:layout>
                <c:manualLayout>
                  <c:x val="-4.282843954850455E-2"/>
                  <c:y val="4.0816820974301289E-2"/>
                </c:manualLayout>
              </c:layout>
              <c:showLegendKey val="0"/>
              <c:showVal val="0"/>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0-8733-4277-9F65-183D72B68F09}"/>
                </c:ext>
              </c:extLst>
            </c:dLbl>
            <c:dLbl>
              <c:idx val="2"/>
              <c:layout>
                <c:manualLayout>
                  <c:x val="-0.13930620741372846"/>
                  <c:y val="-5.7124205628142639E-2"/>
                </c:manualLayout>
              </c:layout>
              <c:showLegendKey val="0"/>
              <c:showVal val="0"/>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1-8733-4277-9F65-183D72B68F09}"/>
                </c:ext>
              </c:extLst>
            </c:dLbl>
            <c:dLbl>
              <c:idx val="3"/>
              <c:layout>
                <c:manualLayout>
                  <c:x val="0.12857048041408617"/>
                  <c:y val="-0.15342812917616067"/>
                </c:manualLayout>
              </c:layout>
              <c:showLegendKey val="0"/>
              <c:showVal val="0"/>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2-8733-4277-9F65-183D72B68F09}"/>
                </c:ext>
              </c:extLst>
            </c:dLbl>
            <c:dLbl>
              <c:idx val="4"/>
              <c:layout>
                <c:manualLayout>
                  <c:x val="0.1341081599806144"/>
                  <c:y val="-0.15374458560778062"/>
                </c:manualLayout>
              </c:layout>
              <c:tx>
                <c:rich>
                  <a:bodyPr wrap="square" lIns="38100" tIns="19050" rIns="38100" bIns="19050" anchor="ctr">
                    <a:noAutofit/>
                  </a:bodyPr>
                  <a:lstStyle/>
                  <a:p>
                    <a:pPr>
                      <a:defRPr sz="850"/>
                    </a:pPr>
                    <a:r>
                      <a:rPr lang="en-US" sz="800" b="0" i="0" u="none" strike="noStrike" kern="1200" baseline="0">
                        <a:solidFill>
                          <a:sysClr val="windowText" lastClr="000000"/>
                        </a:solidFill>
                      </a:rPr>
                      <a:t>Infrastructure, Trade Facilitation &amp; International Competitiveness</a:t>
                    </a:r>
                    <a:r>
                      <a:rPr lang="en-US" baseline="0"/>
                      <a:t>
</a:t>
                    </a:r>
                    <a:fld id="{A08E24AE-D626-455D-8BB3-DCAA15840A81}" type="PERCENTAGE">
                      <a:rPr lang="en-US" baseline="0"/>
                      <a:pPr>
                        <a:defRPr sz="850"/>
                      </a:pPr>
                      <a:t>[PERCENTAGE]</a:t>
                    </a:fld>
                    <a:endParaRPr lang="en-US" baseline="0"/>
                  </a:p>
                </c:rich>
              </c:tx>
              <c:spPr>
                <a:noFill/>
                <a:ln>
                  <a:noFill/>
                </a:ln>
                <a:effectLst/>
              </c:spPr>
              <c:showLegendKey val="0"/>
              <c:showVal val="0"/>
              <c:showCatName val="1"/>
              <c:showSerName val="0"/>
              <c:showPercent val="1"/>
              <c:showBubbleSize val="0"/>
              <c:extLst>
                <c:ext xmlns:c15="http://schemas.microsoft.com/office/drawing/2012/chart" uri="{CE6537A1-D6FC-4f65-9D91-7224C49458BB}">
                  <c15:layout>
                    <c:manualLayout>
                      <c:w val="0.39870964721821028"/>
                      <c:h val="0.2958628283781658"/>
                    </c:manualLayout>
                  </c15:layout>
                  <c15:dlblFieldTable/>
                  <c15:showDataLabelsRange val="0"/>
                </c:ext>
                <c:ext xmlns:c16="http://schemas.microsoft.com/office/drawing/2014/chart" uri="{C3380CC4-5D6E-409C-BE32-E72D297353CC}">
                  <c16:uniqueId val="{00000003-8733-4277-9F65-183D72B68F09}"/>
                </c:ext>
              </c:extLst>
            </c:dLbl>
            <c:dLbl>
              <c:idx val="5"/>
              <c:layout>
                <c:manualLayout>
                  <c:x val="9.5633012213742555E-2"/>
                  <c:y val="7.5787989927403487E-2"/>
                </c:manualLayout>
              </c:layout>
              <c:tx>
                <c:rich>
                  <a:bodyPr wrap="square" lIns="38100" tIns="19050" rIns="38100" bIns="19050" anchor="ctr">
                    <a:noAutofit/>
                  </a:bodyPr>
                  <a:lstStyle/>
                  <a:p>
                    <a:pPr>
                      <a:defRPr sz="850"/>
                    </a:pPr>
                    <a:r>
                      <a:rPr lang="en-US"/>
                      <a:t>Effective Governance: policies, institutions &amp; functioning economies</a:t>
                    </a:r>
                    <a:r>
                      <a:rPr lang="en-US" baseline="0"/>
                      <a:t>
</a:t>
                    </a:r>
                    <a:fld id="{8413AD36-6952-4432-B500-0C84E1AF275A}" type="PERCENTAGE">
                      <a:rPr lang="en-US" baseline="0"/>
                      <a:pPr>
                        <a:defRPr sz="850"/>
                      </a:pPr>
                      <a:t>[PERCENTAGE]</a:t>
                    </a:fld>
                    <a:endParaRPr lang="en-US" baseline="0"/>
                  </a:p>
                </c:rich>
              </c:tx>
              <c:spPr>
                <a:noFill/>
                <a:ln>
                  <a:noFill/>
                </a:ln>
                <a:effectLst/>
              </c:spPr>
              <c:showLegendKey val="0"/>
              <c:showVal val="0"/>
              <c:showCatName val="1"/>
              <c:showSerName val="0"/>
              <c:showPercent val="1"/>
              <c:showBubbleSize val="0"/>
              <c:extLst>
                <c:ext xmlns:c15="http://schemas.microsoft.com/office/drawing/2012/chart" uri="{CE6537A1-D6FC-4f65-9D91-7224C49458BB}">
                  <c15:layout>
                    <c:manualLayout>
                      <c:w val="0.3734513274336283"/>
                      <c:h val="0.26754758533899636"/>
                    </c:manualLayout>
                  </c15:layout>
                  <c15:dlblFieldTable/>
                  <c15:showDataLabelsRange val="0"/>
                </c:ext>
                <c:ext xmlns:c16="http://schemas.microsoft.com/office/drawing/2014/chart" uri="{C3380CC4-5D6E-409C-BE32-E72D297353CC}">
                  <c16:uniqueId val="{00000004-8733-4277-9F65-183D72B68F09}"/>
                </c:ext>
              </c:extLst>
            </c:dLbl>
            <c:dLbl>
              <c:idx val="6"/>
              <c:layout>
                <c:manualLayout>
                  <c:x val="0.22630050680629421"/>
                  <c:y val="0.13998927340311815"/>
                </c:manualLayout>
              </c:layout>
              <c:tx>
                <c:rich>
                  <a:bodyPr wrap="square" lIns="38100" tIns="19050" rIns="38100" bIns="19050" anchor="ctr">
                    <a:noAutofit/>
                  </a:bodyPr>
                  <a:lstStyle/>
                  <a:p>
                    <a:pPr>
                      <a:defRPr sz="850"/>
                    </a:pPr>
                    <a:r>
                      <a:rPr lang="en-US"/>
                      <a:t>Building Resilience: humanitarian assistance, disaster risk reduction &amp; social protection</a:t>
                    </a:r>
                    <a:r>
                      <a:rPr lang="en-US" baseline="0"/>
                      <a:t>
</a:t>
                    </a:r>
                    <a:fld id="{D1B7953B-D6AC-488C-9BC2-4037855C1F81}" type="PERCENTAGE">
                      <a:rPr lang="en-US" baseline="0"/>
                      <a:pPr>
                        <a:defRPr sz="850"/>
                      </a:pPr>
                      <a:t>[PERCENTAGE]</a:t>
                    </a:fld>
                    <a:endParaRPr lang="en-US" baseline="0"/>
                  </a:p>
                </c:rich>
              </c:tx>
              <c:spPr>
                <a:noFill/>
                <a:ln>
                  <a:noFill/>
                </a:ln>
                <a:effectLst/>
              </c:spPr>
              <c:showLegendKey val="0"/>
              <c:showVal val="0"/>
              <c:showCatName val="1"/>
              <c:showSerName val="0"/>
              <c:showPercent val="1"/>
              <c:showBubbleSize val="0"/>
              <c:extLst>
                <c:ext xmlns:c15="http://schemas.microsoft.com/office/drawing/2012/chart" uri="{CE6537A1-D6FC-4f65-9D91-7224C49458BB}">
                  <c15:layout>
                    <c:manualLayout>
                      <c:w val="0.38358124646959141"/>
                      <c:h val="0.23728173666823976"/>
                    </c:manualLayout>
                  </c15:layout>
                  <c15:dlblFieldTable/>
                  <c15:showDataLabelsRange val="0"/>
                </c:ext>
                <c:ext xmlns:c16="http://schemas.microsoft.com/office/drawing/2014/chart" uri="{C3380CC4-5D6E-409C-BE32-E72D297353CC}">
                  <c16:uniqueId val="{00000005-8733-4277-9F65-183D72B68F09}"/>
                </c:ext>
              </c:extLst>
            </c:dLbl>
            <c:spPr>
              <a:noFill/>
              <a:ln>
                <a:noFill/>
              </a:ln>
              <a:effectLst/>
            </c:spPr>
            <c:txPr>
              <a:bodyPr wrap="square" lIns="38100" tIns="19050" rIns="38100" bIns="19050" anchor="ctr">
                <a:spAutoFit/>
              </a:bodyPr>
              <a:lstStyle/>
              <a:p>
                <a:pPr>
                  <a:defRPr sz="850"/>
                </a:pPr>
                <a:endParaRPr lang="en-US"/>
              </a:p>
            </c:txPr>
            <c:showLegendKey val="0"/>
            <c:showVal val="0"/>
            <c:showCatName val="1"/>
            <c:showSerName val="0"/>
            <c:showPercent val="1"/>
            <c:showBubbleSize val="0"/>
            <c:showLeaderLines val="1"/>
            <c:extLst>
              <c:ext xmlns:c15="http://schemas.microsoft.com/office/drawing/2012/chart" uri="{CE6537A1-D6FC-4f65-9D91-7224C49458BB}">
                <c15:layout/>
              </c:ext>
            </c:extLst>
          </c:dLbls>
          <c:cat>
            <c:strRef>
              <c:f>'Investment Priority'!$A$3:$A$9</c:f>
              <c:strCache>
                <c:ptCount val="7"/>
                <c:pt idx="0">
                  <c:v>Education</c:v>
                </c:pt>
                <c:pt idx="1">
                  <c:v>General Development Support</c:v>
                </c:pt>
                <c:pt idx="2">
                  <c:v>Health</c:v>
                </c:pt>
                <c:pt idx="3">
                  <c:v>Agriculture, Fisheries and Water</c:v>
                </c:pt>
                <c:pt idx="4">
                  <c:v>Infrastructure, Trade Facilitation and International Competitiveness</c:v>
                </c:pt>
                <c:pt idx="5">
                  <c:v>Effective governance: policies, institutions and functioning economies</c:v>
                </c:pt>
                <c:pt idx="6">
                  <c:v>Building Resilience: humanitarian assistance, disaster risk reduction and social protection</c:v>
                </c:pt>
              </c:strCache>
            </c:strRef>
          </c:cat>
          <c:val>
            <c:numRef>
              <c:f>'Investment Priority'!$B$3:$B$9</c:f>
              <c:numCache>
                <c:formatCode>"$"#,##0.00</c:formatCode>
                <c:ptCount val="7"/>
                <c:pt idx="0">
                  <c:v>16746632.819999998</c:v>
                </c:pt>
                <c:pt idx="1">
                  <c:v>937756.16000000003</c:v>
                </c:pt>
                <c:pt idx="2">
                  <c:v>34778134.889999993</c:v>
                </c:pt>
                <c:pt idx="3">
                  <c:v>19778032.77</c:v>
                </c:pt>
                <c:pt idx="4">
                  <c:v>8957531.6700000018</c:v>
                </c:pt>
                <c:pt idx="5">
                  <c:v>19759230.930000003</c:v>
                </c:pt>
                <c:pt idx="6">
                  <c:v>14186461.690000001</c:v>
                </c:pt>
              </c:numCache>
            </c:numRef>
          </c:val>
          <c:extLst>
            <c:ext xmlns:c16="http://schemas.microsoft.com/office/drawing/2014/chart" uri="{C3380CC4-5D6E-409C-BE32-E72D297353CC}">
              <c16:uniqueId val="{00000006-8733-4277-9F65-183D72B68F09}"/>
            </c:ext>
          </c:extLst>
        </c:ser>
        <c:ser>
          <c:idx val="1"/>
          <c:order val="1"/>
          <c:tx>
            <c:strRef>
              <c:f>'Investment Priority'!$C$2</c:f>
              <c:strCache>
                <c:ptCount val="1"/>
                <c:pt idx="0">
                  <c:v>Percentage</c:v>
                </c:pt>
              </c:strCache>
            </c:strRef>
          </c:tx>
          <c:dLbls>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extLst>
          </c:dLbls>
          <c:cat>
            <c:strRef>
              <c:f>'Investment Priority'!$A$3:$A$9</c:f>
              <c:strCache>
                <c:ptCount val="7"/>
                <c:pt idx="0">
                  <c:v>Education</c:v>
                </c:pt>
                <c:pt idx="1">
                  <c:v>General Development Support</c:v>
                </c:pt>
                <c:pt idx="2">
                  <c:v>Health</c:v>
                </c:pt>
                <c:pt idx="3">
                  <c:v>Agriculture, Fisheries and Water</c:v>
                </c:pt>
                <c:pt idx="4">
                  <c:v>Infrastructure, Trade Facilitation and International Competitiveness</c:v>
                </c:pt>
                <c:pt idx="5">
                  <c:v>Effective governance: policies, institutions and functioning economies</c:v>
                </c:pt>
                <c:pt idx="6">
                  <c:v>Building Resilience: humanitarian assistance, disaster risk reduction and social protection</c:v>
                </c:pt>
              </c:strCache>
            </c:strRef>
          </c:cat>
          <c:val>
            <c:numRef>
              <c:f>'Investment Priority'!$C$3:$C$9</c:f>
              <c:numCache>
                <c:formatCode>0%</c:formatCode>
                <c:ptCount val="7"/>
                <c:pt idx="0">
                  <c:v>0.1454410536525709</c:v>
                </c:pt>
                <c:pt idx="1">
                  <c:v>8.1442189272045475E-3</c:v>
                </c:pt>
                <c:pt idx="2">
                  <c:v>0.30204093186016584</c:v>
                </c:pt>
                <c:pt idx="3">
                  <c:v>0.17176813728241017</c:v>
                </c:pt>
                <c:pt idx="4">
                  <c:v>7.779431592094066E-2</c:v>
                </c:pt>
                <c:pt idx="5">
                  <c:v>0.17160484717808897</c:v>
                </c:pt>
                <c:pt idx="6">
                  <c:v>0.12320649517861895</c:v>
                </c:pt>
              </c:numCache>
            </c:numRef>
          </c:val>
          <c:extLst>
            <c:ext xmlns:c16="http://schemas.microsoft.com/office/drawing/2014/chart" uri="{C3380CC4-5D6E-409C-BE32-E72D297353CC}">
              <c16:uniqueId val="{00000007-8733-4277-9F65-183D72B68F09}"/>
            </c:ext>
          </c:extLst>
        </c:ser>
        <c:dLbls>
          <c:showLegendKey val="0"/>
          <c:showVal val="0"/>
          <c:showCatName val="1"/>
          <c:showSerName val="0"/>
          <c:showPercent val="1"/>
          <c:showBubbleSize val="0"/>
          <c:showLeaderLines val="1"/>
        </c:dLbls>
        <c:firstSliceAng val="0"/>
      </c:pieChart>
    </c:plotArea>
    <c:plotVisOnly val="1"/>
    <c:dispBlanksAs val="gap"/>
    <c:showDLblsOverMax val="0"/>
  </c:chart>
  <c:spPr>
    <a:noFill/>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Implementing</a:t>
            </a:r>
            <a:r>
              <a:rPr lang="en-US" baseline="0"/>
              <a:t> Partner Types 2016-17</a:t>
            </a:r>
            <a:endParaRPr lang="en-US"/>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4107817405177295"/>
          <c:y val="0.15509616078804617"/>
          <c:w val="0.76863594256600265"/>
          <c:h val="0.81340778489875798"/>
        </c:manualLayout>
      </c:layout>
      <c:pieChart>
        <c:varyColors val="1"/>
        <c:ser>
          <c:idx val="0"/>
          <c:order val="0"/>
          <c:tx>
            <c:strRef>
              <c:f>'Implementing Partner Types'!$H$6</c:f>
              <c:strCache>
                <c:ptCount val="1"/>
                <c:pt idx="0">
                  <c:v>%</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C78C-4421-A031-9E2CB410C063}"/>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C78C-4421-A031-9E2CB410C063}"/>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C78C-4421-A031-9E2CB410C063}"/>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C78C-4421-A031-9E2CB410C063}"/>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C78C-4421-A031-9E2CB410C063}"/>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C78C-4421-A031-9E2CB410C063}"/>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C78C-4421-A031-9E2CB410C063}"/>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F-C78C-4421-A031-9E2CB410C063}"/>
              </c:ext>
            </c:extLst>
          </c:dPt>
          <c:dPt>
            <c:idx val="8"/>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11-C78C-4421-A031-9E2CB410C063}"/>
              </c:ext>
            </c:extLst>
          </c:dPt>
          <c:dPt>
            <c:idx val="9"/>
            <c:bubble3D val="0"/>
            <c:spPr>
              <a:solidFill>
                <a:schemeClr val="accent4">
                  <a:lumMod val="60000"/>
                </a:schemeClr>
              </a:solidFill>
              <a:ln w="19050">
                <a:solidFill>
                  <a:schemeClr val="lt1"/>
                </a:solidFill>
              </a:ln>
              <a:effectLst/>
            </c:spPr>
            <c:extLst>
              <c:ext xmlns:c16="http://schemas.microsoft.com/office/drawing/2014/chart" uri="{C3380CC4-5D6E-409C-BE32-E72D297353CC}">
                <c16:uniqueId val="{00000013-C78C-4421-A031-9E2CB410C063}"/>
              </c:ext>
            </c:extLst>
          </c:dPt>
          <c:dPt>
            <c:idx val="10"/>
            <c:bubble3D val="0"/>
            <c:spPr>
              <a:solidFill>
                <a:schemeClr val="accent5">
                  <a:lumMod val="60000"/>
                </a:schemeClr>
              </a:solidFill>
              <a:ln w="19050">
                <a:solidFill>
                  <a:schemeClr val="lt1"/>
                </a:solidFill>
              </a:ln>
              <a:effectLst/>
            </c:spPr>
            <c:extLst>
              <c:ext xmlns:c16="http://schemas.microsoft.com/office/drawing/2014/chart" uri="{C3380CC4-5D6E-409C-BE32-E72D297353CC}">
                <c16:uniqueId val="{00000015-C78C-4421-A031-9E2CB410C063}"/>
              </c:ext>
            </c:extLst>
          </c:dPt>
          <c:dLbls>
            <c:dLbl>
              <c:idx val="1"/>
              <c:layout>
                <c:manualLayout>
                  <c:x val="-0.13200349956255469"/>
                  <c:y val="-0.11137203205488194"/>
                </c:manualLayout>
              </c:layout>
              <c:showLegendKey val="0"/>
              <c:showVal val="0"/>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3-C78C-4421-A031-9E2CB410C063}"/>
                </c:ext>
              </c:extLst>
            </c:dLbl>
            <c:dLbl>
              <c:idx val="2"/>
              <c:layout>
                <c:manualLayout>
                  <c:x val="-6.6831445534548825E-2"/>
                  <c:y val="-2.9836549484004188E-2"/>
                </c:manualLayout>
              </c:layout>
              <c:showLegendKey val="0"/>
              <c:showVal val="0"/>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5-C78C-4421-A031-9E2CB410C063}"/>
                </c:ext>
              </c:extLst>
            </c:dLbl>
            <c:dLbl>
              <c:idx val="3"/>
              <c:layout>
                <c:manualLayout>
                  <c:x val="-7.5253499562554782E-2"/>
                  <c:y val="-0.13849638994044144"/>
                </c:manualLayout>
              </c:layout>
              <c:showLegendKey val="0"/>
              <c:showVal val="0"/>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7-C78C-4421-A031-9E2CB410C063}"/>
                </c:ext>
              </c:extLst>
            </c:dLbl>
            <c:dLbl>
              <c:idx val="4"/>
              <c:layout>
                <c:manualLayout>
                  <c:x val="0.13470974216458237"/>
                  <c:y val="-8.2567333493890643E-2"/>
                </c:manualLayout>
              </c:layout>
              <c:showLegendKey val="0"/>
              <c:showVal val="0"/>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9-C78C-4421-A031-9E2CB410C063}"/>
                </c:ext>
              </c:extLst>
            </c:dLbl>
            <c:dLbl>
              <c:idx val="5"/>
              <c:layout>
                <c:manualLayout>
                  <c:x val="0.21233039051936689"/>
                  <c:y val="-0.1682849262780515"/>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1"/>
              <c:showSerName val="0"/>
              <c:showPercent val="1"/>
              <c:showBubbleSize val="0"/>
              <c:extLst>
                <c:ext xmlns:c15="http://schemas.microsoft.com/office/drawing/2012/chart" uri="{CE6537A1-D6FC-4f65-9D91-7224C49458BB}">
                  <c15:layout>
                    <c:manualLayout>
                      <c:w val="0.165199096102292"/>
                      <c:h val="0.11188105410590492"/>
                    </c:manualLayout>
                  </c15:layout>
                </c:ext>
                <c:ext xmlns:c16="http://schemas.microsoft.com/office/drawing/2014/chart" uri="{C3380CC4-5D6E-409C-BE32-E72D297353CC}">
                  <c16:uniqueId val="{0000000B-C78C-4421-A031-9E2CB410C063}"/>
                </c:ext>
              </c:extLst>
            </c:dLbl>
            <c:dLbl>
              <c:idx val="6"/>
              <c:layout>
                <c:manualLayout>
                  <c:x val="4.4673974576707333E-2"/>
                  <c:y val="5.4775854457917779E-2"/>
                </c:manualLayout>
              </c:layout>
              <c:showLegendKey val="0"/>
              <c:showVal val="0"/>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D-C78C-4421-A031-9E2CB410C063}"/>
                </c:ext>
              </c:extLst>
            </c:dLbl>
            <c:dLbl>
              <c:idx val="7"/>
              <c:layout>
                <c:manualLayout>
                  <c:x val="3.4022485157269773E-3"/>
                  <c:y val="7.8615838524130933E-3"/>
                </c:manualLayout>
              </c:layout>
              <c:showLegendKey val="0"/>
              <c:showVal val="0"/>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F-C78C-4421-A031-9E2CB410C063}"/>
                </c:ext>
              </c:extLst>
            </c:dLbl>
            <c:dLbl>
              <c:idx val="8"/>
              <c:layout>
                <c:manualLayout>
                  <c:x val="1.0316223841003828E-3"/>
                  <c:y val="-7.5050904511375541E-2"/>
                </c:manualLayout>
              </c:layout>
              <c:showLegendKey val="0"/>
              <c:showVal val="0"/>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11-C78C-4421-A031-9E2CB410C063}"/>
                </c:ext>
              </c:extLst>
            </c:dLbl>
            <c:dLbl>
              <c:idx val="9"/>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bg1">
                          <a:lumMod val="95000"/>
                        </a:schemeClr>
                      </a:solidFill>
                      <a:latin typeface="+mn-lt"/>
                      <a:ea typeface="+mn-ea"/>
                      <a:cs typeface="+mn-cs"/>
                    </a:defRPr>
                  </a:pPr>
                  <a:endParaRPr lang="en-US"/>
                </a:p>
              </c:txPr>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rect">
                      <a:avLst/>
                    </a:prstGeom>
                    <a:noFill/>
                    <a:ln>
                      <a:noFill/>
                    </a:ln>
                  </c15:spPr>
                </c:ext>
                <c:ext xmlns:c16="http://schemas.microsoft.com/office/drawing/2014/chart" uri="{C3380CC4-5D6E-409C-BE32-E72D297353CC}">
                  <c16:uniqueId val="{00000013-C78C-4421-A031-9E2CB410C06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'Implementing Partner Types'!$G$7:$G$17</c:f>
              <c:strCache>
                <c:ptCount val="11"/>
                <c:pt idx="0">
                  <c:v>Government </c:v>
                </c:pt>
                <c:pt idx="1">
                  <c:v>Education Institutions</c:v>
                </c:pt>
                <c:pt idx="2">
                  <c:v>Multi-lateral Organisations</c:v>
                </c:pt>
                <c:pt idx="3">
                  <c:v>Local NGOs</c:v>
                </c:pt>
                <c:pt idx="4">
                  <c:v>International NGOs</c:v>
                </c:pt>
                <c:pt idx="5">
                  <c:v>Business</c:v>
                </c:pt>
                <c:pt idx="6">
                  <c:v>Health Institutions</c:v>
                </c:pt>
                <c:pt idx="7">
                  <c:v>Faith Based Organisations</c:v>
                </c:pt>
                <c:pt idx="8">
                  <c:v>Auxiliary to Government</c:v>
                </c:pt>
                <c:pt idx="9">
                  <c:v>Civil Society Organisations</c:v>
                </c:pt>
                <c:pt idx="10">
                  <c:v>Other</c:v>
                </c:pt>
              </c:strCache>
            </c:strRef>
          </c:cat>
          <c:val>
            <c:numRef>
              <c:f>'Implementing Partner Types'!$H$7:$H$17</c:f>
              <c:numCache>
                <c:formatCode>0.00%</c:formatCode>
                <c:ptCount val="11"/>
                <c:pt idx="0">
                  <c:v>0.32938949361097963</c:v>
                </c:pt>
                <c:pt idx="1">
                  <c:v>4.0227165168007575E-2</c:v>
                </c:pt>
                <c:pt idx="2">
                  <c:v>1.3251301467108376E-2</c:v>
                </c:pt>
                <c:pt idx="3">
                  <c:v>0.13251301467108376</c:v>
                </c:pt>
                <c:pt idx="4">
                  <c:v>7.9034548035967822E-2</c:v>
                </c:pt>
                <c:pt idx="5">
                  <c:v>6.814955040227165E-2</c:v>
                </c:pt>
                <c:pt idx="6">
                  <c:v>4.3539990534784669E-2</c:v>
                </c:pt>
                <c:pt idx="7">
                  <c:v>3.8334122101277804E-2</c:v>
                </c:pt>
                <c:pt idx="8">
                  <c:v>1.1831519167061051E-2</c:v>
                </c:pt>
                <c:pt idx="9">
                  <c:v>0.22669190724088972</c:v>
                </c:pt>
                <c:pt idx="10">
                  <c:v>1.7037387600567912E-2</c:v>
                </c:pt>
              </c:numCache>
            </c:numRef>
          </c:val>
          <c:extLst>
            <c:ext xmlns:c16="http://schemas.microsoft.com/office/drawing/2014/chart" uri="{C3380CC4-5D6E-409C-BE32-E72D297353CC}">
              <c16:uniqueId val="{00000016-C78C-4421-A031-9E2CB410C063}"/>
            </c:ext>
          </c:extLst>
        </c:ser>
        <c:dLbls>
          <c:showLegendKey val="0"/>
          <c:showVal val="0"/>
          <c:showCatName val="1"/>
          <c:showSerName val="0"/>
          <c:showPercent val="1"/>
          <c:showBubbleSize val="0"/>
          <c:showLeaderLines val="1"/>
        </c:dLbls>
        <c:firstSliceAng val="0"/>
      </c:pieChart>
      <c:spPr>
        <a:noFill/>
        <a:ln>
          <a:noFill/>
        </a:ln>
        <a:effectLst/>
      </c:spPr>
    </c:plotArea>
    <c:plotVisOnly val="1"/>
    <c:dispBlanksAs val="gap"/>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DFAT Corporate">
      <a:dk1>
        <a:sysClr val="windowText" lastClr="000000"/>
      </a:dk1>
      <a:lt1>
        <a:sysClr val="window" lastClr="FFFFFF"/>
      </a:lt1>
      <a:dk2>
        <a:srgbClr val="495965"/>
      </a:dk2>
      <a:lt2>
        <a:srgbClr val="D8DCDB"/>
      </a:lt2>
      <a:accent1>
        <a:srgbClr val="65C5B4"/>
      </a:accent1>
      <a:accent2>
        <a:srgbClr val="D3875F"/>
      </a:accent2>
      <a:accent3>
        <a:srgbClr val="ACD08C"/>
      </a:accent3>
      <a:accent4>
        <a:srgbClr val="007C89"/>
      </a:accent4>
      <a:accent5>
        <a:srgbClr val="C15A2D"/>
      </a:accent5>
      <a:accent6>
        <a:srgbClr val="409F68"/>
      </a:accent6>
      <a:hlink>
        <a:srgbClr val="0000FF"/>
      </a:hlink>
      <a:folHlink>
        <a:srgbClr val="800080"/>
      </a:folHlink>
    </a:clrScheme>
    <a:fontScheme name="DFAT Corporate 1">
      <a:majorFont>
        <a:latin typeface="Calibri"/>
        <a:ea typeface=""/>
        <a:cs typeface=""/>
      </a:majorFont>
      <a:minorFont>
        <a:latin typeface="Calibri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CF2E1E9-D73E-465D-B059-21700714ED87}"/>
</file>

<file path=customXml/itemProps2.xml><?xml version="1.0" encoding="utf-8"?>
<ds:datastoreItem xmlns:ds="http://schemas.openxmlformats.org/officeDocument/2006/customXml" ds:itemID="{0BDF12B7-B8C6-4D7B-8BF4-D25ED3EF315D}"/>
</file>

<file path=customXml/itemProps3.xml><?xml version="1.0" encoding="utf-8"?>
<ds:datastoreItem xmlns:ds="http://schemas.openxmlformats.org/officeDocument/2006/customXml" ds:itemID="{AF0B8151-6923-42CF-9C33-6A38B99693DE}"/>
</file>

<file path=customXml/itemProps4.xml><?xml version="1.0" encoding="utf-8"?>
<ds:datastoreItem xmlns:ds="http://schemas.openxmlformats.org/officeDocument/2006/customXml" ds:itemID="{B833C87B-CFDE-45A9-879D-D0F9CBED2187}"/>
</file>

<file path=docProps/app.xml><?xml version="1.0" encoding="utf-8"?>
<Properties xmlns="http://schemas.openxmlformats.org/officeDocument/2006/extended-properties" xmlns:vt="http://schemas.openxmlformats.org/officeDocument/2006/docPropsVTypes">
  <Template>Normal.dotm</Template>
  <TotalTime>0</TotalTime>
  <Pages>18</Pages>
  <Words>6368</Words>
  <Characters>36304</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2017-11-27T04:19:00Z</dcterms:created>
  <dcterms:modified xsi:type="dcterms:W3CDTF">2017-11-27T04:19:00Z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6c797971-0cf6-4f13-a878-a4a83bda286b</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0x01010050F19AC2165D2E47A5E6B7F563E4CF00</vt:lpwstr>
  </property>
  <property fmtid="{D5CDD505-2E9C-101B-9397-08002B2CF9AE}" pid="6" name="Order">
    <vt:r8>1135800</vt:r8>
  </property>
  <property fmtid="{D5CDD505-2E9C-101B-9397-08002B2CF9AE}" pid="7" name="TemplateUrl">
    <vt:lpwstr/>
  </property>
  <property fmtid="{D5CDD505-2E9C-101B-9397-08002B2CF9AE}" pid="8" name="xd_Signature">
    <vt:bool>false</vt:bool>
  </property>
  <property fmtid="{D5CDD505-2E9C-101B-9397-08002B2CF9AE}" pid="9" name="xd_ProgID">
    <vt:lpwstr/>
  </property>
  <property fmtid="{D5CDD505-2E9C-101B-9397-08002B2CF9AE}" pid="10" name="_SourceUrl">
    <vt:lpwstr/>
  </property>
  <property fmtid="{D5CDD505-2E9C-101B-9397-08002B2CF9AE}" pid="11" name="_SharedFileIndex">
    <vt:lpwstr/>
  </property>
</Properties>
</file>