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4BC9C542" w14:textId="7FF5A1E0" w:rsidR="00110C57" w:rsidRPr="00D360C1" w:rsidRDefault="00110C57" w:rsidP="00BE6B6D">
      <w:pPr>
        <w:pStyle w:val="Title"/>
        <w:jc w:val="center"/>
        <w:rPr>
          <w:color w:val="auto"/>
          <w:sz w:val="44"/>
          <w:szCs w:val="44"/>
        </w:rPr>
      </w:pPr>
      <w:r w:rsidRPr="00D360C1">
        <w:rPr>
          <w:color w:val="auto"/>
          <w:sz w:val="44"/>
          <w:szCs w:val="44"/>
        </w:rPr>
        <w:t>Australian NGO Cooperation Program (ANCP)</w:t>
      </w:r>
    </w:p>
    <w:p w14:paraId="2A43AC1C" w14:textId="77777777" w:rsidR="000F1140" w:rsidRDefault="00573624" w:rsidP="00BE6B6D">
      <w:pPr>
        <w:pStyle w:val="Title"/>
        <w:jc w:val="center"/>
        <w:rPr>
          <w:color w:val="auto"/>
          <w:sz w:val="44"/>
          <w:szCs w:val="44"/>
        </w:rPr>
      </w:pPr>
      <w:r w:rsidRPr="00D360C1">
        <w:rPr>
          <w:color w:val="auto"/>
          <w:sz w:val="44"/>
          <w:szCs w:val="44"/>
        </w:rPr>
        <w:t>Partnerships for recovery</w:t>
      </w:r>
      <w:r w:rsidR="00110C57" w:rsidRPr="00D360C1">
        <w:rPr>
          <w:color w:val="auto"/>
          <w:sz w:val="44"/>
          <w:szCs w:val="44"/>
        </w:rPr>
        <w:t xml:space="preserve"> </w:t>
      </w:r>
      <w:r w:rsidR="00D360C1">
        <w:rPr>
          <w:color w:val="auto"/>
          <w:sz w:val="44"/>
          <w:szCs w:val="44"/>
        </w:rPr>
        <w:t>and</w:t>
      </w:r>
      <w:r w:rsidR="00110C57" w:rsidRPr="00D360C1">
        <w:rPr>
          <w:color w:val="auto"/>
          <w:sz w:val="44"/>
          <w:szCs w:val="44"/>
        </w:rPr>
        <w:t xml:space="preserve"> </w:t>
      </w:r>
    </w:p>
    <w:p w14:paraId="499D2420" w14:textId="6DA69233" w:rsidR="00110C57" w:rsidRPr="00D360C1" w:rsidRDefault="00C61313" w:rsidP="00BE6B6D">
      <w:pPr>
        <w:pStyle w:val="Title"/>
        <w:jc w:val="center"/>
        <w:rPr>
          <w:color w:val="auto"/>
          <w:sz w:val="44"/>
          <w:szCs w:val="44"/>
        </w:rPr>
      </w:pPr>
      <w:r w:rsidRPr="00D360C1">
        <w:rPr>
          <w:color w:val="auto"/>
          <w:sz w:val="44"/>
          <w:szCs w:val="44"/>
        </w:rPr>
        <w:t>20</w:t>
      </w:r>
      <w:r w:rsidR="006E28CF" w:rsidRPr="00D360C1">
        <w:rPr>
          <w:color w:val="auto"/>
          <w:sz w:val="44"/>
          <w:szCs w:val="44"/>
        </w:rPr>
        <w:t>20-21</w:t>
      </w:r>
      <w:r w:rsidRPr="00D360C1">
        <w:rPr>
          <w:color w:val="auto"/>
          <w:sz w:val="44"/>
          <w:szCs w:val="44"/>
        </w:rPr>
        <w:t xml:space="preserve"> Highlights</w:t>
      </w:r>
    </w:p>
    <w:p w14:paraId="0F963D00" w14:textId="6A6BE868" w:rsidR="000F1140" w:rsidRPr="006A2D61" w:rsidRDefault="000F1140" w:rsidP="000F1140">
      <w:pPr>
        <w:rPr>
          <w:color w:val="auto"/>
        </w:rPr>
      </w:pPr>
      <w:r w:rsidRPr="000F1140">
        <w:rPr>
          <w:color w:val="auto"/>
        </w:rPr>
        <w:t xml:space="preserve">The ANCP is a unique global program that supports trusted Australian-based international development NGOs (ANGOs) through flexible annual grants for effective development projects </w:t>
      </w:r>
      <w:r w:rsidRPr="00886EC6">
        <w:rPr>
          <w:color w:val="auto"/>
        </w:rPr>
        <w:t xml:space="preserve">overseas. </w:t>
      </w:r>
      <w:r w:rsidR="00817CA7" w:rsidRPr="00817CA7">
        <w:rPr>
          <w:color w:val="auto"/>
        </w:rPr>
        <w:t>The</w:t>
      </w:r>
      <w:r w:rsidR="006A2D61" w:rsidRPr="00817CA7">
        <w:rPr>
          <w:color w:val="auto"/>
        </w:rPr>
        <w:t xml:space="preserve"> ANCP contributes to Australian Government and partner country priorities to reduce poverty and promote sustainable and inclusive development.</w:t>
      </w:r>
      <w:r w:rsidR="006A2D61" w:rsidRPr="00886EC6">
        <w:rPr>
          <w:color w:val="auto"/>
        </w:rPr>
        <w:t xml:space="preserve"> </w:t>
      </w:r>
      <w:r w:rsidRPr="00886EC6">
        <w:rPr>
          <w:color w:val="auto"/>
        </w:rPr>
        <w:t xml:space="preserve">This </w:t>
      </w:r>
      <w:r w:rsidR="006A2D61" w:rsidRPr="00886EC6">
        <w:rPr>
          <w:color w:val="auto"/>
        </w:rPr>
        <w:t xml:space="preserve">2020-21 </w:t>
      </w:r>
      <w:r w:rsidRPr="00886EC6">
        <w:rPr>
          <w:color w:val="auto"/>
        </w:rPr>
        <w:t xml:space="preserve">snapshot </w:t>
      </w:r>
      <w:r w:rsidR="006A2D61" w:rsidRPr="00886EC6">
        <w:rPr>
          <w:color w:val="auto"/>
        </w:rPr>
        <w:t>provide</w:t>
      </w:r>
      <w:r w:rsidRPr="00886EC6">
        <w:rPr>
          <w:color w:val="auto"/>
        </w:rPr>
        <w:t>s aggregated data on program performance</w:t>
      </w:r>
      <w:r w:rsidR="00844208" w:rsidRPr="00886EC6">
        <w:rPr>
          <w:color w:val="auto"/>
        </w:rPr>
        <w:t xml:space="preserve">, primarily against </w:t>
      </w:r>
      <w:r w:rsidR="004561A8" w:rsidRPr="00886EC6">
        <w:rPr>
          <w:color w:val="auto"/>
        </w:rPr>
        <w:t>agreed</w:t>
      </w:r>
      <w:r w:rsidR="006A2D61" w:rsidRPr="00886EC6">
        <w:rPr>
          <w:color w:val="auto"/>
        </w:rPr>
        <w:t xml:space="preserve"> and common</w:t>
      </w:r>
      <w:r w:rsidR="00844208" w:rsidRPr="00886EC6">
        <w:rPr>
          <w:color w:val="auto"/>
        </w:rPr>
        <w:t xml:space="preserve"> </w:t>
      </w:r>
      <w:r w:rsidR="003F001A" w:rsidRPr="00886EC6">
        <w:rPr>
          <w:color w:val="auto"/>
        </w:rPr>
        <w:t>indicators</w:t>
      </w:r>
      <w:r w:rsidR="006A2D61" w:rsidRPr="00886EC6">
        <w:rPr>
          <w:color w:val="auto"/>
          <w:vertAlign w:val="superscript"/>
        </w:rPr>
        <w:footnoteReference w:id="1"/>
      </w:r>
      <w:r w:rsidR="00844208" w:rsidRPr="00886EC6">
        <w:rPr>
          <w:color w:val="auto"/>
        </w:rPr>
        <w:t>,</w:t>
      </w:r>
      <w:r w:rsidRPr="00886EC6">
        <w:rPr>
          <w:color w:val="auto"/>
        </w:rPr>
        <w:t xml:space="preserve"> as well as </w:t>
      </w:r>
      <w:r w:rsidR="006A2D61" w:rsidRPr="00886EC6">
        <w:rPr>
          <w:color w:val="auto"/>
        </w:rPr>
        <w:t>how ANCP was implemented in</w:t>
      </w:r>
      <w:r w:rsidR="00817CA7">
        <w:rPr>
          <w:color w:val="auto"/>
        </w:rPr>
        <w:t>cluding by</w:t>
      </w:r>
      <w:r w:rsidR="006A2D61" w:rsidRPr="00886EC6">
        <w:rPr>
          <w:color w:val="auto"/>
        </w:rPr>
        <w:t xml:space="preserve"> partner-type, sector focus and capacity building focus</w:t>
      </w:r>
      <w:r w:rsidRPr="00886EC6">
        <w:rPr>
          <w:color w:val="auto"/>
        </w:rPr>
        <w:t>.</w:t>
      </w:r>
      <w:r w:rsidR="006A2D61">
        <w:rPr>
          <w:color w:val="auto"/>
        </w:rPr>
        <w:t xml:space="preserve"> </w:t>
      </w:r>
    </w:p>
    <w:p w14:paraId="1A514FAE" w14:textId="58B77C72" w:rsidR="00C61313" w:rsidRPr="00D20819" w:rsidRDefault="00110C57" w:rsidP="00A77D41">
      <w:pPr>
        <w:pStyle w:val="Heading2"/>
        <w:spacing w:before="360"/>
        <w:rPr>
          <w:b/>
          <w:bCs/>
          <w:color w:val="auto"/>
        </w:rPr>
      </w:pPr>
      <w:r w:rsidRPr="00D20819">
        <w:rPr>
          <w:b/>
          <w:bCs/>
          <w:color w:val="auto"/>
        </w:rPr>
        <w:t xml:space="preserve">ANCP </w:t>
      </w:r>
      <w:r w:rsidR="00C61313" w:rsidRPr="00D20819">
        <w:rPr>
          <w:b/>
          <w:bCs/>
          <w:color w:val="auto"/>
        </w:rPr>
        <w:t>COVID-19 Development Response</w:t>
      </w:r>
    </w:p>
    <w:p w14:paraId="16382FF8" w14:textId="15D64579" w:rsidR="00F566EC" w:rsidRPr="00EB2326" w:rsidRDefault="00F566EC" w:rsidP="00F566EC">
      <w:pPr>
        <w:spacing w:after="0"/>
      </w:pPr>
      <w:r w:rsidRPr="00EB2326">
        <w:rPr>
          <w:color w:val="auto"/>
        </w:rPr>
        <w:t xml:space="preserve">ANGOs </w:t>
      </w:r>
      <w:r w:rsidR="004A31BA">
        <w:rPr>
          <w:color w:val="auto"/>
        </w:rPr>
        <w:t>work</w:t>
      </w:r>
      <w:r w:rsidRPr="00EB2326">
        <w:rPr>
          <w:color w:val="auto"/>
        </w:rPr>
        <w:t xml:space="preserve"> directly with local partners to </w:t>
      </w:r>
      <w:r w:rsidR="00B318E8">
        <w:rPr>
          <w:color w:val="auto"/>
        </w:rPr>
        <w:t>deliver</w:t>
      </w:r>
      <w:r w:rsidRPr="00EB2326">
        <w:rPr>
          <w:color w:val="auto"/>
        </w:rPr>
        <w:t xml:space="preserve"> programs </w:t>
      </w:r>
      <w:r w:rsidR="00B318E8">
        <w:rPr>
          <w:color w:val="auto"/>
        </w:rPr>
        <w:t>that are responding t</w:t>
      </w:r>
      <w:r w:rsidRPr="00EB2326">
        <w:rPr>
          <w:color w:val="auto"/>
        </w:rPr>
        <w:t>o the social and economic impact of the pandemic, in line with</w:t>
      </w:r>
      <w:r w:rsidR="00AB5BA2">
        <w:rPr>
          <w:color w:val="auto"/>
        </w:rPr>
        <w:t xml:space="preserve"> the Australian Government’s development policy</w:t>
      </w:r>
      <w:r w:rsidRPr="00EB2326">
        <w:rPr>
          <w:color w:val="auto"/>
        </w:rPr>
        <w:t xml:space="preserve"> </w:t>
      </w:r>
      <w:hyperlink r:id="rId8" w:history="1">
        <w:r w:rsidRPr="00EB2326">
          <w:rPr>
            <w:rStyle w:val="Hyperlink"/>
            <w:rFonts w:cstheme="minorBidi"/>
            <w:i/>
            <w:iCs/>
          </w:rPr>
          <w:t>Partnerships for Recovery</w:t>
        </w:r>
      </w:hyperlink>
      <w:r w:rsidR="00AB5BA2">
        <w:rPr>
          <w:rStyle w:val="Hyperlink"/>
          <w:rFonts w:cstheme="minorBidi"/>
          <w:i/>
          <w:iCs/>
        </w:rPr>
        <w:t>: Australia’s COVID-19 Development Response</w:t>
      </w:r>
      <w:r w:rsidRPr="00EB2326">
        <w:rPr>
          <w:color w:val="auto"/>
        </w:rPr>
        <w:t xml:space="preserve">. </w:t>
      </w:r>
      <w:r w:rsidR="000E4710">
        <w:rPr>
          <w:color w:val="auto"/>
        </w:rPr>
        <w:t>A</w:t>
      </w:r>
      <w:r w:rsidR="000E4710" w:rsidRPr="00EB2326">
        <w:rPr>
          <w:color w:val="auto"/>
        </w:rPr>
        <w:t xml:space="preserve">NGOs’ established relationships with local partners </w:t>
      </w:r>
      <w:r w:rsidR="000E4710">
        <w:rPr>
          <w:color w:val="auto"/>
        </w:rPr>
        <w:t xml:space="preserve">support </w:t>
      </w:r>
      <w:r w:rsidR="000E4710" w:rsidRPr="00EB2326">
        <w:rPr>
          <w:color w:val="auto"/>
        </w:rPr>
        <w:t>adaptive programming</w:t>
      </w:r>
      <w:r w:rsidR="00817CA7">
        <w:rPr>
          <w:color w:val="auto"/>
        </w:rPr>
        <w:t xml:space="preserve"> to COVID-19</w:t>
      </w:r>
      <w:r w:rsidR="000E4710" w:rsidRPr="00EB2326">
        <w:rPr>
          <w:color w:val="auto"/>
        </w:rPr>
        <w:t>. With</w:t>
      </w:r>
      <w:r w:rsidR="000E4710">
        <w:rPr>
          <w:color w:val="auto"/>
        </w:rPr>
        <w:t xml:space="preserve"> restrictions to </w:t>
      </w:r>
      <w:r w:rsidR="000E4710" w:rsidRPr="00EB2326">
        <w:rPr>
          <w:color w:val="auto"/>
        </w:rPr>
        <w:t>international travel and resource mobilisation</w:t>
      </w:r>
      <w:r w:rsidR="006A2D61">
        <w:rPr>
          <w:color w:val="auto"/>
        </w:rPr>
        <w:t xml:space="preserve"> ongoing in 2020-21</w:t>
      </w:r>
      <w:r w:rsidR="000E4710" w:rsidRPr="00EB2326">
        <w:rPr>
          <w:color w:val="auto"/>
        </w:rPr>
        <w:t>, the long</w:t>
      </w:r>
      <w:r w:rsidR="000E4710" w:rsidRPr="00EB2326">
        <w:rPr>
          <w:color w:val="auto"/>
        </w:rPr>
        <w:noBreakHyphen/>
        <w:t xml:space="preserve">standing partnerships between ANGOs and local partners </w:t>
      </w:r>
      <w:r w:rsidR="00E92EA2">
        <w:rPr>
          <w:color w:val="auto"/>
        </w:rPr>
        <w:t xml:space="preserve">allowed </w:t>
      </w:r>
      <w:r w:rsidR="000E4710" w:rsidRPr="00EB2326">
        <w:rPr>
          <w:color w:val="auto"/>
        </w:rPr>
        <w:t xml:space="preserve">the </w:t>
      </w:r>
      <w:r w:rsidR="000E4710">
        <w:rPr>
          <w:color w:val="auto"/>
        </w:rPr>
        <w:t>p</w:t>
      </w:r>
      <w:r w:rsidR="000E4710" w:rsidRPr="00EB2326">
        <w:rPr>
          <w:color w:val="auto"/>
        </w:rPr>
        <w:t xml:space="preserve">rogram to react quickly to </w:t>
      </w:r>
      <w:r w:rsidR="000E4710">
        <w:rPr>
          <w:color w:val="auto"/>
        </w:rPr>
        <w:t xml:space="preserve">evolving </w:t>
      </w:r>
      <w:r w:rsidR="000E4710" w:rsidRPr="00EB2326">
        <w:rPr>
          <w:color w:val="auto"/>
        </w:rPr>
        <w:t>local needs and contexts.</w:t>
      </w:r>
    </w:p>
    <w:p w14:paraId="1373F17E" w14:textId="10EEBDBD" w:rsidR="00A27A85" w:rsidRDefault="00B318E8" w:rsidP="00C61313">
      <w:pPr>
        <w:rPr>
          <w:color w:val="auto"/>
        </w:rPr>
      </w:pPr>
      <w:r>
        <w:rPr>
          <w:color w:val="auto"/>
        </w:rPr>
        <w:t>At the start of the pandemic, t</w:t>
      </w:r>
      <w:r w:rsidR="00C61313" w:rsidRPr="00EB2326">
        <w:rPr>
          <w:color w:val="auto"/>
        </w:rPr>
        <w:t>h</w:t>
      </w:r>
      <w:r w:rsidR="00D07898" w:rsidRPr="00EB2326">
        <w:rPr>
          <w:color w:val="auto"/>
        </w:rPr>
        <w:t>e</w:t>
      </w:r>
      <w:r w:rsidR="00C61313" w:rsidRPr="00EB2326">
        <w:rPr>
          <w:color w:val="auto"/>
        </w:rPr>
        <w:t xml:space="preserve"> inherent</w:t>
      </w:r>
      <w:r>
        <w:rPr>
          <w:color w:val="auto"/>
        </w:rPr>
        <w:t>ly</w:t>
      </w:r>
      <w:r w:rsidR="00C61313" w:rsidRPr="00EB2326">
        <w:rPr>
          <w:color w:val="auto"/>
        </w:rPr>
        <w:t xml:space="preserve"> </w:t>
      </w:r>
      <w:r w:rsidRPr="00EB2326">
        <w:rPr>
          <w:color w:val="auto"/>
        </w:rPr>
        <w:t>flexibl</w:t>
      </w:r>
      <w:r>
        <w:rPr>
          <w:color w:val="auto"/>
        </w:rPr>
        <w:t>e</w:t>
      </w:r>
      <w:r w:rsidR="00C61313" w:rsidRPr="00EB2326">
        <w:rPr>
          <w:color w:val="auto"/>
        </w:rPr>
        <w:t xml:space="preserve"> </w:t>
      </w:r>
      <w:r w:rsidR="00D07898" w:rsidRPr="00EB2326">
        <w:rPr>
          <w:color w:val="auto"/>
        </w:rPr>
        <w:t xml:space="preserve">ANCP model </w:t>
      </w:r>
      <w:r>
        <w:rPr>
          <w:color w:val="auto"/>
        </w:rPr>
        <w:t>supported</w:t>
      </w:r>
      <w:r w:rsidR="00D07898" w:rsidRPr="00EB2326">
        <w:rPr>
          <w:color w:val="auto"/>
        </w:rPr>
        <w:t xml:space="preserve"> </w:t>
      </w:r>
      <w:r w:rsidR="00C61313" w:rsidRPr="00EB2326">
        <w:rPr>
          <w:color w:val="auto"/>
        </w:rPr>
        <w:t xml:space="preserve">the </w:t>
      </w:r>
      <w:r w:rsidR="00D07898" w:rsidRPr="00EB2326">
        <w:rPr>
          <w:color w:val="auto"/>
        </w:rPr>
        <w:t xml:space="preserve">timely </w:t>
      </w:r>
      <w:r w:rsidR="00C61313" w:rsidRPr="00EB2326">
        <w:rPr>
          <w:color w:val="auto"/>
        </w:rPr>
        <w:t xml:space="preserve">adaptation of existing projects to focus on </w:t>
      </w:r>
      <w:bookmarkStart w:id="0" w:name="_Hlk88640553"/>
      <w:r w:rsidR="00C61313" w:rsidRPr="00F566EC">
        <w:rPr>
          <w:i/>
          <w:iCs/>
          <w:color w:val="auto"/>
          <w:u w:color="0070C0"/>
        </w:rPr>
        <w:t>Partnerships for Recovery</w:t>
      </w:r>
      <w:r w:rsidR="00C61313" w:rsidRPr="00EB2326">
        <w:rPr>
          <w:color w:val="auto"/>
        </w:rPr>
        <w:t xml:space="preserve"> </w:t>
      </w:r>
      <w:bookmarkEnd w:id="0"/>
      <w:r w:rsidR="00C61313" w:rsidRPr="00EB2326">
        <w:rPr>
          <w:color w:val="auto"/>
        </w:rPr>
        <w:t>and COVID-19 activities</w:t>
      </w:r>
      <w:r w:rsidR="00C61313" w:rsidRPr="00886EC6">
        <w:rPr>
          <w:color w:val="auto"/>
        </w:rPr>
        <w:t xml:space="preserve">. </w:t>
      </w:r>
      <w:r w:rsidRPr="00886EC6">
        <w:rPr>
          <w:color w:val="auto"/>
        </w:rPr>
        <w:t xml:space="preserve">This flexibility and support </w:t>
      </w:r>
      <w:r w:rsidR="00EE6BF5" w:rsidRPr="00886EC6">
        <w:rPr>
          <w:color w:val="auto"/>
        </w:rPr>
        <w:t>have</w:t>
      </w:r>
      <w:r w:rsidRPr="00886EC6">
        <w:rPr>
          <w:color w:val="auto"/>
        </w:rPr>
        <w:t xml:space="preserve"> continued into the second year of </w:t>
      </w:r>
      <w:r w:rsidRPr="00886EC6">
        <w:rPr>
          <w:i/>
          <w:iCs/>
          <w:color w:val="auto"/>
        </w:rPr>
        <w:t>Partnerships for Recovery</w:t>
      </w:r>
      <w:r w:rsidR="000E4710" w:rsidRPr="00886EC6">
        <w:rPr>
          <w:color w:val="auto"/>
        </w:rPr>
        <w:t xml:space="preserve">. </w:t>
      </w:r>
      <w:r w:rsidR="00790B10" w:rsidRPr="00886EC6">
        <w:rPr>
          <w:color w:val="auto"/>
        </w:rPr>
        <w:t>For example, i</w:t>
      </w:r>
      <w:r w:rsidR="00A27A85" w:rsidRPr="00886EC6">
        <w:rPr>
          <w:color w:val="auto"/>
        </w:rPr>
        <w:t>n 2020-21 59.4% of all projects specifically respond</w:t>
      </w:r>
      <w:r w:rsidR="00790B10" w:rsidRPr="00886EC6">
        <w:rPr>
          <w:color w:val="auto"/>
        </w:rPr>
        <w:t>ed</w:t>
      </w:r>
      <w:r w:rsidR="00A27A85" w:rsidRPr="00886EC6">
        <w:rPr>
          <w:color w:val="auto"/>
        </w:rPr>
        <w:t xml:space="preserve"> to the challenges of COVID</w:t>
      </w:r>
      <w:r w:rsidR="00A27A85" w:rsidRPr="00886EC6">
        <w:rPr>
          <w:color w:val="auto"/>
        </w:rPr>
        <w:noBreakHyphen/>
        <w:t>19. More broadly, al</w:t>
      </w:r>
      <w:r w:rsidR="00610BDB" w:rsidRPr="00886EC6">
        <w:rPr>
          <w:color w:val="auto"/>
        </w:rPr>
        <w:t>l ANCP pr</w:t>
      </w:r>
      <w:r w:rsidR="00610BDB">
        <w:rPr>
          <w:color w:val="auto"/>
        </w:rPr>
        <w:t xml:space="preserve">ojects aligned with </w:t>
      </w:r>
      <w:r w:rsidR="004A31BA">
        <w:rPr>
          <w:color w:val="auto"/>
        </w:rPr>
        <w:t xml:space="preserve">at least one of </w:t>
      </w:r>
      <w:r w:rsidR="00610BDB">
        <w:rPr>
          <w:color w:val="auto"/>
        </w:rPr>
        <w:t xml:space="preserve">the three pillars of </w:t>
      </w:r>
      <w:r w:rsidR="00610BDB" w:rsidRPr="00610BDB">
        <w:rPr>
          <w:i/>
          <w:iCs/>
          <w:color w:val="auto"/>
        </w:rPr>
        <w:t>Partnerships for Recovery</w:t>
      </w:r>
      <w:r w:rsidR="00610BDB">
        <w:rPr>
          <w:color w:val="auto"/>
        </w:rPr>
        <w:t xml:space="preserve"> with 39% supporting health security, 31% supporting stability and 30% supporting economic recovery. </w:t>
      </w:r>
    </w:p>
    <w:p w14:paraId="5253182A" w14:textId="645322BA" w:rsidR="00641C3E" w:rsidRDefault="00A27A85" w:rsidP="00C61313">
      <w:pPr>
        <w:rPr>
          <w:color w:val="auto"/>
        </w:rPr>
      </w:pPr>
      <w:r>
        <w:rPr>
          <w:color w:val="auto"/>
        </w:rPr>
        <w:t xml:space="preserve">The top five countries for ANCP expenditure on COVID-19 specific activities were Timor-Leste, Laos, Bangladesh, Indonesia and Nepal. </w:t>
      </w:r>
      <w:r w:rsidR="00E34D31">
        <w:rPr>
          <w:color w:val="auto"/>
        </w:rPr>
        <w:t xml:space="preserve">$7.9 million of Australian Government ANCP funding was used </w:t>
      </w:r>
      <w:r w:rsidR="00E469D1">
        <w:rPr>
          <w:color w:val="auto"/>
        </w:rPr>
        <w:t>to support</w:t>
      </w:r>
      <w:r w:rsidR="00E47D18">
        <w:rPr>
          <w:color w:val="auto"/>
        </w:rPr>
        <w:t xml:space="preserve"> </w:t>
      </w:r>
      <w:r>
        <w:rPr>
          <w:color w:val="auto"/>
        </w:rPr>
        <w:t>COVID-19 activities</w:t>
      </w:r>
      <w:r w:rsidR="00E47D18">
        <w:rPr>
          <w:color w:val="auto"/>
        </w:rPr>
        <w:t>, reaching</w:t>
      </w:r>
      <w:r w:rsidR="00E469D1">
        <w:rPr>
          <w:color w:val="auto"/>
        </w:rPr>
        <w:t xml:space="preserve"> over 4 million people</w:t>
      </w:r>
      <w:r w:rsidR="00E34D31">
        <w:rPr>
          <w:color w:val="auto"/>
        </w:rPr>
        <w:t xml:space="preserve">. </w:t>
      </w:r>
    </w:p>
    <w:p w14:paraId="1EA5DEA3" w14:textId="58D2ECAE" w:rsidR="00110C57" w:rsidRPr="00EB2326" w:rsidRDefault="00F06BC4" w:rsidP="00C61313">
      <w:pPr>
        <w:rPr>
          <w:color w:val="auto"/>
        </w:rPr>
      </w:pPr>
      <w:r w:rsidRPr="00EB2326">
        <w:rPr>
          <w:rFonts w:eastAsia="Times New Roman"/>
          <w:color w:val="auto"/>
        </w:rPr>
        <w:t>In 20</w:t>
      </w:r>
      <w:r w:rsidR="006E28CF" w:rsidRPr="00EB2326">
        <w:rPr>
          <w:rFonts w:eastAsia="Times New Roman"/>
          <w:color w:val="auto"/>
        </w:rPr>
        <w:t>20-21</w:t>
      </w:r>
      <w:r w:rsidRPr="00EB2326">
        <w:rPr>
          <w:rFonts w:eastAsia="Times New Roman"/>
          <w:color w:val="auto"/>
        </w:rPr>
        <w:t>, ANCP supported:</w:t>
      </w:r>
    </w:p>
    <w:p w14:paraId="28BC6EBA" w14:textId="77777777" w:rsidR="00B84926" w:rsidRPr="00EB2326" w:rsidRDefault="0003405F" w:rsidP="00B84926">
      <w:pPr>
        <w:rPr>
          <w:color w:val="auto"/>
        </w:rPr>
      </w:pPr>
      <w:r w:rsidRPr="00EB2326">
        <w:rPr>
          <w:noProof/>
          <w:color w:val="auto"/>
          <w:lang w:val="en-AU" w:eastAsia="en-AU"/>
        </w:rPr>
        <w:drawing>
          <wp:anchor distT="0" distB="0" distL="114300" distR="114300" simplePos="0" relativeHeight="251671552" behindDoc="1" locked="0" layoutInCell="1" allowOverlap="1" wp14:anchorId="448173F5" wp14:editId="10300086">
            <wp:simplePos x="0" y="0"/>
            <wp:positionH relativeFrom="column">
              <wp:posOffset>3810</wp:posOffset>
            </wp:positionH>
            <wp:positionV relativeFrom="paragraph">
              <wp:posOffset>89535</wp:posOffset>
            </wp:positionV>
            <wp:extent cx="615600" cy="597600"/>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6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F7A93" w14:textId="4308FE7C" w:rsidR="0003405F" w:rsidRPr="00EB2326" w:rsidRDefault="0003405F" w:rsidP="00B84926">
      <w:pPr>
        <w:ind w:left="1440"/>
        <w:rPr>
          <w:color w:val="auto"/>
        </w:rPr>
      </w:pPr>
      <w:r w:rsidRPr="00EB2326">
        <w:rPr>
          <w:color w:val="auto"/>
        </w:rPr>
        <w:t>$13</w:t>
      </w:r>
      <w:r w:rsidR="00387404" w:rsidRPr="00EB2326">
        <w:rPr>
          <w:color w:val="auto"/>
        </w:rPr>
        <w:t>2.9</w:t>
      </w:r>
      <w:r w:rsidRPr="00EB2326">
        <w:rPr>
          <w:color w:val="auto"/>
        </w:rPr>
        <w:t xml:space="preserve"> million in grants to NGOs + additional $</w:t>
      </w:r>
      <w:r w:rsidR="00F72015" w:rsidRPr="00EB2326">
        <w:rPr>
          <w:color w:val="auto"/>
        </w:rPr>
        <w:t>21.44</w:t>
      </w:r>
      <w:r w:rsidRPr="00EB2326">
        <w:rPr>
          <w:color w:val="auto"/>
        </w:rPr>
        <w:t xml:space="preserve"> million from NGO contributions +</w:t>
      </w:r>
      <w:r w:rsidR="00F34257" w:rsidRPr="00EB2326">
        <w:rPr>
          <w:color w:val="auto"/>
        </w:rPr>
        <w:br/>
      </w:r>
      <w:r w:rsidRPr="00EB2326">
        <w:rPr>
          <w:color w:val="auto"/>
        </w:rPr>
        <w:t>$</w:t>
      </w:r>
      <w:r w:rsidR="002A6E9E" w:rsidRPr="00EB2326">
        <w:rPr>
          <w:color w:val="auto"/>
        </w:rPr>
        <w:t>21.47</w:t>
      </w:r>
      <w:r w:rsidR="00F06BC4" w:rsidRPr="00EB2326">
        <w:rPr>
          <w:color w:val="auto"/>
        </w:rPr>
        <w:t xml:space="preserve"> </w:t>
      </w:r>
      <w:r w:rsidRPr="00EB2326">
        <w:rPr>
          <w:color w:val="auto"/>
        </w:rPr>
        <w:t xml:space="preserve">million in leveraged funds </w:t>
      </w:r>
    </w:p>
    <w:p w14:paraId="1D180237" w14:textId="756E359F" w:rsidR="0003405F" w:rsidRPr="00EB2326" w:rsidRDefault="0003405F" w:rsidP="00C61313">
      <w:pPr>
        <w:rPr>
          <w:color w:val="auto"/>
        </w:rPr>
      </w:pPr>
    </w:p>
    <w:p w14:paraId="200BFF3D" w14:textId="4163563E" w:rsidR="0003405F" w:rsidRPr="00EB2326" w:rsidRDefault="0003405F" w:rsidP="00B84926">
      <w:pPr>
        <w:ind w:left="720" w:firstLine="720"/>
        <w:rPr>
          <w:color w:val="auto"/>
        </w:rPr>
      </w:pPr>
      <w:r w:rsidRPr="00EB2326">
        <w:rPr>
          <w:noProof/>
          <w:color w:val="auto"/>
          <w:lang w:val="en-AU" w:eastAsia="en-AU"/>
        </w:rPr>
        <w:drawing>
          <wp:anchor distT="0" distB="0" distL="114300" distR="114300" simplePos="0" relativeHeight="251672576" behindDoc="1" locked="0" layoutInCell="1" allowOverlap="1" wp14:anchorId="76534962" wp14:editId="5D5BE168">
            <wp:simplePos x="0" y="0"/>
            <wp:positionH relativeFrom="column">
              <wp:posOffset>3810</wp:posOffset>
            </wp:positionH>
            <wp:positionV relativeFrom="paragraph">
              <wp:posOffset>36195</wp:posOffset>
            </wp:positionV>
            <wp:extent cx="659130" cy="573577"/>
            <wp:effectExtent l="0" t="0" r="762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299"/>
                    <a:stretch/>
                  </pic:blipFill>
                  <pic:spPr bwMode="auto">
                    <a:xfrm>
                      <a:off x="0" y="0"/>
                      <a:ext cx="659130" cy="5735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2326">
        <w:rPr>
          <w:color w:val="auto"/>
        </w:rPr>
        <w:t>57 Accredited Australian NGOs worked with over 2</w:t>
      </w:r>
      <w:r w:rsidR="00F72015" w:rsidRPr="00EB2326">
        <w:rPr>
          <w:color w:val="auto"/>
        </w:rPr>
        <w:t>5</w:t>
      </w:r>
      <w:r w:rsidRPr="00EB2326">
        <w:rPr>
          <w:color w:val="auto"/>
        </w:rPr>
        <w:t xml:space="preserve">00 local partners </w:t>
      </w:r>
    </w:p>
    <w:p w14:paraId="64055B5D" w14:textId="4D653FB8" w:rsidR="0003405F" w:rsidRPr="00EB2326" w:rsidRDefault="0003405F" w:rsidP="00C61313">
      <w:pPr>
        <w:rPr>
          <w:color w:val="auto"/>
        </w:rPr>
      </w:pPr>
    </w:p>
    <w:p w14:paraId="39F9E5DE" w14:textId="77777777" w:rsidR="0003405F" w:rsidRPr="00EB2326" w:rsidRDefault="0003405F" w:rsidP="00C61313">
      <w:pPr>
        <w:rPr>
          <w:noProof/>
          <w:color w:val="auto"/>
          <w:sz w:val="20"/>
          <w:szCs w:val="20"/>
          <w:lang w:val="en-AU" w:eastAsia="en-AU"/>
        </w:rPr>
      </w:pPr>
    </w:p>
    <w:p w14:paraId="404A6629" w14:textId="5833E6BB" w:rsidR="0003405F" w:rsidRPr="00EB2326" w:rsidRDefault="0003405F" w:rsidP="00225DD3">
      <w:pPr>
        <w:ind w:left="1440"/>
        <w:rPr>
          <w:color w:val="auto"/>
        </w:rPr>
      </w:pPr>
      <w:r w:rsidRPr="00EB2326">
        <w:rPr>
          <w:noProof/>
          <w:color w:val="auto"/>
          <w:sz w:val="20"/>
          <w:szCs w:val="20"/>
          <w:lang w:val="en-AU" w:eastAsia="en-AU"/>
        </w:rPr>
        <w:drawing>
          <wp:anchor distT="0" distB="0" distL="114300" distR="114300" simplePos="0" relativeHeight="251674624" behindDoc="1" locked="0" layoutInCell="1" allowOverlap="1" wp14:anchorId="4616677A" wp14:editId="28E33850">
            <wp:simplePos x="0" y="0"/>
            <wp:positionH relativeFrom="column">
              <wp:posOffset>3810</wp:posOffset>
            </wp:positionH>
            <wp:positionV relativeFrom="paragraph">
              <wp:posOffset>34925</wp:posOffset>
            </wp:positionV>
            <wp:extent cx="520996" cy="520996"/>
            <wp:effectExtent l="0" t="0" r="0" b="0"/>
            <wp:wrapNone/>
            <wp:docPr id="262" name="Picture 261">
              <a:extLst xmlns:a="http://schemas.openxmlformats.org/drawingml/2006/main">
                <a:ext uri="{FF2B5EF4-FFF2-40B4-BE49-F238E27FC236}">
                  <a16:creationId xmlns:a16="http://schemas.microsoft.com/office/drawing/2014/main" id="{EB7F3FCF-ECAB-4E29-B6AA-12967803860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1">
                      <a:extLst>
                        <a:ext uri="{FF2B5EF4-FFF2-40B4-BE49-F238E27FC236}">
                          <a16:creationId xmlns:a16="http://schemas.microsoft.com/office/drawing/2014/main" id="{EB7F3FCF-ECAB-4E29-B6AA-129678038602}"/>
                        </a:ext>
                        <a:ext uri="{C183D7F6-B498-43B3-948B-1728B52AA6E4}">
                          <adec:decorative xmlns:adec="http://schemas.microsoft.com/office/drawing/2017/decorative" val="1"/>
                        </a:ext>
                      </a:extLst>
                    </pic:cNvPr>
                    <pic:cNvPicPr>
                      <a:picLocks noChangeAspect="1"/>
                    </pic:cNvPicPr>
                  </pic:nvPicPr>
                  <pic:blipFill>
                    <a:blip r:embed="rId11" cstate="print">
                      <a:duotone>
                        <a:schemeClr val="bg2">
                          <a:shade val="45000"/>
                          <a:satMod val="135000"/>
                        </a:schemeClr>
                        <a:prstClr val="white"/>
                      </a:duotone>
                      <a:extLst>
                        <a:ext uri="{BEBA8EAE-BF5A-486C-A8C5-ECC9F3942E4B}">
                          <a14:imgProps xmlns:a14="http://schemas.microsoft.com/office/drawing/2010/main">
                            <a14:imgLayer r:embed="rId12">
                              <a14:imgEffect>
                                <a14:colorTemperature colorTemp="15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20996" cy="520996"/>
                    </a:xfrm>
                    <a:prstGeom prst="rect">
                      <a:avLst/>
                    </a:prstGeom>
                    <a:noFill/>
                  </pic:spPr>
                </pic:pic>
              </a:graphicData>
            </a:graphic>
            <wp14:sizeRelH relativeFrom="page">
              <wp14:pctWidth>0</wp14:pctWidth>
            </wp14:sizeRelH>
            <wp14:sizeRelV relativeFrom="page">
              <wp14:pctHeight>0</wp14:pctHeight>
            </wp14:sizeRelV>
          </wp:anchor>
        </w:drawing>
      </w:r>
      <w:r w:rsidR="00E92EA2">
        <w:rPr>
          <w:color w:val="auto"/>
        </w:rPr>
        <w:t>Nine</w:t>
      </w:r>
      <w:r w:rsidR="007107C0" w:rsidRPr="00EB2326">
        <w:rPr>
          <w:color w:val="auto"/>
        </w:rPr>
        <w:t xml:space="preserve"> million project participants. </w:t>
      </w:r>
      <w:r w:rsidR="00553AB7" w:rsidRPr="00EB2326">
        <w:rPr>
          <w:color w:val="auto"/>
        </w:rPr>
        <w:t>52.</w:t>
      </w:r>
      <w:r w:rsidR="00260B93">
        <w:rPr>
          <w:color w:val="auto"/>
        </w:rPr>
        <w:t>4</w:t>
      </w:r>
      <w:r w:rsidR="007107C0" w:rsidRPr="00EB2326">
        <w:rPr>
          <w:color w:val="auto"/>
        </w:rPr>
        <w:t xml:space="preserve">% women and girls and </w:t>
      </w:r>
      <w:r w:rsidR="00553AB7" w:rsidRPr="00EB2326">
        <w:rPr>
          <w:color w:val="auto"/>
        </w:rPr>
        <w:t>5.8</w:t>
      </w:r>
      <w:r w:rsidR="007107C0" w:rsidRPr="00EB2326">
        <w:rPr>
          <w:color w:val="auto"/>
        </w:rPr>
        <w:t>% people with disability</w:t>
      </w:r>
    </w:p>
    <w:p w14:paraId="298B65A4" w14:textId="640B43ED" w:rsidR="0003405F" w:rsidRPr="00EB2326" w:rsidRDefault="0003405F" w:rsidP="00C61313">
      <w:pPr>
        <w:rPr>
          <w:color w:val="auto"/>
        </w:rPr>
      </w:pPr>
    </w:p>
    <w:p w14:paraId="725871AB" w14:textId="77777777" w:rsidR="0003405F" w:rsidRPr="00EB2326" w:rsidRDefault="0003405F" w:rsidP="00C61313">
      <w:pPr>
        <w:rPr>
          <w:noProof/>
          <w:color w:val="auto"/>
          <w:lang w:val="en-AU" w:eastAsia="en-AU"/>
        </w:rPr>
      </w:pPr>
    </w:p>
    <w:p w14:paraId="1F39D696" w14:textId="796F67DA" w:rsidR="0003405F" w:rsidRPr="00EB2326" w:rsidRDefault="0003405F" w:rsidP="00C61313">
      <w:pPr>
        <w:rPr>
          <w:color w:val="auto"/>
        </w:rPr>
      </w:pPr>
      <w:r w:rsidRPr="00EB2326">
        <w:rPr>
          <w:noProof/>
          <w:color w:val="auto"/>
          <w:lang w:val="en-AU" w:eastAsia="en-AU"/>
        </w:rPr>
        <w:drawing>
          <wp:anchor distT="0" distB="0" distL="114300" distR="114300" simplePos="0" relativeHeight="251673600" behindDoc="1" locked="0" layoutInCell="1" allowOverlap="1" wp14:anchorId="10BAFE85" wp14:editId="0E957365">
            <wp:simplePos x="0" y="0"/>
            <wp:positionH relativeFrom="column">
              <wp:posOffset>3810</wp:posOffset>
            </wp:positionH>
            <wp:positionV relativeFrom="paragraph">
              <wp:posOffset>41910</wp:posOffset>
            </wp:positionV>
            <wp:extent cx="622598" cy="584790"/>
            <wp:effectExtent l="0" t="0" r="6350" b="635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4461" t="-105" r="-3023" b="-852"/>
                    <a:stretch/>
                  </pic:blipFill>
                  <pic:spPr bwMode="auto">
                    <a:xfrm>
                      <a:off x="0" y="0"/>
                      <a:ext cx="622598" cy="58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7C0" w:rsidRPr="00EB2326">
        <w:rPr>
          <w:color w:val="auto"/>
        </w:rPr>
        <w:tab/>
      </w:r>
      <w:r w:rsidR="007107C0" w:rsidRPr="00EB2326">
        <w:rPr>
          <w:color w:val="auto"/>
        </w:rPr>
        <w:tab/>
        <w:t>4</w:t>
      </w:r>
      <w:r w:rsidR="00F70001" w:rsidRPr="00EB2326">
        <w:rPr>
          <w:color w:val="auto"/>
        </w:rPr>
        <w:t>06</w:t>
      </w:r>
      <w:r w:rsidR="007107C0" w:rsidRPr="00EB2326">
        <w:rPr>
          <w:color w:val="auto"/>
        </w:rPr>
        <w:t xml:space="preserve"> project</w:t>
      </w:r>
      <w:r w:rsidR="000E4710">
        <w:rPr>
          <w:color w:val="auto"/>
        </w:rPr>
        <w:t>s</w:t>
      </w:r>
      <w:r w:rsidR="007107C0" w:rsidRPr="00EB2326">
        <w:rPr>
          <w:color w:val="auto"/>
        </w:rPr>
        <w:t xml:space="preserve"> in </w:t>
      </w:r>
      <w:r w:rsidR="00832FEA" w:rsidRPr="00EB2326">
        <w:rPr>
          <w:color w:val="auto"/>
        </w:rPr>
        <w:t>5</w:t>
      </w:r>
      <w:r w:rsidR="00F40C75" w:rsidRPr="00EB2326">
        <w:rPr>
          <w:color w:val="auto"/>
        </w:rPr>
        <w:t>0</w:t>
      </w:r>
      <w:r w:rsidR="007107C0" w:rsidRPr="00EB2326">
        <w:rPr>
          <w:color w:val="auto"/>
        </w:rPr>
        <w:t xml:space="preserve"> countries. </w:t>
      </w:r>
      <w:r w:rsidR="00EB2326" w:rsidRPr="00EB2326">
        <w:rPr>
          <w:color w:val="auto"/>
        </w:rPr>
        <w:t>7</w:t>
      </w:r>
      <w:r w:rsidR="0041136A">
        <w:rPr>
          <w:color w:val="auto"/>
        </w:rPr>
        <w:t>5</w:t>
      </w:r>
      <w:r w:rsidR="00EB2326" w:rsidRPr="00EB2326">
        <w:rPr>
          <w:color w:val="auto"/>
        </w:rPr>
        <w:t>.</w:t>
      </w:r>
      <w:r w:rsidR="00260B93">
        <w:rPr>
          <w:color w:val="auto"/>
        </w:rPr>
        <w:t>3</w:t>
      </w:r>
      <w:r w:rsidR="007107C0" w:rsidRPr="00EB2326">
        <w:rPr>
          <w:color w:val="auto"/>
        </w:rPr>
        <w:t>% expenditure in Indo-Pacific</w:t>
      </w:r>
    </w:p>
    <w:p w14:paraId="34520EC2" w14:textId="77777777" w:rsidR="00EC2B00" w:rsidRPr="00EB2326" w:rsidRDefault="00EC2B00" w:rsidP="00C61313">
      <w:pPr>
        <w:rPr>
          <w:color w:val="auto"/>
        </w:rPr>
      </w:pPr>
    </w:p>
    <w:p w14:paraId="21E5AE4F" w14:textId="3ABC3521" w:rsidR="00E47D18" w:rsidRDefault="004D7873">
      <w:pPr>
        <w:suppressAutoHyphens w:val="0"/>
        <w:spacing w:before="0" w:after="120" w:line="440" w:lineRule="atLeast"/>
        <w:rPr>
          <w:noProof/>
        </w:rPr>
      </w:pPr>
      <w:r>
        <w:rPr>
          <w:noProof/>
        </w:rPr>
        <w:lastRenderedPageBreak/>
        <w:drawing>
          <wp:inline distT="0" distB="0" distL="0" distR="0" wp14:anchorId="6E42CA9D" wp14:editId="4EFF0167">
            <wp:extent cx="6029325" cy="3819525"/>
            <wp:effectExtent l="19050" t="19050" r="28575" b="28575"/>
            <wp:docPr id="6" name="Picture 6" descr="A map of the world showing the percentage of ANCP funds spent in each region. The breakdown is: 0.19% Latin America and the Caribbean; 21.5% Africa, 3.04% Middle East; 24.49% South and West Asia; 34.27% South East and East Asia and 16.5% Pacific.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A map of the world showing the percentage of ANCP funds spent in each region. The breakdown is: 0.19% Latin America and the Caribbean; 21.5% Africa, 3.04% Middle East; 24.49% South and West Asia; 34.27% South East and East Asia and 16.5% Pacific. "/>
                    <pic:cNvPicPr preferRelativeResize="0"/>
                  </pic:nvPicPr>
                  <pic:blipFill rotWithShape="1">
                    <a:blip r:embed="rId15"/>
                    <a:srcRect l="17275" t="20684" r="18136" b="4315"/>
                    <a:stretch/>
                  </pic:blipFill>
                  <pic:spPr bwMode="auto">
                    <a:xfrm>
                      <a:off x="0" y="0"/>
                      <a:ext cx="6029955" cy="381992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5C5EF8" w14:textId="197AFBC3" w:rsidR="00481A65" w:rsidRPr="00EB2326" w:rsidRDefault="00641C3E" w:rsidP="00074CE2">
      <w:pPr>
        <w:pStyle w:val="Heading3"/>
        <w:spacing w:before="360"/>
        <w:rPr>
          <w:color w:val="auto"/>
        </w:rPr>
      </w:pPr>
      <w:r>
        <w:rPr>
          <w:color w:val="auto"/>
        </w:rPr>
        <w:t>P</w:t>
      </w:r>
      <w:r w:rsidR="00083F49" w:rsidRPr="00EB2326">
        <w:rPr>
          <w:color w:val="auto"/>
        </w:rPr>
        <w:t xml:space="preserve">artnerships for Recovery Pillar 1: </w:t>
      </w:r>
      <w:r w:rsidR="00481A65" w:rsidRPr="00EB2326">
        <w:rPr>
          <w:color w:val="auto"/>
        </w:rPr>
        <w:t>Health Security</w:t>
      </w:r>
    </w:p>
    <w:p w14:paraId="78C3821E" w14:textId="2E17E0D8" w:rsidR="00A749BC" w:rsidRDefault="00481A65" w:rsidP="00110C57">
      <w:pPr>
        <w:keepNext/>
        <w:keepLines/>
        <w:rPr>
          <w:color w:val="auto"/>
        </w:rPr>
      </w:pPr>
      <w:r w:rsidRPr="00EB2326">
        <w:rPr>
          <w:color w:val="auto"/>
        </w:rPr>
        <w:t>In 20</w:t>
      </w:r>
      <w:r w:rsidR="00F72015" w:rsidRPr="00EB2326">
        <w:rPr>
          <w:color w:val="auto"/>
        </w:rPr>
        <w:t>20-21</w:t>
      </w:r>
      <w:r w:rsidRPr="00EB2326">
        <w:rPr>
          <w:color w:val="auto"/>
        </w:rPr>
        <w:t xml:space="preserve">, </w:t>
      </w:r>
      <w:r w:rsidR="001B5042" w:rsidRPr="00EB2326">
        <w:rPr>
          <w:color w:val="auto"/>
        </w:rPr>
        <w:t>156</w:t>
      </w:r>
      <w:r w:rsidRPr="00EB2326">
        <w:rPr>
          <w:color w:val="auto"/>
        </w:rPr>
        <w:t xml:space="preserve"> ANCP projects </w:t>
      </w:r>
      <w:r w:rsidR="009D0328" w:rsidRPr="00EB2326">
        <w:rPr>
          <w:color w:val="auto"/>
        </w:rPr>
        <w:t>supported</w:t>
      </w:r>
      <w:r w:rsidRPr="00EB2326">
        <w:rPr>
          <w:color w:val="auto"/>
        </w:rPr>
        <w:t xml:space="preserve"> communities and leaders to </w:t>
      </w:r>
      <w:r w:rsidR="00153910" w:rsidRPr="00EB2326">
        <w:rPr>
          <w:color w:val="auto"/>
        </w:rPr>
        <w:t xml:space="preserve">address </w:t>
      </w:r>
      <w:r w:rsidR="00790B10">
        <w:rPr>
          <w:color w:val="auto"/>
        </w:rPr>
        <w:t>health security</w:t>
      </w:r>
      <w:r w:rsidRPr="00EB2326">
        <w:rPr>
          <w:color w:val="auto"/>
        </w:rPr>
        <w:t xml:space="preserve"> risk</w:t>
      </w:r>
      <w:r w:rsidR="00223263">
        <w:rPr>
          <w:color w:val="auto"/>
        </w:rPr>
        <w:t>s</w:t>
      </w:r>
      <w:r w:rsidRPr="00EB2326">
        <w:rPr>
          <w:color w:val="auto"/>
        </w:rPr>
        <w:t xml:space="preserve"> </w:t>
      </w:r>
      <w:r w:rsidR="00550624" w:rsidRPr="00EB2326">
        <w:rPr>
          <w:color w:val="auto"/>
        </w:rPr>
        <w:t>and impact</w:t>
      </w:r>
      <w:r w:rsidR="00223263">
        <w:rPr>
          <w:color w:val="auto"/>
        </w:rPr>
        <w:t>s</w:t>
      </w:r>
      <w:r w:rsidR="00550624" w:rsidRPr="00EB2326">
        <w:rPr>
          <w:color w:val="auto"/>
        </w:rPr>
        <w:t xml:space="preserve"> </w:t>
      </w:r>
      <w:r w:rsidRPr="00EB2326">
        <w:rPr>
          <w:color w:val="auto"/>
        </w:rPr>
        <w:t>of COVID-</w:t>
      </w:r>
      <w:r w:rsidR="00153910" w:rsidRPr="00EB2326">
        <w:rPr>
          <w:color w:val="auto"/>
        </w:rPr>
        <w:t>19</w:t>
      </w:r>
      <w:r w:rsidRPr="00EB2326">
        <w:rPr>
          <w:color w:val="auto"/>
        </w:rPr>
        <w:t>.</w:t>
      </w:r>
      <w:r w:rsidR="009A59B2" w:rsidRPr="00EB2326">
        <w:rPr>
          <w:color w:val="auto"/>
        </w:rPr>
        <w:t xml:space="preserve"> </w:t>
      </w:r>
      <w:r w:rsidR="00084E2D" w:rsidRPr="00EB2326">
        <w:rPr>
          <w:color w:val="auto"/>
        </w:rPr>
        <w:t>C</w:t>
      </w:r>
      <w:r w:rsidR="00D53741" w:rsidRPr="00EB2326">
        <w:rPr>
          <w:color w:val="auto"/>
        </w:rPr>
        <w:t>ommon COVID-19 response activities included</w:t>
      </w:r>
      <w:r w:rsidR="00E34D31">
        <w:rPr>
          <w:color w:val="auto"/>
        </w:rPr>
        <w:t xml:space="preserve"> the</w:t>
      </w:r>
      <w:r w:rsidR="00D53741" w:rsidRPr="00EB2326">
        <w:rPr>
          <w:color w:val="auto"/>
        </w:rPr>
        <w:t xml:space="preserve"> delivery of one-way messaging on COVID-19</w:t>
      </w:r>
      <w:r w:rsidR="00EE6BF5">
        <w:rPr>
          <w:color w:val="auto"/>
        </w:rPr>
        <w:t>,</w:t>
      </w:r>
      <w:r w:rsidR="00E34D31" w:rsidRPr="00E34D31">
        <w:rPr>
          <w:color w:val="auto"/>
        </w:rPr>
        <w:t xml:space="preserve"> </w:t>
      </w:r>
      <w:r w:rsidR="00E34D31" w:rsidRPr="00EB2326">
        <w:rPr>
          <w:color w:val="auto"/>
        </w:rPr>
        <w:t>the provision of P</w:t>
      </w:r>
      <w:r w:rsidR="007325FC">
        <w:rPr>
          <w:color w:val="auto"/>
        </w:rPr>
        <w:t>erson</w:t>
      </w:r>
      <w:r w:rsidR="00851149">
        <w:rPr>
          <w:color w:val="auto"/>
        </w:rPr>
        <w:t>a</w:t>
      </w:r>
      <w:r w:rsidR="007325FC">
        <w:rPr>
          <w:color w:val="auto"/>
        </w:rPr>
        <w:t>l Protective Equipment (P</w:t>
      </w:r>
      <w:r w:rsidR="00E34D31" w:rsidRPr="00EB2326">
        <w:rPr>
          <w:color w:val="auto"/>
        </w:rPr>
        <w:t>PE</w:t>
      </w:r>
      <w:r w:rsidR="007325FC">
        <w:rPr>
          <w:color w:val="auto"/>
        </w:rPr>
        <w:t xml:space="preserve">) </w:t>
      </w:r>
      <w:r w:rsidR="00D53741" w:rsidRPr="00EB2326">
        <w:rPr>
          <w:color w:val="auto"/>
        </w:rPr>
        <w:t>and the supply of handwashing facilities to households.</w:t>
      </w:r>
      <w:r w:rsidR="009A59B2" w:rsidRPr="00EB2326">
        <w:rPr>
          <w:color w:val="auto"/>
        </w:rPr>
        <w:t xml:space="preserve"> </w:t>
      </w:r>
    </w:p>
    <w:p w14:paraId="4EB41374" w14:textId="7B2DC45E" w:rsidR="00481A65" w:rsidRPr="00EB2326" w:rsidRDefault="00481A65" w:rsidP="00110C57">
      <w:pPr>
        <w:keepNext/>
        <w:keepLines/>
        <w:rPr>
          <w:color w:val="auto"/>
        </w:rPr>
      </w:pPr>
      <w:r w:rsidRPr="00EB2326">
        <w:rPr>
          <w:color w:val="auto"/>
        </w:rPr>
        <w:t>In 20</w:t>
      </w:r>
      <w:r w:rsidR="00AD2A2F" w:rsidRPr="00EB2326">
        <w:rPr>
          <w:color w:val="auto"/>
        </w:rPr>
        <w:t>20-21</w:t>
      </w:r>
      <w:r w:rsidR="0056773F">
        <w:rPr>
          <w:color w:val="auto"/>
        </w:rPr>
        <w:t xml:space="preserve"> ANCP supported the following</w:t>
      </w:r>
      <w:r w:rsidRPr="00EB2326">
        <w:rPr>
          <w:color w:val="auto"/>
        </w:rPr>
        <w:t>:</w:t>
      </w:r>
    </w:p>
    <w:p w14:paraId="5C98C277" w14:textId="753BF5AC" w:rsidR="00FB61F3" w:rsidRPr="008B5F14" w:rsidRDefault="00A709DA" w:rsidP="00BF4650">
      <w:pPr>
        <w:pStyle w:val="ListParagraph"/>
        <w:numPr>
          <w:ilvl w:val="0"/>
          <w:numId w:val="11"/>
        </w:numPr>
        <w:ind w:left="567" w:hanging="425"/>
        <w:rPr>
          <w:color w:val="auto"/>
        </w:rPr>
      </w:pPr>
      <w:r w:rsidRPr="00EB2326">
        <w:rPr>
          <w:color w:val="auto"/>
        </w:rPr>
        <w:t xml:space="preserve">6,979,396 people </w:t>
      </w:r>
      <w:r w:rsidR="004D7873">
        <w:rPr>
          <w:color w:val="auto"/>
        </w:rPr>
        <w:t xml:space="preserve">were </w:t>
      </w:r>
      <w:r w:rsidRPr="00EB2326">
        <w:rPr>
          <w:color w:val="auto"/>
        </w:rPr>
        <w:t>targeted through one-way messaging on COVID-19 prevention and access to services (32.8% women and girls and 0.6% people with disabilities) up from 4</w:t>
      </w:r>
      <w:r w:rsidR="00196FFE" w:rsidRPr="00EB2326">
        <w:rPr>
          <w:color w:val="auto"/>
        </w:rPr>
        <w:t>,</w:t>
      </w:r>
      <w:r w:rsidRPr="00EB2326">
        <w:rPr>
          <w:color w:val="auto"/>
        </w:rPr>
        <w:t xml:space="preserve">171,431 in 2019-20 </w:t>
      </w:r>
      <w:r w:rsidR="008F0590">
        <w:rPr>
          <w:color w:val="auto"/>
        </w:rPr>
        <w:t>(</w:t>
      </w:r>
      <w:r w:rsidR="006F7BD2">
        <w:rPr>
          <w:color w:val="auto"/>
        </w:rPr>
        <w:t xml:space="preserve">ANCP </w:t>
      </w:r>
      <w:r w:rsidR="008F0590">
        <w:rPr>
          <w:color w:val="auto"/>
        </w:rPr>
        <w:t>Indicator H.08</w:t>
      </w:r>
      <w:r w:rsidR="006F7BD2" w:rsidRPr="008B5F14">
        <w:rPr>
          <w:color w:val="auto"/>
        </w:rPr>
        <w:t>, Tier 2 Indicator</w:t>
      </w:r>
      <w:r w:rsidR="008F0590" w:rsidRPr="008B5F14">
        <w:rPr>
          <w:color w:val="auto"/>
        </w:rPr>
        <w:t>)</w:t>
      </w:r>
    </w:p>
    <w:p w14:paraId="6D5B2E4B" w14:textId="4D5F9CA1" w:rsidR="00481A65" w:rsidRPr="00EB2326" w:rsidRDefault="00B647D0" w:rsidP="00BF4650">
      <w:pPr>
        <w:pStyle w:val="ListParagraph"/>
        <w:numPr>
          <w:ilvl w:val="0"/>
          <w:numId w:val="11"/>
        </w:numPr>
        <w:ind w:left="567" w:hanging="425"/>
        <w:rPr>
          <w:color w:val="auto"/>
        </w:rPr>
      </w:pPr>
      <w:r w:rsidRPr="008B5F14">
        <w:rPr>
          <w:color w:val="auto"/>
        </w:rPr>
        <w:t>438,065</w:t>
      </w:r>
      <w:r w:rsidR="00481A65" w:rsidRPr="008B5F14">
        <w:rPr>
          <w:color w:val="auto"/>
        </w:rPr>
        <w:t xml:space="preserve"> people </w:t>
      </w:r>
      <w:r w:rsidR="004D7873" w:rsidRPr="008B5F14">
        <w:rPr>
          <w:color w:val="auto"/>
        </w:rPr>
        <w:t xml:space="preserve">were </w:t>
      </w:r>
      <w:r w:rsidR="00481A65" w:rsidRPr="008B5F14">
        <w:rPr>
          <w:color w:val="auto"/>
        </w:rPr>
        <w:t>reached through intera</w:t>
      </w:r>
      <w:r w:rsidR="00481A65" w:rsidRPr="00EB2326">
        <w:rPr>
          <w:color w:val="auto"/>
        </w:rPr>
        <w:t>ctive events or sessions related to COVID-19 public health measures (6</w:t>
      </w:r>
      <w:r w:rsidR="00241C1F" w:rsidRPr="00EB2326">
        <w:rPr>
          <w:color w:val="auto"/>
        </w:rPr>
        <w:t>3.7</w:t>
      </w:r>
      <w:r w:rsidR="00481A65" w:rsidRPr="00EB2326">
        <w:rPr>
          <w:color w:val="auto"/>
        </w:rPr>
        <w:t>% women and girls and 3.</w:t>
      </w:r>
      <w:r w:rsidR="00241C1F" w:rsidRPr="00EB2326">
        <w:rPr>
          <w:color w:val="auto"/>
        </w:rPr>
        <w:t>7</w:t>
      </w:r>
      <w:r w:rsidR="00481A65" w:rsidRPr="00EB2326">
        <w:rPr>
          <w:color w:val="auto"/>
        </w:rPr>
        <w:t>% people with disabilities)</w:t>
      </w:r>
      <w:r w:rsidRPr="00EB2326">
        <w:rPr>
          <w:color w:val="auto"/>
        </w:rPr>
        <w:t xml:space="preserve"> down from 1,048,423 in 2019-20</w:t>
      </w:r>
      <w:r w:rsidR="008F0590">
        <w:rPr>
          <w:color w:val="auto"/>
        </w:rPr>
        <w:t xml:space="preserve"> (</w:t>
      </w:r>
      <w:r w:rsidR="006F7BD2">
        <w:rPr>
          <w:color w:val="auto"/>
        </w:rPr>
        <w:t xml:space="preserve">ANCP </w:t>
      </w:r>
      <w:r w:rsidR="008F0590">
        <w:rPr>
          <w:color w:val="auto"/>
        </w:rPr>
        <w:t>Indicator H.09</w:t>
      </w:r>
      <w:r w:rsidR="006F7BD2">
        <w:rPr>
          <w:color w:val="auto"/>
        </w:rPr>
        <w:t>, Tier 2 Indicator</w:t>
      </w:r>
      <w:r w:rsidR="008F0590">
        <w:rPr>
          <w:color w:val="auto"/>
        </w:rPr>
        <w:t>)</w:t>
      </w:r>
    </w:p>
    <w:p w14:paraId="5E0BD553" w14:textId="678802EB" w:rsidR="00481A65" w:rsidRPr="00EB2326" w:rsidRDefault="00B647D0" w:rsidP="00BF4650">
      <w:pPr>
        <w:pStyle w:val="ListParagraph"/>
        <w:numPr>
          <w:ilvl w:val="0"/>
          <w:numId w:val="11"/>
        </w:numPr>
        <w:ind w:left="567" w:hanging="425"/>
        <w:rPr>
          <w:color w:val="auto"/>
        </w:rPr>
      </w:pPr>
      <w:r w:rsidRPr="00EB2326">
        <w:rPr>
          <w:color w:val="auto"/>
        </w:rPr>
        <w:t>1,175,725</w:t>
      </w:r>
      <w:r w:rsidR="00481A65" w:rsidRPr="00EB2326">
        <w:rPr>
          <w:color w:val="auto"/>
        </w:rPr>
        <w:t xml:space="preserve"> items of PPE </w:t>
      </w:r>
      <w:r w:rsidR="004D7873">
        <w:rPr>
          <w:color w:val="auto"/>
        </w:rPr>
        <w:t xml:space="preserve">were </w:t>
      </w:r>
      <w:r w:rsidR="00481A65" w:rsidRPr="00EB2326">
        <w:rPr>
          <w:color w:val="auto"/>
        </w:rPr>
        <w:t>distributed</w:t>
      </w:r>
      <w:r w:rsidRPr="00EB2326">
        <w:rPr>
          <w:color w:val="auto"/>
        </w:rPr>
        <w:t>, up from 630,948 in 2019-20</w:t>
      </w:r>
      <w:r w:rsidR="008F0590">
        <w:rPr>
          <w:color w:val="auto"/>
        </w:rPr>
        <w:t xml:space="preserve"> (</w:t>
      </w:r>
      <w:r w:rsidR="006F7BD2">
        <w:rPr>
          <w:color w:val="auto"/>
        </w:rPr>
        <w:t xml:space="preserve">ANCP </w:t>
      </w:r>
      <w:r w:rsidR="008F0590">
        <w:rPr>
          <w:color w:val="auto"/>
        </w:rPr>
        <w:t>Indicator H.10</w:t>
      </w:r>
      <w:r w:rsidR="006F7BD2">
        <w:rPr>
          <w:color w:val="auto"/>
        </w:rPr>
        <w:t>, Tier 2 Indicator</w:t>
      </w:r>
      <w:r w:rsidR="008F0590">
        <w:rPr>
          <w:color w:val="auto"/>
        </w:rPr>
        <w:t>)</w:t>
      </w:r>
    </w:p>
    <w:p w14:paraId="0703C884" w14:textId="07E753B3" w:rsidR="00481A65" w:rsidRPr="00EB2326" w:rsidRDefault="00241C1F" w:rsidP="00BF4650">
      <w:pPr>
        <w:pStyle w:val="ListParagraph"/>
        <w:numPr>
          <w:ilvl w:val="0"/>
          <w:numId w:val="11"/>
        </w:numPr>
        <w:ind w:left="567" w:hanging="425"/>
        <w:rPr>
          <w:color w:val="auto"/>
        </w:rPr>
      </w:pPr>
      <w:r w:rsidRPr="00EB2326">
        <w:rPr>
          <w:color w:val="auto"/>
        </w:rPr>
        <w:t>309,295</w:t>
      </w:r>
      <w:r w:rsidR="00481A65" w:rsidRPr="00EB2326">
        <w:rPr>
          <w:color w:val="auto"/>
        </w:rPr>
        <w:t xml:space="preserve"> people </w:t>
      </w:r>
      <w:r w:rsidR="00EC2B00" w:rsidRPr="00EB2326">
        <w:rPr>
          <w:color w:val="auto"/>
        </w:rPr>
        <w:t>were provided</w:t>
      </w:r>
      <w:r w:rsidR="00481A65" w:rsidRPr="00EB2326">
        <w:rPr>
          <w:color w:val="auto"/>
        </w:rPr>
        <w:t xml:space="preserve"> household access to handwashing facilities (</w:t>
      </w:r>
      <w:r w:rsidRPr="00EB2326">
        <w:rPr>
          <w:color w:val="auto"/>
        </w:rPr>
        <w:t>58.8</w:t>
      </w:r>
      <w:r w:rsidR="00481A65" w:rsidRPr="00EB2326">
        <w:rPr>
          <w:color w:val="auto"/>
        </w:rPr>
        <w:t>% women and girls, 1.</w:t>
      </w:r>
      <w:r w:rsidRPr="00EB2326">
        <w:rPr>
          <w:color w:val="auto"/>
        </w:rPr>
        <w:t>9</w:t>
      </w:r>
      <w:r w:rsidR="00481A65" w:rsidRPr="00EB2326">
        <w:rPr>
          <w:color w:val="auto"/>
        </w:rPr>
        <w:t>% people with disabilities)</w:t>
      </w:r>
      <w:r w:rsidRPr="00EB2326">
        <w:rPr>
          <w:color w:val="auto"/>
        </w:rPr>
        <w:t xml:space="preserve"> up from 267,601 in 2019-20</w:t>
      </w:r>
      <w:r w:rsidR="008F0590">
        <w:rPr>
          <w:color w:val="auto"/>
        </w:rPr>
        <w:t xml:space="preserve"> (</w:t>
      </w:r>
      <w:r w:rsidR="006F7BD2">
        <w:rPr>
          <w:color w:val="auto"/>
        </w:rPr>
        <w:t xml:space="preserve">ANCP </w:t>
      </w:r>
      <w:r w:rsidR="008F0590">
        <w:rPr>
          <w:color w:val="auto"/>
        </w:rPr>
        <w:t>Indicator W.03)</w:t>
      </w:r>
    </w:p>
    <w:p w14:paraId="373030FE" w14:textId="38C29A61" w:rsidR="00481A65" w:rsidRPr="00EB2326" w:rsidRDefault="00392152" w:rsidP="00BF4650">
      <w:pPr>
        <w:pStyle w:val="ListParagraph"/>
        <w:numPr>
          <w:ilvl w:val="0"/>
          <w:numId w:val="11"/>
        </w:numPr>
        <w:ind w:left="567" w:hanging="425"/>
        <w:rPr>
          <w:color w:val="auto"/>
        </w:rPr>
      </w:pPr>
      <w:r w:rsidRPr="00EB2326">
        <w:rPr>
          <w:color w:val="auto"/>
        </w:rPr>
        <w:t xml:space="preserve">1,061 </w:t>
      </w:r>
      <w:r w:rsidR="00481A65" w:rsidRPr="00EB2326">
        <w:rPr>
          <w:color w:val="auto"/>
        </w:rPr>
        <w:t xml:space="preserve">public buildings </w:t>
      </w:r>
      <w:r w:rsidR="004D7873">
        <w:rPr>
          <w:color w:val="auto"/>
        </w:rPr>
        <w:t xml:space="preserve">were </w:t>
      </w:r>
      <w:r w:rsidR="00846A86" w:rsidRPr="00EB2326">
        <w:rPr>
          <w:color w:val="auto"/>
        </w:rPr>
        <w:t xml:space="preserve">provided </w:t>
      </w:r>
      <w:r w:rsidR="00481A65" w:rsidRPr="00EB2326">
        <w:rPr>
          <w:color w:val="auto"/>
        </w:rPr>
        <w:t xml:space="preserve">with hand washing facilities (including </w:t>
      </w:r>
      <w:r w:rsidRPr="00EB2326">
        <w:rPr>
          <w:color w:val="auto"/>
        </w:rPr>
        <w:t>480</w:t>
      </w:r>
      <w:r w:rsidR="00481A65" w:rsidRPr="00EB2326">
        <w:rPr>
          <w:color w:val="auto"/>
        </w:rPr>
        <w:t xml:space="preserve"> schools, </w:t>
      </w:r>
      <w:r w:rsidRPr="00EB2326">
        <w:rPr>
          <w:color w:val="auto"/>
        </w:rPr>
        <w:t>306</w:t>
      </w:r>
      <w:r w:rsidR="00481A65" w:rsidRPr="00EB2326">
        <w:rPr>
          <w:color w:val="auto"/>
        </w:rPr>
        <w:t xml:space="preserve"> health care facilities</w:t>
      </w:r>
      <w:r w:rsidR="006F7BD2">
        <w:rPr>
          <w:color w:val="auto"/>
        </w:rPr>
        <w:t xml:space="preserve"> </w:t>
      </w:r>
      <w:r w:rsidR="00481A65" w:rsidRPr="00EB2326">
        <w:rPr>
          <w:color w:val="auto"/>
        </w:rPr>
        <w:t xml:space="preserve">and </w:t>
      </w:r>
      <w:r w:rsidRPr="00EB2326">
        <w:rPr>
          <w:color w:val="auto"/>
        </w:rPr>
        <w:t>90</w:t>
      </w:r>
      <w:r w:rsidR="00481A65" w:rsidRPr="00EB2326">
        <w:rPr>
          <w:color w:val="auto"/>
        </w:rPr>
        <w:t xml:space="preserve"> places of worship)</w:t>
      </w:r>
      <w:r w:rsidRPr="00EB2326">
        <w:rPr>
          <w:color w:val="auto"/>
        </w:rPr>
        <w:t xml:space="preserve"> down from 1,769 in 2019-20</w:t>
      </w:r>
      <w:r w:rsidR="008F0590">
        <w:rPr>
          <w:color w:val="auto"/>
        </w:rPr>
        <w:t xml:space="preserve"> (</w:t>
      </w:r>
      <w:r w:rsidR="006F7BD2">
        <w:rPr>
          <w:color w:val="auto"/>
        </w:rPr>
        <w:t xml:space="preserve">ANCP </w:t>
      </w:r>
      <w:r w:rsidR="008F0590">
        <w:rPr>
          <w:color w:val="auto"/>
        </w:rPr>
        <w:t xml:space="preserve">Indicator </w:t>
      </w:r>
      <w:r w:rsidR="008B7A2D">
        <w:rPr>
          <w:color w:val="auto"/>
        </w:rPr>
        <w:t>W.05)</w:t>
      </w:r>
    </w:p>
    <w:p w14:paraId="090C9E05" w14:textId="77777777" w:rsidR="00817CA7" w:rsidRDefault="00817CA7" w:rsidP="00817CA7">
      <w:pPr>
        <w:keepNext/>
        <w:keepLines/>
        <w:rPr>
          <w:color w:val="auto"/>
        </w:rPr>
      </w:pPr>
      <w:r>
        <w:rPr>
          <w:color w:val="auto"/>
        </w:rPr>
        <w:t>COVID-19 h</w:t>
      </w:r>
      <w:r w:rsidRPr="00EB2326">
        <w:rPr>
          <w:color w:val="auto"/>
        </w:rPr>
        <w:t>eath security activities</w:t>
      </w:r>
      <w:r>
        <w:rPr>
          <w:color w:val="auto"/>
        </w:rPr>
        <w:t xml:space="preserve">, however, </w:t>
      </w:r>
      <w:r w:rsidRPr="00EB2326">
        <w:rPr>
          <w:color w:val="auto"/>
        </w:rPr>
        <w:t xml:space="preserve">were </w:t>
      </w:r>
      <w:r>
        <w:rPr>
          <w:color w:val="auto"/>
        </w:rPr>
        <w:t xml:space="preserve">generally </w:t>
      </w:r>
      <w:r w:rsidRPr="00EB2326">
        <w:rPr>
          <w:color w:val="auto"/>
        </w:rPr>
        <w:t>less inclusive than in the previous year. For example, women and girls and people with disabilities made up lower proportions of participants for</w:t>
      </w:r>
      <w:r>
        <w:rPr>
          <w:color w:val="auto"/>
        </w:rPr>
        <w:t xml:space="preserve"> all ANCP-AHP COVID-19 indicators where inclusion was measured</w:t>
      </w:r>
      <w:r w:rsidRPr="00EB2326">
        <w:rPr>
          <w:color w:val="auto"/>
        </w:rPr>
        <w:t xml:space="preserve">: the number of people targeted with one-way COVID-19 messaging; the number of people participating in COVID-19 events; and the number of people who received mental health and psychosocial support. </w:t>
      </w:r>
    </w:p>
    <w:p w14:paraId="3D448770" w14:textId="77777777" w:rsidR="00817CA7" w:rsidRPr="00817CA7" w:rsidRDefault="00817CA7" w:rsidP="00817CA7"/>
    <w:p w14:paraId="366A9173" w14:textId="744774E7" w:rsidR="00481A65" w:rsidRDefault="00A21162" w:rsidP="00A21162">
      <w:pPr>
        <w:pStyle w:val="Heading5"/>
        <w:rPr>
          <w:color w:val="auto"/>
        </w:rPr>
      </w:pPr>
      <w:r w:rsidRPr="00EB2326">
        <w:rPr>
          <w:color w:val="auto"/>
        </w:rPr>
        <w:lastRenderedPageBreak/>
        <w:t xml:space="preserve">Case Study: </w:t>
      </w:r>
      <w:r w:rsidR="009E6642">
        <w:rPr>
          <w:color w:val="auto"/>
        </w:rPr>
        <w:t xml:space="preserve">Improving health outcomes </w:t>
      </w:r>
    </w:p>
    <w:p w14:paraId="005B794C" w14:textId="4CB86626" w:rsidR="00917E7A" w:rsidRPr="00544D1B" w:rsidRDefault="00917E7A" w:rsidP="00917E7A">
      <w:pPr>
        <w:rPr>
          <w:color w:val="auto"/>
        </w:rPr>
      </w:pPr>
      <w:r w:rsidRPr="00544D1B">
        <w:rPr>
          <w:color w:val="auto"/>
        </w:rPr>
        <w:t>Cases of waterborne diseases, such as cholera, were high in Malawi’s Karonga District</w:t>
      </w:r>
      <w:r w:rsidR="009E6642" w:rsidRPr="00544D1B">
        <w:rPr>
          <w:color w:val="auto"/>
        </w:rPr>
        <w:t>. P</w:t>
      </w:r>
      <w:r w:rsidRPr="00544D1B">
        <w:rPr>
          <w:color w:val="auto"/>
        </w:rPr>
        <w:t xml:space="preserve">oor sanitation, unprotected water sources and frequent flooding, forced communities to use contaminated water sources. With support from ANCP, The Salvation Army is working with communities to improve health outcomes through </w:t>
      </w:r>
      <w:r w:rsidR="009E6642" w:rsidRPr="00544D1B">
        <w:rPr>
          <w:color w:val="auto"/>
        </w:rPr>
        <w:t>the</w:t>
      </w:r>
      <w:r w:rsidRPr="00544D1B">
        <w:rPr>
          <w:color w:val="auto"/>
        </w:rPr>
        <w:t xml:space="preserve"> Karonga Integrated WASH and Food Security Project</w:t>
      </w:r>
      <w:r w:rsidR="009E6642" w:rsidRPr="00544D1B">
        <w:rPr>
          <w:color w:val="auto"/>
        </w:rPr>
        <w:t>. This project</w:t>
      </w:r>
      <w:r w:rsidRPr="00544D1B">
        <w:rPr>
          <w:color w:val="auto"/>
        </w:rPr>
        <w:t xml:space="preserve"> is improving access to clean water through the construction of 25 boreholes. Project staff are also raising awareness in communities on COVID-19 and how to prevent transmission as part of its hygiene awareness efforts.</w:t>
      </w:r>
    </w:p>
    <w:p w14:paraId="1D6CF927" w14:textId="62D55174" w:rsidR="00917E7A" w:rsidRPr="00544D1B" w:rsidRDefault="00917E7A" w:rsidP="00917E7A">
      <w:pPr>
        <w:rPr>
          <w:color w:val="auto"/>
        </w:rPr>
      </w:pPr>
      <w:r w:rsidRPr="00544D1B">
        <w:rPr>
          <w:color w:val="auto"/>
        </w:rPr>
        <w:t xml:space="preserve">Access to safe water for approximately 10,000 households has contributed to reduced cases of cholera. The increased availability of water is also enabling more regular hand washing, which is crucial in COVID-19 prevention efforts. </w:t>
      </w:r>
    </w:p>
    <w:p w14:paraId="22E74A84" w14:textId="303A1C6B" w:rsidR="00481A65" w:rsidRPr="00544D1B" w:rsidRDefault="00153910" w:rsidP="00074CE2">
      <w:pPr>
        <w:pStyle w:val="Heading3"/>
        <w:spacing w:before="360"/>
        <w:contextualSpacing w:val="0"/>
        <w:rPr>
          <w:color w:val="auto"/>
        </w:rPr>
      </w:pPr>
      <w:r w:rsidRPr="00544D1B">
        <w:rPr>
          <w:color w:val="auto"/>
        </w:rPr>
        <w:t xml:space="preserve">Partnerships for Recovery Pillar 2: </w:t>
      </w:r>
      <w:r w:rsidR="00481A65" w:rsidRPr="00544D1B">
        <w:rPr>
          <w:color w:val="auto"/>
        </w:rPr>
        <w:t>Stability</w:t>
      </w:r>
    </w:p>
    <w:p w14:paraId="64F5D056" w14:textId="33D0B899" w:rsidR="00330F01" w:rsidRPr="00544D1B" w:rsidRDefault="00481A65" w:rsidP="00481A65">
      <w:pPr>
        <w:rPr>
          <w:color w:val="auto"/>
        </w:rPr>
      </w:pPr>
      <w:r w:rsidRPr="00544D1B">
        <w:rPr>
          <w:color w:val="auto"/>
        </w:rPr>
        <w:t>In 20</w:t>
      </w:r>
      <w:r w:rsidR="00E91D9F" w:rsidRPr="00544D1B">
        <w:rPr>
          <w:color w:val="auto"/>
        </w:rPr>
        <w:t>20-21</w:t>
      </w:r>
      <w:r w:rsidRPr="00544D1B">
        <w:rPr>
          <w:color w:val="auto"/>
        </w:rPr>
        <w:t xml:space="preserve">, </w:t>
      </w:r>
      <w:r w:rsidR="006416DA" w:rsidRPr="00544D1B">
        <w:rPr>
          <w:color w:val="auto"/>
        </w:rPr>
        <w:t xml:space="preserve">ANCP NGOs </w:t>
      </w:r>
      <w:r w:rsidR="00585AB9" w:rsidRPr="00544D1B">
        <w:rPr>
          <w:color w:val="auto"/>
        </w:rPr>
        <w:t xml:space="preserve">continued to </w:t>
      </w:r>
      <w:r w:rsidR="006416DA" w:rsidRPr="00544D1B">
        <w:rPr>
          <w:color w:val="auto"/>
        </w:rPr>
        <w:t xml:space="preserve">help minimise the social impacts of COVID-19 through </w:t>
      </w:r>
      <w:r w:rsidRPr="00544D1B">
        <w:rPr>
          <w:color w:val="auto"/>
        </w:rPr>
        <w:t xml:space="preserve">activities that supported </w:t>
      </w:r>
      <w:r w:rsidR="00B86412" w:rsidRPr="00544D1B">
        <w:rPr>
          <w:color w:val="auto"/>
        </w:rPr>
        <w:t xml:space="preserve">social cohesion, </w:t>
      </w:r>
      <w:r w:rsidRPr="00544D1B">
        <w:rPr>
          <w:color w:val="auto"/>
        </w:rPr>
        <w:t xml:space="preserve">social protection, </w:t>
      </w:r>
      <w:r w:rsidR="009660F5" w:rsidRPr="00544D1B">
        <w:rPr>
          <w:color w:val="auto"/>
        </w:rPr>
        <w:t xml:space="preserve">improved food security, </w:t>
      </w:r>
      <w:r w:rsidRPr="00544D1B">
        <w:rPr>
          <w:color w:val="auto"/>
        </w:rPr>
        <w:t>education and resilience to threats such as climate change with a particular focus on protecting the most vulnerable.</w:t>
      </w:r>
      <w:r w:rsidR="00330F01" w:rsidRPr="00544D1B">
        <w:rPr>
          <w:color w:val="auto"/>
        </w:rPr>
        <w:t xml:space="preserve"> </w:t>
      </w:r>
    </w:p>
    <w:p w14:paraId="1E226D04" w14:textId="484A4996" w:rsidR="00481A65" w:rsidRPr="00544D1B" w:rsidRDefault="00330F01" w:rsidP="00481A65">
      <w:pPr>
        <w:rPr>
          <w:color w:val="auto"/>
        </w:rPr>
      </w:pPr>
      <w:r w:rsidRPr="00544D1B">
        <w:rPr>
          <w:color w:val="auto"/>
        </w:rPr>
        <w:t>I</w:t>
      </w:r>
      <w:r w:rsidR="00481A65" w:rsidRPr="00544D1B">
        <w:rPr>
          <w:color w:val="auto"/>
        </w:rPr>
        <w:t>n 2</w:t>
      </w:r>
      <w:r w:rsidR="00E91D9F" w:rsidRPr="00544D1B">
        <w:rPr>
          <w:color w:val="auto"/>
        </w:rPr>
        <w:t>020-21</w:t>
      </w:r>
      <w:r w:rsidR="0056773F" w:rsidRPr="00544D1B">
        <w:rPr>
          <w:color w:val="auto"/>
        </w:rPr>
        <w:t xml:space="preserve"> ANCP supported the following</w:t>
      </w:r>
      <w:r w:rsidR="00481A65" w:rsidRPr="00544D1B">
        <w:rPr>
          <w:color w:val="auto"/>
        </w:rPr>
        <w:t>:</w:t>
      </w:r>
    </w:p>
    <w:p w14:paraId="29BCFBBC" w14:textId="0D72E0F6" w:rsidR="00481A65" w:rsidRPr="00544D1B" w:rsidRDefault="00112A44" w:rsidP="00BF4650">
      <w:pPr>
        <w:pStyle w:val="ListParagraph"/>
        <w:numPr>
          <w:ilvl w:val="0"/>
          <w:numId w:val="11"/>
        </w:numPr>
        <w:ind w:left="567" w:hanging="425"/>
        <w:rPr>
          <w:color w:val="auto"/>
        </w:rPr>
      </w:pPr>
      <w:r w:rsidRPr="00544D1B">
        <w:rPr>
          <w:color w:val="auto"/>
        </w:rPr>
        <w:t>660,028</w:t>
      </w:r>
      <w:r w:rsidR="00481A65" w:rsidRPr="00544D1B">
        <w:rPr>
          <w:color w:val="auto"/>
        </w:rPr>
        <w:t xml:space="preserve"> people participated in sessions on prevention, reduction and response to violence, abuse and exploitation of children (</w:t>
      </w:r>
      <w:r w:rsidRPr="00544D1B">
        <w:rPr>
          <w:color w:val="auto"/>
        </w:rPr>
        <w:t>60.3</w:t>
      </w:r>
      <w:r w:rsidR="00481A65" w:rsidRPr="00544D1B">
        <w:rPr>
          <w:color w:val="auto"/>
        </w:rPr>
        <w:t xml:space="preserve">% women and girls, </w:t>
      </w:r>
      <w:r w:rsidRPr="00544D1B">
        <w:rPr>
          <w:color w:val="auto"/>
        </w:rPr>
        <w:t>2.</w:t>
      </w:r>
      <w:r w:rsidR="00260B93" w:rsidRPr="00544D1B">
        <w:rPr>
          <w:color w:val="auto"/>
        </w:rPr>
        <w:t>2</w:t>
      </w:r>
      <w:r w:rsidR="00481A65" w:rsidRPr="00544D1B">
        <w:rPr>
          <w:color w:val="auto"/>
        </w:rPr>
        <w:t>% people with disabilities)</w:t>
      </w:r>
      <w:r w:rsidRPr="00544D1B">
        <w:rPr>
          <w:color w:val="auto"/>
        </w:rPr>
        <w:t>, up from 442,749 the previous year</w:t>
      </w:r>
      <w:r w:rsidR="00481A65" w:rsidRPr="00544D1B">
        <w:rPr>
          <w:color w:val="auto"/>
        </w:rPr>
        <w:t xml:space="preserve"> </w:t>
      </w:r>
      <w:r w:rsidR="008B7A2D" w:rsidRPr="00544D1B">
        <w:rPr>
          <w:color w:val="auto"/>
        </w:rPr>
        <w:t>(</w:t>
      </w:r>
      <w:r w:rsidR="00330F01" w:rsidRPr="00544D1B">
        <w:rPr>
          <w:color w:val="auto"/>
        </w:rPr>
        <w:t xml:space="preserve">ANCP </w:t>
      </w:r>
      <w:r w:rsidR="008B7A2D" w:rsidRPr="00544D1B">
        <w:rPr>
          <w:color w:val="auto"/>
        </w:rPr>
        <w:t>Indicator CP.01)</w:t>
      </w:r>
    </w:p>
    <w:p w14:paraId="41A39861" w14:textId="4EF13DAD" w:rsidR="00481A65" w:rsidRPr="00544D1B" w:rsidRDefault="00E024B1" w:rsidP="00BF4650">
      <w:pPr>
        <w:pStyle w:val="ListParagraph"/>
        <w:numPr>
          <w:ilvl w:val="0"/>
          <w:numId w:val="11"/>
        </w:numPr>
        <w:ind w:left="567" w:hanging="425"/>
        <w:rPr>
          <w:color w:val="auto"/>
        </w:rPr>
      </w:pPr>
      <w:r w:rsidRPr="00544D1B">
        <w:rPr>
          <w:color w:val="auto"/>
        </w:rPr>
        <w:t>128,918</w:t>
      </w:r>
      <w:r w:rsidR="00481A65" w:rsidRPr="00544D1B">
        <w:rPr>
          <w:color w:val="auto"/>
        </w:rPr>
        <w:t xml:space="preserve"> participated in sessions on climate related hazards and disasters (climate change mitigation, adaptation, preparedness, resilience and early warning) (5</w:t>
      </w:r>
      <w:r w:rsidRPr="00544D1B">
        <w:rPr>
          <w:color w:val="auto"/>
        </w:rPr>
        <w:t>9.</w:t>
      </w:r>
      <w:r w:rsidR="00260B93" w:rsidRPr="00544D1B">
        <w:rPr>
          <w:color w:val="auto"/>
        </w:rPr>
        <w:t>6</w:t>
      </w:r>
      <w:r w:rsidR="00481A65" w:rsidRPr="00544D1B">
        <w:rPr>
          <w:color w:val="auto"/>
        </w:rPr>
        <w:t xml:space="preserve">% women and girls, </w:t>
      </w:r>
      <w:r w:rsidRPr="00544D1B">
        <w:rPr>
          <w:color w:val="auto"/>
        </w:rPr>
        <w:t>2.1</w:t>
      </w:r>
      <w:r w:rsidR="00481A65" w:rsidRPr="00544D1B">
        <w:rPr>
          <w:color w:val="auto"/>
        </w:rPr>
        <w:t>% people with disabilities)</w:t>
      </w:r>
      <w:r w:rsidRPr="00544D1B">
        <w:rPr>
          <w:color w:val="auto"/>
        </w:rPr>
        <w:t xml:space="preserve">, </w:t>
      </w:r>
      <w:r w:rsidR="003F175C" w:rsidRPr="00544D1B">
        <w:rPr>
          <w:color w:val="auto"/>
        </w:rPr>
        <w:t xml:space="preserve">a small decline </w:t>
      </w:r>
      <w:r w:rsidRPr="00544D1B">
        <w:rPr>
          <w:color w:val="auto"/>
        </w:rPr>
        <w:t>from 151,635 the previous year</w:t>
      </w:r>
      <w:r w:rsidR="008B7A2D" w:rsidRPr="00544D1B">
        <w:rPr>
          <w:color w:val="auto"/>
        </w:rPr>
        <w:t xml:space="preserve"> (</w:t>
      </w:r>
      <w:r w:rsidR="00330F01" w:rsidRPr="00544D1B">
        <w:rPr>
          <w:color w:val="auto"/>
        </w:rPr>
        <w:t xml:space="preserve">ANCP </w:t>
      </w:r>
      <w:r w:rsidR="008B7A2D" w:rsidRPr="00544D1B">
        <w:rPr>
          <w:color w:val="auto"/>
        </w:rPr>
        <w:t>Indicator C.01)</w:t>
      </w:r>
    </w:p>
    <w:p w14:paraId="1430B960" w14:textId="3A50D5C9" w:rsidR="00F70022" w:rsidRPr="00544D1B" w:rsidRDefault="001A1298" w:rsidP="001A1298">
      <w:pPr>
        <w:pStyle w:val="ListParagraph"/>
        <w:numPr>
          <w:ilvl w:val="0"/>
          <w:numId w:val="11"/>
        </w:numPr>
        <w:ind w:left="567" w:hanging="425"/>
        <w:rPr>
          <w:color w:val="auto"/>
        </w:rPr>
      </w:pPr>
      <w:r w:rsidRPr="00544D1B">
        <w:rPr>
          <w:color w:val="auto"/>
        </w:rPr>
        <w:t>215,075</w:t>
      </w:r>
      <w:r w:rsidR="00F70022" w:rsidRPr="00544D1B">
        <w:rPr>
          <w:color w:val="auto"/>
        </w:rPr>
        <w:t xml:space="preserve"> people had improved access to sufficient food (5</w:t>
      </w:r>
      <w:r w:rsidRPr="00544D1B">
        <w:rPr>
          <w:color w:val="auto"/>
        </w:rPr>
        <w:t>5.5</w:t>
      </w:r>
      <w:r w:rsidR="00F70022" w:rsidRPr="00544D1B">
        <w:rPr>
          <w:color w:val="auto"/>
        </w:rPr>
        <w:t xml:space="preserve">% women and girls, </w:t>
      </w:r>
      <w:r w:rsidRPr="00544D1B">
        <w:rPr>
          <w:color w:val="auto"/>
        </w:rPr>
        <w:t>3.9</w:t>
      </w:r>
      <w:r w:rsidR="00F70022" w:rsidRPr="00544D1B">
        <w:rPr>
          <w:color w:val="auto"/>
        </w:rPr>
        <w:t>% people with disabilities), down from 321,</w:t>
      </w:r>
      <w:r w:rsidRPr="00544D1B">
        <w:rPr>
          <w:color w:val="auto"/>
        </w:rPr>
        <w:t>174 people the previous year</w:t>
      </w:r>
      <w:r w:rsidR="008B7A2D" w:rsidRPr="00544D1B">
        <w:rPr>
          <w:color w:val="auto"/>
        </w:rPr>
        <w:t xml:space="preserve"> (</w:t>
      </w:r>
      <w:r w:rsidR="00330F01" w:rsidRPr="00544D1B">
        <w:rPr>
          <w:color w:val="auto"/>
        </w:rPr>
        <w:t xml:space="preserve">ANCP </w:t>
      </w:r>
      <w:r w:rsidR="008B7A2D" w:rsidRPr="00544D1B">
        <w:rPr>
          <w:color w:val="auto"/>
        </w:rPr>
        <w:t>Indicator F.01)</w:t>
      </w:r>
    </w:p>
    <w:p w14:paraId="10364099" w14:textId="53CC69F3" w:rsidR="00B56B09" w:rsidRPr="00544D1B" w:rsidRDefault="00B56B09" w:rsidP="001A1298">
      <w:pPr>
        <w:pStyle w:val="ListParagraph"/>
        <w:numPr>
          <w:ilvl w:val="0"/>
          <w:numId w:val="11"/>
        </w:numPr>
        <w:ind w:left="567" w:hanging="425"/>
        <w:rPr>
          <w:color w:val="auto"/>
        </w:rPr>
      </w:pPr>
      <w:r w:rsidRPr="00544D1B">
        <w:rPr>
          <w:color w:val="auto"/>
        </w:rPr>
        <w:t xml:space="preserve">4,249 </w:t>
      </w:r>
      <w:r w:rsidR="00741113" w:rsidRPr="00544D1B">
        <w:rPr>
          <w:color w:val="auto"/>
        </w:rPr>
        <w:t>women survivors of violence receiving services such as counselling (6.7% women and girls with disabilities), up from 3,196 the previous year</w:t>
      </w:r>
      <w:r w:rsidR="008B7A2D" w:rsidRPr="00544D1B">
        <w:rPr>
          <w:color w:val="auto"/>
        </w:rPr>
        <w:t xml:space="preserve"> (</w:t>
      </w:r>
      <w:r w:rsidR="00330F01" w:rsidRPr="00544D1B">
        <w:rPr>
          <w:color w:val="auto"/>
        </w:rPr>
        <w:t xml:space="preserve">ANCP </w:t>
      </w:r>
      <w:r w:rsidR="008B7A2D" w:rsidRPr="00544D1B">
        <w:rPr>
          <w:color w:val="auto"/>
        </w:rPr>
        <w:t>Indicator G.03</w:t>
      </w:r>
      <w:r w:rsidR="00331EE2" w:rsidRPr="00544D1B">
        <w:rPr>
          <w:color w:val="auto"/>
        </w:rPr>
        <w:t>, Tier 2 Indicator</w:t>
      </w:r>
      <w:r w:rsidR="008B7A2D" w:rsidRPr="00544D1B">
        <w:rPr>
          <w:color w:val="auto"/>
        </w:rPr>
        <w:t>)</w:t>
      </w:r>
    </w:p>
    <w:p w14:paraId="3C19A81E" w14:textId="0E053A71" w:rsidR="00481A65" w:rsidRPr="00544D1B" w:rsidRDefault="00A21162" w:rsidP="00A21162">
      <w:pPr>
        <w:pStyle w:val="Heading5"/>
        <w:rPr>
          <w:color w:val="auto"/>
        </w:rPr>
      </w:pPr>
      <w:r w:rsidRPr="00544D1B">
        <w:rPr>
          <w:color w:val="auto"/>
        </w:rPr>
        <w:t xml:space="preserve">Case Study: </w:t>
      </w:r>
      <w:r w:rsidR="00D26ED5" w:rsidRPr="00544D1B">
        <w:rPr>
          <w:color w:val="auto"/>
        </w:rPr>
        <w:t>C</w:t>
      </w:r>
      <w:r w:rsidR="004F1341" w:rsidRPr="00544D1B">
        <w:rPr>
          <w:color w:val="auto"/>
        </w:rPr>
        <w:t>hallenging anti-social behaviours and social norms</w:t>
      </w:r>
    </w:p>
    <w:p w14:paraId="3C1FFE10" w14:textId="507CB640" w:rsidR="00331EE2" w:rsidRPr="00544D1B" w:rsidRDefault="00331EE2" w:rsidP="004F1341">
      <w:pPr>
        <w:rPr>
          <w:color w:val="auto"/>
        </w:rPr>
      </w:pPr>
      <w:r w:rsidRPr="00544D1B">
        <w:rPr>
          <w:color w:val="auto"/>
        </w:rPr>
        <w:t>T</w:t>
      </w:r>
      <w:r w:rsidR="004F1341" w:rsidRPr="00544D1B">
        <w:rPr>
          <w:color w:val="auto"/>
        </w:rPr>
        <w:t>he Kokoda Track Foundation’s Project Zero aims to challenge and change anti-social behaviours and norms that place women and children at risk in their homes and communities. It also supports Oro</w:t>
      </w:r>
      <w:r w:rsidRPr="00544D1B">
        <w:rPr>
          <w:color w:val="auto"/>
        </w:rPr>
        <w:t xml:space="preserve"> </w:t>
      </w:r>
      <w:r w:rsidR="001943A4" w:rsidRPr="00544D1B">
        <w:rPr>
          <w:color w:val="auto"/>
        </w:rPr>
        <w:t>Province’s</w:t>
      </w:r>
      <w:r w:rsidR="004F1341" w:rsidRPr="00544D1B">
        <w:rPr>
          <w:color w:val="auto"/>
        </w:rPr>
        <w:t xml:space="preserve"> first safe house, helping women access the support they need to start new life chapters. </w:t>
      </w:r>
      <w:r w:rsidR="00917E7A" w:rsidRPr="00544D1B">
        <w:rPr>
          <w:color w:val="auto"/>
        </w:rPr>
        <w:t xml:space="preserve">Project Zero brings together Friends of Femili PNG, the Family and Sexual Violence Action Committee and Department of Community Development. </w:t>
      </w:r>
    </w:p>
    <w:p w14:paraId="15007CAC" w14:textId="5E2A2183" w:rsidR="004F1341" w:rsidRPr="00544D1B" w:rsidRDefault="004F1341" w:rsidP="004F1341">
      <w:pPr>
        <w:rPr>
          <w:color w:val="auto"/>
        </w:rPr>
      </w:pPr>
      <w:r w:rsidRPr="00544D1B">
        <w:rPr>
          <w:color w:val="auto"/>
        </w:rPr>
        <w:t xml:space="preserve">‍COVID-19 lockdowns and travel restrictions didn’t stop Project Zero undertaking vital awareness activities and training across Oro. To June 2021, </w:t>
      </w:r>
      <w:r w:rsidR="00711260" w:rsidRPr="00544D1B">
        <w:rPr>
          <w:color w:val="auto"/>
        </w:rPr>
        <w:t xml:space="preserve">Friends of </w:t>
      </w:r>
      <w:r w:rsidRPr="00544D1B">
        <w:rPr>
          <w:color w:val="auto"/>
        </w:rPr>
        <w:t xml:space="preserve">Femili PNG’s outreach team delivered 26 family and sexual violence awareness-raising sessions to schools, business, communities and health facilities in rural Oro, reaching 3,133 participants. </w:t>
      </w:r>
    </w:p>
    <w:p w14:paraId="1DAD49EC" w14:textId="77777777" w:rsidR="006A2D61" w:rsidRPr="00544D1B" w:rsidRDefault="006A2D61">
      <w:pPr>
        <w:suppressAutoHyphens w:val="0"/>
        <w:spacing w:before="0" w:after="120" w:line="440" w:lineRule="atLeast"/>
        <w:rPr>
          <w:rFonts w:asciiTheme="majorHAnsi" w:eastAsiaTheme="majorEastAsia" w:hAnsiTheme="majorHAnsi" w:cstheme="majorBidi"/>
          <w:bCs/>
          <w:color w:val="auto"/>
          <w:sz w:val="30"/>
          <w:szCs w:val="26"/>
        </w:rPr>
      </w:pPr>
      <w:r w:rsidRPr="00544D1B">
        <w:rPr>
          <w:color w:val="auto"/>
        </w:rPr>
        <w:br w:type="page"/>
      </w:r>
    </w:p>
    <w:p w14:paraId="032F6647" w14:textId="3B0082F8" w:rsidR="00481A65" w:rsidRPr="00EB2326" w:rsidRDefault="00196FFE" w:rsidP="00074CE2">
      <w:pPr>
        <w:pStyle w:val="Heading3"/>
        <w:spacing w:before="360"/>
        <w:contextualSpacing w:val="0"/>
        <w:rPr>
          <w:color w:val="auto"/>
        </w:rPr>
      </w:pPr>
      <w:r w:rsidRPr="00EB2326">
        <w:rPr>
          <w:color w:val="auto"/>
        </w:rPr>
        <w:lastRenderedPageBreak/>
        <w:t xml:space="preserve">Partnerships for Recovery Pillar 3: </w:t>
      </w:r>
      <w:r w:rsidR="00481A65" w:rsidRPr="00EB2326">
        <w:rPr>
          <w:color w:val="auto"/>
        </w:rPr>
        <w:t>Economic Recovery</w:t>
      </w:r>
    </w:p>
    <w:p w14:paraId="49CCBFA2" w14:textId="77777777" w:rsidR="00677853" w:rsidRDefault="00481A65" w:rsidP="00481A65">
      <w:pPr>
        <w:rPr>
          <w:color w:val="auto"/>
        </w:rPr>
      </w:pPr>
      <w:r w:rsidRPr="00EB2326">
        <w:rPr>
          <w:color w:val="auto"/>
        </w:rPr>
        <w:t>In 20</w:t>
      </w:r>
      <w:r w:rsidR="00ED62F8" w:rsidRPr="00EB2326">
        <w:rPr>
          <w:color w:val="auto"/>
        </w:rPr>
        <w:t>20-21</w:t>
      </w:r>
      <w:r w:rsidR="00DD263E">
        <w:rPr>
          <w:color w:val="auto"/>
        </w:rPr>
        <w:t>,</w:t>
      </w:r>
      <w:r w:rsidRPr="00EB2326">
        <w:rPr>
          <w:color w:val="auto"/>
        </w:rPr>
        <w:t xml:space="preserve"> economic recovery efforts were supported through training and support for improved livelihoods and rural development</w:t>
      </w:r>
      <w:r w:rsidR="009660F5" w:rsidRPr="00EB2326">
        <w:rPr>
          <w:color w:val="auto"/>
        </w:rPr>
        <w:t xml:space="preserve"> and improved </w:t>
      </w:r>
      <w:r w:rsidRPr="00EB2326">
        <w:rPr>
          <w:color w:val="auto"/>
        </w:rPr>
        <w:t>access to financial services</w:t>
      </w:r>
      <w:r w:rsidR="009660F5" w:rsidRPr="00EB2326">
        <w:rPr>
          <w:color w:val="auto"/>
        </w:rPr>
        <w:t xml:space="preserve"> and social transfers</w:t>
      </w:r>
      <w:r w:rsidRPr="00EB2326">
        <w:rPr>
          <w:color w:val="auto"/>
        </w:rPr>
        <w:t>.</w:t>
      </w:r>
      <w:r w:rsidR="00327A58" w:rsidRPr="00EB2326">
        <w:rPr>
          <w:color w:val="auto"/>
        </w:rPr>
        <w:t xml:space="preserve"> The</w:t>
      </w:r>
      <w:r w:rsidR="001F2160" w:rsidRPr="00EB2326">
        <w:rPr>
          <w:color w:val="auto"/>
        </w:rPr>
        <w:t xml:space="preserve"> number of participants across the economic recovery indicators was generally greater than for the previous year, reflecting additional </w:t>
      </w:r>
      <w:r w:rsidR="00DD263E">
        <w:rPr>
          <w:color w:val="auto"/>
        </w:rPr>
        <w:t>focus on</w:t>
      </w:r>
      <w:r w:rsidR="001F2160" w:rsidRPr="00EB2326">
        <w:rPr>
          <w:color w:val="auto"/>
        </w:rPr>
        <w:t xml:space="preserve"> livelihoods and income generation</w:t>
      </w:r>
      <w:r w:rsidR="00DD263E">
        <w:rPr>
          <w:color w:val="auto"/>
        </w:rPr>
        <w:t xml:space="preserve"> activities</w:t>
      </w:r>
      <w:r w:rsidR="001F2160" w:rsidRPr="00EB2326">
        <w:rPr>
          <w:color w:val="auto"/>
        </w:rPr>
        <w:t xml:space="preserve">. </w:t>
      </w:r>
    </w:p>
    <w:p w14:paraId="4C735861" w14:textId="00CCBF1F" w:rsidR="00481A65" w:rsidRPr="00EB2326" w:rsidRDefault="00481A65" w:rsidP="00481A65">
      <w:pPr>
        <w:rPr>
          <w:color w:val="auto"/>
        </w:rPr>
      </w:pPr>
      <w:r w:rsidRPr="00EB2326">
        <w:rPr>
          <w:color w:val="auto"/>
        </w:rPr>
        <w:t>In 20</w:t>
      </w:r>
      <w:r w:rsidR="00ED62F8" w:rsidRPr="00EB2326">
        <w:rPr>
          <w:color w:val="auto"/>
        </w:rPr>
        <w:t>20-21</w:t>
      </w:r>
      <w:r w:rsidR="00765537">
        <w:rPr>
          <w:color w:val="auto"/>
        </w:rPr>
        <w:t xml:space="preserve"> ANCP supported the following</w:t>
      </w:r>
      <w:r w:rsidRPr="00EB2326">
        <w:rPr>
          <w:color w:val="auto"/>
        </w:rPr>
        <w:t>:</w:t>
      </w:r>
    </w:p>
    <w:p w14:paraId="5A9BE897" w14:textId="4E9C1523" w:rsidR="00BA2E6B" w:rsidRPr="00EB2326" w:rsidRDefault="00BA2E6B" w:rsidP="00F70022">
      <w:pPr>
        <w:pStyle w:val="ListParagraph"/>
        <w:numPr>
          <w:ilvl w:val="0"/>
          <w:numId w:val="11"/>
        </w:numPr>
        <w:ind w:left="567" w:hanging="425"/>
        <w:rPr>
          <w:color w:val="auto"/>
        </w:rPr>
      </w:pPr>
      <w:r w:rsidRPr="00EB2326">
        <w:rPr>
          <w:color w:val="auto"/>
        </w:rPr>
        <w:t>140,222 people reached with livelihoods support interventions (58.45% women and girls, 2.23% people with disabilities) up from 95,335 the previous year</w:t>
      </w:r>
      <w:r w:rsidR="008B7A2D">
        <w:rPr>
          <w:color w:val="auto"/>
        </w:rPr>
        <w:t xml:space="preserve"> (</w:t>
      </w:r>
      <w:r w:rsidR="00677853">
        <w:rPr>
          <w:color w:val="auto"/>
        </w:rPr>
        <w:t xml:space="preserve">ANCP </w:t>
      </w:r>
      <w:r w:rsidR="008B7A2D">
        <w:rPr>
          <w:color w:val="auto"/>
        </w:rPr>
        <w:t>Indicator L.05)</w:t>
      </w:r>
    </w:p>
    <w:p w14:paraId="00126FFD" w14:textId="10FC1DBF" w:rsidR="00481A65" w:rsidRPr="00EB2326" w:rsidRDefault="00F70022" w:rsidP="00BF4650">
      <w:pPr>
        <w:pStyle w:val="ListParagraph"/>
        <w:numPr>
          <w:ilvl w:val="0"/>
          <w:numId w:val="11"/>
        </w:numPr>
        <w:ind w:left="567" w:hanging="425"/>
        <w:rPr>
          <w:color w:val="auto"/>
        </w:rPr>
      </w:pPr>
      <w:r w:rsidRPr="00EB2326">
        <w:rPr>
          <w:color w:val="auto"/>
        </w:rPr>
        <w:t>133,503</w:t>
      </w:r>
      <w:r w:rsidR="00481A65" w:rsidRPr="00EB2326">
        <w:rPr>
          <w:color w:val="auto"/>
        </w:rPr>
        <w:t xml:space="preserve"> </w:t>
      </w:r>
      <w:r w:rsidR="001F2160" w:rsidRPr="00EB2326">
        <w:rPr>
          <w:color w:val="auto"/>
        </w:rPr>
        <w:t xml:space="preserve">people </w:t>
      </w:r>
      <w:r w:rsidR="00481A65" w:rsidRPr="00EB2326">
        <w:rPr>
          <w:color w:val="auto"/>
        </w:rPr>
        <w:t>increas</w:t>
      </w:r>
      <w:r w:rsidR="00A21162" w:rsidRPr="00EB2326">
        <w:rPr>
          <w:color w:val="auto"/>
        </w:rPr>
        <w:t>e</w:t>
      </w:r>
      <w:r w:rsidR="008B7A2D">
        <w:rPr>
          <w:color w:val="auto"/>
        </w:rPr>
        <w:t>d</w:t>
      </w:r>
      <w:r w:rsidR="00A21162" w:rsidRPr="00EB2326">
        <w:rPr>
          <w:color w:val="auto"/>
        </w:rPr>
        <w:t xml:space="preserve"> their</w:t>
      </w:r>
      <w:r w:rsidR="00481A65" w:rsidRPr="00EB2326">
        <w:rPr>
          <w:color w:val="auto"/>
        </w:rPr>
        <w:t xml:space="preserve"> incomes (55.</w:t>
      </w:r>
      <w:r w:rsidRPr="00EB2326">
        <w:rPr>
          <w:color w:val="auto"/>
        </w:rPr>
        <w:t>3</w:t>
      </w:r>
      <w:r w:rsidR="00481A65" w:rsidRPr="00EB2326">
        <w:rPr>
          <w:color w:val="auto"/>
        </w:rPr>
        <w:t xml:space="preserve">% women and girls, </w:t>
      </w:r>
      <w:r w:rsidRPr="00EB2326">
        <w:rPr>
          <w:color w:val="auto"/>
        </w:rPr>
        <w:t>5.6</w:t>
      </w:r>
      <w:r w:rsidR="00481A65" w:rsidRPr="00EB2326">
        <w:rPr>
          <w:color w:val="auto"/>
        </w:rPr>
        <w:t>% people with disabilities)</w:t>
      </w:r>
      <w:r w:rsidRPr="00EB2326">
        <w:rPr>
          <w:color w:val="auto"/>
        </w:rPr>
        <w:t>, up from 108,746 people in the previous year</w:t>
      </w:r>
      <w:r w:rsidR="008B7A2D">
        <w:rPr>
          <w:color w:val="auto"/>
        </w:rPr>
        <w:t xml:space="preserve"> (</w:t>
      </w:r>
      <w:r w:rsidR="00677853">
        <w:rPr>
          <w:color w:val="auto"/>
        </w:rPr>
        <w:t xml:space="preserve">ANCP </w:t>
      </w:r>
      <w:r w:rsidR="008B7A2D">
        <w:rPr>
          <w:color w:val="auto"/>
        </w:rPr>
        <w:t>Indicator L.02)</w:t>
      </w:r>
    </w:p>
    <w:p w14:paraId="04E33DBF" w14:textId="7C6B7491" w:rsidR="001F2160" w:rsidRPr="00EB2326" w:rsidRDefault="001F2160" w:rsidP="00BF4650">
      <w:pPr>
        <w:pStyle w:val="ListParagraph"/>
        <w:numPr>
          <w:ilvl w:val="0"/>
          <w:numId w:val="11"/>
        </w:numPr>
        <w:ind w:left="567" w:hanging="425"/>
        <w:rPr>
          <w:color w:val="auto"/>
        </w:rPr>
      </w:pPr>
      <w:r w:rsidRPr="00EB2326">
        <w:rPr>
          <w:color w:val="auto"/>
        </w:rPr>
        <w:t>117,256 people were provided with financial services (74.7% women and girls, 4.8% people with disabilities, down from 192,165 people with previous year</w:t>
      </w:r>
      <w:r w:rsidR="008B7A2D">
        <w:rPr>
          <w:color w:val="auto"/>
        </w:rPr>
        <w:t xml:space="preserve"> (</w:t>
      </w:r>
      <w:r w:rsidR="00677853">
        <w:rPr>
          <w:color w:val="auto"/>
        </w:rPr>
        <w:t xml:space="preserve">ANCP </w:t>
      </w:r>
      <w:r w:rsidR="008B7A2D">
        <w:rPr>
          <w:color w:val="auto"/>
        </w:rPr>
        <w:t>Indicator L.03)</w:t>
      </w:r>
    </w:p>
    <w:p w14:paraId="23E54A8D" w14:textId="32A716DD" w:rsidR="001F2160" w:rsidRPr="00EB2326" w:rsidRDefault="003E2892" w:rsidP="00BF4650">
      <w:pPr>
        <w:pStyle w:val="ListParagraph"/>
        <w:numPr>
          <w:ilvl w:val="0"/>
          <w:numId w:val="11"/>
        </w:numPr>
        <w:ind w:left="567" w:hanging="425"/>
        <w:rPr>
          <w:color w:val="auto"/>
        </w:rPr>
      </w:pPr>
      <w:r w:rsidRPr="00EB2326">
        <w:rPr>
          <w:color w:val="auto"/>
        </w:rPr>
        <w:t>39,585 people accessed</w:t>
      </w:r>
      <w:r w:rsidR="001F2160" w:rsidRPr="00EB2326">
        <w:rPr>
          <w:color w:val="auto"/>
        </w:rPr>
        <w:t xml:space="preserve"> social transfers (such as cash &amp; voucher assistance)</w:t>
      </w:r>
      <w:r w:rsidRPr="00EB2326">
        <w:rPr>
          <w:color w:val="auto"/>
        </w:rPr>
        <w:t xml:space="preserve"> (56.5% women and girls, 7.1% people with disabilities) up from 35,887 people with previous year</w:t>
      </w:r>
      <w:r w:rsidR="008B7A2D">
        <w:rPr>
          <w:color w:val="auto"/>
        </w:rPr>
        <w:t xml:space="preserve"> (</w:t>
      </w:r>
      <w:r w:rsidR="00677853">
        <w:rPr>
          <w:color w:val="auto"/>
        </w:rPr>
        <w:t xml:space="preserve">ANCP </w:t>
      </w:r>
      <w:r w:rsidR="008B7A2D">
        <w:rPr>
          <w:color w:val="auto"/>
        </w:rPr>
        <w:t>Indicator L.04)</w:t>
      </w:r>
    </w:p>
    <w:p w14:paraId="5E5EF2DB" w14:textId="4A3A2182" w:rsidR="00481A65" w:rsidRPr="00EB2326" w:rsidRDefault="00F70022" w:rsidP="00BF4650">
      <w:pPr>
        <w:pStyle w:val="ListParagraph"/>
        <w:numPr>
          <w:ilvl w:val="0"/>
          <w:numId w:val="11"/>
        </w:numPr>
        <w:ind w:left="567" w:hanging="425"/>
        <w:rPr>
          <w:color w:val="auto"/>
        </w:rPr>
      </w:pPr>
      <w:r w:rsidRPr="00EB2326">
        <w:rPr>
          <w:color w:val="auto"/>
        </w:rPr>
        <w:t>114,928</w:t>
      </w:r>
      <w:r w:rsidR="00481A65" w:rsidRPr="00EB2326">
        <w:rPr>
          <w:color w:val="auto"/>
        </w:rPr>
        <w:t xml:space="preserve"> people adopted improved agricultural and fisheries practices (55.</w:t>
      </w:r>
      <w:r w:rsidRPr="00EB2326">
        <w:rPr>
          <w:color w:val="auto"/>
        </w:rPr>
        <w:t>9</w:t>
      </w:r>
      <w:r w:rsidR="00481A65" w:rsidRPr="00EB2326">
        <w:rPr>
          <w:color w:val="auto"/>
        </w:rPr>
        <w:t xml:space="preserve">% women and girls, </w:t>
      </w:r>
      <w:r w:rsidRPr="00EB2326">
        <w:rPr>
          <w:color w:val="auto"/>
        </w:rPr>
        <w:t>5.3</w:t>
      </w:r>
      <w:r w:rsidR="00481A65" w:rsidRPr="00EB2326">
        <w:rPr>
          <w:color w:val="auto"/>
        </w:rPr>
        <w:t>% people with disabilities)</w:t>
      </w:r>
      <w:r w:rsidRPr="00EB2326">
        <w:rPr>
          <w:color w:val="auto"/>
        </w:rPr>
        <w:t>, up from 103,348 people the previous year</w:t>
      </w:r>
      <w:r w:rsidR="00481A65" w:rsidRPr="00EB2326">
        <w:rPr>
          <w:color w:val="auto"/>
        </w:rPr>
        <w:t xml:space="preserve"> </w:t>
      </w:r>
      <w:r w:rsidR="008B7A2D">
        <w:rPr>
          <w:color w:val="auto"/>
        </w:rPr>
        <w:t>(</w:t>
      </w:r>
      <w:r w:rsidR="00677853">
        <w:rPr>
          <w:color w:val="auto"/>
        </w:rPr>
        <w:t>ANCP I</w:t>
      </w:r>
      <w:r w:rsidR="008B7A2D">
        <w:rPr>
          <w:color w:val="auto"/>
        </w:rPr>
        <w:t>ndicator L.01)</w:t>
      </w:r>
    </w:p>
    <w:p w14:paraId="2782D97A" w14:textId="1F6968CF" w:rsidR="00481A65" w:rsidRDefault="00A21162" w:rsidP="00A21162">
      <w:pPr>
        <w:pStyle w:val="Heading5"/>
        <w:rPr>
          <w:color w:val="auto"/>
        </w:rPr>
      </w:pPr>
      <w:r w:rsidRPr="00EB2326">
        <w:rPr>
          <w:color w:val="auto"/>
        </w:rPr>
        <w:t xml:space="preserve">Case Study: </w:t>
      </w:r>
      <w:r w:rsidR="00D26ED5">
        <w:rPr>
          <w:color w:val="auto"/>
        </w:rPr>
        <w:t>S</w:t>
      </w:r>
      <w:r w:rsidR="00D26ED5" w:rsidRPr="00D26ED5">
        <w:rPr>
          <w:color w:val="auto"/>
        </w:rPr>
        <w:t xml:space="preserve">ocial </w:t>
      </w:r>
      <w:r w:rsidR="00D26ED5">
        <w:rPr>
          <w:color w:val="auto"/>
        </w:rPr>
        <w:t>s</w:t>
      </w:r>
      <w:r w:rsidR="00D26ED5" w:rsidRPr="00D26ED5">
        <w:rPr>
          <w:color w:val="auto"/>
        </w:rPr>
        <w:t xml:space="preserve">ecurity </w:t>
      </w:r>
      <w:r w:rsidR="00D26ED5">
        <w:rPr>
          <w:color w:val="auto"/>
        </w:rPr>
        <w:t>r</w:t>
      </w:r>
      <w:r w:rsidR="00D26ED5" w:rsidRPr="00D26ED5">
        <w:rPr>
          <w:color w:val="auto"/>
        </w:rPr>
        <w:t xml:space="preserve">ecognition for </w:t>
      </w:r>
      <w:r w:rsidR="00D26ED5">
        <w:rPr>
          <w:color w:val="auto"/>
        </w:rPr>
        <w:t>d</w:t>
      </w:r>
      <w:r w:rsidR="00D26ED5" w:rsidRPr="00D26ED5">
        <w:rPr>
          <w:color w:val="auto"/>
        </w:rPr>
        <w:t xml:space="preserve">omestic </w:t>
      </w:r>
      <w:r w:rsidR="00D26ED5">
        <w:rPr>
          <w:color w:val="auto"/>
        </w:rPr>
        <w:t>w</w:t>
      </w:r>
      <w:r w:rsidR="00D26ED5" w:rsidRPr="00D26ED5">
        <w:rPr>
          <w:color w:val="auto"/>
        </w:rPr>
        <w:t>orkers</w:t>
      </w:r>
    </w:p>
    <w:p w14:paraId="178F9190" w14:textId="452B39B2" w:rsidR="00A81383" w:rsidRPr="00AD1400" w:rsidRDefault="00743214" w:rsidP="00A81383">
      <w:r w:rsidRPr="00AD1400">
        <w:t>Australian People for Health Education and Development Abroad (APHEDA) supports t</w:t>
      </w:r>
      <w:r w:rsidR="00A81383" w:rsidRPr="00AD1400">
        <w:t xml:space="preserve">he Working Women's Centre of Timor-Leste (WWCTL) </w:t>
      </w:r>
      <w:r w:rsidRPr="00AD1400">
        <w:t>to advocate on</w:t>
      </w:r>
      <w:r w:rsidR="00A81383" w:rsidRPr="00AD1400">
        <w:t xml:space="preserve"> behalf of Timorese </w:t>
      </w:r>
      <w:r w:rsidR="00A53164" w:rsidRPr="00AD1400">
        <w:t>d</w:t>
      </w:r>
      <w:r w:rsidR="00A81383" w:rsidRPr="00AD1400">
        <w:t xml:space="preserve">omestic </w:t>
      </w:r>
      <w:r w:rsidR="00A53164" w:rsidRPr="00AD1400">
        <w:t>w</w:t>
      </w:r>
      <w:r w:rsidR="00A81383" w:rsidRPr="00AD1400">
        <w:t>orkers</w:t>
      </w:r>
      <w:r w:rsidRPr="00AD1400">
        <w:t xml:space="preserve">. </w:t>
      </w:r>
      <w:r w:rsidR="00A81383" w:rsidRPr="00AD1400">
        <w:t>Domestic workers</w:t>
      </w:r>
      <w:r w:rsidRPr="00AD1400">
        <w:t>,</w:t>
      </w:r>
      <w:r w:rsidR="00A81383" w:rsidRPr="00AD1400">
        <w:t xml:space="preserve"> often with limited school education, are at high risk of exploitation and poor working conditions including low wages, long working hours and exposure to sexual and physical harassment from employers. </w:t>
      </w:r>
      <w:r w:rsidR="00D7679B" w:rsidRPr="00AD1400">
        <w:t xml:space="preserve">WWCTL </w:t>
      </w:r>
      <w:r w:rsidR="00A81383" w:rsidRPr="00AD1400">
        <w:t xml:space="preserve">delivers training to domestic workers in employment rights, job skills, </w:t>
      </w:r>
      <w:r w:rsidR="00D7679B" w:rsidRPr="00AD1400">
        <w:t>h</w:t>
      </w:r>
      <w:r w:rsidR="00A81383" w:rsidRPr="00AD1400">
        <w:t xml:space="preserve">ealth and </w:t>
      </w:r>
      <w:r w:rsidR="00D7679B" w:rsidRPr="00AD1400">
        <w:t>s</w:t>
      </w:r>
      <w:r w:rsidR="00A81383" w:rsidRPr="00AD1400">
        <w:t>afety, COVID</w:t>
      </w:r>
      <w:r w:rsidR="003F175C">
        <w:t>-19</w:t>
      </w:r>
      <w:r w:rsidR="00A81383" w:rsidRPr="00AD1400">
        <w:t xml:space="preserve"> prevention, </w:t>
      </w:r>
      <w:r w:rsidR="00D7679B" w:rsidRPr="00AD1400">
        <w:t>c</w:t>
      </w:r>
      <w:r w:rsidR="00A81383" w:rsidRPr="00AD1400">
        <w:t xml:space="preserve">hild </w:t>
      </w:r>
      <w:r w:rsidR="00D7679B" w:rsidRPr="00AD1400">
        <w:t>p</w:t>
      </w:r>
      <w:r w:rsidR="00A81383" w:rsidRPr="00AD1400">
        <w:t>rotection, P</w:t>
      </w:r>
      <w:r w:rsidR="003F175C">
        <w:t>reventing Sexual Exploitation, Abuse and Harassment</w:t>
      </w:r>
      <w:r w:rsidR="00A81383" w:rsidRPr="00AD1400">
        <w:t xml:space="preserve"> and </w:t>
      </w:r>
      <w:r w:rsidR="00D7679B" w:rsidRPr="00AD1400">
        <w:t>a</w:t>
      </w:r>
      <w:r w:rsidR="00A81383" w:rsidRPr="00AD1400">
        <w:t xml:space="preserve">dvocacy. </w:t>
      </w:r>
    </w:p>
    <w:p w14:paraId="78F5B417" w14:textId="2C7478F6" w:rsidR="00A81383" w:rsidRPr="00AD1400" w:rsidRDefault="00A81383" w:rsidP="00A81383">
      <w:r w:rsidRPr="00AD1400">
        <w:t>‍The COVID</w:t>
      </w:r>
      <w:r w:rsidR="00D7679B" w:rsidRPr="00AD1400">
        <w:t>-</w:t>
      </w:r>
      <w:r w:rsidRPr="00AD1400">
        <w:t xml:space="preserve">19 pandemic has highlighted the wage and employment precarity of many </w:t>
      </w:r>
      <w:r w:rsidR="00A53164" w:rsidRPr="00AD1400">
        <w:t>d</w:t>
      </w:r>
      <w:r w:rsidRPr="00AD1400">
        <w:t xml:space="preserve">omestic </w:t>
      </w:r>
      <w:r w:rsidR="00A53164" w:rsidRPr="00AD1400">
        <w:t>w</w:t>
      </w:r>
      <w:r w:rsidRPr="00AD1400">
        <w:t xml:space="preserve">orkers. In </w:t>
      </w:r>
      <w:r w:rsidR="00A53164" w:rsidRPr="00AD1400">
        <w:t>2020-21</w:t>
      </w:r>
      <w:r w:rsidRPr="00AD1400">
        <w:t>, WWCTL was able to rapidly assess the financial and housing situation for vulnerable domestic workers, identify those most at risk and provide accurate data to the Government.</w:t>
      </w:r>
      <w:r w:rsidR="00D7679B" w:rsidRPr="00AD1400">
        <w:t xml:space="preserve"> </w:t>
      </w:r>
      <w:r w:rsidRPr="00AD1400">
        <w:t xml:space="preserve">WWCTL's </w:t>
      </w:r>
      <w:r w:rsidR="00844208" w:rsidRPr="00AD1400">
        <w:t>efforts</w:t>
      </w:r>
      <w:r w:rsidRPr="00AD1400">
        <w:t xml:space="preserve"> led to the Government endorsing eligibility for </w:t>
      </w:r>
      <w:r w:rsidR="00D7679B" w:rsidRPr="00AD1400">
        <w:t>d</w:t>
      </w:r>
      <w:r w:rsidRPr="00AD1400">
        <w:t xml:space="preserve">omestic </w:t>
      </w:r>
      <w:r w:rsidR="00D7679B" w:rsidRPr="00AD1400">
        <w:t>w</w:t>
      </w:r>
      <w:r w:rsidRPr="00AD1400">
        <w:t xml:space="preserve">orkers to receive </w:t>
      </w:r>
      <w:r w:rsidR="00392D17" w:rsidRPr="00AD1400">
        <w:t>s</w:t>
      </w:r>
      <w:r w:rsidRPr="00AD1400">
        <w:t xml:space="preserve">ocial </w:t>
      </w:r>
      <w:r w:rsidR="00392D17" w:rsidRPr="00AD1400">
        <w:t>s</w:t>
      </w:r>
      <w:r w:rsidRPr="00AD1400">
        <w:t>ecurity payments during state lockdowns. WWCTL's impact was recognised with the Prime Minister's Award for Strong Advocacy.</w:t>
      </w:r>
    </w:p>
    <w:p w14:paraId="1DE380A3" w14:textId="266B829B" w:rsidR="00481A65" w:rsidRPr="00EB2326" w:rsidRDefault="00110C57" w:rsidP="00BF4650">
      <w:pPr>
        <w:pStyle w:val="Heading2"/>
        <w:rPr>
          <w:color w:val="auto"/>
        </w:rPr>
      </w:pPr>
      <w:r w:rsidRPr="00AD1400">
        <w:rPr>
          <w:color w:val="auto"/>
        </w:rPr>
        <w:t>A</w:t>
      </w:r>
      <w:r w:rsidR="00DF2EB5" w:rsidRPr="00AD1400">
        <w:rPr>
          <w:color w:val="auto"/>
        </w:rPr>
        <w:t xml:space="preserve">NCP </w:t>
      </w:r>
      <w:r w:rsidR="00D07898" w:rsidRPr="00AD1400">
        <w:rPr>
          <w:color w:val="auto"/>
        </w:rPr>
        <w:t>2</w:t>
      </w:r>
      <w:r w:rsidR="00C94D49" w:rsidRPr="00AD1400">
        <w:rPr>
          <w:color w:val="auto"/>
        </w:rPr>
        <w:t>020-21</w:t>
      </w:r>
      <w:r w:rsidR="00D07898" w:rsidRPr="00AD1400">
        <w:rPr>
          <w:color w:val="auto"/>
        </w:rPr>
        <w:t xml:space="preserve"> </w:t>
      </w:r>
      <w:r w:rsidR="00454514" w:rsidRPr="00AD1400">
        <w:rPr>
          <w:color w:val="auto"/>
        </w:rPr>
        <w:t xml:space="preserve">program </w:t>
      </w:r>
      <w:r w:rsidR="009C6AFE" w:rsidRPr="00AD1400">
        <w:rPr>
          <w:color w:val="auto"/>
        </w:rPr>
        <w:t>Highlights</w:t>
      </w:r>
    </w:p>
    <w:p w14:paraId="19D18BB3" w14:textId="76632C0B" w:rsidR="00C27C0B" w:rsidRPr="00AD1400" w:rsidRDefault="000A27DF" w:rsidP="00580804">
      <w:pPr>
        <w:rPr>
          <w:color w:val="auto"/>
        </w:rPr>
      </w:pPr>
      <w:r w:rsidRPr="00AD1400">
        <w:rPr>
          <w:color w:val="auto"/>
        </w:rPr>
        <w:t xml:space="preserve">In 2020-21 ANCP projects </w:t>
      </w:r>
      <w:r w:rsidR="0044640F">
        <w:rPr>
          <w:color w:val="auto"/>
        </w:rPr>
        <w:t xml:space="preserve">were impacted not only by COVID-19, but also other significant events </w:t>
      </w:r>
      <w:r w:rsidRPr="00AD1400">
        <w:rPr>
          <w:color w:val="auto"/>
        </w:rPr>
        <w:t xml:space="preserve">including </w:t>
      </w:r>
      <w:r w:rsidR="00585AB9" w:rsidRPr="00AD1400">
        <w:rPr>
          <w:color w:val="auto"/>
        </w:rPr>
        <w:t xml:space="preserve">the </w:t>
      </w:r>
      <w:r w:rsidRPr="00AD1400">
        <w:rPr>
          <w:color w:val="auto"/>
        </w:rPr>
        <w:t>humanitarian cris</w:t>
      </w:r>
      <w:r w:rsidR="00585AB9" w:rsidRPr="00AD1400">
        <w:rPr>
          <w:color w:val="auto"/>
        </w:rPr>
        <w:t>i</w:t>
      </w:r>
      <w:r w:rsidRPr="00AD1400">
        <w:rPr>
          <w:color w:val="auto"/>
        </w:rPr>
        <w:t xml:space="preserve">s in Myanmar and recovery </w:t>
      </w:r>
      <w:r w:rsidR="00585AB9" w:rsidRPr="00AD1400">
        <w:rPr>
          <w:color w:val="auto"/>
        </w:rPr>
        <w:t>from</w:t>
      </w:r>
      <w:r w:rsidRPr="00AD1400">
        <w:rPr>
          <w:color w:val="auto"/>
        </w:rPr>
        <w:t xml:space="preserve"> T</w:t>
      </w:r>
      <w:r w:rsidR="007325FC">
        <w:rPr>
          <w:color w:val="auto"/>
        </w:rPr>
        <w:t>ropical Cyclone</w:t>
      </w:r>
      <w:r w:rsidRPr="00AD1400">
        <w:rPr>
          <w:color w:val="auto"/>
        </w:rPr>
        <w:t xml:space="preserve"> Harold in the Pacific. </w:t>
      </w:r>
      <w:r w:rsidR="00585AB9" w:rsidRPr="00AD1400">
        <w:rPr>
          <w:color w:val="auto"/>
        </w:rPr>
        <w:t xml:space="preserve">The </w:t>
      </w:r>
      <w:r w:rsidR="00C27C0B" w:rsidRPr="00AD1400">
        <w:rPr>
          <w:color w:val="auto"/>
        </w:rPr>
        <w:t xml:space="preserve">ANCP continued to support projects in a variety of contexts, with </w:t>
      </w:r>
      <w:r w:rsidR="007D6E0D" w:rsidRPr="00AD1400">
        <w:rPr>
          <w:color w:val="auto"/>
        </w:rPr>
        <w:t>results reported</w:t>
      </w:r>
      <w:r w:rsidR="00C27C0B" w:rsidRPr="00AD1400">
        <w:rPr>
          <w:color w:val="auto"/>
        </w:rPr>
        <w:t xml:space="preserve"> against all 42 ANCP indicators</w:t>
      </w:r>
      <w:r w:rsidR="007D6E0D" w:rsidRPr="00AD1400">
        <w:rPr>
          <w:color w:val="auto"/>
        </w:rPr>
        <w:t xml:space="preserve"> and all </w:t>
      </w:r>
      <w:r w:rsidR="007D6E0D" w:rsidRPr="00AD1400">
        <w:rPr>
          <w:i/>
          <w:iCs/>
          <w:color w:val="auto"/>
        </w:rPr>
        <w:t>Partnerships for Recovery</w:t>
      </w:r>
      <w:r w:rsidR="007D6E0D" w:rsidRPr="00AD1400">
        <w:rPr>
          <w:color w:val="auto"/>
        </w:rPr>
        <w:t xml:space="preserve"> Tier 2 indicators</w:t>
      </w:r>
      <w:r w:rsidR="00C27C0B" w:rsidRPr="00AD1400">
        <w:rPr>
          <w:color w:val="auto"/>
        </w:rPr>
        <w:t xml:space="preserve">. Although many projects directly </w:t>
      </w:r>
      <w:r w:rsidR="007D6E0D" w:rsidRPr="00AD1400">
        <w:rPr>
          <w:color w:val="auto"/>
        </w:rPr>
        <w:t>implemented COVID-19</w:t>
      </w:r>
      <w:r w:rsidR="009E28A2" w:rsidRPr="00AD1400">
        <w:rPr>
          <w:color w:val="auto"/>
        </w:rPr>
        <w:t xml:space="preserve"> specific</w:t>
      </w:r>
      <w:r w:rsidR="007D6E0D" w:rsidRPr="00AD1400">
        <w:rPr>
          <w:color w:val="auto"/>
        </w:rPr>
        <w:t xml:space="preserve"> response and recovery activities, other projects </w:t>
      </w:r>
      <w:r w:rsidR="00180F4D" w:rsidRPr="00AD1400">
        <w:rPr>
          <w:color w:val="auto"/>
        </w:rPr>
        <w:t>ad</w:t>
      </w:r>
      <w:r w:rsidR="00DA0DD1">
        <w:rPr>
          <w:color w:val="auto"/>
        </w:rPr>
        <w:t>o</w:t>
      </w:r>
      <w:r w:rsidR="00180F4D" w:rsidRPr="00AD1400">
        <w:rPr>
          <w:color w:val="auto"/>
        </w:rPr>
        <w:t xml:space="preserve">pted </w:t>
      </w:r>
      <w:r w:rsidR="007402B2" w:rsidRPr="00AD1400">
        <w:rPr>
          <w:color w:val="auto"/>
        </w:rPr>
        <w:t>long</w:t>
      </w:r>
      <w:r w:rsidR="00A77D41" w:rsidRPr="00AD1400">
        <w:rPr>
          <w:color w:val="auto"/>
        </w:rPr>
        <w:t>er</w:t>
      </w:r>
      <w:r w:rsidR="007402B2" w:rsidRPr="00AD1400">
        <w:rPr>
          <w:color w:val="auto"/>
        </w:rPr>
        <w:t>-term support in areas such as immunisation, education and training and agricultural development. For example, nearly 17,000 children were immunised through GAVI support and over 63,000 additional children were enrolled in school</w:t>
      </w:r>
      <w:r w:rsidRPr="00AD1400">
        <w:rPr>
          <w:color w:val="auto"/>
        </w:rPr>
        <w:t>.</w:t>
      </w:r>
    </w:p>
    <w:p w14:paraId="1411FC66" w14:textId="2BE8D42F" w:rsidR="009C6AFE" w:rsidRPr="00EB2326" w:rsidRDefault="00180F4D" w:rsidP="00580804">
      <w:pPr>
        <w:rPr>
          <w:color w:val="auto"/>
        </w:rPr>
      </w:pPr>
      <w:r w:rsidRPr="00AD1400">
        <w:rPr>
          <w:color w:val="auto"/>
        </w:rPr>
        <w:t xml:space="preserve">The objective of the ANCP is to progress Sustainable Development Goals through supporting inclusive development, and open and transparent civil society. </w:t>
      </w:r>
      <w:r w:rsidR="003F65E8" w:rsidRPr="00AD1400">
        <w:rPr>
          <w:color w:val="auto"/>
        </w:rPr>
        <w:t>Graph</w:t>
      </w:r>
      <w:r w:rsidR="003F65E8">
        <w:rPr>
          <w:color w:val="auto"/>
        </w:rPr>
        <w:t xml:space="preserve"> </w:t>
      </w:r>
      <w:r w:rsidR="00A81383">
        <w:rPr>
          <w:color w:val="auto"/>
        </w:rPr>
        <w:t>1</w:t>
      </w:r>
      <w:r w:rsidR="00486D28" w:rsidRPr="00EB2326">
        <w:rPr>
          <w:color w:val="auto"/>
        </w:rPr>
        <w:t xml:space="preserve"> shows ANCP expenditure </w:t>
      </w:r>
      <w:r w:rsidR="00147892" w:rsidRPr="00EB2326">
        <w:rPr>
          <w:color w:val="auto"/>
        </w:rPr>
        <w:t xml:space="preserve">(percentage) </w:t>
      </w:r>
      <w:r w:rsidR="00486D28" w:rsidRPr="00EB2326">
        <w:rPr>
          <w:color w:val="auto"/>
        </w:rPr>
        <w:t>in 20</w:t>
      </w:r>
      <w:r w:rsidR="00602B9A" w:rsidRPr="00EB2326">
        <w:rPr>
          <w:color w:val="auto"/>
        </w:rPr>
        <w:t>20-21</w:t>
      </w:r>
      <w:r w:rsidR="00486D28" w:rsidRPr="00EB2326">
        <w:rPr>
          <w:color w:val="auto"/>
        </w:rPr>
        <w:t xml:space="preserve"> against SDGs</w:t>
      </w:r>
      <w:r w:rsidR="003267E5" w:rsidRPr="00EB2326">
        <w:rPr>
          <w:color w:val="auto"/>
        </w:rPr>
        <w:t>.</w:t>
      </w:r>
      <w:r w:rsidR="00147892" w:rsidRPr="00EB2326">
        <w:rPr>
          <w:color w:val="auto"/>
        </w:rPr>
        <w:t xml:space="preserve"> </w:t>
      </w:r>
      <w:r w:rsidR="009A49D2" w:rsidRPr="00EB2326">
        <w:rPr>
          <w:color w:val="auto"/>
        </w:rPr>
        <w:t xml:space="preserve">Expenditure under Goal 3 increased from 21.6% the previous year, reflecting the ANCP’s pivot to supporting additional COVID-19 response activities. </w:t>
      </w:r>
    </w:p>
    <w:p w14:paraId="7CB06B2F" w14:textId="67B0C2FE" w:rsidR="00110C57" w:rsidRDefault="00C72B98" w:rsidP="00580804">
      <w:pPr>
        <w:rPr>
          <w:b/>
          <w:noProof/>
        </w:rPr>
      </w:pPr>
      <w:r>
        <w:rPr>
          <w:noProof/>
        </w:rPr>
        <w:lastRenderedPageBreak/>
        <w:drawing>
          <wp:inline distT="0" distB="0" distL="0" distR="0" wp14:anchorId="03357A38" wp14:editId="33B98F05">
            <wp:extent cx="6048375" cy="3543300"/>
            <wp:effectExtent l="0" t="0" r="9525" b="0"/>
            <wp:docPr id="15" name="Chart 15" descr="Graph 1 shows 2020-21 ANCP expenditure by SDG. Goal 3: Good Health and Well-being is 27.67% of expenditure, over twice as much as the next goal which is gender equality at 12.97%.">
              <a:extLst xmlns:a="http://schemas.openxmlformats.org/drawingml/2006/main">
                <a:ext uri="{FF2B5EF4-FFF2-40B4-BE49-F238E27FC236}">
                  <a16:creationId xmlns:a16="http://schemas.microsoft.com/office/drawing/2014/main" id="{AAF87CE9-60BD-46F7-81DB-E9AD698AF7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DE9B14" w14:textId="45BC371A" w:rsidR="009C6AFE" w:rsidRPr="00EB2326" w:rsidRDefault="007402B2" w:rsidP="00326576">
      <w:pPr>
        <w:pStyle w:val="Heading3"/>
        <w:spacing w:before="240"/>
        <w:rPr>
          <w:color w:val="auto"/>
        </w:rPr>
      </w:pPr>
      <w:r>
        <w:rPr>
          <w:color w:val="auto"/>
        </w:rPr>
        <w:t>F</w:t>
      </w:r>
      <w:r w:rsidR="00486D28" w:rsidRPr="00EB2326">
        <w:rPr>
          <w:color w:val="auto"/>
        </w:rPr>
        <w:t>inancial Contributions</w:t>
      </w:r>
    </w:p>
    <w:p w14:paraId="4A50EBD7" w14:textId="362A1D76" w:rsidR="00481A65" w:rsidRPr="00EB2326" w:rsidRDefault="00481A65" w:rsidP="00481A65">
      <w:pPr>
        <w:rPr>
          <w:color w:val="auto"/>
          <w:highlight w:val="yellow"/>
        </w:rPr>
      </w:pPr>
      <w:r w:rsidRPr="00EB2326">
        <w:rPr>
          <w:color w:val="auto"/>
        </w:rPr>
        <w:t xml:space="preserve">In addition to the </w:t>
      </w:r>
      <w:r w:rsidR="00CE08A7">
        <w:rPr>
          <w:color w:val="auto"/>
        </w:rPr>
        <w:t xml:space="preserve">$21.44 million in </w:t>
      </w:r>
      <w:r w:rsidR="00153625">
        <w:rPr>
          <w:color w:val="auto"/>
        </w:rPr>
        <w:t xml:space="preserve">ANCP NGO </w:t>
      </w:r>
      <w:r w:rsidRPr="00EB2326">
        <w:rPr>
          <w:color w:val="auto"/>
        </w:rPr>
        <w:t xml:space="preserve">contributions, </w:t>
      </w:r>
      <w:r w:rsidR="002252C2" w:rsidRPr="00EB2326">
        <w:rPr>
          <w:color w:val="auto"/>
        </w:rPr>
        <w:t>3</w:t>
      </w:r>
      <w:r w:rsidR="00EA33EC">
        <w:rPr>
          <w:color w:val="auto"/>
        </w:rPr>
        <w:t>4</w:t>
      </w:r>
      <w:r w:rsidRPr="00EB2326">
        <w:rPr>
          <w:color w:val="auto"/>
        </w:rPr>
        <w:t xml:space="preserve"> projects received </w:t>
      </w:r>
      <w:r w:rsidR="00DA0DD1">
        <w:rPr>
          <w:color w:val="auto"/>
        </w:rPr>
        <w:t>funding from other institutional donors, including</w:t>
      </w:r>
      <w:r w:rsidRPr="00EB2326">
        <w:rPr>
          <w:color w:val="auto"/>
        </w:rPr>
        <w:t xml:space="preserve">: </w:t>
      </w:r>
    </w:p>
    <w:p w14:paraId="1D74627C" w14:textId="6DB8D1C6" w:rsidR="00481A65" w:rsidRPr="00EB2326" w:rsidRDefault="00481A65" w:rsidP="00BF4650">
      <w:pPr>
        <w:pStyle w:val="ListParagraph"/>
        <w:numPr>
          <w:ilvl w:val="0"/>
          <w:numId w:val="11"/>
        </w:numPr>
        <w:ind w:left="567" w:hanging="425"/>
        <w:rPr>
          <w:color w:val="auto"/>
        </w:rPr>
      </w:pPr>
      <w:r w:rsidRPr="00EB2326">
        <w:rPr>
          <w:color w:val="auto"/>
        </w:rPr>
        <w:t>$</w:t>
      </w:r>
      <w:r w:rsidR="001727A9" w:rsidRPr="00EB2326">
        <w:rPr>
          <w:color w:val="auto"/>
        </w:rPr>
        <w:t xml:space="preserve">8.6 </w:t>
      </w:r>
      <w:r w:rsidRPr="00EB2326">
        <w:rPr>
          <w:color w:val="auto"/>
        </w:rPr>
        <w:t>million from International NGOs &amp; CSOs</w:t>
      </w:r>
    </w:p>
    <w:p w14:paraId="14F2FE8C" w14:textId="4724CC89" w:rsidR="00481A65" w:rsidRPr="00EB2326" w:rsidRDefault="00481A65" w:rsidP="00BF4650">
      <w:pPr>
        <w:pStyle w:val="ListParagraph"/>
        <w:numPr>
          <w:ilvl w:val="0"/>
          <w:numId w:val="11"/>
        </w:numPr>
        <w:ind w:left="567" w:hanging="425"/>
        <w:rPr>
          <w:color w:val="auto"/>
        </w:rPr>
      </w:pPr>
      <w:r w:rsidRPr="00EB2326">
        <w:rPr>
          <w:color w:val="auto"/>
        </w:rPr>
        <w:t>$</w:t>
      </w:r>
      <w:r w:rsidR="001727A9" w:rsidRPr="00EB2326">
        <w:rPr>
          <w:color w:val="auto"/>
        </w:rPr>
        <w:t xml:space="preserve">3.1 </w:t>
      </w:r>
      <w:r w:rsidRPr="00EB2326">
        <w:rPr>
          <w:color w:val="auto"/>
        </w:rPr>
        <w:t>million from Government sources (including local governments in-country and other Government donors such as Ireland, E</w:t>
      </w:r>
      <w:r w:rsidR="001727A9" w:rsidRPr="00EB2326">
        <w:rPr>
          <w:color w:val="auto"/>
        </w:rPr>
        <w:t>C, MFAT, Canada</w:t>
      </w:r>
      <w:r w:rsidRPr="00EB2326">
        <w:rPr>
          <w:color w:val="auto"/>
        </w:rPr>
        <w:t xml:space="preserve"> etc).</w:t>
      </w:r>
    </w:p>
    <w:p w14:paraId="491C0FFC" w14:textId="365194B6" w:rsidR="00481A65" w:rsidRPr="00EB2326" w:rsidRDefault="00481A65" w:rsidP="00BF4650">
      <w:pPr>
        <w:pStyle w:val="ListParagraph"/>
        <w:numPr>
          <w:ilvl w:val="0"/>
          <w:numId w:val="11"/>
        </w:numPr>
        <w:ind w:left="567" w:hanging="425"/>
        <w:rPr>
          <w:color w:val="auto"/>
        </w:rPr>
      </w:pPr>
      <w:r w:rsidRPr="00EB2326">
        <w:rPr>
          <w:color w:val="auto"/>
        </w:rPr>
        <w:t>$</w:t>
      </w:r>
      <w:r w:rsidR="001727A9" w:rsidRPr="00EB2326">
        <w:rPr>
          <w:color w:val="auto"/>
        </w:rPr>
        <w:t>2.6</w:t>
      </w:r>
      <w:r w:rsidRPr="00EB2326">
        <w:rPr>
          <w:color w:val="auto"/>
        </w:rPr>
        <w:t xml:space="preserve"> million from faith-based organisations</w:t>
      </w:r>
    </w:p>
    <w:p w14:paraId="549E0931" w14:textId="37151DAE" w:rsidR="00481A65" w:rsidRPr="00EB2326" w:rsidRDefault="00481A65" w:rsidP="00BF4650">
      <w:pPr>
        <w:pStyle w:val="ListParagraph"/>
        <w:numPr>
          <w:ilvl w:val="0"/>
          <w:numId w:val="11"/>
        </w:numPr>
        <w:ind w:left="567" w:hanging="425"/>
        <w:rPr>
          <w:color w:val="auto"/>
        </w:rPr>
      </w:pPr>
      <w:r w:rsidRPr="00EB2326">
        <w:rPr>
          <w:color w:val="auto"/>
        </w:rPr>
        <w:t>$3.</w:t>
      </w:r>
      <w:r w:rsidR="001727A9" w:rsidRPr="00EB2326">
        <w:rPr>
          <w:color w:val="auto"/>
        </w:rPr>
        <w:t>9</w:t>
      </w:r>
      <w:r w:rsidRPr="00EB2326">
        <w:rPr>
          <w:color w:val="auto"/>
        </w:rPr>
        <w:t xml:space="preserve"> million from multilateral organisations</w:t>
      </w:r>
    </w:p>
    <w:p w14:paraId="4DD3840D" w14:textId="37DF2816" w:rsidR="00481A65" w:rsidRPr="00EB2326" w:rsidRDefault="00481A65" w:rsidP="00BF4650">
      <w:pPr>
        <w:pStyle w:val="ListParagraph"/>
        <w:numPr>
          <w:ilvl w:val="0"/>
          <w:numId w:val="11"/>
        </w:numPr>
        <w:ind w:left="567" w:hanging="425"/>
        <w:rPr>
          <w:color w:val="auto"/>
        </w:rPr>
      </w:pPr>
      <w:r w:rsidRPr="00EB2326">
        <w:rPr>
          <w:color w:val="auto"/>
        </w:rPr>
        <w:t>$2.</w:t>
      </w:r>
      <w:r w:rsidR="001727A9" w:rsidRPr="00EB2326">
        <w:rPr>
          <w:color w:val="auto"/>
        </w:rPr>
        <w:t>3</w:t>
      </w:r>
      <w:r w:rsidRPr="00EB2326">
        <w:rPr>
          <w:color w:val="auto"/>
        </w:rPr>
        <w:t xml:space="preserve"> million from the private sector</w:t>
      </w:r>
    </w:p>
    <w:p w14:paraId="7FA86EE2" w14:textId="5965DEC7" w:rsidR="00486D28" w:rsidRPr="00EB2326" w:rsidRDefault="00153625" w:rsidP="00486D28">
      <w:pPr>
        <w:rPr>
          <w:color w:val="auto"/>
        </w:rPr>
      </w:pPr>
      <w:r>
        <w:rPr>
          <w:color w:val="auto"/>
        </w:rPr>
        <w:t>ANCP</w:t>
      </w:r>
      <w:r w:rsidR="00486D28" w:rsidRPr="00EB2326">
        <w:rPr>
          <w:color w:val="auto"/>
        </w:rPr>
        <w:t xml:space="preserve"> NGOs have strong links with local implementing partners, the majority of which are </w:t>
      </w:r>
      <w:r w:rsidR="000A4CDD">
        <w:rPr>
          <w:color w:val="auto"/>
        </w:rPr>
        <w:t xml:space="preserve">government agencies, </w:t>
      </w:r>
      <w:r w:rsidR="00486D28" w:rsidRPr="00EB2326">
        <w:rPr>
          <w:color w:val="auto"/>
        </w:rPr>
        <w:t>local NGOs</w:t>
      </w:r>
      <w:r w:rsidR="001E2EE8">
        <w:rPr>
          <w:color w:val="auto"/>
        </w:rPr>
        <w:t xml:space="preserve"> and international NGOs</w:t>
      </w:r>
      <w:r w:rsidR="00486D28" w:rsidRPr="00EB2326">
        <w:rPr>
          <w:color w:val="auto"/>
        </w:rPr>
        <w:t xml:space="preserve">, </w:t>
      </w:r>
      <w:r w:rsidR="000A4CDD">
        <w:rPr>
          <w:color w:val="auto"/>
        </w:rPr>
        <w:t xml:space="preserve">stakeholder groups </w:t>
      </w:r>
      <w:r w:rsidR="00486D28" w:rsidRPr="00EB2326">
        <w:rPr>
          <w:color w:val="auto"/>
        </w:rPr>
        <w:t xml:space="preserve">and the private sector (see </w:t>
      </w:r>
      <w:r w:rsidR="001E2EE8">
        <w:rPr>
          <w:color w:val="auto"/>
        </w:rPr>
        <w:t xml:space="preserve">Graph </w:t>
      </w:r>
      <w:r w:rsidR="007402B2">
        <w:rPr>
          <w:color w:val="auto"/>
        </w:rPr>
        <w:t>2</w:t>
      </w:r>
      <w:r w:rsidR="00486D28" w:rsidRPr="00EB2326">
        <w:rPr>
          <w:color w:val="auto"/>
        </w:rPr>
        <w:t xml:space="preserve">). </w:t>
      </w:r>
    </w:p>
    <w:p w14:paraId="73BE77A3" w14:textId="2071755F" w:rsidR="009250A0" w:rsidRDefault="00765537" w:rsidP="00486D28">
      <w:r>
        <w:rPr>
          <w:noProof/>
        </w:rPr>
        <w:drawing>
          <wp:inline distT="0" distB="0" distL="0" distR="0" wp14:anchorId="3BB06E37" wp14:editId="2B2A7656">
            <wp:extent cx="6000750" cy="2628900"/>
            <wp:effectExtent l="0" t="0" r="0" b="0"/>
            <wp:docPr id="13" name="Chart 13" descr="Graph 2 shows 2020-21 data for implementing partner type. The two most popular types of implementing partners are government agencies and local NGOs/CSOs. ">
              <a:extLst xmlns:a="http://schemas.openxmlformats.org/drawingml/2006/main">
                <a:ext uri="{FF2B5EF4-FFF2-40B4-BE49-F238E27FC236}">
                  <a16:creationId xmlns:a16="http://schemas.microsoft.com/office/drawing/2014/main" id="{430387C8-F1C6-4844-9A70-C2B9E2C0A7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048F6E" w14:textId="2812EC76" w:rsidR="00ED5169" w:rsidRPr="00ED5169" w:rsidRDefault="00ED5169" w:rsidP="00ED5169">
      <w:pPr>
        <w:pStyle w:val="Heading3"/>
        <w:spacing w:before="240" w:line="240" w:lineRule="auto"/>
        <w:rPr>
          <w:rFonts w:asciiTheme="minorHAnsi" w:eastAsiaTheme="minorHAnsi" w:hAnsiTheme="minorHAnsi" w:cstheme="minorBidi"/>
          <w:bCs w:val="0"/>
          <w:iCs/>
          <w:color w:val="auto"/>
          <w:sz w:val="22"/>
          <w:szCs w:val="22"/>
        </w:rPr>
      </w:pPr>
      <w:r w:rsidRPr="00ED5169">
        <w:rPr>
          <w:rFonts w:asciiTheme="minorHAnsi" w:eastAsiaTheme="minorHAnsi" w:hAnsiTheme="minorHAnsi" w:cstheme="minorBidi"/>
          <w:bCs w:val="0"/>
          <w:iCs/>
          <w:color w:val="auto"/>
          <w:sz w:val="22"/>
          <w:szCs w:val="22"/>
        </w:rPr>
        <w:lastRenderedPageBreak/>
        <w:t xml:space="preserve">In 2020-21 there was a slight rise in partnering with local NGOs/CSOs, perhaps reflecting the greater emphasis </w:t>
      </w:r>
      <w:r>
        <w:rPr>
          <w:rFonts w:asciiTheme="minorHAnsi" w:eastAsiaTheme="minorHAnsi" w:hAnsiTheme="minorHAnsi" w:cstheme="minorBidi"/>
          <w:bCs w:val="0"/>
          <w:iCs/>
          <w:color w:val="auto"/>
          <w:sz w:val="22"/>
          <w:szCs w:val="22"/>
        </w:rPr>
        <w:t xml:space="preserve">on localisation in response to COVID-19 travel and resourcing restrictions. </w:t>
      </w:r>
    </w:p>
    <w:p w14:paraId="7D17DA7E" w14:textId="77777777" w:rsidR="00ED5169" w:rsidRDefault="00ED5169" w:rsidP="00ED5169">
      <w:pPr>
        <w:pStyle w:val="Heading3"/>
        <w:spacing w:before="240" w:line="240" w:lineRule="auto"/>
        <w:rPr>
          <w:color w:val="auto"/>
        </w:rPr>
      </w:pPr>
    </w:p>
    <w:p w14:paraId="35492801" w14:textId="74FF316B" w:rsidR="009E28A2" w:rsidRPr="00EB2326" w:rsidRDefault="009E28A2" w:rsidP="009E28A2">
      <w:pPr>
        <w:pStyle w:val="Heading3"/>
        <w:spacing w:before="240"/>
        <w:rPr>
          <w:color w:val="auto"/>
        </w:rPr>
      </w:pPr>
      <w:r>
        <w:rPr>
          <w:color w:val="auto"/>
        </w:rPr>
        <w:t>Capacity Building</w:t>
      </w:r>
    </w:p>
    <w:p w14:paraId="529089E3" w14:textId="630C7653" w:rsidR="009E28A2" w:rsidRPr="00C02C73" w:rsidRDefault="009E28A2" w:rsidP="009E28A2">
      <w:pPr>
        <w:spacing w:after="0"/>
        <w:rPr>
          <w:color w:val="auto"/>
        </w:rPr>
      </w:pPr>
      <w:r w:rsidRPr="00EB2326">
        <w:rPr>
          <w:color w:val="auto"/>
        </w:rPr>
        <w:t>A strength of the ANCP is a commitment to building the capacity of in-country implementing partners and communities</w:t>
      </w:r>
      <w:r>
        <w:rPr>
          <w:color w:val="auto"/>
        </w:rPr>
        <w:t xml:space="preserve">, as reflected in the </w:t>
      </w:r>
      <w:hyperlink r:id="rId18" w:history="1">
        <w:r w:rsidRPr="007325FC">
          <w:rPr>
            <w:rStyle w:val="Hyperlink"/>
            <w:rFonts w:cstheme="minorBidi"/>
          </w:rPr>
          <w:t>ANCP Program Logic</w:t>
        </w:r>
      </w:hyperlink>
      <w:r w:rsidRPr="00EB2326">
        <w:rPr>
          <w:color w:val="auto"/>
        </w:rPr>
        <w:t xml:space="preserve">. </w:t>
      </w:r>
      <w:r>
        <w:rPr>
          <w:color w:val="auto"/>
        </w:rPr>
        <w:t>This has become a cornerstone of ANCP’s effective respon</w:t>
      </w:r>
      <w:r w:rsidR="00F51CDB">
        <w:rPr>
          <w:color w:val="auto"/>
        </w:rPr>
        <w:t>se</w:t>
      </w:r>
      <w:r>
        <w:rPr>
          <w:color w:val="auto"/>
        </w:rPr>
        <w:t xml:space="preserve"> to the challenges of COVID-19. Investing long-term in the capacity of local partners has enabled ANGOs to continue supporting communities and leaders in their response to COVID-19.</w:t>
      </w:r>
      <w:r w:rsidRPr="00EB2326">
        <w:rPr>
          <w:iCs/>
          <w:color w:val="auto"/>
        </w:rPr>
        <w:t xml:space="preserve"> </w:t>
      </w:r>
    </w:p>
    <w:p w14:paraId="0E06B1A8" w14:textId="77ED991F" w:rsidR="009E28A2" w:rsidRPr="00EB2326" w:rsidRDefault="009E28A2" w:rsidP="009E28A2">
      <w:pPr>
        <w:spacing w:after="0"/>
        <w:rPr>
          <w:iCs/>
          <w:color w:val="auto"/>
        </w:rPr>
      </w:pPr>
      <w:r>
        <w:rPr>
          <w:iCs/>
          <w:color w:val="auto"/>
        </w:rPr>
        <w:t xml:space="preserve">Graph 3 reflects the strong focus on capacity building across the ANCP, with the </w:t>
      </w:r>
      <w:r w:rsidR="009D5F84">
        <w:rPr>
          <w:iCs/>
          <w:color w:val="auto"/>
        </w:rPr>
        <w:t>most reported</w:t>
      </w:r>
      <w:r>
        <w:rPr>
          <w:iCs/>
          <w:color w:val="auto"/>
        </w:rPr>
        <w:t xml:space="preserve"> development outcome (</w:t>
      </w:r>
      <w:r w:rsidR="00F51CDB">
        <w:rPr>
          <w:iCs/>
          <w:color w:val="auto"/>
        </w:rPr>
        <w:t xml:space="preserve">under </w:t>
      </w:r>
      <w:r>
        <w:rPr>
          <w:iCs/>
          <w:color w:val="auto"/>
        </w:rPr>
        <w:t xml:space="preserve">Pathway 2 of the </w:t>
      </w:r>
      <w:r w:rsidR="007325FC" w:rsidRPr="007325FC">
        <w:rPr>
          <w:iCs/>
          <w:u w:color="0070C0"/>
        </w:rPr>
        <w:t>ANCP Program Logic</w:t>
      </w:r>
      <w:r>
        <w:rPr>
          <w:iCs/>
          <w:color w:val="auto"/>
        </w:rPr>
        <w:t>) focussed on strengthening the capacity of in-country partners and the civil sector more broadly. Graph 4</w:t>
      </w:r>
      <w:r w:rsidRPr="00EB2326">
        <w:rPr>
          <w:iCs/>
          <w:color w:val="auto"/>
        </w:rPr>
        <w:t xml:space="preserve"> outlines the number and type of capacity building </w:t>
      </w:r>
      <w:r>
        <w:rPr>
          <w:iCs/>
          <w:color w:val="auto"/>
        </w:rPr>
        <w:t>activities</w:t>
      </w:r>
      <w:r w:rsidRPr="00EB2326">
        <w:rPr>
          <w:iCs/>
          <w:color w:val="auto"/>
        </w:rPr>
        <w:t xml:space="preserve"> in the ANCP.</w:t>
      </w:r>
      <w:r>
        <w:rPr>
          <w:iCs/>
          <w:color w:val="auto"/>
        </w:rPr>
        <w:t xml:space="preserve"> </w:t>
      </w:r>
      <w:r w:rsidR="00C01BB8">
        <w:rPr>
          <w:iCs/>
          <w:color w:val="auto"/>
        </w:rPr>
        <w:t xml:space="preserve">Disability inclusion capacity building activities were </w:t>
      </w:r>
      <w:r>
        <w:rPr>
          <w:iCs/>
          <w:color w:val="auto"/>
        </w:rPr>
        <w:t>less commonly reported</w:t>
      </w:r>
      <w:r w:rsidR="00C01BB8">
        <w:rPr>
          <w:iCs/>
          <w:color w:val="auto"/>
        </w:rPr>
        <w:t xml:space="preserve"> than other</w:t>
      </w:r>
      <w:r>
        <w:rPr>
          <w:iCs/>
          <w:color w:val="auto"/>
        </w:rPr>
        <w:t xml:space="preserve"> foci. </w:t>
      </w:r>
      <w:r w:rsidR="00C01BB8">
        <w:rPr>
          <w:iCs/>
          <w:color w:val="auto"/>
        </w:rPr>
        <w:t>Disability inclusion has</w:t>
      </w:r>
      <w:r>
        <w:rPr>
          <w:iCs/>
          <w:color w:val="auto"/>
        </w:rPr>
        <w:t xml:space="preserve"> been identified as </w:t>
      </w:r>
      <w:r w:rsidR="00C01BB8">
        <w:rPr>
          <w:iCs/>
          <w:color w:val="auto"/>
        </w:rPr>
        <w:t xml:space="preserve">an </w:t>
      </w:r>
      <w:r>
        <w:rPr>
          <w:iCs/>
          <w:color w:val="auto"/>
        </w:rPr>
        <w:t xml:space="preserve">area for further capacity support in the ANCP forward learning agenda. </w:t>
      </w:r>
    </w:p>
    <w:p w14:paraId="1A7B011E" w14:textId="77777777" w:rsidR="009E28A2" w:rsidRDefault="009E28A2" w:rsidP="009E28A2">
      <w:pPr>
        <w:pStyle w:val="Heading3"/>
        <w:spacing w:before="240"/>
        <w:rPr>
          <w:color w:val="auto"/>
        </w:rPr>
      </w:pPr>
      <w:r>
        <w:rPr>
          <w:noProof/>
        </w:rPr>
        <w:drawing>
          <wp:inline distT="0" distB="0" distL="0" distR="0" wp14:anchorId="24EA19C4" wp14:editId="0E1957A2">
            <wp:extent cx="6191250" cy="2800350"/>
            <wp:effectExtent l="0" t="0" r="0" b="0"/>
            <wp:docPr id="3" name="Chart 3" descr="Graph 3 shows reporting by NGOs of the development outcomes (Pathway 2 of the ANCP Program Logic). Strengthening capacity building of in-country partners and delivery programs with a focus on gender equality are the two most popular development outcomes reported against. ">
              <a:extLst xmlns:a="http://schemas.openxmlformats.org/drawingml/2006/main">
                <a:ext uri="{FF2B5EF4-FFF2-40B4-BE49-F238E27FC236}">
                  <a16:creationId xmlns:a16="http://schemas.microsoft.com/office/drawing/2014/main" id="{CAAD0A11-7824-43ED-88EC-B5A4338A07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5F2104" w14:textId="734358BE" w:rsidR="00585AB9" w:rsidRDefault="009E28A2" w:rsidP="00ED5169">
      <w:pPr>
        <w:spacing w:before="0" w:after="0" w:line="240" w:lineRule="auto"/>
        <w:rPr>
          <w:rFonts w:asciiTheme="majorHAnsi" w:eastAsiaTheme="majorEastAsia" w:hAnsiTheme="majorHAnsi" w:cstheme="majorBidi"/>
          <w:bCs/>
          <w:color w:val="auto"/>
          <w:sz w:val="30"/>
          <w:szCs w:val="26"/>
        </w:rPr>
      </w:pPr>
      <w:r>
        <w:rPr>
          <w:noProof/>
        </w:rPr>
        <w:drawing>
          <wp:inline distT="0" distB="0" distL="0" distR="0" wp14:anchorId="6FF5D96D" wp14:editId="6C561917">
            <wp:extent cx="6200775" cy="2962275"/>
            <wp:effectExtent l="0" t="0" r="9525" b="9525"/>
            <wp:docPr id="14" name="Chart 14" descr="Graph 4 indicated the number of ANCP projects by capacity building focus. The most common topics are safeguards, technical and financial and financial risk management. ">
              <a:extLst xmlns:a="http://schemas.openxmlformats.org/drawingml/2006/main">
                <a:ext uri="{FF2B5EF4-FFF2-40B4-BE49-F238E27FC236}">
                  <a16:creationId xmlns:a16="http://schemas.microsoft.com/office/drawing/2014/main" id="{8C278E8E-5AAB-4E53-8330-C62745045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585AB9">
        <w:rPr>
          <w:color w:val="auto"/>
        </w:rPr>
        <w:br w:type="page"/>
      </w:r>
    </w:p>
    <w:p w14:paraId="402342FB" w14:textId="3AB2E920" w:rsidR="00454514" w:rsidRPr="00577C8D" w:rsidRDefault="00454514" w:rsidP="008F620B">
      <w:pPr>
        <w:pStyle w:val="Heading3"/>
        <w:spacing w:before="0"/>
        <w:rPr>
          <w:color w:val="auto"/>
        </w:rPr>
      </w:pPr>
      <w:r w:rsidRPr="00577C8D">
        <w:rPr>
          <w:color w:val="auto"/>
        </w:rPr>
        <w:lastRenderedPageBreak/>
        <w:t>20</w:t>
      </w:r>
      <w:r w:rsidR="00653D9A" w:rsidRPr="00577C8D">
        <w:rPr>
          <w:color w:val="auto"/>
        </w:rPr>
        <w:t>20-21</w:t>
      </w:r>
      <w:r w:rsidRPr="00577C8D">
        <w:rPr>
          <w:color w:val="auto"/>
        </w:rPr>
        <w:t xml:space="preserve"> ANCP Gender</w:t>
      </w:r>
      <w:r w:rsidR="008B5F14">
        <w:rPr>
          <w:color w:val="auto"/>
        </w:rPr>
        <w:t xml:space="preserve"> Equality</w:t>
      </w:r>
      <w:r w:rsidRPr="00577C8D">
        <w:rPr>
          <w:color w:val="auto"/>
        </w:rPr>
        <w:t xml:space="preserve"> and Disability </w:t>
      </w:r>
      <w:r w:rsidR="008B5F14">
        <w:rPr>
          <w:color w:val="auto"/>
        </w:rPr>
        <w:t>Inclusion</w:t>
      </w:r>
    </w:p>
    <w:p w14:paraId="70B25379" w14:textId="77777777" w:rsidR="0080460B" w:rsidRDefault="00486D28" w:rsidP="00486D28">
      <w:pPr>
        <w:rPr>
          <w:color w:val="auto"/>
        </w:rPr>
      </w:pPr>
      <w:r w:rsidRPr="00577C8D">
        <w:rPr>
          <w:color w:val="auto"/>
        </w:rPr>
        <w:t>ANCP NGOs have inclusive practices to ensure response activities address the needs of women, children and people with disability</w:t>
      </w:r>
      <w:r w:rsidR="00454514" w:rsidRPr="00577C8D">
        <w:rPr>
          <w:color w:val="auto"/>
        </w:rPr>
        <w:t xml:space="preserve"> reaching </w:t>
      </w:r>
      <w:r w:rsidR="00741113" w:rsidRPr="00577C8D">
        <w:rPr>
          <w:color w:val="auto"/>
        </w:rPr>
        <w:t>9.0</w:t>
      </w:r>
      <w:r w:rsidR="00454514" w:rsidRPr="00577C8D">
        <w:rPr>
          <w:color w:val="auto"/>
        </w:rPr>
        <w:t xml:space="preserve"> million project participants, of which 5</w:t>
      </w:r>
      <w:r w:rsidR="00D96D9B" w:rsidRPr="00577C8D">
        <w:rPr>
          <w:color w:val="auto"/>
        </w:rPr>
        <w:t>2.</w:t>
      </w:r>
      <w:r w:rsidR="00B41C49">
        <w:rPr>
          <w:color w:val="auto"/>
        </w:rPr>
        <w:t>4</w:t>
      </w:r>
      <w:r w:rsidR="00454514" w:rsidRPr="00577C8D">
        <w:rPr>
          <w:color w:val="auto"/>
        </w:rPr>
        <w:t xml:space="preserve">% </w:t>
      </w:r>
      <w:r w:rsidR="00474A6B">
        <w:rPr>
          <w:color w:val="auto"/>
        </w:rPr>
        <w:t xml:space="preserve">were </w:t>
      </w:r>
      <w:r w:rsidR="00454514" w:rsidRPr="00577C8D">
        <w:rPr>
          <w:color w:val="auto"/>
        </w:rPr>
        <w:t xml:space="preserve">women and girls, </w:t>
      </w:r>
      <w:r w:rsidR="00D96D9B" w:rsidRPr="00577C8D">
        <w:rPr>
          <w:color w:val="auto"/>
        </w:rPr>
        <w:t>5.8</w:t>
      </w:r>
      <w:r w:rsidR="00454514" w:rsidRPr="00577C8D">
        <w:rPr>
          <w:color w:val="auto"/>
        </w:rPr>
        <w:t xml:space="preserve">% </w:t>
      </w:r>
      <w:r w:rsidR="00474A6B">
        <w:rPr>
          <w:color w:val="auto"/>
        </w:rPr>
        <w:t xml:space="preserve">were </w:t>
      </w:r>
      <w:r w:rsidR="00454514" w:rsidRPr="00577C8D">
        <w:rPr>
          <w:color w:val="auto"/>
        </w:rPr>
        <w:t>people with disabilities</w:t>
      </w:r>
      <w:r w:rsidRPr="00577C8D">
        <w:rPr>
          <w:color w:val="auto"/>
        </w:rPr>
        <w:t xml:space="preserve">. </w:t>
      </w:r>
      <w:r w:rsidR="004E40FF" w:rsidRPr="00577C8D">
        <w:rPr>
          <w:color w:val="auto"/>
        </w:rPr>
        <w:t>Overall inclusion figures for 2020-21 are down slightly on the previous year (</w:t>
      </w:r>
      <w:r w:rsidR="0080460B">
        <w:rPr>
          <w:color w:val="auto"/>
        </w:rPr>
        <w:t xml:space="preserve">in 2019-20 </w:t>
      </w:r>
      <w:r w:rsidR="004E40FF" w:rsidRPr="00577C8D">
        <w:rPr>
          <w:color w:val="auto"/>
        </w:rPr>
        <w:t>57% of participants were women and girls and 8% of participants were people with disabilities</w:t>
      </w:r>
      <w:r w:rsidR="00593D6B" w:rsidRPr="00577C8D">
        <w:rPr>
          <w:color w:val="auto"/>
        </w:rPr>
        <w:t>)</w:t>
      </w:r>
      <w:r w:rsidR="00577C8D">
        <w:rPr>
          <w:color w:val="auto"/>
        </w:rPr>
        <w:t xml:space="preserve">, reflecting the ongoing challenges of delivering inclusive COVID-19 responses. </w:t>
      </w:r>
    </w:p>
    <w:p w14:paraId="7AB689F5" w14:textId="6B211F15" w:rsidR="004E40FF" w:rsidRPr="00577C8D" w:rsidRDefault="0044097A" w:rsidP="00486D28">
      <w:pPr>
        <w:rPr>
          <w:color w:val="auto"/>
        </w:rPr>
      </w:pPr>
      <w:r>
        <w:rPr>
          <w:color w:val="auto"/>
        </w:rPr>
        <w:t>R</w:t>
      </w:r>
      <w:r w:rsidR="00F5505C">
        <w:rPr>
          <w:color w:val="auto"/>
        </w:rPr>
        <w:t xml:space="preserve">eporting of </w:t>
      </w:r>
      <w:r w:rsidR="00153625">
        <w:rPr>
          <w:color w:val="auto"/>
        </w:rPr>
        <w:t>ANCP Program Logic</w:t>
      </w:r>
      <w:r w:rsidR="00F5505C">
        <w:rPr>
          <w:color w:val="auto"/>
        </w:rPr>
        <w:t xml:space="preserve"> Pathway 1 modalities</w:t>
      </w:r>
      <w:r>
        <w:rPr>
          <w:color w:val="auto"/>
        </w:rPr>
        <w:t xml:space="preserve"> may also reflect the challenges around inclusive response</w:t>
      </w:r>
      <w:r w:rsidR="00F34D07">
        <w:rPr>
          <w:color w:val="auto"/>
        </w:rPr>
        <w:t>s</w:t>
      </w:r>
      <w:r>
        <w:rPr>
          <w:color w:val="auto"/>
        </w:rPr>
        <w:t xml:space="preserve"> to COVID-19. T</w:t>
      </w:r>
      <w:r w:rsidR="00F5505C">
        <w:rPr>
          <w:color w:val="auto"/>
        </w:rPr>
        <w:t xml:space="preserve">he modality ‘ANCP demonstrates inclusive practices’ was selected by 17 NGOs, whereas the other four modalities including trailing new ideas and value for money were each selected by 21-22 NGOs.  </w:t>
      </w:r>
    </w:p>
    <w:p w14:paraId="31056F8D" w14:textId="492EDD16" w:rsidR="003666DB" w:rsidRDefault="003666DB" w:rsidP="00593D6B">
      <w:pPr>
        <w:rPr>
          <w:color w:val="auto"/>
        </w:rPr>
      </w:pPr>
      <w:r>
        <w:rPr>
          <w:noProof/>
        </w:rPr>
        <w:drawing>
          <wp:inline distT="0" distB="0" distL="0" distR="0" wp14:anchorId="25E47D4B" wp14:editId="045AB1EE">
            <wp:extent cx="6120130" cy="2854960"/>
            <wp:effectExtent l="0" t="0" r="13970" b="2540"/>
            <wp:docPr id="2" name="Chart 2" descr="Graph 5 shows how many NGOs reported progress under the ANCP Program Logic Pathway 1 Modalities. The number of NGOs for each modality was fairly even. ">
              <a:extLst xmlns:a="http://schemas.openxmlformats.org/drawingml/2006/main">
                <a:ext uri="{FF2B5EF4-FFF2-40B4-BE49-F238E27FC236}">
                  <a16:creationId xmlns:a16="http://schemas.microsoft.com/office/drawing/2014/main" id="{9B1B82FF-12DE-41A8-ADBC-A9702B70EB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AF842C" w14:textId="77777777" w:rsidR="003666DB" w:rsidRDefault="003666DB" w:rsidP="00593D6B">
      <w:pPr>
        <w:rPr>
          <w:color w:val="auto"/>
        </w:rPr>
      </w:pPr>
    </w:p>
    <w:p w14:paraId="533F951A" w14:textId="0BDE0C55" w:rsidR="00593D6B" w:rsidRPr="00577C8D" w:rsidRDefault="00593D6B" w:rsidP="007F087B">
      <w:pPr>
        <w:spacing w:before="0"/>
        <w:rPr>
          <w:color w:val="auto"/>
        </w:rPr>
      </w:pPr>
      <w:r w:rsidRPr="00577C8D">
        <w:rPr>
          <w:color w:val="auto"/>
        </w:rPr>
        <w:t>In 2020-21 ANCP supported the following:</w:t>
      </w:r>
    </w:p>
    <w:p w14:paraId="7DABF9D8" w14:textId="791F1FCE" w:rsidR="006D5BBB" w:rsidRPr="00597C37" w:rsidRDefault="00597C37" w:rsidP="00597C37">
      <w:pPr>
        <w:pStyle w:val="ListParagraph"/>
        <w:numPr>
          <w:ilvl w:val="0"/>
          <w:numId w:val="11"/>
        </w:numPr>
        <w:ind w:left="567" w:hanging="425"/>
        <w:rPr>
          <w:color w:val="auto"/>
        </w:rPr>
      </w:pPr>
      <w:r w:rsidRPr="00577C8D">
        <w:rPr>
          <w:color w:val="auto"/>
        </w:rPr>
        <w:t xml:space="preserve">669,114 people participated in sessions on gender issues and women's equal </w:t>
      </w:r>
      <w:r w:rsidRPr="00EB2326">
        <w:rPr>
          <w:color w:val="auto"/>
        </w:rPr>
        <w:t>rights (60.63% women and girls, 2.38% people with disabilities) up from 431,828 people the previous year</w:t>
      </w:r>
      <w:r w:rsidR="002561D1">
        <w:rPr>
          <w:color w:val="auto"/>
        </w:rPr>
        <w:t xml:space="preserve"> (Indicator G.02)</w:t>
      </w:r>
    </w:p>
    <w:p w14:paraId="11F25015" w14:textId="3A1410A8" w:rsidR="00BF4650" w:rsidRDefault="00597C37" w:rsidP="00BF4650">
      <w:pPr>
        <w:pStyle w:val="ListParagraph"/>
        <w:numPr>
          <w:ilvl w:val="0"/>
          <w:numId w:val="11"/>
        </w:numPr>
        <w:ind w:left="567" w:hanging="425"/>
        <w:rPr>
          <w:color w:val="auto"/>
        </w:rPr>
      </w:pPr>
      <w:r>
        <w:rPr>
          <w:color w:val="auto"/>
        </w:rPr>
        <w:t xml:space="preserve">120,261 </w:t>
      </w:r>
      <w:r w:rsidR="00BF4650" w:rsidRPr="00EB2326">
        <w:rPr>
          <w:color w:val="auto"/>
        </w:rPr>
        <w:t>people trained in disability awareness and inclusion</w:t>
      </w:r>
      <w:r>
        <w:rPr>
          <w:color w:val="auto"/>
        </w:rPr>
        <w:t>, down from 227,052 people the previous year</w:t>
      </w:r>
      <w:r w:rsidR="002561D1">
        <w:rPr>
          <w:color w:val="auto"/>
        </w:rPr>
        <w:t xml:space="preserve"> (Indicator G.08)</w:t>
      </w:r>
    </w:p>
    <w:p w14:paraId="4EFAD961" w14:textId="2ECFC962" w:rsidR="00B56B09" w:rsidRPr="00EB2326" w:rsidRDefault="00B56B09" w:rsidP="00B56B09">
      <w:pPr>
        <w:pStyle w:val="ListParagraph"/>
        <w:numPr>
          <w:ilvl w:val="0"/>
          <w:numId w:val="11"/>
        </w:numPr>
        <w:ind w:left="567" w:hanging="425"/>
        <w:rPr>
          <w:color w:val="auto"/>
        </w:rPr>
      </w:pPr>
      <w:r w:rsidRPr="00EB2326">
        <w:rPr>
          <w:color w:val="auto"/>
        </w:rPr>
        <w:t xml:space="preserve">21,599 women were supported to assume leadership roles (8.38% women with disabilities), down from </w:t>
      </w:r>
      <w:r>
        <w:rPr>
          <w:color w:val="auto"/>
        </w:rPr>
        <w:t>66,698</w:t>
      </w:r>
      <w:r w:rsidRPr="00EB2326">
        <w:rPr>
          <w:color w:val="auto"/>
        </w:rPr>
        <w:t xml:space="preserve"> the previous year</w:t>
      </w:r>
      <w:r w:rsidR="002561D1">
        <w:rPr>
          <w:color w:val="auto"/>
        </w:rPr>
        <w:t xml:space="preserve"> (Indicator G.04)</w:t>
      </w:r>
    </w:p>
    <w:p w14:paraId="1F464CAF" w14:textId="746D91F6" w:rsidR="006D5BBB" w:rsidRPr="00EB2326" w:rsidRDefault="006D5BBB" w:rsidP="00BF4650">
      <w:pPr>
        <w:pStyle w:val="ListParagraph"/>
        <w:numPr>
          <w:ilvl w:val="0"/>
          <w:numId w:val="11"/>
        </w:numPr>
        <w:ind w:left="567" w:hanging="425"/>
        <w:rPr>
          <w:color w:val="auto"/>
        </w:rPr>
      </w:pPr>
      <w:r w:rsidRPr="00EB2326">
        <w:rPr>
          <w:color w:val="auto"/>
        </w:rPr>
        <w:t>22,</w:t>
      </w:r>
      <w:r w:rsidR="00B56B09">
        <w:rPr>
          <w:color w:val="auto"/>
        </w:rPr>
        <w:t>349</w:t>
      </w:r>
      <w:r w:rsidRPr="00EB2326">
        <w:rPr>
          <w:color w:val="auto"/>
        </w:rPr>
        <w:t xml:space="preserve"> people received disability support services specific to their needs (</w:t>
      </w:r>
      <w:r w:rsidR="00B56B09">
        <w:rPr>
          <w:color w:val="auto"/>
        </w:rPr>
        <w:t>46</w:t>
      </w:r>
      <w:r w:rsidRPr="00EB2326">
        <w:rPr>
          <w:color w:val="auto"/>
        </w:rPr>
        <w:t>% women and girls)</w:t>
      </w:r>
      <w:r w:rsidR="00B56B09">
        <w:rPr>
          <w:color w:val="auto"/>
        </w:rPr>
        <w:t>, a result similar to the previous year</w:t>
      </w:r>
      <w:r w:rsidR="002561D1">
        <w:rPr>
          <w:color w:val="auto"/>
        </w:rPr>
        <w:t xml:space="preserve"> (indicator G.06)</w:t>
      </w:r>
    </w:p>
    <w:p w14:paraId="1657628D" w14:textId="7A0C499F" w:rsidR="00945A39" w:rsidRDefault="008946BD" w:rsidP="006D5BBB">
      <w:pPr>
        <w:rPr>
          <w:color w:val="auto"/>
          <w:lang w:val="en-AU"/>
        </w:rPr>
      </w:pPr>
      <w:r>
        <w:rPr>
          <w:color w:val="auto"/>
          <w:lang w:val="en-AU"/>
        </w:rPr>
        <w:t>As the following table show</w:t>
      </w:r>
      <w:r w:rsidR="00B77CBC">
        <w:rPr>
          <w:color w:val="auto"/>
          <w:lang w:val="en-AU"/>
        </w:rPr>
        <w:t>s</w:t>
      </w:r>
      <w:r>
        <w:rPr>
          <w:color w:val="auto"/>
          <w:lang w:val="en-AU"/>
        </w:rPr>
        <w:t>, i</w:t>
      </w:r>
      <w:r w:rsidR="006D5BBB" w:rsidRPr="00D27247">
        <w:rPr>
          <w:color w:val="auto"/>
          <w:lang w:val="en-AU"/>
        </w:rPr>
        <w:t xml:space="preserve">n </w:t>
      </w:r>
      <w:r w:rsidR="00577C8D" w:rsidRPr="00D27247">
        <w:rPr>
          <w:color w:val="auto"/>
          <w:lang w:val="en-AU"/>
        </w:rPr>
        <w:t>2020-21</w:t>
      </w:r>
      <w:r w:rsidR="006D5BBB" w:rsidRPr="00D27247">
        <w:rPr>
          <w:color w:val="auto"/>
          <w:lang w:val="en-AU"/>
        </w:rPr>
        <w:t xml:space="preserve"> </w:t>
      </w:r>
      <w:r w:rsidR="00D27247" w:rsidRPr="00D27247">
        <w:rPr>
          <w:color w:val="auto"/>
          <w:lang w:val="en-AU"/>
        </w:rPr>
        <w:t>63%</w:t>
      </w:r>
      <w:r w:rsidR="006D5BBB" w:rsidRPr="00D27247">
        <w:rPr>
          <w:color w:val="auto"/>
          <w:lang w:val="en-AU"/>
        </w:rPr>
        <w:t xml:space="preserve"> </w:t>
      </w:r>
      <w:r>
        <w:rPr>
          <w:color w:val="auto"/>
          <w:lang w:val="en-AU"/>
        </w:rPr>
        <w:t xml:space="preserve">of </w:t>
      </w:r>
      <w:r w:rsidR="006D5BBB" w:rsidRPr="00D27247">
        <w:rPr>
          <w:color w:val="auto"/>
          <w:lang w:val="en-AU"/>
        </w:rPr>
        <w:t xml:space="preserve">ANCP projects explicitly targeted gender equality (demonstrated through the use of the principal </w:t>
      </w:r>
      <w:r w:rsidR="002561D1">
        <w:rPr>
          <w:color w:val="auto"/>
          <w:lang w:val="en-AU"/>
        </w:rPr>
        <w:t>and</w:t>
      </w:r>
      <w:r w:rsidR="006D5BBB" w:rsidRPr="00D27247">
        <w:rPr>
          <w:color w:val="auto"/>
          <w:lang w:val="en-AU"/>
        </w:rPr>
        <w:t xml:space="preserve"> significant marker</w:t>
      </w:r>
      <w:r>
        <w:rPr>
          <w:color w:val="auto"/>
          <w:lang w:val="en-AU"/>
        </w:rPr>
        <w:t>s</w:t>
      </w:r>
      <w:r w:rsidR="006D5BBB" w:rsidRPr="00D27247">
        <w:rPr>
          <w:color w:val="auto"/>
          <w:lang w:val="en-AU"/>
        </w:rPr>
        <w:t>)</w:t>
      </w:r>
      <w:r w:rsidR="00D27247" w:rsidRPr="00D27247">
        <w:rPr>
          <w:color w:val="auto"/>
          <w:lang w:val="en-AU"/>
        </w:rPr>
        <w:t>, up from 56% the previous year</w:t>
      </w:r>
      <w:r w:rsidR="006D5BBB" w:rsidRPr="00D27247">
        <w:rPr>
          <w:color w:val="auto"/>
          <w:lang w:val="en-AU"/>
        </w:rPr>
        <w:t xml:space="preserve">. </w:t>
      </w:r>
      <w:r w:rsidR="00945A39">
        <w:rPr>
          <w:color w:val="auto"/>
          <w:lang w:val="en-AU"/>
        </w:rPr>
        <w:t xml:space="preserve">In contrast to what may have been expected in its second year of usage, there was a slight reduction in the percentage of projects categorised as mainstreaming gender equality. </w:t>
      </w:r>
    </w:p>
    <w:p w14:paraId="259B1684" w14:textId="7A70BFAB" w:rsidR="00B77CBC" w:rsidRDefault="00B77CBC">
      <w:pPr>
        <w:suppressAutoHyphens w:val="0"/>
        <w:spacing w:before="0" w:after="120" w:line="440" w:lineRule="atLeast"/>
        <w:rPr>
          <w:lang w:val="en-AU"/>
        </w:rPr>
      </w:pPr>
      <w:r>
        <w:rPr>
          <w:lang w:val="en-AU"/>
        </w:rPr>
        <w:br w:type="page"/>
      </w:r>
    </w:p>
    <w:p w14:paraId="52760918" w14:textId="77777777" w:rsidR="00F72E85" w:rsidRDefault="00F72E85" w:rsidP="008F620B">
      <w:pPr>
        <w:keepNext/>
        <w:keepLines/>
        <w:rPr>
          <w:lang w:val="en-AU"/>
        </w:rPr>
      </w:pPr>
    </w:p>
    <w:tbl>
      <w:tblPr>
        <w:tblStyle w:val="PlainTable21"/>
        <w:tblW w:w="9351" w:type="dxa"/>
        <w:tblLook w:val="04A0" w:firstRow="1" w:lastRow="0" w:firstColumn="1" w:lastColumn="0" w:noHBand="0" w:noVBand="1"/>
      </w:tblPr>
      <w:tblGrid>
        <w:gridCol w:w="2251"/>
        <w:gridCol w:w="1837"/>
        <w:gridCol w:w="1630"/>
        <w:gridCol w:w="1682"/>
        <w:gridCol w:w="1951"/>
      </w:tblGrid>
      <w:tr w:rsidR="00CC76D2" w:rsidRPr="00F72E85" w14:paraId="18431F07" w14:textId="77777777" w:rsidTr="00904216">
        <w:trPr>
          <w:cnfStyle w:val="100000000000" w:firstRow="1" w:lastRow="0" w:firstColumn="0" w:lastColumn="0" w:oddVBand="0" w:evenVBand="0" w:oddHBand="0"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2251" w:type="dxa"/>
            <w:noWrap/>
            <w:hideMark/>
          </w:tcPr>
          <w:p w14:paraId="5B733C6B" w14:textId="77777777" w:rsidR="00F72E85" w:rsidRPr="002561D1" w:rsidRDefault="00F72E85" w:rsidP="00733BF4">
            <w:pPr>
              <w:suppressAutoHyphens w:val="0"/>
              <w:spacing w:after="0" w:line="240" w:lineRule="auto"/>
              <w:rPr>
                <w:rFonts w:ascii="Calibri" w:eastAsia="Times New Roman" w:hAnsi="Calibri" w:cs="Calibri"/>
                <w:b/>
                <w:bCs w:val="0"/>
                <w:color w:val="auto"/>
                <w:sz w:val="24"/>
                <w:szCs w:val="24"/>
                <w:lang w:val="en-AU" w:eastAsia="en-AU"/>
              </w:rPr>
            </w:pPr>
            <w:r w:rsidRPr="002561D1">
              <w:rPr>
                <w:rFonts w:ascii="Calibri" w:eastAsia="Times New Roman" w:hAnsi="Calibri" w:cs="Calibri"/>
                <w:b/>
                <w:color w:val="auto"/>
                <w:sz w:val="24"/>
                <w:szCs w:val="24"/>
                <w:lang w:val="en-AU" w:eastAsia="en-AU"/>
              </w:rPr>
              <w:t>Gender marker</w:t>
            </w:r>
          </w:p>
        </w:tc>
        <w:tc>
          <w:tcPr>
            <w:tcW w:w="1837" w:type="dxa"/>
            <w:hideMark/>
          </w:tcPr>
          <w:p w14:paraId="6EE1A8CA" w14:textId="77777777" w:rsidR="00F72E85" w:rsidRPr="002561D1" w:rsidRDefault="00F72E85" w:rsidP="00733BF4">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val="0"/>
                <w:color w:val="auto"/>
                <w:sz w:val="24"/>
                <w:szCs w:val="24"/>
                <w:lang w:val="en-AU" w:eastAsia="en-AU"/>
              </w:rPr>
            </w:pPr>
            <w:r w:rsidRPr="002561D1">
              <w:rPr>
                <w:rFonts w:ascii="Calibri" w:eastAsia="Times New Roman" w:hAnsi="Calibri" w:cs="Calibri"/>
                <w:b/>
                <w:color w:val="auto"/>
                <w:sz w:val="24"/>
                <w:szCs w:val="24"/>
                <w:lang w:val="en-AU" w:eastAsia="en-AU"/>
              </w:rPr>
              <w:t># of projects 2020-21</w:t>
            </w:r>
          </w:p>
        </w:tc>
        <w:tc>
          <w:tcPr>
            <w:tcW w:w="1630" w:type="dxa"/>
            <w:hideMark/>
          </w:tcPr>
          <w:p w14:paraId="62153801" w14:textId="77777777" w:rsidR="00F72E85" w:rsidRPr="002561D1" w:rsidRDefault="00F72E85" w:rsidP="00733BF4">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val="0"/>
                <w:color w:val="auto"/>
                <w:sz w:val="24"/>
                <w:szCs w:val="24"/>
                <w:lang w:val="en-AU" w:eastAsia="en-AU"/>
              </w:rPr>
            </w:pPr>
            <w:r w:rsidRPr="002561D1">
              <w:rPr>
                <w:rFonts w:ascii="Calibri" w:eastAsia="Times New Roman" w:hAnsi="Calibri" w:cs="Calibri"/>
                <w:b/>
                <w:color w:val="auto"/>
                <w:sz w:val="24"/>
                <w:szCs w:val="24"/>
                <w:lang w:val="en-AU" w:eastAsia="en-AU"/>
              </w:rPr>
              <w:t>% of projects 2020-21</w:t>
            </w:r>
          </w:p>
        </w:tc>
        <w:tc>
          <w:tcPr>
            <w:tcW w:w="1682" w:type="dxa"/>
            <w:hideMark/>
          </w:tcPr>
          <w:p w14:paraId="63126A7C" w14:textId="77777777" w:rsidR="00F72E85" w:rsidRPr="002561D1" w:rsidRDefault="00F72E85" w:rsidP="00733BF4">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val="0"/>
                <w:color w:val="auto"/>
                <w:sz w:val="24"/>
                <w:szCs w:val="24"/>
                <w:lang w:val="en-AU" w:eastAsia="en-AU"/>
              </w:rPr>
            </w:pPr>
            <w:r w:rsidRPr="002561D1">
              <w:rPr>
                <w:rFonts w:ascii="Calibri" w:eastAsia="Times New Roman" w:hAnsi="Calibri" w:cs="Calibri"/>
                <w:b/>
                <w:color w:val="auto"/>
                <w:sz w:val="24"/>
                <w:szCs w:val="24"/>
                <w:lang w:val="en-AU" w:eastAsia="en-AU"/>
              </w:rPr>
              <w:t># of projects 2019-20</w:t>
            </w:r>
          </w:p>
        </w:tc>
        <w:tc>
          <w:tcPr>
            <w:tcW w:w="1951" w:type="dxa"/>
            <w:hideMark/>
          </w:tcPr>
          <w:p w14:paraId="548BF502" w14:textId="77777777" w:rsidR="00F72E85" w:rsidRPr="002561D1" w:rsidRDefault="00F72E85" w:rsidP="00733BF4">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val="0"/>
                <w:color w:val="auto"/>
                <w:sz w:val="24"/>
                <w:szCs w:val="24"/>
                <w:lang w:val="en-AU" w:eastAsia="en-AU"/>
              </w:rPr>
            </w:pPr>
            <w:r w:rsidRPr="002561D1">
              <w:rPr>
                <w:rFonts w:ascii="Calibri" w:eastAsia="Times New Roman" w:hAnsi="Calibri" w:cs="Calibri"/>
                <w:b/>
                <w:color w:val="auto"/>
                <w:sz w:val="24"/>
                <w:szCs w:val="24"/>
                <w:lang w:val="en-AU" w:eastAsia="en-AU"/>
              </w:rPr>
              <w:t>% of projects 2019-20</w:t>
            </w:r>
          </w:p>
        </w:tc>
      </w:tr>
      <w:tr w:rsidR="00CC76D2" w:rsidRPr="00F72E85" w14:paraId="659F23CC" w14:textId="77777777" w:rsidTr="00904216">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251" w:type="dxa"/>
            <w:noWrap/>
            <w:hideMark/>
          </w:tcPr>
          <w:p w14:paraId="620A0617" w14:textId="77777777" w:rsidR="00F72E85" w:rsidRPr="002561D1" w:rsidRDefault="00F72E85" w:rsidP="00733BF4">
            <w:pPr>
              <w:suppressAutoHyphens w:val="0"/>
              <w:spacing w:after="0" w:line="240" w:lineRule="auto"/>
              <w:rPr>
                <w:rFonts w:ascii="Calibri" w:eastAsia="Times New Roman" w:hAnsi="Calibri" w:cs="Calibri"/>
                <w:b w:val="0"/>
                <w:bCs w:val="0"/>
                <w:color w:val="auto"/>
                <w:sz w:val="24"/>
                <w:szCs w:val="24"/>
                <w:lang w:val="en-AU" w:eastAsia="en-AU"/>
              </w:rPr>
            </w:pPr>
            <w:r w:rsidRPr="002561D1">
              <w:rPr>
                <w:rFonts w:ascii="Calibri" w:eastAsia="Times New Roman" w:hAnsi="Calibri" w:cs="Calibri"/>
                <w:color w:val="auto"/>
                <w:sz w:val="24"/>
                <w:szCs w:val="24"/>
                <w:lang w:val="en-AU" w:eastAsia="en-AU"/>
              </w:rPr>
              <w:t>Principal</w:t>
            </w:r>
          </w:p>
        </w:tc>
        <w:tc>
          <w:tcPr>
            <w:tcW w:w="1837" w:type="dxa"/>
            <w:noWrap/>
            <w:hideMark/>
          </w:tcPr>
          <w:p w14:paraId="35988330" w14:textId="77777777" w:rsidR="00F72E85" w:rsidRPr="002561D1" w:rsidRDefault="00F72E85" w:rsidP="00733BF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4"/>
                <w:szCs w:val="24"/>
                <w:lang w:val="en-AU" w:eastAsia="en-AU"/>
              </w:rPr>
            </w:pPr>
            <w:r w:rsidRPr="002561D1">
              <w:rPr>
                <w:rFonts w:ascii="Calibri" w:eastAsia="Times New Roman" w:hAnsi="Calibri" w:cs="Calibri"/>
                <w:color w:val="auto"/>
                <w:sz w:val="24"/>
                <w:szCs w:val="24"/>
                <w:lang w:val="en-AU" w:eastAsia="en-AU"/>
              </w:rPr>
              <w:t>78</w:t>
            </w:r>
          </w:p>
        </w:tc>
        <w:tc>
          <w:tcPr>
            <w:tcW w:w="1630" w:type="dxa"/>
            <w:noWrap/>
            <w:hideMark/>
          </w:tcPr>
          <w:p w14:paraId="36ED9251" w14:textId="77777777" w:rsidR="00F72E85" w:rsidRPr="002561D1" w:rsidRDefault="00F72E85" w:rsidP="00733BF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4"/>
                <w:szCs w:val="24"/>
                <w:lang w:val="en-AU" w:eastAsia="en-AU"/>
              </w:rPr>
            </w:pPr>
            <w:r w:rsidRPr="002561D1">
              <w:rPr>
                <w:rFonts w:ascii="Calibri" w:eastAsia="Times New Roman" w:hAnsi="Calibri" w:cs="Calibri"/>
                <w:color w:val="auto"/>
                <w:sz w:val="24"/>
                <w:szCs w:val="24"/>
                <w:lang w:val="en-AU" w:eastAsia="en-AU"/>
              </w:rPr>
              <w:t>19</w:t>
            </w:r>
          </w:p>
        </w:tc>
        <w:tc>
          <w:tcPr>
            <w:tcW w:w="1682" w:type="dxa"/>
            <w:noWrap/>
            <w:hideMark/>
          </w:tcPr>
          <w:p w14:paraId="53130B03" w14:textId="77777777" w:rsidR="00F72E85" w:rsidRPr="002561D1" w:rsidRDefault="00F72E85" w:rsidP="00733BF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4"/>
                <w:szCs w:val="24"/>
                <w:lang w:val="en-AU" w:eastAsia="en-AU"/>
              </w:rPr>
            </w:pPr>
            <w:r w:rsidRPr="002561D1">
              <w:rPr>
                <w:rFonts w:ascii="Calibri" w:eastAsia="Times New Roman" w:hAnsi="Calibri" w:cs="Calibri"/>
                <w:color w:val="auto"/>
                <w:sz w:val="24"/>
                <w:szCs w:val="24"/>
                <w:lang w:val="en-AU" w:eastAsia="en-AU"/>
              </w:rPr>
              <w:t>73</w:t>
            </w:r>
          </w:p>
        </w:tc>
        <w:tc>
          <w:tcPr>
            <w:tcW w:w="1951" w:type="dxa"/>
            <w:noWrap/>
            <w:hideMark/>
          </w:tcPr>
          <w:p w14:paraId="1C9A46E9" w14:textId="77777777" w:rsidR="00F72E85" w:rsidRPr="002561D1" w:rsidRDefault="00F72E85" w:rsidP="00733BF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4"/>
                <w:szCs w:val="24"/>
                <w:lang w:val="en-AU" w:eastAsia="en-AU"/>
              </w:rPr>
            </w:pPr>
            <w:r w:rsidRPr="002561D1">
              <w:rPr>
                <w:rFonts w:ascii="Calibri" w:eastAsia="Times New Roman" w:hAnsi="Calibri" w:cs="Calibri"/>
                <w:color w:val="auto"/>
                <w:sz w:val="24"/>
                <w:szCs w:val="24"/>
                <w:lang w:val="en-AU" w:eastAsia="en-AU"/>
              </w:rPr>
              <w:t>17</w:t>
            </w:r>
          </w:p>
        </w:tc>
      </w:tr>
      <w:tr w:rsidR="00CC76D2" w:rsidRPr="00F72E85" w14:paraId="3FEC9815" w14:textId="77777777" w:rsidTr="00904216">
        <w:trPr>
          <w:trHeight w:val="486"/>
        </w:trPr>
        <w:tc>
          <w:tcPr>
            <w:cnfStyle w:val="001000000000" w:firstRow="0" w:lastRow="0" w:firstColumn="1" w:lastColumn="0" w:oddVBand="0" w:evenVBand="0" w:oddHBand="0" w:evenHBand="0" w:firstRowFirstColumn="0" w:firstRowLastColumn="0" w:lastRowFirstColumn="0" w:lastRowLastColumn="0"/>
            <w:tcW w:w="2251" w:type="dxa"/>
            <w:noWrap/>
            <w:hideMark/>
          </w:tcPr>
          <w:p w14:paraId="252D2A12" w14:textId="77777777" w:rsidR="00F72E85" w:rsidRPr="002561D1" w:rsidRDefault="00F72E85" w:rsidP="00733BF4">
            <w:pPr>
              <w:suppressAutoHyphens w:val="0"/>
              <w:spacing w:after="0" w:line="240" w:lineRule="auto"/>
              <w:rPr>
                <w:rFonts w:ascii="Calibri" w:eastAsia="Times New Roman" w:hAnsi="Calibri" w:cs="Calibri"/>
                <w:b w:val="0"/>
                <w:bCs w:val="0"/>
                <w:color w:val="auto"/>
                <w:sz w:val="24"/>
                <w:szCs w:val="24"/>
                <w:lang w:val="en-AU" w:eastAsia="en-AU"/>
              </w:rPr>
            </w:pPr>
            <w:r w:rsidRPr="002561D1">
              <w:rPr>
                <w:rFonts w:ascii="Calibri" w:eastAsia="Times New Roman" w:hAnsi="Calibri" w:cs="Calibri"/>
                <w:color w:val="auto"/>
                <w:sz w:val="24"/>
                <w:szCs w:val="24"/>
                <w:lang w:val="en-AU" w:eastAsia="en-AU"/>
              </w:rPr>
              <w:t>Significant</w:t>
            </w:r>
          </w:p>
        </w:tc>
        <w:tc>
          <w:tcPr>
            <w:tcW w:w="1837" w:type="dxa"/>
            <w:noWrap/>
            <w:hideMark/>
          </w:tcPr>
          <w:p w14:paraId="50B3A9AA" w14:textId="77777777" w:rsidR="00F72E85" w:rsidRPr="002561D1" w:rsidRDefault="00F72E85" w:rsidP="00733BF4">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4"/>
                <w:szCs w:val="24"/>
                <w:lang w:val="en-AU" w:eastAsia="en-AU"/>
              </w:rPr>
            </w:pPr>
            <w:r w:rsidRPr="002561D1">
              <w:rPr>
                <w:rFonts w:ascii="Calibri" w:eastAsia="Times New Roman" w:hAnsi="Calibri" w:cs="Calibri"/>
                <w:color w:val="auto"/>
                <w:sz w:val="24"/>
                <w:szCs w:val="24"/>
                <w:lang w:val="en-AU" w:eastAsia="en-AU"/>
              </w:rPr>
              <w:t>176</w:t>
            </w:r>
          </w:p>
        </w:tc>
        <w:tc>
          <w:tcPr>
            <w:tcW w:w="1630" w:type="dxa"/>
            <w:noWrap/>
            <w:hideMark/>
          </w:tcPr>
          <w:p w14:paraId="1780B048" w14:textId="77777777" w:rsidR="00F72E85" w:rsidRPr="002561D1" w:rsidRDefault="00F72E85" w:rsidP="00733BF4">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4"/>
                <w:szCs w:val="24"/>
                <w:lang w:val="en-AU" w:eastAsia="en-AU"/>
              </w:rPr>
            </w:pPr>
            <w:r w:rsidRPr="002561D1">
              <w:rPr>
                <w:rFonts w:ascii="Calibri" w:eastAsia="Times New Roman" w:hAnsi="Calibri" w:cs="Calibri"/>
                <w:color w:val="auto"/>
                <w:sz w:val="24"/>
                <w:szCs w:val="24"/>
                <w:lang w:val="en-AU" w:eastAsia="en-AU"/>
              </w:rPr>
              <w:t>43</w:t>
            </w:r>
          </w:p>
        </w:tc>
        <w:tc>
          <w:tcPr>
            <w:tcW w:w="1682" w:type="dxa"/>
            <w:noWrap/>
            <w:hideMark/>
          </w:tcPr>
          <w:p w14:paraId="3EF7859C" w14:textId="77777777" w:rsidR="00F72E85" w:rsidRPr="002561D1" w:rsidRDefault="00F72E85" w:rsidP="00733BF4">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4"/>
                <w:szCs w:val="24"/>
                <w:lang w:val="en-AU" w:eastAsia="en-AU"/>
              </w:rPr>
            </w:pPr>
            <w:r w:rsidRPr="002561D1">
              <w:rPr>
                <w:rFonts w:ascii="Calibri" w:eastAsia="Times New Roman" w:hAnsi="Calibri" w:cs="Calibri"/>
                <w:color w:val="auto"/>
                <w:sz w:val="24"/>
                <w:szCs w:val="24"/>
                <w:lang w:val="en-AU" w:eastAsia="en-AU"/>
              </w:rPr>
              <w:t>165</w:t>
            </w:r>
          </w:p>
        </w:tc>
        <w:tc>
          <w:tcPr>
            <w:tcW w:w="1951" w:type="dxa"/>
            <w:noWrap/>
            <w:hideMark/>
          </w:tcPr>
          <w:p w14:paraId="38CD8824" w14:textId="77777777" w:rsidR="00F72E85" w:rsidRPr="002561D1" w:rsidRDefault="00F72E85" w:rsidP="00733BF4">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4"/>
                <w:szCs w:val="24"/>
                <w:lang w:val="en-AU" w:eastAsia="en-AU"/>
              </w:rPr>
            </w:pPr>
            <w:r w:rsidRPr="002561D1">
              <w:rPr>
                <w:rFonts w:ascii="Calibri" w:eastAsia="Times New Roman" w:hAnsi="Calibri" w:cs="Calibri"/>
                <w:color w:val="auto"/>
                <w:sz w:val="24"/>
                <w:szCs w:val="24"/>
                <w:lang w:val="en-AU" w:eastAsia="en-AU"/>
              </w:rPr>
              <w:t>39</w:t>
            </w:r>
          </w:p>
        </w:tc>
      </w:tr>
      <w:tr w:rsidR="00CC76D2" w:rsidRPr="00F72E85" w14:paraId="7EE50DD1" w14:textId="77777777" w:rsidTr="00904216">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251" w:type="dxa"/>
            <w:noWrap/>
            <w:hideMark/>
          </w:tcPr>
          <w:p w14:paraId="729330A6" w14:textId="77777777" w:rsidR="00F72E85" w:rsidRPr="002561D1" w:rsidRDefault="00F72E85" w:rsidP="00733BF4">
            <w:pPr>
              <w:suppressAutoHyphens w:val="0"/>
              <w:spacing w:after="0" w:line="240" w:lineRule="auto"/>
              <w:rPr>
                <w:rFonts w:ascii="Calibri" w:eastAsia="Times New Roman" w:hAnsi="Calibri" w:cs="Calibri"/>
                <w:b w:val="0"/>
                <w:bCs w:val="0"/>
                <w:color w:val="auto"/>
                <w:sz w:val="24"/>
                <w:szCs w:val="24"/>
                <w:lang w:val="en-AU" w:eastAsia="en-AU"/>
              </w:rPr>
            </w:pPr>
            <w:r w:rsidRPr="002561D1">
              <w:rPr>
                <w:rFonts w:ascii="Calibri" w:eastAsia="Times New Roman" w:hAnsi="Calibri" w:cs="Calibri"/>
                <w:color w:val="auto"/>
                <w:sz w:val="24"/>
                <w:szCs w:val="24"/>
                <w:lang w:val="en-AU" w:eastAsia="en-AU"/>
              </w:rPr>
              <w:t>Not Targeted</w:t>
            </w:r>
          </w:p>
        </w:tc>
        <w:tc>
          <w:tcPr>
            <w:tcW w:w="1837" w:type="dxa"/>
            <w:noWrap/>
            <w:hideMark/>
          </w:tcPr>
          <w:p w14:paraId="13BE340A" w14:textId="77777777" w:rsidR="00F72E85" w:rsidRPr="002561D1" w:rsidRDefault="00F72E85" w:rsidP="00733BF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4"/>
                <w:szCs w:val="24"/>
                <w:lang w:val="en-AU" w:eastAsia="en-AU"/>
              </w:rPr>
            </w:pPr>
            <w:r w:rsidRPr="002561D1">
              <w:rPr>
                <w:rFonts w:ascii="Calibri" w:eastAsia="Times New Roman" w:hAnsi="Calibri" w:cs="Calibri"/>
                <w:color w:val="auto"/>
                <w:sz w:val="24"/>
                <w:szCs w:val="24"/>
                <w:lang w:val="en-AU" w:eastAsia="en-AU"/>
              </w:rPr>
              <w:t>98</w:t>
            </w:r>
          </w:p>
        </w:tc>
        <w:tc>
          <w:tcPr>
            <w:tcW w:w="1630" w:type="dxa"/>
            <w:noWrap/>
            <w:hideMark/>
          </w:tcPr>
          <w:p w14:paraId="02DF0E1F" w14:textId="77777777" w:rsidR="00F72E85" w:rsidRPr="002561D1" w:rsidRDefault="00F72E85" w:rsidP="00733BF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4"/>
                <w:szCs w:val="24"/>
                <w:lang w:val="en-AU" w:eastAsia="en-AU"/>
              </w:rPr>
            </w:pPr>
            <w:r w:rsidRPr="002561D1">
              <w:rPr>
                <w:rFonts w:ascii="Calibri" w:eastAsia="Times New Roman" w:hAnsi="Calibri" w:cs="Calibri"/>
                <w:color w:val="auto"/>
                <w:sz w:val="24"/>
                <w:szCs w:val="24"/>
                <w:lang w:val="en-AU" w:eastAsia="en-AU"/>
              </w:rPr>
              <w:t>24</w:t>
            </w:r>
          </w:p>
        </w:tc>
        <w:tc>
          <w:tcPr>
            <w:tcW w:w="1682" w:type="dxa"/>
            <w:noWrap/>
            <w:hideMark/>
          </w:tcPr>
          <w:p w14:paraId="422D6E5D" w14:textId="77777777" w:rsidR="00F72E85" w:rsidRPr="002561D1" w:rsidRDefault="00F72E85" w:rsidP="00733BF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4"/>
                <w:szCs w:val="24"/>
                <w:lang w:val="en-AU" w:eastAsia="en-AU"/>
              </w:rPr>
            </w:pPr>
            <w:r w:rsidRPr="002561D1">
              <w:rPr>
                <w:rFonts w:ascii="Calibri" w:eastAsia="Times New Roman" w:hAnsi="Calibri" w:cs="Calibri"/>
                <w:color w:val="auto"/>
                <w:sz w:val="24"/>
                <w:szCs w:val="24"/>
                <w:lang w:val="en-AU" w:eastAsia="en-AU"/>
              </w:rPr>
              <w:t>124</w:t>
            </w:r>
          </w:p>
        </w:tc>
        <w:tc>
          <w:tcPr>
            <w:tcW w:w="1951" w:type="dxa"/>
            <w:noWrap/>
            <w:hideMark/>
          </w:tcPr>
          <w:p w14:paraId="63EFBAFB" w14:textId="77777777" w:rsidR="00F72E85" w:rsidRPr="002561D1" w:rsidRDefault="00F72E85" w:rsidP="00733BF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4"/>
                <w:szCs w:val="24"/>
                <w:lang w:val="en-AU" w:eastAsia="en-AU"/>
              </w:rPr>
            </w:pPr>
            <w:r w:rsidRPr="002561D1">
              <w:rPr>
                <w:rFonts w:ascii="Calibri" w:eastAsia="Times New Roman" w:hAnsi="Calibri" w:cs="Calibri"/>
                <w:color w:val="auto"/>
                <w:sz w:val="24"/>
                <w:szCs w:val="24"/>
                <w:lang w:val="en-AU" w:eastAsia="en-AU"/>
              </w:rPr>
              <w:t>29</w:t>
            </w:r>
          </w:p>
        </w:tc>
      </w:tr>
      <w:tr w:rsidR="00CC76D2" w:rsidRPr="00F72E85" w14:paraId="4EA2563C" w14:textId="77777777" w:rsidTr="00904216">
        <w:trPr>
          <w:trHeight w:val="486"/>
        </w:trPr>
        <w:tc>
          <w:tcPr>
            <w:cnfStyle w:val="001000000000" w:firstRow="0" w:lastRow="0" w:firstColumn="1" w:lastColumn="0" w:oddVBand="0" w:evenVBand="0" w:oddHBand="0" w:evenHBand="0" w:firstRowFirstColumn="0" w:firstRowLastColumn="0" w:lastRowFirstColumn="0" w:lastRowLastColumn="0"/>
            <w:tcW w:w="2251" w:type="dxa"/>
            <w:noWrap/>
            <w:hideMark/>
          </w:tcPr>
          <w:p w14:paraId="344FF493" w14:textId="77777777" w:rsidR="00F72E85" w:rsidRPr="002561D1" w:rsidRDefault="00F72E85" w:rsidP="00733BF4">
            <w:pPr>
              <w:suppressAutoHyphens w:val="0"/>
              <w:spacing w:after="0" w:line="240" w:lineRule="auto"/>
              <w:rPr>
                <w:rFonts w:ascii="Calibri" w:eastAsia="Times New Roman" w:hAnsi="Calibri" w:cs="Calibri"/>
                <w:b w:val="0"/>
                <w:bCs w:val="0"/>
                <w:color w:val="auto"/>
                <w:sz w:val="24"/>
                <w:szCs w:val="24"/>
                <w:lang w:val="en-AU" w:eastAsia="en-AU"/>
              </w:rPr>
            </w:pPr>
            <w:r w:rsidRPr="002561D1">
              <w:rPr>
                <w:rFonts w:ascii="Calibri" w:eastAsia="Times New Roman" w:hAnsi="Calibri" w:cs="Calibri"/>
                <w:color w:val="auto"/>
                <w:sz w:val="24"/>
                <w:szCs w:val="24"/>
                <w:lang w:val="en-AU" w:eastAsia="en-AU"/>
              </w:rPr>
              <w:t>Mainstream</w:t>
            </w:r>
          </w:p>
        </w:tc>
        <w:tc>
          <w:tcPr>
            <w:tcW w:w="1837" w:type="dxa"/>
            <w:noWrap/>
            <w:hideMark/>
          </w:tcPr>
          <w:p w14:paraId="7A6689BC" w14:textId="77777777" w:rsidR="00F72E85" w:rsidRPr="002561D1" w:rsidRDefault="00F72E85" w:rsidP="00733BF4">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4"/>
                <w:szCs w:val="24"/>
                <w:lang w:val="en-AU" w:eastAsia="en-AU"/>
              </w:rPr>
            </w:pPr>
            <w:r w:rsidRPr="002561D1">
              <w:rPr>
                <w:rFonts w:ascii="Calibri" w:eastAsia="Times New Roman" w:hAnsi="Calibri" w:cs="Calibri"/>
                <w:color w:val="auto"/>
                <w:sz w:val="24"/>
                <w:szCs w:val="24"/>
                <w:lang w:val="en-AU" w:eastAsia="en-AU"/>
              </w:rPr>
              <w:t>54</w:t>
            </w:r>
          </w:p>
        </w:tc>
        <w:tc>
          <w:tcPr>
            <w:tcW w:w="1630" w:type="dxa"/>
            <w:noWrap/>
            <w:hideMark/>
          </w:tcPr>
          <w:p w14:paraId="4ABEE56F" w14:textId="77777777" w:rsidR="00F72E85" w:rsidRPr="002561D1" w:rsidRDefault="00F72E85" w:rsidP="00733BF4">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4"/>
                <w:szCs w:val="24"/>
                <w:lang w:val="en-AU" w:eastAsia="en-AU"/>
              </w:rPr>
            </w:pPr>
            <w:r w:rsidRPr="002561D1">
              <w:rPr>
                <w:rFonts w:ascii="Calibri" w:eastAsia="Times New Roman" w:hAnsi="Calibri" w:cs="Calibri"/>
                <w:color w:val="auto"/>
                <w:sz w:val="24"/>
                <w:szCs w:val="24"/>
                <w:lang w:val="en-AU" w:eastAsia="en-AU"/>
              </w:rPr>
              <w:t>13</w:t>
            </w:r>
          </w:p>
        </w:tc>
        <w:tc>
          <w:tcPr>
            <w:tcW w:w="1682" w:type="dxa"/>
            <w:noWrap/>
            <w:hideMark/>
          </w:tcPr>
          <w:p w14:paraId="1874C225" w14:textId="77777777" w:rsidR="00F72E85" w:rsidRPr="002561D1" w:rsidRDefault="00F72E85" w:rsidP="00733BF4">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4"/>
                <w:szCs w:val="24"/>
                <w:lang w:val="en-AU" w:eastAsia="en-AU"/>
              </w:rPr>
            </w:pPr>
            <w:r w:rsidRPr="002561D1">
              <w:rPr>
                <w:rFonts w:ascii="Calibri" w:eastAsia="Times New Roman" w:hAnsi="Calibri" w:cs="Calibri"/>
                <w:color w:val="auto"/>
                <w:sz w:val="24"/>
                <w:szCs w:val="24"/>
                <w:lang w:val="en-AU" w:eastAsia="en-AU"/>
              </w:rPr>
              <w:t>62</w:t>
            </w:r>
          </w:p>
        </w:tc>
        <w:tc>
          <w:tcPr>
            <w:tcW w:w="1951" w:type="dxa"/>
            <w:noWrap/>
            <w:hideMark/>
          </w:tcPr>
          <w:p w14:paraId="5248D1B8" w14:textId="77777777" w:rsidR="00F72E85" w:rsidRPr="002561D1" w:rsidRDefault="00F72E85" w:rsidP="00733BF4">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4"/>
                <w:szCs w:val="24"/>
                <w:lang w:val="en-AU" w:eastAsia="en-AU"/>
              </w:rPr>
            </w:pPr>
            <w:r w:rsidRPr="002561D1">
              <w:rPr>
                <w:rFonts w:ascii="Calibri" w:eastAsia="Times New Roman" w:hAnsi="Calibri" w:cs="Calibri"/>
                <w:color w:val="auto"/>
                <w:sz w:val="24"/>
                <w:szCs w:val="24"/>
                <w:lang w:val="en-AU" w:eastAsia="en-AU"/>
              </w:rPr>
              <w:t>15</w:t>
            </w:r>
          </w:p>
        </w:tc>
      </w:tr>
      <w:tr w:rsidR="00CC76D2" w:rsidRPr="00F72E85" w14:paraId="0D494704" w14:textId="77777777" w:rsidTr="00904216">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251" w:type="dxa"/>
            <w:noWrap/>
            <w:hideMark/>
          </w:tcPr>
          <w:p w14:paraId="44D32632" w14:textId="77777777" w:rsidR="00F72E85" w:rsidRPr="002561D1" w:rsidRDefault="00F72E85" w:rsidP="00733BF4">
            <w:pPr>
              <w:suppressAutoHyphens w:val="0"/>
              <w:spacing w:after="0" w:line="240" w:lineRule="auto"/>
              <w:rPr>
                <w:rFonts w:ascii="Calibri" w:eastAsia="Times New Roman" w:hAnsi="Calibri" w:cs="Calibri"/>
                <w:b w:val="0"/>
                <w:bCs w:val="0"/>
                <w:color w:val="auto"/>
                <w:sz w:val="24"/>
                <w:szCs w:val="24"/>
                <w:lang w:val="en-AU" w:eastAsia="en-AU"/>
              </w:rPr>
            </w:pPr>
            <w:r w:rsidRPr="002561D1">
              <w:rPr>
                <w:rFonts w:ascii="Calibri" w:eastAsia="Times New Roman" w:hAnsi="Calibri" w:cs="Calibri"/>
                <w:color w:val="auto"/>
                <w:sz w:val="24"/>
                <w:szCs w:val="24"/>
                <w:lang w:val="en-AU" w:eastAsia="en-AU"/>
              </w:rPr>
              <w:t>Total</w:t>
            </w:r>
          </w:p>
        </w:tc>
        <w:tc>
          <w:tcPr>
            <w:tcW w:w="1837" w:type="dxa"/>
            <w:noWrap/>
            <w:hideMark/>
          </w:tcPr>
          <w:p w14:paraId="736D234E" w14:textId="77777777" w:rsidR="00F72E85" w:rsidRPr="002561D1" w:rsidRDefault="00F72E85" w:rsidP="00733BF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auto"/>
                <w:sz w:val="24"/>
                <w:szCs w:val="24"/>
                <w:lang w:val="en-AU" w:eastAsia="en-AU"/>
              </w:rPr>
            </w:pPr>
            <w:r w:rsidRPr="002561D1">
              <w:rPr>
                <w:rFonts w:ascii="Calibri" w:eastAsia="Times New Roman" w:hAnsi="Calibri" w:cs="Calibri"/>
                <w:b/>
                <w:bCs/>
                <w:color w:val="auto"/>
                <w:sz w:val="24"/>
                <w:szCs w:val="24"/>
                <w:lang w:val="en-AU" w:eastAsia="en-AU"/>
              </w:rPr>
              <w:t>406</w:t>
            </w:r>
          </w:p>
        </w:tc>
        <w:tc>
          <w:tcPr>
            <w:tcW w:w="1630" w:type="dxa"/>
            <w:noWrap/>
            <w:hideMark/>
          </w:tcPr>
          <w:p w14:paraId="3CF04AB1" w14:textId="77777777" w:rsidR="00F72E85" w:rsidRPr="002561D1" w:rsidRDefault="00F72E85" w:rsidP="00733BF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auto"/>
                <w:sz w:val="24"/>
                <w:szCs w:val="24"/>
                <w:lang w:val="en-AU" w:eastAsia="en-AU"/>
              </w:rPr>
            </w:pPr>
            <w:r w:rsidRPr="002561D1">
              <w:rPr>
                <w:rFonts w:ascii="Calibri" w:eastAsia="Times New Roman" w:hAnsi="Calibri" w:cs="Calibri"/>
                <w:b/>
                <w:bCs/>
                <w:color w:val="auto"/>
                <w:sz w:val="24"/>
                <w:szCs w:val="24"/>
                <w:lang w:val="en-AU" w:eastAsia="en-AU"/>
              </w:rPr>
              <w:t> </w:t>
            </w:r>
          </w:p>
        </w:tc>
        <w:tc>
          <w:tcPr>
            <w:tcW w:w="1682" w:type="dxa"/>
            <w:noWrap/>
            <w:hideMark/>
          </w:tcPr>
          <w:p w14:paraId="696E3CBE" w14:textId="77777777" w:rsidR="00F72E85" w:rsidRPr="002561D1" w:rsidRDefault="00F72E85" w:rsidP="00733BF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auto"/>
                <w:sz w:val="24"/>
                <w:szCs w:val="24"/>
                <w:lang w:val="en-AU" w:eastAsia="en-AU"/>
              </w:rPr>
            </w:pPr>
            <w:r w:rsidRPr="002561D1">
              <w:rPr>
                <w:rFonts w:ascii="Calibri" w:eastAsia="Times New Roman" w:hAnsi="Calibri" w:cs="Calibri"/>
                <w:b/>
                <w:bCs/>
                <w:color w:val="auto"/>
                <w:sz w:val="24"/>
                <w:szCs w:val="24"/>
                <w:lang w:val="en-AU" w:eastAsia="en-AU"/>
              </w:rPr>
              <w:t>424</w:t>
            </w:r>
          </w:p>
        </w:tc>
        <w:tc>
          <w:tcPr>
            <w:tcW w:w="1951" w:type="dxa"/>
            <w:noWrap/>
            <w:hideMark/>
          </w:tcPr>
          <w:p w14:paraId="451D3A10" w14:textId="77777777" w:rsidR="00F72E85" w:rsidRPr="002561D1" w:rsidRDefault="00F72E85" w:rsidP="00733BF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AU" w:eastAsia="en-AU"/>
              </w:rPr>
            </w:pPr>
            <w:r w:rsidRPr="002561D1">
              <w:rPr>
                <w:rFonts w:ascii="Calibri" w:eastAsia="Times New Roman" w:hAnsi="Calibri" w:cs="Calibri"/>
                <w:b/>
                <w:bCs/>
                <w:color w:val="000000"/>
                <w:sz w:val="24"/>
                <w:szCs w:val="24"/>
                <w:lang w:val="en-AU" w:eastAsia="en-AU"/>
              </w:rPr>
              <w:t> </w:t>
            </w:r>
          </w:p>
        </w:tc>
      </w:tr>
    </w:tbl>
    <w:p w14:paraId="1CC96B6E" w14:textId="732F8902" w:rsidR="001A4DF0" w:rsidRDefault="00B77CBC" w:rsidP="003640F2">
      <w:pPr>
        <w:spacing w:before="240" w:after="120"/>
        <w:rPr>
          <w:color w:val="auto"/>
          <w:lang w:val="en-AU"/>
        </w:rPr>
      </w:pPr>
      <w:bookmarkStart w:id="1" w:name="_Hlk88466603"/>
      <w:r w:rsidRPr="00D27247">
        <w:rPr>
          <w:color w:val="auto"/>
          <w:lang w:val="en-AU"/>
        </w:rPr>
        <w:t xml:space="preserve">In </w:t>
      </w:r>
      <w:r>
        <w:rPr>
          <w:color w:val="auto"/>
          <w:lang w:val="en-AU"/>
        </w:rPr>
        <w:t>contrast to gender equality</w:t>
      </w:r>
      <w:r w:rsidRPr="00D27247">
        <w:rPr>
          <w:color w:val="auto"/>
          <w:lang w:val="en-AU"/>
        </w:rPr>
        <w:t xml:space="preserve">, </w:t>
      </w:r>
      <w:r>
        <w:rPr>
          <w:color w:val="auto"/>
          <w:lang w:val="en-AU"/>
        </w:rPr>
        <w:t xml:space="preserve">the </w:t>
      </w:r>
      <w:r w:rsidR="00AF2AF6">
        <w:rPr>
          <w:color w:val="auto"/>
          <w:lang w:val="en-AU"/>
        </w:rPr>
        <w:t>table below</w:t>
      </w:r>
      <w:r w:rsidRPr="00D27247">
        <w:rPr>
          <w:color w:val="auto"/>
          <w:lang w:val="en-AU"/>
        </w:rPr>
        <w:t xml:space="preserve"> shows that there </w:t>
      </w:r>
      <w:r>
        <w:rPr>
          <w:color w:val="auto"/>
          <w:lang w:val="en-AU"/>
        </w:rPr>
        <w:t>were significantly</w:t>
      </w:r>
      <w:r w:rsidRPr="00D27247">
        <w:rPr>
          <w:color w:val="auto"/>
          <w:lang w:val="en-AU"/>
        </w:rPr>
        <w:t xml:space="preserve"> less projects that actively targeted disability inclusion</w:t>
      </w:r>
      <w:r>
        <w:rPr>
          <w:color w:val="auto"/>
          <w:lang w:val="en-AU"/>
        </w:rPr>
        <w:t xml:space="preserve">. This is in line with previous reporting and continues to </w:t>
      </w:r>
      <w:r w:rsidRPr="00945A39">
        <w:rPr>
          <w:color w:val="auto"/>
          <w:lang w:val="en-AU"/>
        </w:rPr>
        <w:t xml:space="preserve">indicate there is more confidence and routine inclusion of gender equality approaches in ANCP programming </w:t>
      </w:r>
      <w:r w:rsidR="001529C6">
        <w:rPr>
          <w:color w:val="auto"/>
          <w:lang w:val="en-AU"/>
        </w:rPr>
        <w:t>compared to approaches to address</w:t>
      </w:r>
      <w:r w:rsidRPr="00945A39">
        <w:rPr>
          <w:color w:val="auto"/>
          <w:lang w:val="en-AU"/>
        </w:rPr>
        <w:t xml:space="preserve"> disability inclusion.</w:t>
      </w:r>
      <w:r w:rsidR="00AF2AF6">
        <w:rPr>
          <w:color w:val="auto"/>
          <w:lang w:val="en-AU"/>
        </w:rPr>
        <w:t xml:space="preserve"> </w:t>
      </w:r>
    </w:p>
    <w:p w14:paraId="10E28850" w14:textId="6DD18A5F" w:rsidR="00D27247" w:rsidRDefault="00AF2AF6" w:rsidP="003640F2">
      <w:pPr>
        <w:spacing w:after="240"/>
        <w:rPr>
          <w:bCs/>
          <w:color w:val="auto"/>
          <w:lang w:val="en-AU"/>
        </w:rPr>
      </w:pPr>
      <w:r w:rsidRPr="00917E7A">
        <w:rPr>
          <w:color w:val="auto"/>
          <w:lang w:val="en-AU"/>
        </w:rPr>
        <w:t xml:space="preserve">Gender </w:t>
      </w:r>
      <w:r w:rsidR="00917E7A" w:rsidRPr="00917E7A">
        <w:rPr>
          <w:color w:val="auto"/>
          <w:lang w:val="en-AU"/>
        </w:rPr>
        <w:t xml:space="preserve">equality </w:t>
      </w:r>
      <w:r w:rsidRPr="00917E7A">
        <w:rPr>
          <w:color w:val="auto"/>
          <w:lang w:val="en-AU"/>
        </w:rPr>
        <w:t>and disability</w:t>
      </w:r>
      <w:r w:rsidR="007325FC">
        <w:rPr>
          <w:color w:val="auto"/>
          <w:lang w:val="en-AU"/>
        </w:rPr>
        <w:t xml:space="preserve"> </w:t>
      </w:r>
      <w:r w:rsidRPr="00917E7A">
        <w:rPr>
          <w:color w:val="auto"/>
          <w:lang w:val="en-AU"/>
        </w:rPr>
        <w:t>inclusion were identified by NGOs in the 2021 ANCP survey as priority learning topics</w:t>
      </w:r>
      <w:r w:rsidR="00917E7A" w:rsidRPr="00917E7A">
        <w:rPr>
          <w:color w:val="auto"/>
          <w:lang w:val="en-AU"/>
        </w:rPr>
        <w:t xml:space="preserve"> to support strengthened practice in these areas</w:t>
      </w:r>
      <w:r w:rsidRPr="00917E7A">
        <w:rPr>
          <w:color w:val="auto"/>
          <w:lang w:val="en-AU"/>
        </w:rPr>
        <w:t xml:space="preserve">. </w:t>
      </w:r>
      <w:r w:rsidR="001A4DF0" w:rsidRPr="00917E7A">
        <w:rPr>
          <w:color w:val="auto"/>
          <w:lang w:val="en-AU"/>
        </w:rPr>
        <w:t>DFAT has noted this request and t</w:t>
      </w:r>
      <w:r w:rsidRPr="00917E7A">
        <w:rPr>
          <w:color w:val="auto"/>
          <w:lang w:val="en-AU"/>
        </w:rPr>
        <w:t xml:space="preserve">hese </w:t>
      </w:r>
      <w:r w:rsidR="001A4DF0" w:rsidRPr="00917E7A">
        <w:rPr>
          <w:color w:val="auto"/>
          <w:lang w:val="en-AU"/>
        </w:rPr>
        <w:t>topics</w:t>
      </w:r>
      <w:r w:rsidRPr="00917E7A">
        <w:rPr>
          <w:color w:val="auto"/>
          <w:lang w:val="en-AU"/>
        </w:rPr>
        <w:t xml:space="preserve"> will be included in the </w:t>
      </w:r>
      <w:r w:rsidR="00B77CBC" w:rsidRPr="00917E7A">
        <w:rPr>
          <w:color w:val="auto"/>
          <w:lang w:val="en-AU"/>
        </w:rPr>
        <w:t>2022 ANCP learning agenda</w:t>
      </w:r>
      <w:r w:rsidR="0029333B" w:rsidRPr="00917E7A">
        <w:rPr>
          <w:color w:val="auto"/>
          <w:lang w:val="en-AU"/>
        </w:rPr>
        <w:t xml:space="preserve">, which will be guided by a small </w:t>
      </w:r>
      <w:r w:rsidR="0025047C" w:rsidRPr="00917E7A">
        <w:rPr>
          <w:color w:val="auto"/>
          <w:lang w:val="en-AU"/>
        </w:rPr>
        <w:t>Learning Reference Group. The learning agenda</w:t>
      </w:r>
      <w:r w:rsidR="001A4DF0" w:rsidRPr="00917E7A">
        <w:rPr>
          <w:color w:val="auto"/>
          <w:lang w:val="en-AU"/>
        </w:rPr>
        <w:t xml:space="preserve"> will </w:t>
      </w:r>
      <w:r w:rsidR="001529C6">
        <w:rPr>
          <w:color w:val="auto"/>
          <w:lang w:val="en-AU"/>
        </w:rPr>
        <w:t xml:space="preserve">also </w:t>
      </w:r>
      <w:r w:rsidR="001A4DF0" w:rsidRPr="00917E7A">
        <w:rPr>
          <w:color w:val="auto"/>
          <w:lang w:val="en-AU"/>
        </w:rPr>
        <w:t>provide opportunities for cross-learning between NGOs</w:t>
      </w:r>
      <w:r w:rsidR="00B77CBC" w:rsidRPr="00917E7A">
        <w:rPr>
          <w:color w:val="auto"/>
          <w:lang w:val="en-AU"/>
        </w:rPr>
        <w:t>.</w:t>
      </w:r>
      <w:r w:rsidR="00B77CBC">
        <w:rPr>
          <w:color w:val="auto"/>
          <w:lang w:val="en-AU"/>
        </w:rPr>
        <w:t xml:space="preserve"> </w:t>
      </w:r>
      <w:r w:rsidR="00D27247">
        <w:fldChar w:fldCharType="begin"/>
      </w:r>
      <w:r w:rsidR="00D27247">
        <w:instrText xml:space="preserve"> LINK Excel.Sheet.12 "C:\\Users\\rleven\\OneDrive - Department of Foreign Affairs and Trade (dfat.gov.au)\\Desktop\\2020-21 Performance Project Sharepoint Overview .xlsx" "Gender and disability tables!R11C2:R16C6" \a \f 4 \h  \* MERGEFORMAT </w:instrText>
      </w:r>
      <w:r w:rsidR="00D27247">
        <w:fldChar w:fldCharType="separate"/>
      </w:r>
    </w:p>
    <w:tbl>
      <w:tblPr>
        <w:tblStyle w:val="PlainTable21"/>
        <w:tblW w:w="9351" w:type="dxa"/>
        <w:tblLook w:val="04A0" w:firstRow="1" w:lastRow="0" w:firstColumn="1" w:lastColumn="0" w:noHBand="0" w:noVBand="1"/>
      </w:tblPr>
      <w:tblGrid>
        <w:gridCol w:w="2245"/>
        <w:gridCol w:w="1832"/>
        <w:gridCol w:w="1626"/>
        <w:gridCol w:w="1677"/>
        <w:gridCol w:w="1971"/>
      </w:tblGrid>
      <w:tr w:rsidR="00D27247" w:rsidRPr="00D27247" w14:paraId="3CC4681B" w14:textId="77777777" w:rsidTr="00904216">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245" w:type="dxa"/>
            <w:noWrap/>
            <w:hideMark/>
          </w:tcPr>
          <w:p w14:paraId="16891DD7" w14:textId="100452A0" w:rsidR="00D27247" w:rsidRPr="008154D1" w:rsidRDefault="00D27247" w:rsidP="00733BF4">
            <w:pPr>
              <w:suppressAutoHyphens w:val="0"/>
              <w:spacing w:after="0" w:line="240" w:lineRule="auto"/>
              <w:rPr>
                <w:rFonts w:ascii="Calibri" w:eastAsia="Times New Roman" w:hAnsi="Calibri" w:cs="Calibri"/>
                <w:b/>
                <w:bCs w:val="0"/>
                <w:color w:val="auto"/>
                <w:sz w:val="24"/>
                <w:szCs w:val="24"/>
                <w:lang w:val="en-AU" w:eastAsia="en-AU"/>
              </w:rPr>
            </w:pPr>
            <w:r w:rsidRPr="008154D1">
              <w:rPr>
                <w:rFonts w:ascii="Calibri" w:eastAsia="Times New Roman" w:hAnsi="Calibri" w:cs="Calibri"/>
                <w:b/>
                <w:color w:val="auto"/>
                <w:sz w:val="24"/>
                <w:szCs w:val="24"/>
                <w:lang w:val="en-AU" w:eastAsia="en-AU"/>
              </w:rPr>
              <w:t>Disability marker</w:t>
            </w:r>
          </w:p>
        </w:tc>
        <w:tc>
          <w:tcPr>
            <w:tcW w:w="1832" w:type="dxa"/>
            <w:hideMark/>
          </w:tcPr>
          <w:p w14:paraId="254A8598" w14:textId="77777777" w:rsidR="00D27247" w:rsidRPr="008154D1" w:rsidRDefault="00D27247" w:rsidP="00733BF4">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val="0"/>
                <w:color w:val="auto"/>
                <w:sz w:val="24"/>
                <w:szCs w:val="24"/>
                <w:lang w:val="en-AU" w:eastAsia="en-AU"/>
              </w:rPr>
            </w:pPr>
            <w:r w:rsidRPr="008154D1">
              <w:rPr>
                <w:rFonts w:ascii="Calibri" w:eastAsia="Times New Roman" w:hAnsi="Calibri" w:cs="Calibri"/>
                <w:b/>
                <w:color w:val="auto"/>
                <w:sz w:val="24"/>
                <w:szCs w:val="24"/>
                <w:lang w:val="en-AU" w:eastAsia="en-AU"/>
              </w:rPr>
              <w:t># of projects 2020-21</w:t>
            </w:r>
          </w:p>
        </w:tc>
        <w:tc>
          <w:tcPr>
            <w:tcW w:w="1626" w:type="dxa"/>
            <w:hideMark/>
          </w:tcPr>
          <w:p w14:paraId="36F3CC72" w14:textId="77777777" w:rsidR="00D27247" w:rsidRPr="008154D1" w:rsidRDefault="00D27247" w:rsidP="00733BF4">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val="0"/>
                <w:color w:val="auto"/>
                <w:sz w:val="24"/>
                <w:szCs w:val="24"/>
                <w:lang w:val="en-AU" w:eastAsia="en-AU"/>
              </w:rPr>
            </w:pPr>
            <w:r w:rsidRPr="008154D1">
              <w:rPr>
                <w:rFonts w:ascii="Calibri" w:eastAsia="Times New Roman" w:hAnsi="Calibri" w:cs="Calibri"/>
                <w:b/>
                <w:color w:val="auto"/>
                <w:sz w:val="24"/>
                <w:szCs w:val="24"/>
                <w:lang w:val="en-AU" w:eastAsia="en-AU"/>
              </w:rPr>
              <w:t>% of projects 2020-21</w:t>
            </w:r>
          </w:p>
        </w:tc>
        <w:tc>
          <w:tcPr>
            <w:tcW w:w="1677" w:type="dxa"/>
            <w:hideMark/>
          </w:tcPr>
          <w:p w14:paraId="41F6FC0B" w14:textId="77777777" w:rsidR="00D27247" w:rsidRPr="008154D1" w:rsidRDefault="00D27247" w:rsidP="00733BF4">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val="0"/>
                <w:color w:val="auto"/>
                <w:sz w:val="24"/>
                <w:szCs w:val="24"/>
                <w:lang w:val="en-AU" w:eastAsia="en-AU"/>
              </w:rPr>
            </w:pPr>
            <w:r w:rsidRPr="008154D1">
              <w:rPr>
                <w:rFonts w:ascii="Calibri" w:eastAsia="Times New Roman" w:hAnsi="Calibri" w:cs="Calibri"/>
                <w:b/>
                <w:color w:val="auto"/>
                <w:sz w:val="24"/>
                <w:szCs w:val="24"/>
                <w:lang w:val="en-AU" w:eastAsia="en-AU"/>
              </w:rPr>
              <w:t># of projects 2019-20</w:t>
            </w:r>
          </w:p>
        </w:tc>
        <w:tc>
          <w:tcPr>
            <w:tcW w:w="1971" w:type="dxa"/>
            <w:hideMark/>
          </w:tcPr>
          <w:p w14:paraId="3B30088A" w14:textId="77777777" w:rsidR="00D27247" w:rsidRPr="008154D1" w:rsidRDefault="00D27247" w:rsidP="00733BF4">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val="0"/>
                <w:color w:val="auto"/>
                <w:sz w:val="24"/>
                <w:szCs w:val="24"/>
                <w:lang w:val="en-AU" w:eastAsia="en-AU"/>
              </w:rPr>
            </w:pPr>
            <w:r w:rsidRPr="008154D1">
              <w:rPr>
                <w:rFonts w:ascii="Calibri" w:eastAsia="Times New Roman" w:hAnsi="Calibri" w:cs="Calibri"/>
                <w:b/>
                <w:color w:val="auto"/>
                <w:sz w:val="24"/>
                <w:szCs w:val="24"/>
                <w:lang w:val="en-AU" w:eastAsia="en-AU"/>
              </w:rPr>
              <w:t>% of projects 2019-20</w:t>
            </w:r>
          </w:p>
        </w:tc>
      </w:tr>
      <w:tr w:rsidR="00D27247" w:rsidRPr="00D27247" w14:paraId="52D67758" w14:textId="77777777" w:rsidTr="0090421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245" w:type="dxa"/>
            <w:noWrap/>
            <w:hideMark/>
          </w:tcPr>
          <w:p w14:paraId="55DAA2B5" w14:textId="77777777" w:rsidR="00D27247" w:rsidRPr="008154D1" w:rsidRDefault="00D27247" w:rsidP="00733BF4">
            <w:pPr>
              <w:suppressAutoHyphens w:val="0"/>
              <w:spacing w:after="0" w:line="240" w:lineRule="auto"/>
              <w:rPr>
                <w:rFonts w:ascii="Calibri" w:eastAsia="Times New Roman" w:hAnsi="Calibri" w:cs="Calibri"/>
                <w:b w:val="0"/>
                <w:bCs w:val="0"/>
                <w:color w:val="auto"/>
                <w:sz w:val="24"/>
                <w:szCs w:val="24"/>
                <w:lang w:val="en-AU" w:eastAsia="en-AU"/>
              </w:rPr>
            </w:pPr>
            <w:r w:rsidRPr="008154D1">
              <w:rPr>
                <w:rFonts w:ascii="Calibri" w:eastAsia="Times New Roman" w:hAnsi="Calibri" w:cs="Calibri"/>
                <w:color w:val="auto"/>
                <w:sz w:val="24"/>
                <w:szCs w:val="24"/>
                <w:lang w:val="en-AU" w:eastAsia="en-AU"/>
              </w:rPr>
              <w:t>Mainstream</w:t>
            </w:r>
          </w:p>
        </w:tc>
        <w:tc>
          <w:tcPr>
            <w:tcW w:w="1832" w:type="dxa"/>
            <w:noWrap/>
            <w:hideMark/>
          </w:tcPr>
          <w:p w14:paraId="3FA0DDDC" w14:textId="77777777" w:rsidR="00D27247" w:rsidRPr="008154D1" w:rsidRDefault="00D27247" w:rsidP="00733BF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4"/>
                <w:szCs w:val="24"/>
                <w:lang w:val="en-AU" w:eastAsia="en-AU"/>
              </w:rPr>
            </w:pPr>
            <w:r w:rsidRPr="008154D1">
              <w:rPr>
                <w:rFonts w:ascii="Calibri" w:eastAsia="Times New Roman" w:hAnsi="Calibri" w:cs="Calibri"/>
                <w:color w:val="auto"/>
                <w:sz w:val="24"/>
                <w:szCs w:val="24"/>
                <w:lang w:val="en-AU" w:eastAsia="en-AU"/>
              </w:rPr>
              <w:t>234</w:t>
            </w:r>
          </w:p>
        </w:tc>
        <w:tc>
          <w:tcPr>
            <w:tcW w:w="1626" w:type="dxa"/>
            <w:noWrap/>
            <w:hideMark/>
          </w:tcPr>
          <w:p w14:paraId="196C0E2D" w14:textId="77777777" w:rsidR="00D27247" w:rsidRPr="008154D1" w:rsidRDefault="00D27247" w:rsidP="00733BF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4"/>
                <w:szCs w:val="24"/>
                <w:lang w:val="en-AU" w:eastAsia="en-AU"/>
              </w:rPr>
            </w:pPr>
            <w:r w:rsidRPr="008154D1">
              <w:rPr>
                <w:rFonts w:ascii="Calibri" w:eastAsia="Times New Roman" w:hAnsi="Calibri" w:cs="Calibri"/>
                <w:color w:val="auto"/>
                <w:sz w:val="24"/>
                <w:szCs w:val="24"/>
                <w:lang w:val="en-AU" w:eastAsia="en-AU"/>
              </w:rPr>
              <w:t>57</w:t>
            </w:r>
          </w:p>
        </w:tc>
        <w:tc>
          <w:tcPr>
            <w:tcW w:w="1677" w:type="dxa"/>
            <w:noWrap/>
            <w:hideMark/>
          </w:tcPr>
          <w:p w14:paraId="6168923D" w14:textId="77777777" w:rsidR="00D27247" w:rsidRPr="008154D1" w:rsidRDefault="00D27247" w:rsidP="00733BF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4"/>
                <w:szCs w:val="24"/>
                <w:lang w:val="en-AU" w:eastAsia="en-AU"/>
              </w:rPr>
            </w:pPr>
            <w:r w:rsidRPr="008154D1">
              <w:rPr>
                <w:rFonts w:ascii="Calibri" w:eastAsia="Times New Roman" w:hAnsi="Calibri" w:cs="Calibri"/>
                <w:color w:val="auto"/>
                <w:sz w:val="24"/>
                <w:szCs w:val="24"/>
                <w:lang w:val="en-AU" w:eastAsia="en-AU"/>
              </w:rPr>
              <w:t>262</w:t>
            </w:r>
          </w:p>
        </w:tc>
        <w:tc>
          <w:tcPr>
            <w:tcW w:w="1971" w:type="dxa"/>
            <w:noWrap/>
            <w:hideMark/>
          </w:tcPr>
          <w:p w14:paraId="03BF095A" w14:textId="77777777" w:rsidR="00D27247" w:rsidRPr="008154D1" w:rsidRDefault="00D27247" w:rsidP="00733BF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4"/>
                <w:szCs w:val="24"/>
                <w:lang w:val="en-AU" w:eastAsia="en-AU"/>
              </w:rPr>
            </w:pPr>
            <w:r w:rsidRPr="008154D1">
              <w:rPr>
                <w:rFonts w:ascii="Calibri" w:eastAsia="Times New Roman" w:hAnsi="Calibri" w:cs="Calibri"/>
                <w:color w:val="auto"/>
                <w:sz w:val="24"/>
                <w:szCs w:val="24"/>
                <w:lang w:val="en-AU" w:eastAsia="en-AU"/>
              </w:rPr>
              <w:t>62</w:t>
            </w:r>
          </w:p>
        </w:tc>
      </w:tr>
      <w:tr w:rsidR="00D27247" w:rsidRPr="00D27247" w14:paraId="51747EEA" w14:textId="77777777" w:rsidTr="00904216">
        <w:trPr>
          <w:trHeight w:val="341"/>
        </w:trPr>
        <w:tc>
          <w:tcPr>
            <w:cnfStyle w:val="001000000000" w:firstRow="0" w:lastRow="0" w:firstColumn="1" w:lastColumn="0" w:oddVBand="0" w:evenVBand="0" w:oddHBand="0" w:evenHBand="0" w:firstRowFirstColumn="0" w:firstRowLastColumn="0" w:lastRowFirstColumn="0" w:lastRowLastColumn="0"/>
            <w:tcW w:w="2245" w:type="dxa"/>
            <w:noWrap/>
            <w:hideMark/>
          </w:tcPr>
          <w:p w14:paraId="08AD46E9" w14:textId="10A7F8FC" w:rsidR="00D27247" w:rsidRPr="008154D1" w:rsidRDefault="00D27247" w:rsidP="00733BF4">
            <w:pPr>
              <w:suppressAutoHyphens w:val="0"/>
              <w:spacing w:after="0" w:line="240" w:lineRule="auto"/>
              <w:rPr>
                <w:rFonts w:ascii="Calibri" w:eastAsia="Times New Roman" w:hAnsi="Calibri" w:cs="Calibri"/>
                <w:b w:val="0"/>
                <w:bCs w:val="0"/>
                <w:color w:val="auto"/>
                <w:sz w:val="24"/>
                <w:szCs w:val="24"/>
                <w:lang w:val="en-AU" w:eastAsia="en-AU"/>
              </w:rPr>
            </w:pPr>
            <w:r w:rsidRPr="008154D1">
              <w:rPr>
                <w:rFonts w:ascii="Calibri" w:eastAsia="Times New Roman" w:hAnsi="Calibri" w:cs="Calibri"/>
                <w:color w:val="auto"/>
                <w:sz w:val="24"/>
                <w:szCs w:val="24"/>
                <w:lang w:val="en-AU" w:eastAsia="en-AU"/>
              </w:rPr>
              <w:t>Targeted</w:t>
            </w:r>
          </w:p>
        </w:tc>
        <w:tc>
          <w:tcPr>
            <w:tcW w:w="1832" w:type="dxa"/>
            <w:noWrap/>
            <w:hideMark/>
          </w:tcPr>
          <w:p w14:paraId="7A86073F" w14:textId="77777777" w:rsidR="00D27247" w:rsidRPr="008154D1" w:rsidRDefault="00D27247" w:rsidP="00733BF4">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4"/>
                <w:szCs w:val="24"/>
                <w:lang w:val="en-AU" w:eastAsia="en-AU"/>
              </w:rPr>
            </w:pPr>
            <w:r w:rsidRPr="008154D1">
              <w:rPr>
                <w:rFonts w:ascii="Calibri" w:eastAsia="Times New Roman" w:hAnsi="Calibri" w:cs="Calibri"/>
                <w:color w:val="auto"/>
                <w:sz w:val="24"/>
                <w:szCs w:val="24"/>
                <w:lang w:val="en-AU" w:eastAsia="en-AU"/>
              </w:rPr>
              <w:t>14</w:t>
            </w:r>
          </w:p>
        </w:tc>
        <w:tc>
          <w:tcPr>
            <w:tcW w:w="1626" w:type="dxa"/>
            <w:noWrap/>
            <w:hideMark/>
          </w:tcPr>
          <w:p w14:paraId="02D0FB58" w14:textId="77777777" w:rsidR="00D27247" w:rsidRPr="008154D1" w:rsidRDefault="00D27247" w:rsidP="00733BF4">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4"/>
                <w:szCs w:val="24"/>
                <w:lang w:val="en-AU" w:eastAsia="en-AU"/>
              </w:rPr>
            </w:pPr>
            <w:r w:rsidRPr="008154D1">
              <w:rPr>
                <w:rFonts w:ascii="Calibri" w:eastAsia="Times New Roman" w:hAnsi="Calibri" w:cs="Calibri"/>
                <w:color w:val="auto"/>
                <w:sz w:val="24"/>
                <w:szCs w:val="24"/>
                <w:lang w:val="en-AU" w:eastAsia="en-AU"/>
              </w:rPr>
              <w:t>3</w:t>
            </w:r>
          </w:p>
        </w:tc>
        <w:tc>
          <w:tcPr>
            <w:tcW w:w="1677" w:type="dxa"/>
            <w:noWrap/>
            <w:hideMark/>
          </w:tcPr>
          <w:p w14:paraId="26471166" w14:textId="77777777" w:rsidR="00D27247" w:rsidRPr="008154D1" w:rsidRDefault="00D27247" w:rsidP="00733BF4">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4"/>
                <w:szCs w:val="24"/>
                <w:lang w:val="en-AU" w:eastAsia="en-AU"/>
              </w:rPr>
            </w:pPr>
            <w:r w:rsidRPr="008154D1">
              <w:rPr>
                <w:rFonts w:ascii="Calibri" w:eastAsia="Times New Roman" w:hAnsi="Calibri" w:cs="Calibri"/>
                <w:color w:val="auto"/>
                <w:sz w:val="24"/>
                <w:szCs w:val="24"/>
                <w:lang w:val="en-AU" w:eastAsia="en-AU"/>
              </w:rPr>
              <w:t>16</w:t>
            </w:r>
          </w:p>
        </w:tc>
        <w:tc>
          <w:tcPr>
            <w:tcW w:w="1971" w:type="dxa"/>
            <w:noWrap/>
            <w:hideMark/>
          </w:tcPr>
          <w:p w14:paraId="0F7332E7" w14:textId="77777777" w:rsidR="00D27247" w:rsidRPr="008154D1" w:rsidRDefault="00D27247" w:rsidP="00733BF4">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4"/>
                <w:szCs w:val="24"/>
                <w:lang w:val="en-AU" w:eastAsia="en-AU"/>
              </w:rPr>
            </w:pPr>
            <w:r w:rsidRPr="008154D1">
              <w:rPr>
                <w:rFonts w:ascii="Calibri" w:eastAsia="Times New Roman" w:hAnsi="Calibri" w:cs="Calibri"/>
                <w:color w:val="auto"/>
                <w:sz w:val="24"/>
                <w:szCs w:val="24"/>
                <w:lang w:val="en-AU" w:eastAsia="en-AU"/>
              </w:rPr>
              <w:t>4</w:t>
            </w:r>
          </w:p>
        </w:tc>
      </w:tr>
      <w:tr w:rsidR="00D27247" w:rsidRPr="00D27247" w14:paraId="74C32C1B" w14:textId="77777777" w:rsidTr="0090421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245" w:type="dxa"/>
            <w:noWrap/>
            <w:hideMark/>
          </w:tcPr>
          <w:p w14:paraId="7D35BD48" w14:textId="77777777" w:rsidR="00D27247" w:rsidRPr="008154D1" w:rsidRDefault="00D27247" w:rsidP="00733BF4">
            <w:pPr>
              <w:suppressAutoHyphens w:val="0"/>
              <w:spacing w:after="0" w:line="240" w:lineRule="auto"/>
              <w:rPr>
                <w:rFonts w:ascii="Calibri" w:eastAsia="Times New Roman" w:hAnsi="Calibri" w:cs="Calibri"/>
                <w:b w:val="0"/>
                <w:bCs w:val="0"/>
                <w:color w:val="auto"/>
                <w:sz w:val="24"/>
                <w:szCs w:val="24"/>
                <w:lang w:val="en-AU" w:eastAsia="en-AU"/>
              </w:rPr>
            </w:pPr>
            <w:r w:rsidRPr="008154D1">
              <w:rPr>
                <w:rFonts w:ascii="Calibri" w:eastAsia="Times New Roman" w:hAnsi="Calibri" w:cs="Calibri"/>
                <w:color w:val="auto"/>
                <w:sz w:val="24"/>
                <w:szCs w:val="24"/>
                <w:lang w:val="en-AU" w:eastAsia="en-AU"/>
              </w:rPr>
              <w:t>Twin Track</w:t>
            </w:r>
          </w:p>
        </w:tc>
        <w:tc>
          <w:tcPr>
            <w:tcW w:w="1832" w:type="dxa"/>
            <w:noWrap/>
            <w:hideMark/>
          </w:tcPr>
          <w:p w14:paraId="11AB710A" w14:textId="77777777" w:rsidR="00D27247" w:rsidRPr="008154D1" w:rsidRDefault="00D27247" w:rsidP="00733BF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4"/>
                <w:szCs w:val="24"/>
                <w:lang w:val="en-AU" w:eastAsia="en-AU"/>
              </w:rPr>
            </w:pPr>
            <w:r w:rsidRPr="008154D1">
              <w:rPr>
                <w:rFonts w:ascii="Calibri" w:eastAsia="Times New Roman" w:hAnsi="Calibri" w:cs="Calibri"/>
                <w:color w:val="auto"/>
                <w:sz w:val="24"/>
                <w:szCs w:val="24"/>
                <w:lang w:val="en-AU" w:eastAsia="en-AU"/>
              </w:rPr>
              <w:t>90</w:t>
            </w:r>
          </w:p>
        </w:tc>
        <w:tc>
          <w:tcPr>
            <w:tcW w:w="1626" w:type="dxa"/>
            <w:noWrap/>
            <w:hideMark/>
          </w:tcPr>
          <w:p w14:paraId="791C461A" w14:textId="77777777" w:rsidR="00D27247" w:rsidRPr="008154D1" w:rsidRDefault="00D27247" w:rsidP="00733BF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4"/>
                <w:szCs w:val="24"/>
                <w:lang w:val="en-AU" w:eastAsia="en-AU"/>
              </w:rPr>
            </w:pPr>
            <w:r w:rsidRPr="008154D1">
              <w:rPr>
                <w:rFonts w:ascii="Calibri" w:eastAsia="Times New Roman" w:hAnsi="Calibri" w:cs="Calibri"/>
                <w:color w:val="auto"/>
                <w:sz w:val="24"/>
                <w:szCs w:val="24"/>
                <w:lang w:val="en-AU" w:eastAsia="en-AU"/>
              </w:rPr>
              <w:t>22</w:t>
            </w:r>
          </w:p>
        </w:tc>
        <w:tc>
          <w:tcPr>
            <w:tcW w:w="1677" w:type="dxa"/>
            <w:noWrap/>
            <w:hideMark/>
          </w:tcPr>
          <w:p w14:paraId="4CBA397F" w14:textId="77777777" w:rsidR="00D27247" w:rsidRPr="008154D1" w:rsidRDefault="00D27247" w:rsidP="00733BF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4"/>
                <w:szCs w:val="24"/>
                <w:lang w:val="en-AU" w:eastAsia="en-AU"/>
              </w:rPr>
            </w:pPr>
            <w:r w:rsidRPr="008154D1">
              <w:rPr>
                <w:rFonts w:ascii="Calibri" w:eastAsia="Times New Roman" w:hAnsi="Calibri" w:cs="Calibri"/>
                <w:color w:val="auto"/>
                <w:sz w:val="24"/>
                <w:szCs w:val="24"/>
                <w:lang w:val="en-AU" w:eastAsia="en-AU"/>
              </w:rPr>
              <w:t>77</w:t>
            </w:r>
          </w:p>
        </w:tc>
        <w:tc>
          <w:tcPr>
            <w:tcW w:w="1971" w:type="dxa"/>
            <w:noWrap/>
            <w:hideMark/>
          </w:tcPr>
          <w:p w14:paraId="1F3CA643" w14:textId="77777777" w:rsidR="00D27247" w:rsidRPr="008154D1" w:rsidRDefault="00D27247" w:rsidP="00733BF4">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4"/>
                <w:szCs w:val="24"/>
                <w:lang w:val="en-AU" w:eastAsia="en-AU"/>
              </w:rPr>
            </w:pPr>
            <w:r w:rsidRPr="008154D1">
              <w:rPr>
                <w:rFonts w:ascii="Calibri" w:eastAsia="Times New Roman" w:hAnsi="Calibri" w:cs="Calibri"/>
                <w:color w:val="auto"/>
                <w:sz w:val="24"/>
                <w:szCs w:val="24"/>
                <w:lang w:val="en-AU" w:eastAsia="en-AU"/>
              </w:rPr>
              <w:t>18</w:t>
            </w:r>
          </w:p>
        </w:tc>
      </w:tr>
      <w:tr w:rsidR="00D27247" w:rsidRPr="00D27247" w14:paraId="7DEAA9DF" w14:textId="77777777" w:rsidTr="00904216">
        <w:trPr>
          <w:trHeight w:val="341"/>
        </w:trPr>
        <w:tc>
          <w:tcPr>
            <w:cnfStyle w:val="001000000000" w:firstRow="0" w:lastRow="0" w:firstColumn="1" w:lastColumn="0" w:oddVBand="0" w:evenVBand="0" w:oddHBand="0" w:evenHBand="0" w:firstRowFirstColumn="0" w:firstRowLastColumn="0" w:lastRowFirstColumn="0" w:lastRowLastColumn="0"/>
            <w:tcW w:w="2245" w:type="dxa"/>
            <w:noWrap/>
            <w:hideMark/>
          </w:tcPr>
          <w:p w14:paraId="7E800ADB" w14:textId="77777777" w:rsidR="00D27247" w:rsidRPr="008154D1" w:rsidRDefault="00D27247" w:rsidP="00733BF4">
            <w:pPr>
              <w:suppressAutoHyphens w:val="0"/>
              <w:spacing w:after="0" w:line="240" w:lineRule="auto"/>
              <w:rPr>
                <w:rFonts w:ascii="Calibri" w:eastAsia="Times New Roman" w:hAnsi="Calibri" w:cs="Calibri"/>
                <w:b w:val="0"/>
                <w:bCs w:val="0"/>
                <w:color w:val="auto"/>
                <w:sz w:val="24"/>
                <w:szCs w:val="24"/>
                <w:lang w:val="en-AU" w:eastAsia="en-AU"/>
              </w:rPr>
            </w:pPr>
            <w:r w:rsidRPr="008154D1">
              <w:rPr>
                <w:rFonts w:ascii="Calibri" w:eastAsia="Times New Roman" w:hAnsi="Calibri" w:cs="Calibri"/>
                <w:color w:val="auto"/>
                <w:sz w:val="24"/>
                <w:szCs w:val="24"/>
                <w:lang w:val="en-AU" w:eastAsia="en-AU"/>
              </w:rPr>
              <w:t>Not Targeted</w:t>
            </w:r>
          </w:p>
        </w:tc>
        <w:tc>
          <w:tcPr>
            <w:tcW w:w="1832" w:type="dxa"/>
            <w:noWrap/>
            <w:hideMark/>
          </w:tcPr>
          <w:p w14:paraId="112D67ED" w14:textId="77777777" w:rsidR="00D27247" w:rsidRPr="008154D1" w:rsidRDefault="00D27247" w:rsidP="00733BF4">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4"/>
                <w:szCs w:val="24"/>
                <w:lang w:val="en-AU" w:eastAsia="en-AU"/>
              </w:rPr>
            </w:pPr>
            <w:r w:rsidRPr="008154D1">
              <w:rPr>
                <w:rFonts w:ascii="Calibri" w:eastAsia="Times New Roman" w:hAnsi="Calibri" w:cs="Calibri"/>
                <w:color w:val="auto"/>
                <w:sz w:val="24"/>
                <w:szCs w:val="24"/>
                <w:lang w:val="en-AU" w:eastAsia="en-AU"/>
              </w:rPr>
              <w:t>68</w:t>
            </w:r>
          </w:p>
        </w:tc>
        <w:tc>
          <w:tcPr>
            <w:tcW w:w="1626" w:type="dxa"/>
            <w:noWrap/>
            <w:hideMark/>
          </w:tcPr>
          <w:p w14:paraId="15F8A606" w14:textId="77777777" w:rsidR="00D27247" w:rsidRPr="008154D1" w:rsidRDefault="00D27247" w:rsidP="00733BF4">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4"/>
                <w:szCs w:val="24"/>
                <w:lang w:val="en-AU" w:eastAsia="en-AU"/>
              </w:rPr>
            </w:pPr>
            <w:r w:rsidRPr="008154D1">
              <w:rPr>
                <w:rFonts w:ascii="Calibri" w:eastAsia="Times New Roman" w:hAnsi="Calibri" w:cs="Calibri"/>
                <w:color w:val="auto"/>
                <w:sz w:val="24"/>
                <w:szCs w:val="24"/>
                <w:lang w:val="en-AU" w:eastAsia="en-AU"/>
              </w:rPr>
              <w:t>17</w:t>
            </w:r>
          </w:p>
        </w:tc>
        <w:tc>
          <w:tcPr>
            <w:tcW w:w="1677" w:type="dxa"/>
            <w:noWrap/>
            <w:hideMark/>
          </w:tcPr>
          <w:p w14:paraId="7F05ED1F" w14:textId="77777777" w:rsidR="00D27247" w:rsidRPr="008154D1" w:rsidRDefault="00D27247" w:rsidP="00733BF4">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4"/>
                <w:szCs w:val="24"/>
                <w:lang w:val="en-AU" w:eastAsia="en-AU"/>
              </w:rPr>
            </w:pPr>
            <w:r w:rsidRPr="008154D1">
              <w:rPr>
                <w:rFonts w:ascii="Calibri" w:eastAsia="Times New Roman" w:hAnsi="Calibri" w:cs="Calibri"/>
                <w:color w:val="auto"/>
                <w:sz w:val="24"/>
                <w:szCs w:val="24"/>
                <w:lang w:val="en-AU" w:eastAsia="en-AU"/>
              </w:rPr>
              <w:t>69</w:t>
            </w:r>
          </w:p>
        </w:tc>
        <w:tc>
          <w:tcPr>
            <w:tcW w:w="1971" w:type="dxa"/>
            <w:noWrap/>
            <w:hideMark/>
          </w:tcPr>
          <w:p w14:paraId="2166C044" w14:textId="77777777" w:rsidR="00D27247" w:rsidRPr="008154D1" w:rsidRDefault="00D27247" w:rsidP="00733BF4">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4"/>
                <w:szCs w:val="24"/>
                <w:lang w:val="en-AU" w:eastAsia="en-AU"/>
              </w:rPr>
            </w:pPr>
            <w:r w:rsidRPr="008154D1">
              <w:rPr>
                <w:rFonts w:ascii="Calibri" w:eastAsia="Times New Roman" w:hAnsi="Calibri" w:cs="Calibri"/>
                <w:color w:val="auto"/>
                <w:sz w:val="24"/>
                <w:szCs w:val="24"/>
                <w:lang w:val="en-AU" w:eastAsia="en-AU"/>
              </w:rPr>
              <w:t>16</w:t>
            </w:r>
          </w:p>
        </w:tc>
      </w:tr>
      <w:tr w:rsidR="00D27247" w:rsidRPr="00D27247" w14:paraId="28732B37" w14:textId="77777777" w:rsidTr="0090421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245" w:type="dxa"/>
            <w:noWrap/>
            <w:hideMark/>
          </w:tcPr>
          <w:p w14:paraId="2E83C08E" w14:textId="77777777" w:rsidR="00D27247" w:rsidRPr="008154D1" w:rsidRDefault="00D27247" w:rsidP="00D27247">
            <w:pPr>
              <w:suppressAutoHyphens w:val="0"/>
              <w:spacing w:before="0" w:after="0" w:line="240" w:lineRule="auto"/>
              <w:rPr>
                <w:rFonts w:ascii="Calibri" w:eastAsia="Times New Roman" w:hAnsi="Calibri" w:cs="Calibri"/>
                <w:b w:val="0"/>
                <w:bCs w:val="0"/>
                <w:color w:val="auto"/>
                <w:sz w:val="24"/>
                <w:szCs w:val="24"/>
                <w:lang w:val="en-AU" w:eastAsia="en-AU"/>
              </w:rPr>
            </w:pPr>
            <w:r w:rsidRPr="008154D1">
              <w:rPr>
                <w:rFonts w:ascii="Calibri" w:eastAsia="Times New Roman" w:hAnsi="Calibri" w:cs="Calibri"/>
                <w:color w:val="auto"/>
                <w:sz w:val="24"/>
                <w:szCs w:val="24"/>
                <w:lang w:val="en-AU" w:eastAsia="en-AU"/>
              </w:rPr>
              <w:t>Total</w:t>
            </w:r>
          </w:p>
        </w:tc>
        <w:tc>
          <w:tcPr>
            <w:tcW w:w="1832" w:type="dxa"/>
            <w:noWrap/>
            <w:hideMark/>
          </w:tcPr>
          <w:p w14:paraId="0F7EDAD6" w14:textId="77777777" w:rsidR="00D27247" w:rsidRPr="008154D1" w:rsidRDefault="00D27247" w:rsidP="00D2724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auto"/>
                <w:sz w:val="24"/>
                <w:szCs w:val="24"/>
                <w:lang w:val="en-AU" w:eastAsia="en-AU"/>
              </w:rPr>
            </w:pPr>
            <w:r w:rsidRPr="008154D1">
              <w:rPr>
                <w:rFonts w:ascii="Calibri" w:eastAsia="Times New Roman" w:hAnsi="Calibri" w:cs="Calibri"/>
                <w:b/>
                <w:bCs/>
                <w:color w:val="auto"/>
                <w:sz w:val="24"/>
                <w:szCs w:val="24"/>
                <w:lang w:val="en-AU" w:eastAsia="en-AU"/>
              </w:rPr>
              <w:t>406</w:t>
            </w:r>
          </w:p>
        </w:tc>
        <w:tc>
          <w:tcPr>
            <w:tcW w:w="1626" w:type="dxa"/>
            <w:noWrap/>
            <w:hideMark/>
          </w:tcPr>
          <w:p w14:paraId="109DEFA7" w14:textId="77777777" w:rsidR="00D27247" w:rsidRPr="008154D1" w:rsidRDefault="00D27247" w:rsidP="00D2724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auto"/>
                <w:sz w:val="24"/>
                <w:szCs w:val="24"/>
                <w:lang w:val="en-AU" w:eastAsia="en-AU"/>
              </w:rPr>
            </w:pPr>
            <w:r w:rsidRPr="008154D1">
              <w:rPr>
                <w:rFonts w:ascii="Calibri" w:eastAsia="Times New Roman" w:hAnsi="Calibri" w:cs="Calibri"/>
                <w:b/>
                <w:bCs/>
                <w:color w:val="auto"/>
                <w:sz w:val="24"/>
                <w:szCs w:val="24"/>
                <w:lang w:val="en-AU" w:eastAsia="en-AU"/>
              </w:rPr>
              <w:t> </w:t>
            </w:r>
          </w:p>
        </w:tc>
        <w:tc>
          <w:tcPr>
            <w:tcW w:w="1677" w:type="dxa"/>
            <w:noWrap/>
            <w:hideMark/>
          </w:tcPr>
          <w:p w14:paraId="15FF9E15" w14:textId="77777777" w:rsidR="00D27247" w:rsidRPr="008154D1" w:rsidRDefault="00D27247" w:rsidP="00D2724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auto"/>
                <w:sz w:val="24"/>
                <w:szCs w:val="24"/>
                <w:lang w:val="en-AU" w:eastAsia="en-AU"/>
              </w:rPr>
            </w:pPr>
            <w:r w:rsidRPr="008154D1">
              <w:rPr>
                <w:rFonts w:ascii="Calibri" w:eastAsia="Times New Roman" w:hAnsi="Calibri" w:cs="Calibri"/>
                <w:b/>
                <w:bCs/>
                <w:color w:val="auto"/>
                <w:sz w:val="24"/>
                <w:szCs w:val="24"/>
                <w:lang w:val="en-AU" w:eastAsia="en-AU"/>
              </w:rPr>
              <w:t>424</w:t>
            </w:r>
          </w:p>
        </w:tc>
        <w:tc>
          <w:tcPr>
            <w:tcW w:w="1971" w:type="dxa"/>
            <w:noWrap/>
            <w:hideMark/>
          </w:tcPr>
          <w:p w14:paraId="0A6038E4" w14:textId="77777777" w:rsidR="00D27247" w:rsidRPr="008154D1" w:rsidRDefault="00D27247" w:rsidP="00D2724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4"/>
                <w:szCs w:val="24"/>
                <w:lang w:val="en-AU" w:eastAsia="en-AU"/>
              </w:rPr>
            </w:pPr>
            <w:r w:rsidRPr="008154D1">
              <w:rPr>
                <w:rFonts w:ascii="Calibri" w:eastAsia="Times New Roman" w:hAnsi="Calibri" w:cs="Calibri"/>
                <w:b/>
                <w:bCs/>
                <w:color w:val="000000"/>
                <w:sz w:val="24"/>
                <w:szCs w:val="24"/>
                <w:lang w:val="en-AU" w:eastAsia="en-AU"/>
              </w:rPr>
              <w:t> </w:t>
            </w:r>
          </w:p>
        </w:tc>
      </w:tr>
    </w:tbl>
    <w:p w14:paraId="787DEBA6" w14:textId="2370BF74" w:rsidR="00486D28" w:rsidRDefault="00D27247" w:rsidP="00523099">
      <w:pPr>
        <w:pStyle w:val="Heading3"/>
        <w:spacing w:before="360"/>
        <w:contextualSpacing w:val="0"/>
        <w:rPr>
          <w:color w:val="auto"/>
        </w:rPr>
      </w:pPr>
      <w:r>
        <w:rPr>
          <w:color w:val="auto"/>
        </w:rPr>
        <w:fldChar w:fldCharType="end"/>
      </w:r>
      <w:r w:rsidR="00486D28" w:rsidRPr="00EB2326">
        <w:rPr>
          <w:color w:val="auto"/>
        </w:rPr>
        <w:t>Accreditation</w:t>
      </w:r>
    </w:p>
    <w:p w14:paraId="48D15901" w14:textId="4F1A4A78" w:rsidR="00765537" w:rsidRPr="00765537" w:rsidRDefault="00A944C8" w:rsidP="00765537">
      <w:pPr>
        <w:rPr>
          <w:color w:val="auto"/>
          <w:lang w:val="en-AU"/>
        </w:rPr>
      </w:pPr>
      <w:r>
        <w:rPr>
          <w:color w:val="auto"/>
          <w:lang w:val="en-AU"/>
        </w:rPr>
        <w:t>Fifteen</w:t>
      </w:r>
      <w:r w:rsidR="00765537" w:rsidRPr="00765537">
        <w:rPr>
          <w:color w:val="auto"/>
          <w:lang w:val="en-AU"/>
        </w:rPr>
        <w:t xml:space="preserve"> accreditation reviews were undertaken in 2020-21. DFAT provided four NGOs with Technical Assistance to help prepare them for accreditation – two NGOs were new applicants and two were already accredited NGO’s looking to upgrade from </w:t>
      </w:r>
      <w:r w:rsidR="00711260">
        <w:rPr>
          <w:color w:val="auto"/>
          <w:lang w:val="en-AU"/>
        </w:rPr>
        <w:t>B</w:t>
      </w:r>
      <w:r w:rsidR="00765537" w:rsidRPr="00765537">
        <w:rPr>
          <w:color w:val="auto"/>
          <w:lang w:val="en-AU"/>
        </w:rPr>
        <w:t xml:space="preserve">ase to </w:t>
      </w:r>
      <w:r w:rsidR="00711260">
        <w:rPr>
          <w:color w:val="auto"/>
          <w:lang w:val="en-AU"/>
        </w:rPr>
        <w:t>F</w:t>
      </w:r>
      <w:r w:rsidR="00765537" w:rsidRPr="00765537">
        <w:rPr>
          <w:color w:val="auto"/>
          <w:lang w:val="en-AU"/>
        </w:rPr>
        <w:t xml:space="preserve">ull in 2022. </w:t>
      </w:r>
    </w:p>
    <w:p w14:paraId="22505ECC" w14:textId="30EBAD5F" w:rsidR="00765537" w:rsidRPr="00765537" w:rsidRDefault="00765537" w:rsidP="00765537">
      <w:pPr>
        <w:pStyle w:val="ListParagraph"/>
        <w:numPr>
          <w:ilvl w:val="0"/>
          <w:numId w:val="18"/>
        </w:numPr>
        <w:suppressAutoHyphens w:val="0"/>
        <w:ind w:left="567" w:hanging="425"/>
        <w:rPr>
          <w:color w:val="auto"/>
          <w:lang w:val="en-AU"/>
        </w:rPr>
      </w:pPr>
      <w:r w:rsidRPr="00765537">
        <w:rPr>
          <w:color w:val="auto"/>
          <w:lang w:val="en-AU"/>
        </w:rPr>
        <w:t xml:space="preserve">Nine scheduled re-accreditations: eight </w:t>
      </w:r>
      <w:r w:rsidR="00711260">
        <w:rPr>
          <w:color w:val="auto"/>
          <w:lang w:val="en-AU"/>
        </w:rPr>
        <w:t>F</w:t>
      </w:r>
      <w:r w:rsidRPr="00765537">
        <w:rPr>
          <w:color w:val="auto"/>
          <w:lang w:val="en-AU"/>
        </w:rPr>
        <w:t xml:space="preserve">ull and one </w:t>
      </w:r>
      <w:r w:rsidR="00711260">
        <w:rPr>
          <w:color w:val="auto"/>
          <w:lang w:val="en-AU"/>
        </w:rPr>
        <w:t>B</w:t>
      </w:r>
      <w:r w:rsidRPr="00765537">
        <w:rPr>
          <w:color w:val="auto"/>
          <w:lang w:val="en-AU"/>
        </w:rPr>
        <w:t xml:space="preserve">ase – seven were re-accredited at Full, one was re-accredited at </w:t>
      </w:r>
      <w:r w:rsidR="00711260">
        <w:rPr>
          <w:color w:val="auto"/>
          <w:lang w:val="en-AU"/>
        </w:rPr>
        <w:t>B</w:t>
      </w:r>
      <w:r w:rsidRPr="00765537">
        <w:rPr>
          <w:color w:val="auto"/>
          <w:lang w:val="en-AU"/>
        </w:rPr>
        <w:t xml:space="preserve">ase and one applicant was downgraded to </w:t>
      </w:r>
      <w:r w:rsidR="00711260">
        <w:rPr>
          <w:color w:val="auto"/>
          <w:lang w:val="en-AU"/>
        </w:rPr>
        <w:t>B</w:t>
      </w:r>
      <w:r w:rsidRPr="00765537">
        <w:rPr>
          <w:color w:val="auto"/>
          <w:lang w:val="en-AU"/>
        </w:rPr>
        <w:t xml:space="preserve">ase. </w:t>
      </w:r>
    </w:p>
    <w:p w14:paraId="00516D03" w14:textId="14EB55BA" w:rsidR="00765537" w:rsidRPr="00765537" w:rsidRDefault="00765537" w:rsidP="00765537">
      <w:pPr>
        <w:pStyle w:val="ListParagraph"/>
        <w:numPr>
          <w:ilvl w:val="0"/>
          <w:numId w:val="18"/>
        </w:numPr>
        <w:suppressAutoHyphens w:val="0"/>
        <w:ind w:left="567" w:hanging="425"/>
        <w:rPr>
          <w:color w:val="auto"/>
          <w:lang w:val="en-AU"/>
        </w:rPr>
      </w:pPr>
      <w:r w:rsidRPr="00765537">
        <w:rPr>
          <w:color w:val="auto"/>
          <w:lang w:val="en-AU"/>
        </w:rPr>
        <w:t xml:space="preserve">Five new applicants for accreditation: one applicant successful at </w:t>
      </w:r>
      <w:r w:rsidR="00711260">
        <w:rPr>
          <w:color w:val="auto"/>
          <w:lang w:val="en-AU"/>
        </w:rPr>
        <w:t>B</w:t>
      </w:r>
      <w:r w:rsidRPr="00765537">
        <w:rPr>
          <w:color w:val="auto"/>
          <w:lang w:val="en-AU"/>
        </w:rPr>
        <w:t xml:space="preserve">ase, one applicant withdrew following the Desk Assessment, two failed to pass the Desk Assessment stage and one did not meet the eligibility requirements for </w:t>
      </w:r>
      <w:r w:rsidR="00711260">
        <w:rPr>
          <w:color w:val="auto"/>
          <w:lang w:val="en-AU"/>
        </w:rPr>
        <w:t>B</w:t>
      </w:r>
      <w:r w:rsidRPr="00765537">
        <w:rPr>
          <w:color w:val="auto"/>
          <w:lang w:val="en-AU"/>
        </w:rPr>
        <w:t>ase accreditation.</w:t>
      </w:r>
    </w:p>
    <w:p w14:paraId="0A99CBD1" w14:textId="396686CE" w:rsidR="00765537" w:rsidRPr="00725F4E" w:rsidRDefault="00765537" w:rsidP="00465A8C">
      <w:pPr>
        <w:pStyle w:val="ListParagraph"/>
        <w:numPr>
          <w:ilvl w:val="0"/>
          <w:numId w:val="18"/>
        </w:numPr>
        <w:suppressAutoHyphens w:val="0"/>
        <w:ind w:left="567" w:hanging="425"/>
      </w:pPr>
      <w:r w:rsidRPr="00A944C8">
        <w:rPr>
          <w:color w:val="auto"/>
          <w:lang w:val="en-AU"/>
        </w:rPr>
        <w:t xml:space="preserve">One application for upgrade in accreditation status to </w:t>
      </w:r>
      <w:r w:rsidR="00711260">
        <w:rPr>
          <w:color w:val="auto"/>
          <w:lang w:val="en-AU"/>
        </w:rPr>
        <w:t>F</w:t>
      </w:r>
      <w:r w:rsidRPr="00A944C8">
        <w:rPr>
          <w:color w:val="auto"/>
          <w:lang w:val="en-AU"/>
        </w:rPr>
        <w:t xml:space="preserve">ull: applicant was successfully accredited at </w:t>
      </w:r>
      <w:r w:rsidR="00711260">
        <w:rPr>
          <w:color w:val="auto"/>
          <w:lang w:val="en-AU"/>
        </w:rPr>
        <w:t>F</w:t>
      </w:r>
      <w:r w:rsidRPr="00A944C8">
        <w:rPr>
          <w:color w:val="auto"/>
          <w:lang w:val="en-AU"/>
        </w:rPr>
        <w:t>ull.</w:t>
      </w:r>
      <w:bookmarkEnd w:id="1"/>
    </w:p>
    <w:p w14:paraId="555F7F39" w14:textId="77777777" w:rsidR="007F087B" w:rsidRDefault="007F087B">
      <w:pPr>
        <w:suppressAutoHyphens w:val="0"/>
        <w:spacing w:before="0" w:after="120" w:line="440" w:lineRule="atLeast"/>
        <w:rPr>
          <w:rFonts w:asciiTheme="majorHAnsi" w:eastAsiaTheme="majorEastAsia" w:hAnsiTheme="majorHAnsi" w:cstheme="majorBidi"/>
          <w:bCs/>
          <w:color w:val="auto"/>
          <w:sz w:val="30"/>
          <w:szCs w:val="26"/>
        </w:rPr>
      </w:pPr>
      <w:r>
        <w:rPr>
          <w:color w:val="auto"/>
        </w:rPr>
        <w:br w:type="page"/>
      </w:r>
    </w:p>
    <w:p w14:paraId="2E79FCEA" w14:textId="1D3E6CD5" w:rsidR="00725F4E" w:rsidRDefault="004E3671" w:rsidP="00725F4E">
      <w:pPr>
        <w:pStyle w:val="Heading3"/>
        <w:spacing w:before="240"/>
        <w:rPr>
          <w:color w:val="auto"/>
        </w:rPr>
      </w:pPr>
      <w:r>
        <w:rPr>
          <w:color w:val="auto"/>
        </w:rPr>
        <w:lastRenderedPageBreak/>
        <w:t>E</w:t>
      </w:r>
      <w:r w:rsidR="00725F4E" w:rsidRPr="00725F4E">
        <w:rPr>
          <w:color w:val="auto"/>
        </w:rPr>
        <w:t>stimated climate finance data 2020-21</w:t>
      </w:r>
    </w:p>
    <w:p w14:paraId="10720DEA" w14:textId="6DB26B97" w:rsidR="005B1C5D" w:rsidRDefault="005B1C5D" w:rsidP="00610E35">
      <w:pPr>
        <w:rPr>
          <w:color w:val="auto"/>
          <w:lang w:val="en-AU"/>
        </w:rPr>
      </w:pPr>
      <w:r>
        <w:rPr>
          <w:color w:val="auto"/>
          <w:lang w:val="en-AU"/>
        </w:rPr>
        <w:t xml:space="preserve">The ANCP contributes to Australia’s climate finance commitments by mainstreaming climate change throughout the program. </w:t>
      </w:r>
      <w:r w:rsidR="00610E35">
        <w:rPr>
          <w:color w:val="auto"/>
          <w:lang w:val="en-AU"/>
        </w:rPr>
        <w:t xml:space="preserve">Reporting on </w:t>
      </w:r>
      <w:r>
        <w:rPr>
          <w:color w:val="auto"/>
          <w:lang w:val="en-AU"/>
        </w:rPr>
        <w:t xml:space="preserve">ANCP </w:t>
      </w:r>
      <w:r w:rsidR="00610E35">
        <w:rPr>
          <w:color w:val="auto"/>
          <w:lang w:val="en-AU"/>
        </w:rPr>
        <w:t xml:space="preserve">climate finance expenditure in 2020-21 was voluntary. It was not included in the 2020-21 Annual Development Plan process and therefore NGOs were requested to provide a best-estimate figure as part of their 2020-21 annual progress reporting. </w:t>
      </w:r>
      <w:r>
        <w:rPr>
          <w:color w:val="auto"/>
          <w:lang w:val="en-AU"/>
        </w:rPr>
        <w:t xml:space="preserve">An estimated $5.34 million of ANCP funding supported climate activities in 2020-21 (an estimated $712,275 in the Pacific). </w:t>
      </w:r>
    </w:p>
    <w:p w14:paraId="0639F82A" w14:textId="453B28EB" w:rsidR="001F4ACC" w:rsidRDefault="005B1C5D" w:rsidP="00610E35">
      <w:pPr>
        <w:rPr>
          <w:color w:val="auto"/>
          <w:lang w:val="en-AU"/>
        </w:rPr>
      </w:pPr>
      <w:r>
        <w:rPr>
          <w:color w:val="auto"/>
          <w:lang w:val="en-AU"/>
        </w:rPr>
        <w:t xml:space="preserve">Just under half of ANGOs </w:t>
      </w:r>
      <w:r w:rsidR="00610E35">
        <w:rPr>
          <w:color w:val="auto"/>
          <w:lang w:val="en-AU"/>
        </w:rPr>
        <w:t>reported expenditure on either climate adaptation activities</w:t>
      </w:r>
      <w:r>
        <w:rPr>
          <w:color w:val="auto"/>
          <w:lang w:val="en-AU"/>
        </w:rPr>
        <w:t xml:space="preserve"> (estimated $3.28 million)</w:t>
      </w:r>
      <w:r w:rsidR="00610E35">
        <w:rPr>
          <w:color w:val="auto"/>
          <w:lang w:val="en-AU"/>
        </w:rPr>
        <w:t xml:space="preserve">, climate mitigation activities </w:t>
      </w:r>
      <w:r>
        <w:rPr>
          <w:color w:val="auto"/>
          <w:lang w:val="en-AU"/>
        </w:rPr>
        <w:t xml:space="preserve">(estimated $198,000) </w:t>
      </w:r>
      <w:r w:rsidR="00610E35">
        <w:rPr>
          <w:color w:val="auto"/>
          <w:lang w:val="en-AU"/>
        </w:rPr>
        <w:t xml:space="preserve">or </w:t>
      </w:r>
      <w:r w:rsidR="001F4ACC">
        <w:rPr>
          <w:color w:val="auto"/>
          <w:lang w:val="en-AU"/>
        </w:rPr>
        <w:t>both where the split could not be determined</w:t>
      </w:r>
      <w:r>
        <w:rPr>
          <w:color w:val="auto"/>
          <w:lang w:val="en-AU"/>
        </w:rPr>
        <w:t xml:space="preserve"> (estimated $1.87 million)</w:t>
      </w:r>
      <w:r w:rsidR="001F4ACC">
        <w:rPr>
          <w:color w:val="auto"/>
          <w:lang w:val="en-AU"/>
        </w:rPr>
        <w:t xml:space="preserve">. </w:t>
      </w:r>
      <w:r>
        <w:rPr>
          <w:color w:val="auto"/>
          <w:lang w:val="en-AU"/>
        </w:rPr>
        <w:t xml:space="preserve">Climate change was most often a secondary objective at the project level, with common </w:t>
      </w:r>
      <w:r w:rsidR="00F948EC">
        <w:rPr>
          <w:color w:val="auto"/>
          <w:lang w:val="en-AU"/>
        </w:rPr>
        <w:t xml:space="preserve">activities supporting sectors such as WASH, DRR and food security. </w:t>
      </w:r>
      <w:r>
        <w:rPr>
          <w:color w:val="auto"/>
          <w:lang w:val="en-AU"/>
        </w:rPr>
        <w:t xml:space="preserve"> </w:t>
      </w:r>
    </w:p>
    <w:p w14:paraId="7A67B342" w14:textId="6DF03E32" w:rsidR="007539A8" w:rsidRDefault="00F948EC" w:rsidP="00F948EC">
      <w:pPr>
        <w:rPr>
          <w:color w:val="auto"/>
          <w:lang w:val="en-AU"/>
        </w:rPr>
      </w:pPr>
      <w:r w:rsidRPr="00F948EC">
        <w:rPr>
          <w:color w:val="auto"/>
          <w:lang w:val="en-AU"/>
        </w:rPr>
        <w:t>ANGOs are playing an increasingly important role in Australia’s climate change action with our developing partners.</w:t>
      </w:r>
      <w:r>
        <w:rPr>
          <w:color w:val="auto"/>
          <w:lang w:val="en-AU"/>
        </w:rPr>
        <w:t xml:space="preserve"> </w:t>
      </w:r>
      <w:r w:rsidRPr="00F948EC">
        <w:rPr>
          <w:color w:val="auto"/>
          <w:lang w:val="en-AU"/>
        </w:rPr>
        <w:t>This is reflected in the ANCP contribution to climate finance over time.</w:t>
      </w:r>
    </w:p>
    <w:p w14:paraId="279692C7" w14:textId="77777777" w:rsidR="00FB51C5" w:rsidRDefault="00FB51C5" w:rsidP="00F948EC">
      <w:pPr>
        <w:rPr>
          <w:color w:val="auto"/>
          <w:lang w:val="en-AU"/>
        </w:rPr>
      </w:pPr>
    </w:p>
    <w:p w14:paraId="2F2F6599" w14:textId="7E6C62CA" w:rsidR="001F4ACC" w:rsidRDefault="001F4ACC" w:rsidP="00C75C7C">
      <w:pPr>
        <w:spacing w:before="0"/>
        <w:rPr>
          <w:color w:val="auto"/>
          <w:lang w:val="en-AU"/>
        </w:rPr>
      </w:pPr>
      <w:r>
        <w:rPr>
          <w:noProof/>
        </w:rPr>
        <w:drawing>
          <wp:inline distT="0" distB="0" distL="0" distR="0" wp14:anchorId="1F16EAFA" wp14:editId="0BF6CDBE">
            <wp:extent cx="6120130" cy="3939540"/>
            <wp:effectExtent l="0" t="0" r="0" b="3810"/>
            <wp:docPr id="7" name="Picture 6" descr="This graph shows the estimated ANCP contribution to climate finance over the last 5 years. The trend is an increase in contribution over time. ">
              <a:extLst xmlns:a="http://schemas.openxmlformats.org/drawingml/2006/main">
                <a:ext uri="{FF2B5EF4-FFF2-40B4-BE49-F238E27FC236}">
                  <a16:creationId xmlns:a16="http://schemas.microsoft.com/office/drawing/2014/main" id="{A5731AC4-053C-4E42-B7BD-08281E787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his graph shows the estimated ANCP contribution to climate finance over the last 5 years. The trend is an increase in contribution over time. ">
                      <a:extLst>
                        <a:ext uri="{FF2B5EF4-FFF2-40B4-BE49-F238E27FC236}">
                          <a16:creationId xmlns:a16="http://schemas.microsoft.com/office/drawing/2014/main" id="{A5731AC4-053C-4E42-B7BD-08281E787638}"/>
                        </a:ext>
                      </a:extLst>
                    </pic:cNvPr>
                    <pic:cNvPicPr>
                      <a:picLocks noChangeAspect="1"/>
                    </pic:cNvPicPr>
                  </pic:nvPicPr>
                  <pic:blipFill>
                    <a:blip r:embed="rId22"/>
                    <a:stretch>
                      <a:fillRect/>
                    </a:stretch>
                  </pic:blipFill>
                  <pic:spPr>
                    <a:xfrm>
                      <a:off x="0" y="0"/>
                      <a:ext cx="6120130" cy="3939540"/>
                    </a:xfrm>
                    <a:prstGeom prst="rect">
                      <a:avLst/>
                    </a:prstGeom>
                  </pic:spPr>
                </pic:pic>
              </a:graphicData>
            </a:graphic>
          </wp:inline>
        </w:drawing>
      </w:r>
    </w:p>
    <w:p w14:paraId="26AACFBE" w14:textId="77777777" w:rsidR="001F4ACC" w:rsidRDefault="001F4ACC" w:rsidP="00610E35">
      <w:pPr>
        <w:rPr>
          <w:color w:val="auto"/>
          <w:lang w:val="en-AU"/>
        </w:rPr>
      </w:pPr>
    </w:p>
    <w:p w14:paraId="66202E10" w14:textId="77777777" w:rsidR="00610E35" w:rsidRDefault="00610E35" w:rsidP="00610E35">
      <w:pPr>
        <w:rPr>
          <w:color w:val="auto"/>
          <w:lang w:val="en-AU"/>
        </w:rPr>
      </w:pPr>
    </w:p>
    <w:p w14:paraId="7B06A281" w14:textId="77777777" w:rsidR="00610E35" w:rsidRDefault="00610E35" w:rsidP="00610E35">
      <w:pPr>
        <w:rPr>
          <w:color w:val="auto"/>
          <w:lang w:val="en-AU"/>
        </w:rPr>
      </w:pPr>
    </w:p>
    <w:sectPr w:rsidR="00610E35" w:rsidSect="00585AB9">
      <w:headerReference w:type="default" r:id="rId23"/>
      <w:footerReference w:type="default" r:id="rId24"/>
      <w:headerReference w:type="first" r:id="rId25"/>
      <w:footerReference w:type="first" r:id="rId26"/>
      <w:pgSz w:w="11906" w:h="16838" w:code="9"/>
      <w:pgMar w:top="1701" w:right="1134" w:bottom="1276" w:left="1134" w:header="425" w:footer="493"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D4E59" w14:textId="77777777" w:rsidR="00B66843" w:rsidRDefault="00B66843" w:rsidP="00D37B04">
      <w:r>
        <w:separator/>
      </w:r>
    </w:p>
  </w:endnote>
  <w:endnote w:type="continuationSeparator" w:id="0">
    <w:p w14:paraId="3E3C8467" w14:textId="77777777" w:rsidR="00B66843" w:rsidRDefault="00B66843" w:rsidP="00D37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7184928"/>
      <w:docPartObj>
        <w:docPartGallery w:val="Page Numbers (Bottom of Page)"/>
        <w:docPartUnique/>
      </w:docPartObj>
    </w:sdtPr>
    <w:sdtEndPr>
      <w:rPr>
        <w:noProof/>
      </w:rPr>
    </w:sdtEndPr>
    <w:sdtContent>
      <w:p w14:paraId="597AF30D" w14:textId="2B633168" w:rsidR="008F620B" w:rsidRDefault="008F620B">
        <w:pPr>
          <w:pStyle w:val="Footer"/>
          <w:jc w:val="right"/>
        </w:pPr>
        <w:r>
          <w:fldChar w:fldCharType="begin"/>
        </w:r>
        <w:r>
          <w:instrText xml:space="preserve"> PAGE   \* MERGEFORMAT </w:instrText>
        </w:r>
        <w:r>
          <w:fldChar w:fldCharType="separate"/>
        </w:r>
        <w:r w:rsidR="00D27B4A">
          <w:rPr>
            <w:noProof/>
          </w:rPr>
          <w:t>6</w:t>
        </w:r>
        <w:r>
          <w:rPr>
            <w:noProof/>
          </w:rPr>
          <w:fldChar w:fldCharType="end"/>
        </w:r>
      </w:p>
    </w:sdtContent>
  </w:sdt>
  <w:p w14:paraId="1E6BF486" w14:textId="1482FFFF" w:rsidR="008F620B" w:rsidRDefault="008F620B" w:rsidP="008F620B">
    <w:pPr>
      <w:pStyle w:val="Footer"/>
      <w:tabs>
        <w:tab w:val="left" w:pos="83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4142270"/>
      <w:docPartObj>
        <w:docPartGallery w:val="Page Numbers (Bottom of Page)"/>
        <w:docPartUnique/>
      </w:docPartObj>
    </w:sdtPr>
    <w:sdtEndPr>
      <w:rPr>
        <w:noProof/>
      </w:rPr>
    </w:sdtEndPr>
    <w:sdtContent>
      <w:p w14:paraId="1FBFF1BA" w14:textId="082B16F3" w:rsidR="008F620B" w:rsidRDefault="008F620B">
        <w:pPr>
          <w:pStyle w:val="Footer"/>
          <w:jc w:val="right"/>
        </w:pPr>
        <w:r>
          <w:fldChar w:fldCharType="begin"/>
        </w:r>
        <w:r>
          <w:instrText xml:space="preserve"> PAGE   \* MERGEFORMAT </w:instrText>
        </w:r>
        <w:r>
          <w:fldChar w:fldCharType="separate"/>
        </w:r>
        <w:r w:rsidR="00B82A22">
          <w:rPr>
            <w:noProof/>
          </w:rPr>
          <w:t>1</w:t>
        </w:r>
        <w:r>
          <w:rPr>
            <w:noProof/>
          </w:rPr>
          <w:fldChar w:fldCharType="end"/>
        </w:r>
      </w:p>
    </w:sdtContent>
  </w:sdt>
  <w:p w14:paraId="60978CAD" w14:textId="4797A5C9" w:rsidR="00B637DD" w:rsidRPr="00EC3C2D" w:rsidRDefault="00B637DD" w:rsidP="00EC3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CCE9BF" w14:textId="77777777" w:rsidR="00B66843" w:rsidRPr="008C5A0E" w:rsidRDefault="00B66843" w:rsidP="00D37B04">
      <w:pPr>
        <w:pStyle w:val="Footer"/>
      </w:pPr>
    </w:p>
  </w:footnote>
  <w:footnote w:type="continuationSeparator" w:id="0">
    <w:p w14:paraId="589272F9" w14:textId="77777777" w:rsidR="00B66843" w:rsidRDefault="00B66843" w:rsidP="00D37B04">
      <w:r>
        <w:continuationSeparator/>
      </w:r>
    </w:p>
  </w:footnote>
  <w:footnote w:id="1">
    <w:p w14:paraId="09440374" w14:textId="77777777" w:rsidR="006A2D61" w:rsidRPr="00A27A85" w:rsidRDefault="006A2D61" w:rsidP="006A2D61">
      <w:pPr>
        <w:pStyle w:val="FootnoteText"/>
        <w:rPr>
          <w:lang w:val="en-AU"/>
        </w:rPr>
      </w:pPr>
      <w:r>
        <w:rPr>
          <w:rStyle w:val="FootnoteReference"/>
        </w:rPr>
        <w:footnoteRef/>
      </w:r>
      <w:r>
        <w:t xml:space="preserve"> The data provided in the Annual Snapshot is drawn from annual progress reporting by ANCP NGOs. </w:t>
      </w:r>
      <w:r>
        <w:rPr>
          <w:lang w:val="en-AU"/>
        </w:rPr>
        <w:t xml:space="preserve">The ANCP captures both quantitative and qualitative data in its annual progress reporting. Quantitative data is reported under 42 program indicators, six of which are Tier 2 indicators under </w:t>
      </w:r>
      <w:r w:rsidRPr="00A27A85">
        <w:rPr>
          <w:i/>
          <w:iCs/>
          <w:lang w:val="en-AU"/>
        </w:rPr>
        <w:t>Partnerships for Recovery</w:t>
      </w:r>
      <w:r>
        <w:rPr>
          <w:lang w:val="en-AU"/>
        </w:rPr>
        <w:t xml:space="preserve">. An additional six Tier 2 indicators were available to voluntary report against in 2020-21 under ANCP arrangements.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DED28" w14:textId="77777777" w:rsidR="00B637DD" w:rsidRPr="00333501" w:rsidRDefault="00B637DD" w:rsidP="008F56A8">
    <w:pPr>
      <w:pStyle w:val="Header"/>
    </w:pPr>
    <w:r>
      <w:rPr>
        <w:noProof/>
        <w:lang w:val="en-AU" w:eastAsia="en-AU"/>
      </w:rPr>
      <w:drawing>
        <wp:anchor distT="0" distB="0" distL="114300" distR="114300" simplePos="0" relativeHeight="251672576" behindDoc="1" locked="1" layoutInCell="1" allowOverlap="1" wp14:anchorId="20ABCBE5" wp14:editId="21CE9E23">
          <wp:simplePos x="0" y="0"/>
          <wp:positionH relativeFrom="page">
            <wp:posOffset>52705</wp:posOffset>
          </wp:positionH>
          <wp:positionV relativeFrom="page">
            <wp:posOffset>158115</wp:posOffset>
          </wp:positionV>
          <wp:extent cx="7447280" cy="10480675"/>
          <wp:effectExtent l="0" t="0" r="127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447280" cy="10480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FDFA2" w14:textId="77777777" w:rsidR="00B637DD" w:rsidRPr="003D352D" w:rsidRDefault="00B637DD" w:rsidP="003D352D">
    <w:pPr>
      <w:pStyle w:val="Header"/>
    </w:pPr>
    <w:r>
      <w:rPr>
        <w:noProof/>
        <w:lang w:val="en-AU" w:eastAsia="en-AU"/>
      </w:rPr>
      <w:drawing>
        <wp:anchor distT="0" distB="0" distL="114300" distR="114300" simplePos="0" relativeHeight="251671552" behindDoc="1" locked="1" layoutInCell="1" allowOverlap="1" wp14:anchorId="68129797" wp14:editId="6A24D364">
          <wp:simplePos x="0" y="0"/>
          <wp:positionH relativeFrom="page">
            <wp:posOffset>46990</wp:posOffset>
          </wp:positionH>
          <wp:positionV relativeFrom="page">
            <wp:posOffset>5080</wp:posOffset>
          </wp:positionV>
          <wp:extent cx="7512050" cy="10639425"/>
          <wp:effectExtent l="0" t="0" r="0" b="952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12050" cy="106394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mso-wrap-style:square" o:bullet="t">
        <v:imagedata r:id="rId1" o:title=""/>
      </v:shape>
    </w:pict>
  </w:numPicBullet>
  <w:abstractNum w:abstractNumId="0" w15:restartNumberingAfterBreak="0">
    <w:nsid w:val="06C866AA"/>
    <w:multiLevelType w:val="hybridMultilevel"/>
    <w:tmpl w:val="CE682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3" w15:restartNumberingAfterBreak="0">
    <w:nsid w:val="24A926FC"/>
    <w:multiLevelType w:val="hybridMultilevel"/>
    <w:tmpl w:val="7A4AE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4B565667"/>
    <w:multiLevelType w:val="multilevel"/>
    <w:tmpl w:val="5D9A3B7C"/>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6" w15:restartNumberingAfterBreak="0">
    <w:nsid w:val="52553D9F"/>
    <w:multiLevelType w:val="multilevel"/>
    <w:tmpl w:val="A6FA45D0"/>
    <w:numStyleLink w:val="BulletsList"/>
  </w:abstractNum>
  <w:abstractNum w:abstractNumId="7" w15:restartNumberingAfterBreak="0">
    <w:nsid w:val="576B710B"/>
    <w:multiLevelType w:val="hybridMultilevel"/>
    <w:tmpl w:val="18B2B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9" w15:restartNumberingAfterBreak="0">
    <w:nsid w:val="5D4B44C2"/>
    <w:multiLevelType w:val="hybridMultilevel"/>
    <w:tmpl w:val="234C6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1" w15:restartNumberingAfterBreak="0">
    <w:nsid w:val="73107305"/>
    <w:multiLevelType w:val="multilevel"/>
    <w:tmpl w:val="A6FA45D0"/>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7F801BA7"/>
    <w:multiLevelType w:val="hybridMultilevel"/>
    <w:tmpl w:val="03CA9576"/>
    <w:lvl w:ilvl="0" w:tplc="59EE5B86">
      <w:start w:val="1"/>
      <w:numFmt w:val="bullet"/>
      <w:lvlText w:val=""/>
      <w:lvlPicBulletId w:val="0"/>
      <w:lvlJc w:val="left"/>
      <w:pPr>
        <w:tabs>
          <w:tab w:val="num" w:pos="720"/>
        </w:tabs>
        <w:ind w:left="720" w:hanging="360"/>
      </w:pPr>
      <w:rPr>
        <w:rFonts w:ascii="Symbol" w:hAnsi="Symbol" w:hint="default"/>
      </w:rPr>
    </w:lvl>
    <w:lvl w:ilvl="1" w:tplc="AC688C60" w:tentative="1">
      <w:start w:val="1"/>
      <w:numFmt w:val="bullet"/>
      <w:lvlText w:val=""/>
      <w:lvlJc w:val="left"/>
      <w:pPr>
        <w:tabs>
          <w:tab w:val="num" w:pos="1440"/>
        </w:tabs>
        <w:ind w:left="1440" w:hanging="360"/>
      </w:pPr>
      <w:rPr>
        <w:rFonts w:ascii="Symbol" w:hAnsi="Symbol" w:hint="default"/>
      </w:rPr>
    </w:lvl>
    <w:lvl w:ilvl="2" w:tplc="DA488180" w:tentative="1">
      <w:start w:val="1"/>
      <w:numFmt w:val="bullet"/>
      <w:lvlText w:val=""/>
      <w:lvlJc w:val="left"/>
      <w:pPr>
        <w:tabs>
          <w:tab w:val="num" w:pos="2160"/>
        </w:tabs>
        <w:ind w:left="2160" w:hanging="360"/>
      </w:pPr>
      <w:rPr>
        <w:rFonts w:ascii="Symbol" w:hAnsi="Symbol" w:hint="default"/>
      </w:rPr>
    </w:lvl>
    <w:lvl w:ilvl="3" w:tplc="8C507B7A" w:tentative="1">
      <w:start w:val="1"/>
      <w:numFmt w:val="bullet"/>
      <w:lvlText w:val=""/>
      <w:lvlJc w:val="left"/>
      <w:pPr>
        <w:tabs>
          <w:tab w:val="num" w:pos="2880"/>
        </w:tabs>
        <w:ind w:left="2880" w:hanging="360"/>
      </w:pPr>
      <w:rPr>
        <w:rFonts w:ascii="Symbol" w:hAnsi="Symbol" w:hint="default"/>
      </w:rPr>
    </w:lvl>
    <w:lvl w:ilvl="4" w:tplc="8C04DE3E" w:tentative="1">
      <w:start w:val="1"/>
      <w:numFmt w:val="bullet"/>
      <w:lvlText w:val=""/>
      <w:lvlJc w:val="left"/>
      <w:pPr>
        <w:tabs>
          <w:tab w:val="num" w:pos="3600"/>
        </w:tabs>
        <w:ind w:left="3600" w:hanging="360"/>
      </w:pPr>
      <w:rPr>
        <w:rFonts w:ascii="Symbol" w:hAnsi="Symbol" w:hint="default"/>
      </w:rPr>
    </w:lvl>
    <w:lvl w:ilvl="5" w:tplc="A300A172" w:tentative="1">
      <w:start w:val="1"/>
      <w:numFmt w:val="bullet"/>
      <w:lvlText w:val=""/>
      <w:lvlJc w:val="left"/>
      <w:pPr>
        <w:tabs>
          <w:tab w:val="num" w:pos="4320"/>
        </w:tabs>
        <w:ind w:left="4320" w:hanging="360"/>
      </w:pPr>
      <w:rPr>
        <w:rFonts w:ascii="Symbol" w:hAnsi="Symbol" w:hint="default"/>
      </w:rPr>
    </w:lvl>
    <w:lvl w:ilvl="6" w:tplc="08F8814A" w:tentative="1">
      <w:start w:val="1"/>
      <w:numFmt w:val="bullet"/>
      <w:lvlText w:val=""/>
      <w:lvlJc w:val="left"/>
      <w:pPr>
        <w:tabs>
          <w:tab w:val="num" w:pos="5040"/>
        </w:tabs>
        <w:ind w:left="5040" w:hanging="360"/>
      </w:pPr>
      <w:rPr>
        <w:rFonts w:ascii="Symbol" w:hAnsi="Symbol" w:hint="default"/>
      </w:rPr>
    </w:lvl>
    <w:lvl w:ilvl="7" w:tplc="894496DE" w:tentative="1">
      <w:start w:val="1"/>
      <w:numFmt w:val="bullet"/>
      <w:lvlText w:val=""/>
      <w:lvlJc w:val="left"/>
      <w:pPr>
        <w:tabs>
          <w:tab w:val="num" w:pos="5760"/>
        </w:tabs>
        <w:ind w:left="5760" w:hanging="360"/>
      </w:pPr>
      <w:rPr>
        <w:rFonts w:ascii="Symbol" w:hAnsi="Symbol" w:hint="default"/>
      </w:rPr>
    </w:lvl>
    <w:lvl w:ilvl="8" w:tplc="4C68B014" w:tentative="1">
      <w:start w:val="1"/>
      <w:numFmt w:val="bullet"/>
      <w:lvlText w:val=""/>
      <w:lvlJc w:val="left"/>
      <w:pPr>
        <w:tabs>
          <w:tab w:val="num" w:pos="6480"/>
        </w:tabs>
        <w:ind w:left="6480" w:hanging="360"/>
      </w:pPr>
      <w:rPr>
        <w:rFonts w:ascii="Symbol" w:hAnsi="Symbol" w:hint="default"/>
      </w:rPr>
    </w:lvl>
  </w:abstractNum>
  <w:num w:numId="1">
    <w:abstractNumId w:val="11"/>
  </w:num>
  <w:num w:numId="2">
    <w:abstractNumId w:val="1"/>
  </w:num>
  <w:num w:numId="3">
    <w:abstractNumId w:val="4"/>
  </w:num>
  <w:num w:numId="4">
    <w:abstractNumId w:val="8"/>
  </w:num>
  <w:num w:numId="5">
    <w:abstractNumId w:val="10"/>
  </w:num>
  <w:num w:numId="6">
    <w:abstractNumId w:val="4"/>
  </w:num>
  <w:num w:numId="7">
    <w:abstractNumId w:val="1"/>
  </w:num>
  <w:num w:numId="8">
    <w:abstractNumId w:val="2"/>
  </w:num>
  <w:num w:numId="9">
    <w:abstractNumId w:val="12"/>
  </w:num>
  <w:num w:numId="10">
    <w:abstractNumId w:val="6"/>
  </w:num>
  <w:num w:numId="11">
    <w:abstractNumId w:val="9"/>
  </w:num>
  <w:num w:numId="12">
    <w:abstractNumId w:val="0"/>
  </w:num>
  <w:num w:numId="13">
    <w:abstractNumId w:val="3"/>
  </w:num>
  <w:num w:numId="14">
    <w:abstractNumId w:val="7"/>
  </w:num>
  <w:num w:numId="15">
    <w:abstractNumId w:val="13"/>
  </w:num>
  <w:num w:numId="16">
    <w:abstractNumId w:val="5"/>
  </w:num>
  <w:num w:numId="17">
    <w:abstractNumId w:val="6"/>
  </w:num>
  <w:num w:numId="18">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96C"/>
    <w:rsid w:val="00001DA8"/>
    <w:rsid w:val="000020C1"/>
    <w:rsid w:val="00002536"/>
    <w:rsid w:val="000028CA"/>
    <w:rsid w:val="00005037"/>
    <w:rsid w:val="00015783"/>
    <w:rsid w:val="0002080A"/>
    <w:rsid w:val="0002782F"/>
    <w:rsid w:val="0003405F"/>
    <w:rsid w:val="00035BBF"/>
    <w:rsid w:val="00040DF1"/>
    <w:rsid w:val="00044388"/>
    <w:rsid w:val="0005030C"/>
    <w:rsid w:val="00050806"/>
    <w:rsid w:val="000509F1"/>
    <w:rsid w:val="00053C87"/>
    <w:rsid w:val="000546D9"/>
    <w:rsid w:val="00054AAA"/>
    <w:rsid w:val="00054E4D"/>
    <w:rsid w:val="00060073"/>
    <w:rsid w:val="000616C6"/>
    <w:rsid w:val="000627AB"/>
    <w:rsid w:val="00064E96"/>
    <w:rsid w:val="00066BFE"/>
    <w:rsid w:val="00071788"/>
    <w:rsid w:val="0007333F"/>
    <w:rsid w:val="00074CE2"/>
    <w:rsid w:val="00076277"/>
    <w:rsid w:val="0007752C"/>
    <w:rsid w:val="00083F49"/>
    <w:rsid w:val="00084E2D"/>
    <w:rsid w:val="000854FD"/>
    <w:rsid w:val="0008696B"/>
    <w:rsid w:val="000A27DF"/>
    <w:rsid w:val="000A3256"/>
    <w:rsid w:val="000A4CDD"/>
    <w:rsid w:val="000A63EE"/>
    <w:rsid w:val="000B1D94"/>
    <w:rsid w:val="000B37F5"/>
    <w:rsid w:val="000B67D3"/>
    <w:rsid w:val="000C1E98"/>
    <w:rsid w:val="000C5205"/>
    <w:rsid w:val="000D0D1A"/>
    <w:rsid w:val="000D31C8"/>
    <w:rsid w:val="000D5375"/>
    <w:rsid w:val="000D66D6"/>
    <w:rsid w:val="000D6E0F"/>
    <w:rsid w:val="000E4710"/>
    <w:rsid w:val="000F1140"/>
    <w:rsid w:val="00105F81"/>
    <w:rsid w:val="00110C57"/>
    <w:rsid w:val="00110C81"/>
    <w:rsid w:val="00112A44"/>
    <w:rsid w:val="00113288"/>
    <w:rsid w:val="00116CF5"/>
    <w:rsid w:val="001214BE"/>
    <w:rsid w:val="00126D0D"/>
    <w:rsid w:val="0013101C"/>
    <w:rsid w:val="001461D6"/>
    <w:rsid w:val="00147892"/>
    <w:rsid w:val="00152838"/>
    <w:rsid w:val="001529C6"/>
    <w:rsid w:val="00153625"/>
    <w:rsid w:val="00153910"/>
    <w:rsid w:val="001541EA"/>
    <w:rsid w:val="001616D0"/>
    <w:rsid w:val="001727A9"/>
    <w:rsid w:val="001734CE"/>
    <w:rsid w:val="00180F4D"/>
    <w:rsid w:val="0018762D"/>
    <w:rsid w:val="001907AA"/>
    <w:rsid w:val="001921B2"/>
    <w:rsid w:val="001943A4"/>
    <w:rsid w:val="001962F2"/>
    <w:rsid w:val="00196FFE"/>
    <w:rsid w:val="001A1298"/>
    <w:rsid w:val="001A4DF0"/>
    <w:rsid w:val="001A7ED5"/>
    <w:rsid w:val="001B5042"/>
    <w:rsid w:val="001C50B3"/>
    <w:rsid w:val="001D663E"/>
    <w:rsid w:val="001E1DC0"/>
    <w:rsid w:val="001E2EE8"/>
    <w:rsid w:val="001E3BA5"/>
    <w:rsid w:val="001F2160"/>
    <w:rsid w:val="001F4AAC"/>
    <w:rsid w:val="001F4ACC"/>
    <w:rsid w:val="00203277"/>
    <w:rsid w:val="00205865"/>
    <w:rsid w:val="00205B2E"/>
    <w:rsid w:val="002068B7"/>
    <w:rsid w:val="00207EA4"/>
    <w:rsid w:val="00213A46"/>
    <w:rsid w:val="00217BC3"/>
    <w:rsid w:val="00223263"/>
    <w:rsid w:val="002252C2"/>
    <w:rsid w:val="00225DD3"/>
    <w:rsid w:val="0022631C"/>
    <w:rsid w:val="00230777"/>
    <w:rsid w:val="0023354D"/>
    <w:rsid w:val="00235E0C"/>
    <w:rsid w:val="00235EAB"/>
    <w:rsid w:val="00241C1F"/>
    <w:rsid w:val="00246F86"/>
    <w:rsid w:val="0025047C"/>
    <w:rsid w:val="00252C04"/>
    <w:rsid w:val="002561D1"/>
    <w:rsid w:val="00260B93"/>
    <w:rsid w:val="0026204B"/>
    <w:rsid w:val="002627DA"/>
    <w:rsid w:val="002646C3"/>
    <w:rsid w:val="00265DDB"/>
    <w:rsid w:val="00276A54"/>
    <w:rsid w:val="0028602A"/>
    <w:rsid w:val="00286A34"/>
    <w:rsid w:val="00286E7E"/>
    <w:rsid w:val="0029333B"/>
    <w:rsid w:val="002A6E9E"/>
    <w:rsid w:val="002A7F56"/>
    <w:rsid w:val="002B0E54"/>
    <w:rsid w:val="002B5E10"/>
    <w:rsid w:val="002C793D"/>
    <w:rsid w:val="002D5B25"/>
    <w:rsid w:val="002E2683"/>
    <w:rsid w:val="002E705F"/>
    <w:rsid w:val="002E7FAF"/>
    <w:rsid w:val="002F07AE"/>
    <w:rsid w:val="002F0A4F"/>
    <w:rsid w:val="002F4F2B"/>
    <w:rsid w:val="002F6E96"/>
    <w:rsid w:val="003002C0"/>
    <w:rsid w:val="00301144"/>
    <w:rsid w:val="0030220F"/>
    <w:rsid w:val="003031C6"/>
    <w:rsid w:val="00304984"/>
    <w:rsid w:val="00306769"/>
    <w:rsid w:val="00310B56"/>
    <w:rsid w:val="00312BF8"/>
    <w:rsid w:val="003148B7"/>
    <w:rsid w:val="003158C3"/>
    <w:rsid w:val="00326576"/>
    <w:rsid w:val="003267E5"/>
    <w:rsid w:val="003274CD"/>
    <w:rsid w:val="00327A58"/>
    <w:rsid w:val="00330E12"/>
    <w:rsid w:val="00330F01"/>
    <w:rsid w:val="00331EE2"/>
    <w:rsid w:val="00333501"/>
    <w:rsid w:val="003346F6"/>
    <w:rsid w:val="00334BEA"/>
    <w:rsid w:val="003365E4"/>
    <w:rsid w:val="00340871"/>
    <w:rsid w:val="003457C4"/>
    <w:rsid w:val="003500CF"/>
    <w:rsid w:val="00350A88"/>
    <w:rsid w:val="0035119D"/>
    <w:rsid w:val="00354A4A"/>
    <w:rsid w:val="00355DF7"/>
    <w:rsid w:val="003640F2"/>
    <w:rsid w:val="00365569"/>
    <w:rsid w:val="003666DB"/>
    <w:rsid w:val="0037188E"/>
    <w:rsid w:val="00372FC5"/>
    <w:rsid w:val="003753EF"/>
    <w:rsid w:val="003831C1"/>
    <w:rsid w:val="00383596"/>
    <w:rsid w:val="00383E11"/>
    <w:rsid w:val="00384D40"/>
    <w:rsid w:val="00385F62"/>
    <w:rsid w:val="00387404"/>
    <w:rsid w:val="00390828"/>
    <w:rsid w:val="00392152"/>
    <w:rsid w:val="00392D17"/>
    <w:rsid w:val="0039344A"/>
    <w:rsid w:val="00395163"/>
    <w:rsid w:val="003A0191"/>
    <w:rsid w:val="003B4F12"/>
    <w:rsid w:val="003C248E"/>
    <w:rsid w:val="003C72F9"/>
    <w:rsid w:val="003D2DE0"/>
    <w:rsid w:val="003D4C6F"/>
    <w:rsid w:val="003D66A7"/>
    <w:rsid w:val="003E2892"/>
    <w:rsid w:val="003E3D85"/>
    <w:rsid w:val="003F001A"/>
    <w:rsid w:val="003F175C"/>
    <w:rsid w:val="003F2041"/>
    <w:rsid w:val="003F256A"/>
    <w:rsid w:val="003F65E8"/>
    <w:rsid w:val="003F71A3"/>
    <w:rsid w:val="00402ACC"/>
    <w:rsid w:val="004056B1"/>
    <w:rsid w:val="0041136A"/>
    <w:rsid w:val="004120EC"/>
    <w:rsid w:val="004151DF"/>
    <w:rsid w:val="004159DE"/>
    <w:rsid w:val="00423F31"/>
    <w:rsid w:val="00427096"/>
    <w:rsid w:val="0042728C"/>
    <w:rsid w:val="00431899"/>
    <w:rsid w:val="0044097A"/>
    <w:rsid w:val="00442055"/>
    <w:rsid w:val="0044640F"/>
    <w:rsid w:val="00452298"/>
    <w:rsid w:val="00454514"/>
    <w:rsid w:val="004561A8"/>
    <w:rsid w:val="00462063"/>
    <w:rsid w:val="00467422"/>
    <w:rsid w:val="00474A6B"/>
    <w:rsid w:val="00476A58"/>
    <w:rsid w:val="00476ADD"/>
    <w:rsid w:val="00481A65"/>
    <w:rsid w:val="00482AE8"/>
    <w:rsid w:val="0048492D"/>
    <w:rsid w:val="00486804"/>
    <w:rsid w:val="00486D28"/>
    <w:rsid w:val="00492585"/>
    <w:rsid w:val="004939C4"/>
    <w:rsid w:val="00494F98"/>
    <w:rsid w:val="004A0293"/>
    <w:rsid w:val="004A258D"/>
    <w:rsid w:val="004A31BA"/>
    <w:rsid w:val="004B1618"/>
    <w:rsid w:val="004B3775"/>
    <w:rsid w:val="004B3FA7"/>
    <w:rsid w:val="004B7D5A"/>
    <w:rsid w:val="004C5598"/>
    <w:rsid w:val="004C6342"/>
    <w:rsid w:val="004D0BA0"/>
    <w:rsid w:val="004D1958"/>
    <w:rsid w:val="004D7873"/>
    <w:rsid w:val="004D7A6B"/>
    <w:rsid w:val="004E058F"/>
    <w:rsid w:val="004E3671"/>
    <w:rsid w:val="004E3B87"/>
    <w:rsid w:val="004E40FF"/>
    <w:rsid w:val="004F1341"/>
    <w:rsid w:val="004F3789"/>
    <w:rsid w:val="00503F64"/>
    <w:rsid w:val="005051C1"/>
    <w:rsid w:val="00505577"/>
    <w:rsid w:val="0050704E"/>
    <w:rsid w:val="00510921"/>
    <w:rsid w:val="00510AD3"/>
    <w:rsid w:val="00512A39"/>
    <w:rsid w:val="00513348"/>
    <w:rsid w:val="00513AD8"/>
    <w:rsid w:val="005204D2"/>
    <w:rsid w:val="00522396"/>
    <w:rsid w:val="00523099"/>
    <w:rsid w:val="00533B5D"/>
    <w:rsid w:val="00544D1B"/>
    <w:rsid w:val="005453FE"/>
    <w:rsid w:val="00550624"/>
    <w:rsid w:val="00552E79"/>
    <w:rsid w:val="00553AB7"/>
    <w:rsid w:val="0056186D"/>
    <w:rsid w:val="00564F34"/>
    <w:rsid w:val="00566618"/>
    <w:rsid w:val="0056773F"/>
    <w:rsid w:val="005702CE"/>
    <w:rsid w:val="005706B9"/>
    <w:rsid w:val="00573624"/>
    <w:rsid w:val="00577C8D"/>
    <w:rsid w:val="00580804"/>
    <w:rsid w:val="00585AB9"/>
    <w:rsid w:val="00586176"/>
    <w:rsid w:val="00586477"/>
    <w:rsid w:val="00591B5F"/>
    <w:rsid w:val="00593D6B"/>
    <w:rsid w:val="00597C37"/>
    <w:rsid w:val="005A20F6"/>
    <w:rsid w:val="005A4786"/>
    <w:rsid w:val="005B1C5D"/>
    <w:rsid w:val="005B55E8"/>
    <w:rsid w:val="005C1603"/>
    <w:rsid w:val="005D0D60"/>
    <w:rsid w:val="005D3655"/>
    <w:rsid w:val="005E4830"/>
    <w:rsid w:val="005F42E6"/>
    <w:rsid w:val="00602B9A"/>
    <w:rsid w:val="006079ED"/>
    <w:rsid w:val="00610BDB"/>
    <w:rsid w:val="00610E35"/>
    <w:rsid w:val="00610F03"/>
    <w:rsid w:val="00622B86"/>
    <w:rsid w:val="00623BA1"/>
    <w:rsid w:val="0063314E"/>
    <w:rsid w:val="006346BC"/>
    <w:rsid w:val="006416DA"/>
    <w:rsid w:val="00641C3E"/>
    <w:rsid w:val="00651213"/>
    <w:rsid w:val="00653D9A"/>
    <w:rsid w:val="00660121"/>
    <w:rsid w:val="0066652A"/>
    <w:rsid w:val="00667907"/>
    <w:rsid w:val="006719C3"/>
    <w:rsid w:val="00677853"/>
    <w:rsid w:val="0067788C"/>
    <w:rsid w:val="00680512"/>
    <w:rsid w:val="00680522"/>
    <w:rsid w:val="00680DE5"/>
    <w:rsid w:val="00682167"/>
    <w:rsid w:val="006A04F5"/>
    <w:rsid w:val="006A2D61"/>
    <w:rsid w:val="006B3571"/>
    <w:rsid w:val="006B6681"/>
    <w:rsid w:val="006C1739"/>
    <w:rsid w:val="006C42AF"/>
    <w:rsid w:val="006C626E"/>
    <w:rsid w:val="006D5BBB"/>
    <w:rsid w:val="006E06A8"/>
    <w:rsid w:val="006E28CF"/>
    <w:rsid w:val="006E6F80"/>
    <w:rsid w:val="006E716D"/>
    <w:rsid w:val="006F56DA"/>
    <w:rsid w:val="006F7BD2"/>
    <w:rsid w:val="007031B5"/>
    <w:rsid w:val="007033B2"/>
    <w:rsid w:val="007107C0"/>
    <w:rsid w:val="00711163"/>
    <w:rsid w:val="00711260"/>
    <w:rsid w:val="00711D8E"/>
    <w:rsid w:val="00712672"/>
    <w:rsid w:val="00715351"/>
    <w:rsid w:val="00720E58"/>
    <w:rsid w:val="00725F4E"/>
    <w:rsid w:val="007325FC"/>
    <w:rsid w:val="00733BF4"/>
    <w:rsid w:val="00734E3F"/>
    <w:rsid w:val="00736985"/>
    <w:rsid w:val="007402B2"/>
    <w:rsid w:val="00741113"/>
    <w:rsid w:val="00743214"/>
    <w:rsid w:val="0074437C"/>
    <w:rsid w:val="00745DF5"/>
    <w:rsid w:val="00750EBB"/>
    <w:rsid w:val="007539A8"/>
    <w:rsid w:val="0076250F"/>
    <w:rsid w:val="00765537"/>
    <w:rsid w:val="007706B8"/>
    <w:rsid w:val="00774EE4"/>
    <w:rsid w:val="00780FA5"/>
    <w:rsid w:val="0078445D"/>
    <w:rsid w:val="00790171"/>
    <w:rsid w:val="00790AF0"/>
    <w:rsid w:val="00790B10"/>
    <w:rsid w:val="00792BF4"/>
    <w:rsid w:val="007A0466"/>
    <w:rsid w:val="007A5328"/>
    <w:rsid w:val="007A6663"/>
    <w:rsid w:val="007B06DC"/>
    <w:rsid w:val="007B44F3"/>
    <w:rsid w:val="007B59BC"/>
    <w:rsid w:val="007B6200"/>
    <w:rsid w:val="007D6E0D"/>
    <w:rsid w:val="007E3FF9"/>
    <w:rsid w:val="007E4969"/>
    <w:rsid w:val="007F087B"/>
    <w:rsid w:val="007F0DE9"/>
    <w:rsid w:val="007F3395"/>
    <w:rsid w:val="00801B9F"/>
    <w:rsid w:val="0080204D"/>
    <w:rsid w:val="0080460B"/>
    <w:rsid w:val="00805B9C"/>
    <w:rsid w:val="00806BDC"/>
    <w:rsid w:val="00810213"/>
    <w:rsid w:val="00810FA1"/>
    <w:rsid w:val="008154D1"/>
    <w:rsid w:val="00817CA7"/>
    <w:rsid w:val="00817DE6"/>
    <w:rsid w:val="00817EBD"/>
    <w:rsid w:val="00823B7F"/>
    <w:rsid w:val="0083052F"/>
    <w:rsid w:val="00832C09"/>
    <w:rsid w:val="00832FEA"/>
    <w:rsid w:val="00843AB4"/>
    <w:rsid w:val="00844208"/>
    <w:rsid w:val="00846A86"/>
    <w:rsid w:val="008475F0"/>
    <w:rsid w:val="00851149"/>
    <w:rsid w:val="00854659"/>
    <w:rsid w:val="008557A7"/>
    <w:rsid w:val="00870928"/>
    <w:rsid w:val="00872862"/>
    <w:rsid w:val="00880AFF"/>
    <w:rsid w:val="00882219"/>
    <w:rsid w:val="00885A62"/>
    <w:rsid w:val="00886EC6"/>
    <w:rsid w:val="0089405C"/>
    <w:rsid w:val="008946BD"/>
    <w:rsid w:val="00895A91"/>
    <w:rsid w:val="00897FA2"/>
    <w:rsid w:val="008A5AFE"/>
    <w:rsid w:val="008B32AF"/>
    <w:rsid w:val="008B5F14"/>
    <w:rsid w:val="008B7A2D"/>
    <w:rsid w:val="008C48F9"/>
    <w:rsid w:val="008C5A0E"/>
    <w:rsid w:val="008F006E"/>
    <w:rsid w:val="008F0590"/>
    <w:rsid w:val="008F38AC"/>
    <w:rsid w:val="008F620B"/>
    <w:rsid w:val="008F7651"/>
    <w:rsid w:val="00903410"/>
    <w:rsid w:val="00904216"/>
    <w:rsid w:val="00907924"/>
    <w:rsid w:val="00917E7A"/>
    <w:rsid w:val="00920218"/>
    <w:rsid w:val="009250A0"/>
    <w:rsid w:val="00927172"/>
    <w:rsid w:val="009278D2"/>
    <w:rsid w:val="00935ABC"/>
    <w:rsid w:val="00941177"/>
    <w:rsid w:val="00943730"/>
    <w:rsid w:val="00944CFB"/>
    <w:rsid w:val="00944FDB"/>
    <w:rsid w:val="00945A39"/>
    <w:rsid w:val="0095053A"/>
    <w:rsid w:val="0095099F"/>
    <w:rsid w:val="00954E2F"/>
    <w:rsid w:val="009564F2"/>
    <w:rsid w:val="00961E72"/>
    <w:rsid w:val="00963FA4"/>
    <w:rsid w:val="009657E7"/>
    <w:rsid w:val="009660F5"/>
    <w:rsid w:val="00975CA5"/>
    <w:rsid w:val="00977676"/>
    <w:rsid w:val="00980574"/>
    <w:rsid w:val="00983AED"/>
    <w:rsid w:val="00986590"/>
    <w:rsid w:val="00992C76"/>
    <w:rsid w:val="009969D6"/>
    <w:rsid w:val="009A0908"/>
    <w:rsid w:val="009A3DD2"/>
    <w:rsid w:val="009A49D2"/>
    <w:rsid w:val="009A59B2"/>
    <w:rsid w:val="009B4D3B"/>
    <w:rsid w:val="009B7942"/>
    <w:rsid w:val="009B7BE3"/>
    <w:rsid w:val="009C6AFE"/>
    <w:rsid w:val="009D0328"/>
    <w:rsid w:val="009D57C0"/>
    <w:rsid w:val="009D5F84"/>
    <w:rsid w:val="009D7407"/>
    <w:rsid w:val="009D7FA1"/>
    <w:rsid w:val="009E0866"/>
    <w:rsid w:val="009E273C"/>
    <w:rsid w:val="009E28A2"/>
    <w:rsid w:val="009E6642"/>
    <w:rsid w:val="009F1350"/>
    <w:rsid w:val="009F248A"/>
    <w:rsid w:val="009F6423"/>
    <w:rsid w:val="009F713D"/>
    <w:rsid w:val="00A00872"/>
    <w:rsid w:val="00A024CC"/>
    <w:rsid w:val="00A13FA0"/>
    <w:rsid w:val="00A175B3"/>
    <w:rsid w:val="00A21162"/>
    <w:rsid w:val="00A22940"/>
    <w:rsid w:val="00A24A62"/>
    <w:rsid w:val="00A27A85"/>
    <w:rsid w:val="00A31BCE"/>
    <w:rsid w:val="00A31C9F"/>
    <w:rsid w:val="00A35285"/>
    <w:rsid w:val="00A361A3"/>
    <w:rsid w:val="00A4144F"/>
    <w:rsid w:val="00A419EA"/>
    <w:rsid w:val="00A42C95"/>
    <w:rsid w:val="00A4671C"/>
    <w:rsid w:val="00A47D3A"/>
    <w:rsid w:val="00A53164"/>
    <w:rsid w:val="00A61B4D"/>
    <w:rsid w:val="00A63493"/>
    <w:rsid w:val="00A63917"/>
    <w:rsid w:val="00A709DA"/>
    <w:rsid w:val="00A749BC"/>
    <w:rsid w:val="00A77D41"/>
    <w:rsid w:val="00A77D7B"/>
    <w:rsid w:val="00A80F95"/>
    <w:rsid w:val="00A81383"/>
    <w:rsid w:val="00A91795"/>
    <w:rsid w:val="00A940CA"/>
    <w:rsid w:val="00A944C8"/>
    <w:rsid w:val="00A97BF1"/>
    <w:rsid w:val="00AA14F8"/>
    <w:rsid w:val="00AA298A"/>
    <w:rsid w:val="00AA315B"/>
    <w:rsid w:val="00AB13AE"/>
    <w:rsid w:val="00AB376E"/>
    <w:rsid w:val="00AB4389"/>
    <w:rsid w:val="00AB5BA2"/>
    <w:rsid w:val="00AB7C0C"/>
    <w:rsid w:val="00AC164A"/>
    <w:rsid w:val="00AC68FC"/>
    <w:rsid w:val="00AD1400"/>
    <w:rsid w:val="00AD2A2F"/>
    <w:rsid w:val="00AE3CF0"/>
    <w:rsid w:val="00AE448A"/>
    <w:rsid w:val="00AE79A7"/>
    <w:rsid w:val="00AF2050"/>
    <w:rsid w:val="00AF2AF6"/>
    <w:rsid w:val="00AF5D94"/>
    <w:rsid w:val="00B0385D"/>
    <w:rsid w:val="00B03CA8"/>
    <w:rsid w:val="00B05089"/>
    <w:rsid w:val="00B07921"/>
    <w:rsid w:val="00B120ED"/>
    <w:rsid w:val="00B16FE3"/>
    <w:rsid w:val="00B20186"/>
    <w:rsid w:val="00B30FF0"/>
    <w:rsid w:val="00B318E8"/>
    <w:rsid w:val="00B337D5"/>
    <w:rsid w:val="00B33C0A"/>
    <w:rsid w:val="00B37E75"/>
    <w:rsid w:val="00B41C49"/>
    <w:rsid w:val="00B47795"/>
    <w:rsid w:val="00B535AB"/>
    <w:rsid w:val="00B55E19"/>
    <w:rsid w:val="00B56B09"/>
    <w:rsid w:val="00B637DD"/>
    <w:rsid w:val="00B647D0"/>
    <w:rsid w:val="00B6495A"/>
    <w:rsid w:val="00B66722"/>
    <w:rsid w:val="00B66843"/>
    <w:rsid w:val="00B70B50"/>
    <w:rsid w:val="00B7114C"/>
    <w:rsid w:val="00B74E19"/>
    <w:rsid w:val="00B754C6"/>
    <w:rsid w:val="00B7702E"/>
    <w:rsid w:val="00B77CBC"/>
    <w:rsid w:val="00B81D1C"/>
    <w:rsid w:val="00B821F1"/>
    <w:rsid w:val="00B82A22"/>
    <w:rsid w:val="00B84926"/>
    <w:rsid w:val="00B86412"/>
    <w:rsid w:val="00B90741"/>
    <w:rsid w:val="00B927C4"/>
    <w:rsid w:val="00B94758"/>
    <w:rsid w:val="00BA0538"/>
    <w:rsid w:val="00BA21BD"/>
    <w:rsid w:val="00BA2E6B"/>
    <w:rsid w:val="00BA4B6D"/>
    <w:rsid w:val="00BB210F"/>
    <w:rsid w:val="00BB26C5"/>
    <w:rsid w:val="00BC31BD"/>
    <w:rsid w:val="00BC51E5"/>
    <w:rsid w:val="00BC52CF"/>
    <w:rsid w:val="00BD2CB3"/>
    <w:rsid w:val="00BE6B6D"/>
    <w:rsid w:val="00BF4650"/>
    <w:rsid w:val="00BF4DE6"/>
    <w:rsid w:val="00BF69AF"/>
    <w:rsid w:val="00C01BB8"/>
    <w:rsid w:val="00C02C73"/>
    <w:rsid w:val="00C06B13"/>
    <w:rsid w:val="00C233EA"/>
    <w:rsid w:val="00C27C0B"/>
    <w:rsid w:val="00C27D25"/>
    <w:rsid w:val="00C32299"/>
    <w:rsid w:val="00C36C76"/>
    <w:rsid w:val="00C4171A"/>
    <w:rsid w:val="00C42541"/>
    <w:rsid w:val="00C42CDE"/>
    <w:rsid w:val="00C50087"/>
    <w:rsid w:val="00C5182A"/>
    <w:rsid w:val="00C5771C"/>
    <w:rsid w:val="00C61313"/>
    <w:rsid w:val="00C63EE9"/>
    <w:rsid w:val="00C72B98"/>
    <w:rsid w:val="00C75C7C"/>
    <w:rsid w:val="00C84F37"/>
    <w:rsid w:val="00C94CE4"/>
    <w:rsid w:val="00C94D49"/>
    <w:rsid w:val="00CA16F3"/>
    <w:rsid w:val="00CA37B1"/>
    <w:rsid w:val="00CB1959"/>
    <w:rsid w:val="00CB38EB"/>
    <w:rsid w:val="00CC0B4D"/>
    <w:rsid w:val="00CC0EB5"/>
    <w:rsid w:val="00CC741B"/>
    <w:rsid w:val="00CC76D2"/>
    <w:rsid w:val="00CD0E4B"/>
    <w:rsid w:val="00CD3AF1"/>
    <w:rsid w:val="00CD72A2"/>
    <w:rsid w:val="00CD7DB9"/>
    <w:rsid w:val="00CE0147"/>
    <w:rsid w:val="00CE08A7"/>
    <w:rsid w:val="00CE4C89"/>
    <w:rsid w:val="00CF07BA"/>
    <w:rsid w:val="00CF6C83"/>
    <w:rsid w:val="00D00153"/>
    <w:rsid w:val="00D00565"/>
    <w:rsid w:val="00D0296C"/>
    <w:rsid w:val="00D04A8B"/>
    <w:rsid w:val="00D07898"/>
    <w:rsid w:val="00D20819"/>
    <w:rsid w:val="00D24178"/>
    <w:rsid w:val="00D26602"/>
    <w:rsid w:val="00D26ED5"/>
    <w:rsid w:val="00D27247"/>
    <w:rsid w:val="00D27B4A"/>
    <w:rsid w:val="00D30E2E"/>
    <w:rsid w:val="00D32D6F"/>
    <w:rsid w:val="00D360C1"/>
    <w:rsid w:val="00D37560"/>
    <w:rsid w:val="00D37B04"/>
    <w:rsid w:val="00D42544"/>
    <w:rsid w:val="00D51BF0"/>
    <w:rsid w:val="00D53741"/>
    <w:rsid w:val="00D540C6"/>
    <w:rsid w:val="00D64686"/>
    <w:rsid w:val="00D64BD1"/>
    <w:rsid w:val="00D64C89"/>
    <w:rsid w:val="00D65749"/>
    <w:rsid w:val="00D66245"/>
    <w:rsid w:val="00D75D4C"/>
    <w:rsid w:val="00D7679B"/>
    <w:rsid w:val="00D813DF"/>
    <w:rsid w:val="00D92254"/>
    <w:rsid w:val="00D93BC6"/>
    <w:rsid w:val="00D96D9B"/>
    <w:rsid w:val="00DA035B"/>
    <w:rsid w:val="00DA0649"/>
    <w:rsid w:val="00DA0DD1"/>
    <w:rsid w:val="00DA7862"/>
    <w:rsid w:val="00DB7E51"/>
    <w:rsid w:val="00DC0754"/>
    <w:rsid w:val="00DD263E"/>
    <w:rsid w:val="00DE084C"/>
    <w:rsid w:val="00DE588F"/>
    <w:rsid w:val="00DF2EB5"/>
    <w:rsid w:val="00DF3EB3"/>
    <w:rsid w:val="00DF7732"/>
    <w:rsid w:val="00E024B1"/>
    <w:rsid w:val="00E14F51"/>
    <w:rsid w:val="00E15FAD"/>
    <w:rsid w:val="00E17A36"/>
    <w:rsid w:val="00E27220"/>
    <w:rsid w:val="00E34D31"/>
    <w:rsid w:val="00E357B7"/>
    <w:rsid w:val="00E469D1"/>
    <w:rsid w:val="00E47D18"/>
    <w:rsid w:val="00E53800"/>
    <w:rsid w:val="00E6081F"/>
    <w:rsid w:val="00E634A5"/>
    <w:rsid w:val="00E655FE"/>
    <w:rsid w:val="00E67C7C"/>
    <w:rsid w:val="00E8296D"/>
    <w:rsid w:val="00E83AD4"/>
    <w:rsid w:val="00E8457B"/>
    <w:rsid w:val="00E91D9F"/>
    <w:rsid w:val="00E92EA2"/>
    <w:rsid w:val="00EA04B2"/>
    <w:rsid w:val="00EA20F3"/>
    <w:rsid w:val="00EA33EC"/>
    <w:rsid w:val="00EA57F1"/>
    <w:rsid w:val="00EB2326"/>
    <w:rsid w:val="00EB398C"/>
    <w:rsid w:val="00EB43D4"/>
    <w:rsid w:val="00EC2B00"/>
    <w:rsid w:val="00EC3C2D"/>
    <w:rsid w:val="00EC53BA"/>
    <w:rsid w:val="00ED2831"/>
    <w:rsid w:val="00ED43D1"/>
    <w:rsid w:val="00ED5169"/>
    <w:rsid w:val="00ED62F8"/>
    <w:rsid w:val="00EE1027"/>
    <w:rsid w:val="00EE1B80"/>
    <w:rsid w:val="00EE25F4"/>
    <w:rsid w:val="00EE4EE1"/>
    <w:rsid w:val="00EE6BF5"/>
    <w:rsid w:val="00EE7CDF"/>
    <w:rsid w:val="00EF4574"/>
    <w:rsid w:val="00EF4AE0"/>
    <w:rsid w:val="00EF5FB3"/>
    <w:rsid w:val="00F06BC4"/>
    <w:rsid w:val="00F13B24"/>
    <w:rsid w:val="00F25A93"/>
    <w:rsid w:val="00F2684E"/>
    <w:rsid w:val="00F30087"/>
    <w:rsid w:val="00F33ACE"/>
    <w:rsid w:val="00F34257"/>
    <w:rsid w:val="00F34D07"/>
    <w:rsid w:val="00F366DB"/>
    <w:rsid w:val="00F40C75"/>
    <w:rsid w:val="00F4248B"/>
    <w:rsid w:val="00F424C5"/>
    <w:rsid w:val="00F51CDB"/>
    <w:rsid w:val="00F5404C"/>
    <w:rsid w:val="00F5505C"/>
    <w:rsid w:val="00F566EC"/>
    <w:rsid w:val="00F60FED"/>
    <w:rsid w:val="00F617F9"/>
    <w:rsid w:val="00F622E0"/>
    <w:rsid w:val="00F70001"/>
    <w:rsid w:val="00F70022"/>
    <w:rsid w:val="00F72015"/>
    <w:rsid w:val="00F721E9"/>
    <w:rsid w:val="00F729EF"/>
    <w:rsid w:val="00F72B15"/>
    <w:rsid w:val="00F72E85"/>
    <w:rsid w:val="00F744A2"/>
    <w:rsid w:val="00F74546"/>
    <w:rsid w:val="00F758C1"/>
    <w:rsid w:val="00F77CAE"/>
    <w:rsid w:val="00F82271"/>
    <w:rsid w:val="00F83428"/>
    <w:rsid w:val="00F9207E"/>
    <w:rsid w:val="00F948EC"/>
    <w:rsid w:val="00F950F7"/>
    <w:rsid w:val="00F96BB9"/>
    <w:rsid w:val="00F975E2"/>
    <w:rsid w:val="00FA69AF"/>
    <w:rsid w:val="00FA7833"/>
    <w:rsid w:val="00FB51C5"/>
    <w:rsid w:val="00FB61F3"/>
    <w:rsid w:val="00FB6D8C"/>
    <w:rsid w:val="00FB78D8"/>
    <w:rsid w:val="00FC322F"/>
    <w:rsid w:val="00FD3762"/>
    <w:rsid w:val="00FE3678"/>
    <w:rsid w:val="00FE49E6"/>
    <w:rsid w:val="00FE4E89"/>
    <w:rsid w:val="00FE6202"/>
    <w:rsid w:val="00FE6D51"/>
    <w:rsid w:val="00FE6F2A"/>
    <w:rsid w:val="00FF228F"/>
    <w:rsid w:val="00FF4990"/>
    <w:rsid w:val="00FF6C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1B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qFormat="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locked="0"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B55E8"/>
    <w:pPr>
      <w:suppressAutoHyphens/>
      <w:spacing w:before="120" w:after="60" w:line="260" w:lineRule="atLeast"/>
    </w:pPr>
    <w:rPr>
      <w:color w:val="373545" w:themeColor="text2"/>
      <w:lang w:val="en-GB"/>
    </w:rPr>
  </w:style>
  <w:style w:type="paragraph" w:styleId="Heading1">
    <w:name w:val="heading 1"/>
    <w:basedOn w:val="Normal"/>
    <w:next w:val="Normal"/>
    <w:link w:val="Heading1Char"/>
    <w:uiPriority w:val="9"/>
    <w:qFormat/>
    <w:rsid w:val="007706B8"/>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983AED"/>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7706B8"/>
    <w:pPr>
      <w:spacing w:line="200" w:lineRule="atLeast"/>
      <w:outlineLvl w:val="4"/>
    </w:pPr>
    <w:rPr>
      <w:b/>
      <w:sz w:val="22"/>
    </w:rPr>
  </w:style>
  <w:style w:type="paragraph" w:styleId="Heading6">
    <w:name w:val="heading 6"/>
    <w:basedOn w:val="Heading5"/>
    <w:next w:val="Normal"/>
    <w:link w:val="Heading6Char"/>
    <w:uiPriority w:val="9"/>
    <w:unhideWhenUsed/>
    <w:qFormat/>
    <w:rsid w:val="00486804"/>
    <w:pPr>
      <w:spacing w:before="40"/>
      <w:outlineLvl w:val="5"/>
    </w:pPr>
    <w:rPr>
      <w:color w:val="1A495C"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6B8"/>
    <w:rPr>
      <w:rFonts w:asciiTheme="majorHAnsi" w:eastAsiaTheme="majorEastAsia" w:hAnsiTheme="majorHAnsi" w:cstheme="majorBidi"/>
      <w:b/>
      <w:bCs/>
      <w:caps/>
      <w:color w:val="373545" w:themeColor="text2"/>
      <w:sz w:val="38"/>
      <w:szCs w:val="28"/>
      <w:lang w:val="en-GB"/>
    </w:rPr>
  </w:style>
  <w:style w:type="character" w:customStyle="1" w:styleId="Heading2Char">
    <w:name w:val="Heading 2 Char"/>
    <w:basedOn w:val="DefaultParagraphFont"/>
    <w:link w:val="Heading2"/>
    <w:uiPriority w:val="9"/>
    <w:rsid w:val="00983AED"/>
    <w:rPr>
      <w:rFonts w:asciiTheme="majorHAnsi" w:eastAsiaTheme="majorEastAsia" w:hAnsiTheme="majorHAnsi" w:cstheme="majorBidi"/>
      <w:caps/>
      <w:color w:val="373545" w:themeColor="text2"/>
      <w:sz w:val="38"/>
      <w:szCs w:val="26"/>
      <w:lang w:val="en-GB"/>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37354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373545" w:themeColor="text2"/>
      <w:spacing w:val="-10"/>
      <w:kern w:val="28"/>
      <w:sz w:val="38"/>
      <w:szCs w:val="52"/>
    </w:rPr>
  </w:style>
  <w:style w:type="paragraph" w:styleId="Subtitle">
    <w:name w:val="Subtitle"/>
    <w:basedOn w:val="Title"/>
    <w:next w:val="Normal"/>
    <w:link w:val="SubtitleChar"/>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rsid w:val="00D64BD1"/>
    <w:rPr>
      <w:rFonts w:eastAsiaTheme="majorEastAsia" w:cstheme="majorBidi"/>
      <w:bCs/>
      <w:iCs/>
      <w:caps/>
      <w:color w:val="373545" w:themeColor="text2"/>
      <w:spacing w:val="-10"/>
      <w:kern w:val="28"/>
      <w:sz w:val="38"/>
      <w:szCs w:val="24"/>
    </w:rPr>
  </w:style>
  <w:style w:type="paragraph" w:customStyle="1" w:styleId="Bullet1">
    <w:name w:val="Bullet 1"/>
    <w:basedOn w:val="Normal"/>
    <w:qFormat/>
    <w:rsid w:val="007706B8"/>
    <w:pPr>
      <w:numPr>
        <w:numId w:val="10"/>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7"/>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6"/>
      </w:numPr>
    </w:pPr>
  </w:style>
  <w:style w:type="paragraph" w:customStyle="1" w:styleId="Heading2Numbered">
    <w:name w:val="Heading 2 Numbered"/>
    <w:basedOn w:val="Heading2"/>
    <w:next w:val="Normal"/>
    <w:qFormat/>
    <w:rsid w:val="00ED2831"/>
    <w:pPr>
      <w:numPr>
        <w:ilvl w:val="1"/>
        <w:numId w:val="6"/>
      </w:numPr>
      <w:spacing w:after="60"/>
    </w:pPr>
    <w:rPr>
      <w:bCs/>
    </w:rPr>
  </w:style>
  <w:style w:type="paragraph" w:customStyle="1" w:styleId="Heading3Numbered">
    <w:name w:val="Heading 3 Numbered"/>
    <w:basedOn w:val="Heading3"/>
    <w:next w:val="Normal"/>
    <w:qFormat/>
    <w:rsid w:val="00ED2831"/>
    <w:pPr>
      <w:numPr>
        <w:ilvl w:val="2"/>
        <w:numId w:val="6"/>
      </w:numPr>
      <w:spacing w:before="300" w:after="60"/>
    </w:pPr>
    <w:rPr>
      <w:szCs w:val="22"/>
    </w:rPr>
  </w:style>
  <w:style w:type="numbering" w:customStyle="1" w:styleId="BulletsList">
    <w:name w:val="Bullets List"/>
    <w:uiPriority w:val="99"/>
    <w:rsid w:val="007706B8"/>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373545" w:themeColor="text2"/>
      <w:sz w:val="24"/>
      <w:szCs w:val="26"/>
    </w:rPr>
  </w:style>
  <w:style w:type="paragraph" w:styleId="TOC1">
    <w:name w:val="toc 1"/>
    <w:basedOn w:val="Normal"/>
    <w:next w:val="Normal"/>
    <w:autoRedefine/>
    <w:uiPriority w:val="39"/>
    <w:unhideWhenUsed/>
    <w:rsid w:val="00ED2831"/>
    <w:pPr>
      <w:pBdr>
        <w:top w:val="single" w:sz="4" w:space="6" w:color="3494BA" w:themeColor="accent1"/>
        <w:between w:val="single" w:sz="4" w:space="6" w:color="3494BA" w:themeColor="accent1"/>
      </w:pBdr>
      <w:tabs>
        <w:tab w:val="right" w:pos="9639"/>
      </w:tabs>
      <w:spacing w:after="100" w:line="320" w:lineRule="atLeast"/>
    </w:pPr>
    <w:rPr>
      <w:b/>
      <w:caps/>
      <w:color w:val="3494BA"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FC322F"/>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7706B8"/>
    <w:pPr>
      <w:spacing w:before="400" w:after="400" w:line="280" w:lineRule="exact"/>
    </w:pPr>
    <w:rPr>
      <w:b/>
      <w:color w:val="58B6C0" w:themeColor="accent2"/>
      <w:sz w:val="28"/>
    </w:rPr>
  </w:style>
  <w:style w:type="table" w:styleId="TableGrid">
    <w:name w:val="Table Grid"/>
    <w:basedOn w:val="TableNormal"/>
    <w:uiPriority w:val="5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D32D6F"/>
    <w:rPr>
      <w:b/>
      <w:i/>
      <w:iCs/>
      <w:color w:val="37354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7706B8"/>
    <w:rPr>
      <w:rFonts w:asciiTheme="majorHAnsi" w:eastAsiaTheme="majorEastAsia" w:hAnsiTheme="majorHAnsi" w:cstheme="majorBidi"/>
      <w:b/>
      <w:bCs/>
      <w:iCs/>
      <w:color w:val="373545" w:themeColor="text2"/>
      <w:szCs w:val="26"/>
      <w:lang w:val="en-GB"/>
    </w:rPr>
  </w:style>
  <w:style w:type="paragraph" w:styleId="Caption">
    <w:name w:val="caption"/>
    <w:basedOn w:val="Normal"/>
    <w:next w:val="Normal"/>
    <w:uiPriority w:val="35"/>
    <w:unhideWhenUsed/>
    <w:qFormat/>
    <w:rsid w:val="001214BE"/>
    <w:pPr>
      <w:spacing w:before="240" w:after="180" w:line="240" w:lineRule="atLeast"/>
      <w:contextualSpacing/>
    </w:pPr>
    <w:rPr>
      <w:b/>
      <w:iCs/>
      <w:sz w:val="20"/>
      <w:szCs w:val="18"/>
    </w:rPr>
  </w:style>
  <w:style w:type="paragraph" w:styleId="Footer">
    <w:name w:val="footer"/>
    <w:basedOn w:val="Normal"/>
    <w:link w:val="FooterChar"/>
    <w:uiPriority w:val="99"/>
    <w:unhideWhenUsed/>
    <w:rsid w:val="00FC322F"/>
    <w:pPr>
      <w:spacing w:before="0" w:after="0" w:line="240" w:lineRule="exact"/>
      <w:ind w:left="284" w:right="284"/>
    </w:pPr>
    <w:rPr>
      <w:color w:val="FFFFFF" w:themeColor="background1"/>
    </w:rPr>
  </w:style>
  <w:style w:type="character" w:customStyle="1" w:styleId="FooterChar">
    <w:name w:val="Footer Char"/>
    <w:basedOn w:val="DefaultParagraphFont"/>
    <w:link w:val="Footer"/>
    <w:uiPriority w:val="99"/>
    <w:rsid w:val="00FC322F"/>
    <w:rPr>
      <w:color w:val="FFFFFF" w:themeColor="background1"/>
      <w:lang w:val="en-GB"/>
    </w:rPr>
  </w:style>
  <w:style w:type="character" w:customStyle="1" w:styleId="Heading6Char">
    <w:name w:val="Heading 6 Char"/>
    <w:basedOn w:val="DefaultParagraphFont"/>
    <w:link w:val="Heading6"/>
    <w:uiPriority w:val="9"/>
    <w:rsid w:val="00486804"/>
    <w:rPr>
      <w:rFonts w:asciiTheme="majorHAnsi" w:eastAsiaTheme="majorEastAsia" w:hAnsiTheme="majorHAnsi" w:cstheme="majorBidi"/>
      <w:bCs/>
      <w:iCs/>
      <w:color w:val="1A495C"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1A495C"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A9A7BB" w:themeColor="text2" w:themeTint="66"/>
    </w:rPr>
  </w:style>
  <w:style w:type="character" w:styleId="PageNumber">
    <w:name w:val="page number"/>
    <w:basedOn w:val="DefaultParagraphFont"/>
    <w:uiPriority w:val="99"/>
    <w:unhideWhenUsed/>
    <w:rsid w:val="00F5404C"/>
    <w:rPr>
      <w:color w:val="37354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37354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aliases w:val="ft,fn,FOOTNOTES,single space,Footnote Text Char1 Char,Footnote Text Char Char Char,Footnote Text Char Char Char Char Char,Footnote Text Char Char Char Char Char Char Char Char Char Char,Nbpage Moens,(NECG) Footnote Text Char Char Char,f,A"/>
    <w:basedOn w:val="Normal"/>
    <w:link w:val="FootnoteTextChar"/>
    <w:uiPriority w:val="99"/>
    <w:unhideWhenUsed/>
    <w:qFormat/>
    <w:rsid w:val="008C5A0E"/>
    <w:pPr>
      <w:spacing w:before="60" w:after="0" w:line="140" w:lineRule="atLeast"/>
      <w:ind w:left="170" w:hanging="170"/>
    </w:pPr>
    <w:rPr>
      <w:sz w:val="12"/>
      <w:szCs w:val="20"/>
    </w:rPr>
  </w:style>
  <w:style w:type="character" w:customStyle="1" w:styleId="FootnoteTextChar">
    <w:name w:val="Footnote Text Char"/>
    <w:aliases w:val="ft Char,fn Char,FOOTNOTES Char,single space Char,Footnote Text Char1 Char Char,Footnote Text Char Char Char Char,Footnote Text Char Char Char Char Char Char,Footnote Text Char Char Char Char Char Char Char Char Char Char Char,f Char"/>
    <w:basedOn w:val="DefaultParagraphFont"/>
    <w:link w:val="FootnoteText"/>
    <w:uiPriority w:val="99"/>
    <w:rsid w:val="008C5A0E"/>
    <w:rPr>
      <w:color w:val="373545" w:themeColor="text2"/>
      <w:sz w:val="12"/>
      <w:szCs w:val="20"/>
    </w:rPr>
  </w:style>
  <w:style w:type="character" w:styleId="FootnoteReference">
    <w:name w:val="footnote reference"/>
    <w:basedOn w:val="DefaultParagraphFont"/>
    <w:uiPriority w:val="99"/>
    <w:semiHidden/>
    <w:unhideWhenUsed/>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961E72"/>
    <w:rPr>
      <w:color w:val="58B6C0"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373545" w:themeColor="text2"/>
        <w:bottom w:val="single" w:sz="4" w:space="0" w:color="373545" w:themeColor="text2"/>
        <w:insideH w:val="single" w:sz="4" w:space="0" w:color="373545" w:themeColor="text2"/>
      </w:tblBorders>
      <w:tblCellMar>
        <w:top w:w="57" w:type="dxa"/>
        <w:bottom w:w="57" w:type="dxa"/>
      </w:tblCellMar>
    </w:tblPr>
    <w:tblStylePr w:type="firstRow">
      <w:rPr>
        <w:b w:val="0"/>
      </w:rPr>
      <w:tblPr/>
      <w:tcPr>
        <w:tcBorders>
          <w:top w:val="single" w:sz="4" w:space="0" w:color="3494BA" w:themeColor="accent1"/>
          <w:bottom w:val="single" w:sz="4" w:space="0" w:color="3494BA" w:themeColor="accent1"/>
          <w:insideH w:val="single" w:sz="4" w:space="0" w:color="3494BA" w:themeColor="accent1"/>
        </w:tcBorders>
        <w:shd w:val="clear" w:color="auto" w:fill="3494BA" w:themeFill="accent1"/>
      </w:tcPr>
    </w:tblStylePr>
    <w:tblStylePr w:type="lastRow">
      <w:rPr>
        <w:b/>
        <w:color w:val="FFFFFF"/>
      </w:rPr>
      <w:tblPr/>
      <w:tcPr>
        <w:shd w:val="clear" w:color="auto" w:fill="373545" w:themeFill="text2"/>
      </w:tcPr>
    </w:tblStylePr>
    <w:tblStylePr w:type="firstCol">
      <w:tblPr/>
      <w:tcPr>
        <w:shd w:val="clear" w:color="auto" w:fill="CEDBE6" w:themeFill="background2"/>
      </w:tcPr>
    </w:tblStylePr>
    <w:tblStylePr w:type="lastCol">
      <w:tblPr/>
      <w:tcPr>
        <w:shd w:val="clear" w:color="auto" w:fill="CEDBE6" w:themeFill="background2"/>
      </w:tcPr>
    </w:tblStylePr>
    <w:tblStylePr w:type="band1Vert">
      <w:tblPr/>
      <w:tcPr>
        <w:shd w:val="clear" w:color="auto" w:fill="D4EAF3" w:themeFill="accent1" w:themeFillTint="33"/>
      </w:tcPr>
    </w:tblStylePr>
    <w:tblStylePr w:type="band2Vert">
      <w:tblPr/>
      <w:tcPr>
        <w:shd w:val="clear" w:color="auto" w:fill="A9D5E7" w:themeFill="accent1" w:themeFillTint="66"/>
      </w:tcPr>
    </w:tblStylePr>
    <w:tblStylePr w:type="band1Horz">
      <w:tblPr/>
      <w:tcPr>
        <w:shd w:val="clear" w:color="auto" w:fill="D4EAF3" w:themeFill="accent1" w:themeFillTint="33"/>
      </w:tcPr>
    </w:tblStylePr>
    <w:tblStylePr w:type="band2Horz">
      <w:tblPr/>
      <w:tcPr>
        <w:shd w:val="clear" w:color="auto" w:fill="A9D5E7" w:themeFill="accent1" w:themeFillTint="66"/>
      </w:tcPr>
    </w:tblStylePr>
  </w:style>
  <w:style w:type="paragraph" w:customStyle="1" w:styleId="FootnoteSeparator">
    <w:name w:val="Footnote Separator"/>
    <w:basedOn w:val="Footer"/>
    <w:qFormat/>
    <w:rsid w:val="00ED2831"/>
    <w:pPr>
      <w:pBdr>
        <w:top w:val="single" w:sz="4" w:space="1" w:color="373545" w:themeColor="text2"/>
      </w:pBdr>
      <w:tabs>
        <w:tab w:val="right" w:pos="9356"/>
        <w:tab w:val="center" w:pos="10036"/>
      </w:tabs>
      <w:spacing w:line="220" w:lineRule="atLeast"/>
      <w:ind w:right="0"/>
    </w:pPr>
    <w:rPr>
      <w:color w:val="373545" w:themeColor="text2"/>
      <w:sz w:val="14"/>
    </w:rPr>
  </w:style>
  <w:style w:type="paragraph" w:customStyle="1" w:styleId="Heading1smallspaceafter">
    <w:name w:val="Heading 1 small space after"/>
    <w:basedOn w:val="Heading1"/>
    <w:qFormat/>
    <w:rsid w:val="00F25A93"/>
    <w:pPr>
      <w:spacing w:after="600"/>
      <w:contextualSpacing w:val="0"/>
    </w:pPr>
  </w:style>
  <w:style w:type="paragraph" w:customStyle="1" w:styleId="TableBullet1">
    <w:name w:val="Table Bullet 1"/>
    <w:basedOn w:val="Bullet1"/>
    <w:qFormat/>
    <w:rsid w:val="00ED2831"/>
    <w:pPr>
      <w:numPr>
        <w:numId w:val="0"/>
      </w:numPr>
      <w:spacing w:before="60" w:line="220" w:lineRule="atLeast"/>
      <w:ind w:left="284" w:hanging="284"/>
    </w:pPr>
    <w:rPr>
      <w:rFonts w:ascii="Calibri" w:hAnsi="Calibri"/>
      <w:sz w:val="18"/>
    </w:rPr>
  </w:style>
  <w:style w:type="paragraph" w:customStyle="1" w:styleId="TableBullet2">
    <w:name w:val="Table Bullet 2"/>
    <w:basedOn w:val="Bullet2"/>
    <w:qFormat/>
    <w:rsid w:val="00ED2831"/>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qFormat/>
    <w:rsid w:val="00ED2831"/>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qFormat/>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37354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3494BA" w:themeColor="accent1"/>
        <w:left w:val="single" w:sz="4" w:space="14" w:color="3494BA" w:themeColor="accent1"/>
        <w:bottom w:val="single" w:sz="4" w:space="14" w:color="3494BA" w:themeColor="accent1"/>
        <w:right w:val="single" w:sz="4" w:space="14" w:color="3494BA"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373545" w:themeColor="text2"/>
        <w:left w:val="single" w:sz="4" w:space="14" w:color="373545" w:themeColor="text2"/>
        <w:bottom w:val="single" w:sz="4" w:space="14" w:color="373545" w:themeColor="text2"/>
        <w:right w:val="single" w:sz="4" w:space="14" w:color="373545" w:themeColor="text2"/>
      </w:pBdr>
      <w:shd w:val="clear" w:color="auto" w:fill="37354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8"/>
      </w:numPr>
      <w:ind w:left="454" w:hanging="170"/>
    </w:pPr>
  </w:style>
  <w:style w:type="paragraph" w:customStyle="1" w:styleId="Box2Bullet">
    <w:name w:val="Box 2 Bullet"/>
    <w:basedOn w:val="Box2Text"/>
    <w:qFormat/>
    <w:rsid w:val="00C42541"/>
    <w:pPr>
      <w:numPr>
        <w:numId w:val="9"/>
      </w:numPr>
      <w:ind w:left="454" w:hanging="170"/>
    </w:pPr>
  </w:style>
  <w:style w:type="paragraph" w:styleId="BodyText">
    <w:name w:val="Body Text"/>
    <w:basedOn w:val="Normal"/>
    <w:link w:val="BodyTextChar"/>
    <w:uiPriority w:val="99"/>
    <w:unhideWhenUsed/>
    <w:rsid w:val="000020C1"/>
  </w:style>
  <w:style w:type="character" w:customStyle="1" w:styleId="BodyTextChar">
    <w:name w:val="Body Text Char"/>
    <w:basedOn w:val="DefaultParagraphFont"/>
    <w:link w:val="BodyText"/>
    <w:uiPriority w:val="99"/>
    <w:rsid w:val="000020C1"/>
    <w:rPr>
      <w:color w:val="37354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37354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37354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37354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37354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373545" w:themeColor="text2"/>
      <w:lang w:val="en-GB"/>
    </w:rPr>
  </w:style>
  <w:style w:type="paragraph" w:styleId="BlockText">
    <w:name w:val="Block Text"/>
    <w:basedOn w:val="Normal"/>
    <w:uiPriority w:val="99"/>
    <w:unhideWhenUsed/>
    <w:locked/>
    <w:rsid w:val="00E8457B"/>
    <w:pPr>
      <w:pBdr>
        <w:top w:val="single" w:sz="2" w:space="10" w:color="3494BA" w:themeColor="accent1"/>
        <w:left w:val="single" w:sz="2" w:space="10" w:color="3494BA" w:themeColor="accent1"/>
        <w:bottom w:val="single" w:sz="2" w:space="10" w:color="3494BA" w:themeColor="accent1"/>
        <w:right w:val="single" w:sz="2" w:space="10" w:color="3494BA" w:themeColor="accent1"/>
      </w:pBdr>
      <w:ind w:left="1152" w:right="1152"/>
    </w:pPr>
    <w:rPr>
      <w:rFonts w:eastAsiaTheme="minorEastAsia"/>
      <w:i/>
      <w:iCs/>
      <w:color w:val="3494BA" w:themeColor="accent1"/>
    </w:rPr>
  </w:style>
  <w:style w:type="table" w:customStyle="1" w:styleId="DFATTable2">
    <w:name w:val="DFAT Table 2"/>
    <w:basedOn w:val="TableNormal"/>
    <w:uiPriority w:val="99"/>
    <w:rsid w:val="00482AE8"/>
    <w:pPr>
      <w:spacing w:after="0" w:line="260" w:lineRule="atLeast"/>
    </w:pPr>
    <w:rPr>
      <w:rFonts w:ascii="Calibri" w:hAnsi="Calibri"/>
      <w:color w:val="37354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5204D2"/>
    <w:rPr>
      <w:sz w:val="16"/>
      <w:szCs w:val="16"/>
    </w:rPr>
  </w:style>
  <w:style w:type="paragraph" w:styleId="CommentText">
    <w:name w:val="annotation text"/>
    <w:basedOn w:val="Normal"/>
    <w:link w:val="CommentTextChar"/>
    <w:uiPriority w:val="99"/>
    <w:semiHidden/>
    <w:unhideWhenUsed/>
    <w:rsid w:val="005204D2"/>
    <w:pPr>
      <w:spacing w:line="240" w:lineRule="auto"/>
    </w:pPr>
    <w:rPr>
      <w:sz w:val="20"/>
      <w:szCs w:val="20"/>
    </w:rPr>
  </w:style>
  <w:style w:type="character" w:customStyle="1" w:styleId="CommentTextChar">
    <w:name w:val="Comment Text Char"/>
    <w:basedOn w:val="DefaultParagraphFont"/>
    <w:link w:val="CommentText"/>
    <w:uiPriority w:val="99"/>
    <w:semiHidden/>
    <w:rsid w:val="005204D2"/>
    <w:rPr>
      <w:color w:val="373545"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373545" w:themeColor="text2"/>
      <w:sz w:val="20"/>
      <w:szCs w:val="20"/>
      <w:lang w:val="en-GB"/>
    </w:rPr>
  </w:style>
  <w:style w:type="character" w:customStyle="1" w:styleId="ColourAccent1">
    <w:name w:val="Colour Accent 1"/>
    <w:basedOn w:val="DefaultParagraphFont"/>
    <w:uiPriority w:val="1"/>
    <w:qFormat/>
    <w:locked/>
    <w:rsid w:val="001214BE"/>
    <w:rPr>
      <w:color w:val="3494BA" w:themeColor="accent1"/>
    </w:rPr>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locked/>
    <w:rsid w:val="007E4969"/>
    <w:pPr>
      <w:ind w:left="720"/>
      <w:contextualSpacing/>
    </w:pPr>
  </w:style>
  <w:style w:type="table" w:styleId="PlainTable3">
    <w:name w:val="Plain Table 3"/>
    <w:basedOn w:val="TableNormal"/>
    <w:uiPriority w:val="43"/>
    <w:locked/>
    <w:rsid w:val="009278D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link w:val="ListParagraph"/>
    <w:uiPriority w:val="34"/>
    <w:qFormat/>
    <w:locked/>
    <w:rsid w:val="00B05089"/>
    <w:rPr>
      <w:color w:val="373545" w:themeColor="text2"/>
      <w:lang w:val="en-GB"/>
    </w:rPr>
  </w:style>
  <w:style w:type="paragraph" w:styleId="NormalWeb">
    <w:name w:val="Normal (Web)"/>
    <w:basedOn w:val="Normal"/>
    <w:uiPriority w:val="99"/>
    <w:unhideWhenUsed/>
    <w:rsid w:val="007E3FF9"/>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table" w:customStyle="1" w:styleId="APPR">
    <w:name w:val="APPR"/>
    <w:basedOn w:val="TableNormal"/>
    <w:uiPriority w:val="99"/>
    <w:rsid w:val="00390828"/>
    <w:pPr>
      <w:spacing w:after="0" w:line="240" w:lineRule="auto"/>
    </w:pPr>
    <w:rPr>
      <w:rFonts w:ascii="Franklin Gothic Book" w:hAnsi="Franklin Gothic Book"/>
      <w:sz w:val="17"/>
      <w:lang w:eastAsia="en-AU"/>
    </w:rPr>
    <w:tblPr>
      <w:tblStyleRowBandSize w:val="1"/>
      <w:tblCellSpacing w:w="14" w:type="dxa"/>
      <w:tblBorders>
        <w:top w:val="single" w:sz="12" w:space="0" w:color="000000" w:themeColor="text1"/>
        <w:bottom w:val="single" w:sz="12" w:space="0" w:color="000000" w:themeColor="text1"/>
      </w:tblBorders>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styleId="Revision">
    <w:name w:val="Revision"/>
    <w:hidden/>
    <w:uiPriority w:val="99"/>
    <w:semiHidden/>
    <w:rsid w:val="00660121"/>
    <w:pPr>
      <w:spacing w:after="0" w:line="240" w:lineRule="auto"/>
    </w:pPr>
    <w:rPr>
      <w:color w:val="373545" w:themeColor="text2"/>
      <w:lang w:val="en-GB"/>
    </w:rPr>
  </w:style>
  <w:style w:type="table" w:styleId="GridTable1Light-Accent1">
    <w:name w:val="Grid Table 1 Light Accent 1"/>
    <w:basedOn w:val="TableNormal"/>
    <w:uiPriority w:val="46"/>
    <w:locked/>
    <w:rsid w:val="006D5BBB"/>
    <w:pPr>
      <w:spacing w:after="0" w:line="240" w:lineRule="auto"/>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B07921"/>
    <w:rPr>
      <w:color w:val="605E5C"/>
      <w:shd w:val="clear" w:color="auto" w:fill="E1DFDD"/>
    </w:rPr>
  </w:style>
  <w:style w:type="character" w:styleId="UnresolvedMention">
    <w:name w:val="Unresolved Mention"/>
    <w:basedOn w:val="DefaultParagraphFont"/>
    <w:uiPriority w:val="99"/>
    <w:semiHidden/>
    <w:unhideWhenUsed/>
    <w:rsid w:val="00EC2B00"/>
    <w:rPr>
      <w:color w:val="605E5C"/>
      <w:shd w:val="clear" w:color="auto" w:fill="E1DFDD"/>
    </w:rPr>
  </w:style>
  <w:style w:type="character" w:styleId="FollowedHyperlink">
    <w:name w:val="FollowedHyperlink"/>
    <w:basedOn w:val="DefaultParagraphFont"/>
    <w:uiPriority w:val="99"/>
    <w:semiHidden/>
    <w:unhideWhenUsed/>
    <w:rsid w:val="007325FC"/>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4796">
      <w:bodyDiv w:val="1"/>
      <w:marLeft w:val="0"/>
      <w:marRight w:val="0"/>
      <w:marTop w:val="0"/>
      <w:marBottom w:val="0"/>
      <w:divBdr>
        <w:top w:val="none" w:sz="0" w:space="0" w:color="auto"/>
        <w:left w:val="none" w:sz="0" w:space="0" w:color="auto"/>
        <w:bottom w:val="none" w:sz="0" w:space="0" w:color="auto"/>
        <w:right w:val="none" w:sz="0" w:space="0" w:color="auto"/>
      </w:divBdr>
    </w:div>
    <w:div w:id="10036837">
      <w:bodyDiv w:val="1"/>
      <w:marLeft w:val="0"/>
      <w:marRight w:val="0"/>
      <w:marTop w:val="0"/>
      <w:marBottom w:val="0"/>
      <w:divBdr>
        <w:top w:val="none" w:sz="0" w:space="0" w:color="auto"/>
        <w:left w:val="none" w:sz="0" w:space="0" w:color="auto"/>
        <w:bottom w:val="none" w:sz="0" w:space="0" w:color="auto"/>
        <w:right w:val="none" w:sz="0" w:space="0" w:color="auto"/>
      </w:divBdr>
    </w:div>
    <w:div w:id="38632413">
      <w:bodyDiv w:val="1"/>
      <w:marLeft w:val="0"/>
      <w:marRight w:val="0"/>
      <w:marTop w:val="0"/>
      <w:marBottom w:val="0"/>
      <w:divBdr>
        <w:top w:val="none" w:sz="0" w:space="0" w:color="auto"/>
        <w:left w:val="none" w:sz="0" w:space="0" w:color="auto"/>
        <w:bottom w:val="none" w:sz="0" w:space="0" w:color="auto"/>
        <w:right w:val="none" w:sz="0" w:space="0" w:color="auto"/>
      </w:divBdr>
    </w:div>
    <w:div w:id="282928961">
      <w:bodyDiv w:val="1"/>
      <w:marLeft w:val="0"/>
      <w:marRight w:val="0"/>
      <w:marTop w:val="0"/>
      <w:marBottom w:val="0"/>
      <w:divBdr>
        <w:top w:val="none" w:sz="0" w:space="0" w:color="auto"/>
        <w:left w:val="none" w:sz="0" w:space="0" w:color="auto"/>
        <w:bottom w:val="none" w:sz="0" w:space="0" w:color="auto"/>
        <w:right w:val="none" w:sz="0" w:space="0" w:color="auto"/>
      </w:divBdr>
    </w:div>
    <w:div w:id="388267503">
      <w:bodyDiv w:val="1"/>
      <w:marLeft w:val="0"/>
      <w:marRight w:val="0"/>
      <w:marTop w:val="0"/>
      <w:marBottom w:val="0"/>
      <w:divBdr>
        <w:top w:val="none" w:sz="0" w:space="0" w:color="auto"/>
        <w:left w:val="none" w:sz="0" w:space="0" w:color="auto"/>
        <w:bottom w:val="none" w:sz="0" w:space="0" w:color="auto"/>
        <w:right w:val="none" w:sz="0" w:space="0" w:color="auto"/>
      </w:divBdr>
    </w:div>
    <w:div w:id="425854261">
      <w:bodyDiv w:val="1"/>
      <w:marLeft w:val="0"/>
      <w:marRight w:val="0"/>
      <w:marTop w:val="0"/>
      <w:marBottom w:val="0"/>
      <w:divBdr>
        <w:top w:val="none" w:sz="0" w:space="0" w:color="auto"/>
        <w:left w:val="none" w:sz="0" w:space="0" w:color="auto"/>
        <w:bottom w:val="none" w:sz="0" w:space="0" w:color="auto"/>
        <w:right w:val="none" w:sz="0" w:space="0" w:color="auto"/>
      </w:divBdr>
    </w:div>
    <w:div w:id="489640626">
      <w:bodyDiv w:val="1"/>
      <w:marLeft w:val="0"/>
      <w:marRight w:val="0"/>
      <w:marTop w:val="0"/>
      <w:marBottom w:val="0"/>
      <w:divBdr>
        <w:top w:val="none" w:sz="0" w:space="0" w:color="auto"/>
        <w:left w:val="none" w:sz="0" w:space="0" w:color="auto"/>
        <w:bottom w:val="none" w:sz="0" w:space="0" w:color="auto"/>
        <w:right w:val="none" w:sz="0" w:space="0" w:color="auto"/>
      </w:divBdr>
    </w:div>
    <w:div w:id="726149727">
      <w:bodyDiv w:val="1"/>
      <w:marLeft w:val="0"/>
      <w:marRight w:val="0"/>
      <w:marTop w:val="0"/>
      <w:marBottom w:val="0"/>
      <w:divBdr>
        <w:top w:val="none" w:sz="0" w:space="0" w:color="auto"/>
        <w:left w:val="none" w:sz="0" w:space="0" w:color="auto"/>
        <w:bottom w:val="none" w:sz="0" w:space="0" w:color="auto"/>
        <w:right w:val="none" w:sz="0" w:space="0" w:color="auto"/>
      </w:divBdr>
    </w:div>
    <w:div w:id="872420956">
      <w:bodyDiv w:val="1"/>
      <w:marLeft w:val="0"/>
      <w:marRight w:val="0"/>
      <w:marTop w:val="0"/>
      <w:marBottom w:val="0"/>
      <w:divBdr>
        <w:top w:val="none" w:sz="0" w:space="0" w:color="auto"/>
        <w:left w:val="none" w:sz="0" w:space="0" w:color="auto"/>
        <w:bottom w:val="none" w:sz="0" w:space="0" w:color="auto"/>
        <w:right w:val="none" w:sz="0" w:space="0" w:color="auto"/>
      </w:divBdr>
    </w:div>
    <w:div w:id="993988907">
      <w:bodyDiv w:val="1"/>
      <w:marLeft w:val="0"/>
      <w:marRight w:val="0"/>
      <w:marTop w:val="0"/>
      <w:marBottom w:val="0"/>
      <w:divBdr>
        <w:top w:val="none" w:sz="0" w:space="0" w:color="auto"/>
        <w:left w:val="none" w:sz="0" w:space="0" w:color="auto"/>
        <w:bottom w:val="none" w:sz="0" w:space="0" w:color="auto"/>
        <w:right w:val="none" w:sz="0" w:space="0" w:color="auto"/>
      </w:divBdr>
    </w:div>
    <w:div w:id="1161970788">
      <w:bodyDiv w:val="1"/>
      <w:marLeft w:val="0"/>
      <w:marRight w:val="0"/>
      <w:marTop w:val="0"/>
      <w:marBottom w:val="0"/>
      <w:divBdr>
        <w:top w:val="none" w:sz="0" w:space="0" w:color="auto"/>
        <w:left w:val="none" w:sz="0" w:space="0" w:color="auto"/>
        <w:bottom w:val="none" w:sz="0" w:space="0" w:color="auto"/>
        <w:right w:val="none" w:sz="0" w:space="0" w:color="auto"/>
      </w:divBdr>
    </w:div>
    <w:div w:id="1168977536">
      <w:bodyDiv w:val="1"/>
      <w:marLeft w:val="0"/>
      <w:marRight w:val="0"/>
      <w:marTop w:val="0"/>
      <w:marBottom w:val="0"/>
      <w:divBdr>
        <w:top w:val="none" w:sz="0" w:space="0" w:color="auto"/>
        <w:left w:val="none" w:sz="0" w:space="0" w:color="auto"/>
        <w:bottom w:val="none" w:sz="0" w:space="0" w:color="auto"/>
        <w:right w:val="none" w:sz="0" w:space="0" w:color="auto"/>
      </w:divBdr>
    </w:div>
    <w:div w:id="1180923512">
      <w:bodyDiv w:val="1"/>
      <w:marLeft w:val="0"/>
      <w:marRight w:val="0"/>
      <w:marTop w:val="0"/>
      <w:marBottom w:val="0"/>
      <w:divBdr>
        <w:top w:val="none" w:sz="0" w:space="0" w:color="auto"/>
        <w:left w:val="none" w:sz="0" w:space="0" w:color="auto"/>
        <w:bottom w:val="none" w:sz="0" w:space="0" w:color="auto"/>
        <w:right w:val="none" w:sz="0" w:space="0" w:color="auto"/>
      </w:divBdr>
    </w:div>
    <w:div w:id="1340739369">
      <w:bodyDiv w:val="1"/>
      <w:marLeft w:val="0"/>
      <w:marRight w:val="0"/>
      <w:marTop w:val="0"/>
      <w:marBottom w:val="0"/>
      <w:divBdr>
        <w:top w:val="none" w:sz="0" w:space="0" w:color="auto"/>
        <w:left w:val="none" w:sz="0" w:space="0" w:color="auto"/>
        <w:bottom w:val="none" w:sz="0" w:space="0" w:color="auto"/>
        <w:right w:val="none" w:sz="0" w:space="0" w:color="auto"/>
      </w:divBdr>
    </w:div>
    <w:div w:id="1341353538">
      <w:bodyDiv w:val="1"/>
      <w:marLeft w:val="0"/>
      <w:marRight w:val="0"/>
      <w:marTop w:val="0"/>
      <w:marBottom w:val="0"/>
      <w:divBdr>
        <w:top w:val="none" w:sz="0" w:space="0" w:color="auto"/>
        <w:left w:val="none" w:sz="0" w:space="0" w:color="auto"/>
        <w:bottom w:val="none" w:sz="0" w:space="0" w:color="auto"/>
        <w:right w:val="none" w:sz="0" w:space="0" w:color="auto"/>
      </w:divBdr>
    </w:div>
    <w:div w:id="1511870680">
      <w:bodyDiv w:val="1"/>
      <w:marLeft w:val="0"/>
      <w:marRight w:val="0"/>
      <w:marTop w:val="0"/>
      <w:marBottom w:val="0"/>
      <w:divBdr>
        <w:top w:val="none" w:sz="0" w:space="0" w:color="auto"/>
        <w:left w:val="none" w:sz="0" w:space="0" w:color="auto"/>
        <w:bottom w:val="none" w:sz="0" w:space="0" w:color="auto"/>
        <w:right w:val="none" w:sz="0" w:space="0" w:color="auto"/>
      </w:divBdr>
    </w:div>
    <w:div w:id="1549803562">
      <w:bodyDiv w:val="1"/>
      <w:marLeft w:val="0"/>
      <w:marRight w:val="0"/>
      <w:marTop w:val="0"/>
      <w:marBottom w:val="0"/>
      <w:divBdr>
        <w:top w:val="none" w:sz="0" w:space="0" w:color="auto"/>
        <w:left w:val="none" w:sz="0" w:space="0" w:color="auto"/>
        <w:bottom w:val="none" w:sz="0" w:space="0" w:color="auto"/>
        <w:right w:val="none" w:sz="0" w:space="0" w:color="auto"/>
      </w:divBdr>
    </w:div>
    <w:div w:id="1649163866">
      <w:bodyDiv w:val="1"/>
      <w:marLeft w:val="0"/>
      <w:marRight w:val="0"/>
      <w:marTop w:val="0"/>
      <w:marBottom w:val="0"/>
      <w:divBdr>
        <w:top w:val="none" w:sz="0" w:space="0" w:color="auto"/>
        <w:left w:val="none" w:sz="0" w:space="0" w:color="auto"/>
        <w:bottom w:val="none" w:sz="0" w:space="0" w:color="auto"/>
        <w:right w:val="none" w:sz="0" w:space="0" w:color="auto"/>
      </w:divBdr>
      <w:divsChild>
        <w:div w:id="726031262">
          <w:marLeft w:val="274"/>
          <w:marRight w:val="0"/>
          <w:marTop w:val="0"/>
          <w:marBottom w:val="120"/>
          <w:divBdr>
            <w:top w:val="none" w:sz="0" w:space="0" w:color="auto"/>
            <w:left w:val="none" w:sz="0" w:space="0" w:color="auto"/>
            <w:bottom w:val="none" w:sz="0" w:space="0" w:color="auto"/>
            <w:right w:val="none" w:sz="0" w:space="0" w:color="auto"/>
          </w:divBdr>
        </w:div>
        <w:div w:id="589117039">
          <w:marLeft w:val="274"/>
          <w:marRight w:val="0"/>
          <w:marTop w:val="0"/>
          <w:marBottom w:val="120"/>
          <w:divBdr>
            <w:top w:val="none" w:sz="0" w:space="0" w:color="auto"/>
            <w:left w:val="none" w:sz="0" w:space="0" w:color="auto"/>
            <w:bottom w:val="none" w:sz="0" w:space="0" w:color="auto"/>
            <w:right w:val="none" w:sz="0" w:space="0" w:color="auto"/>
          </w:divBdr>
        </w:div>
      </w:divsChild>
    </w:div>
    <w:div w:id="1650674076">
      <w:bodyDiv w:val="1"/>
      <w:marLeft w:val="0"/>
      <w:marRight w:val="0"/>
      <w:marTop w:val="0"/>
      <w:marBottom w:val="0"/>
      <w:divBdr>
        <w:top w:val="none" w:sz="0" w:space="0" w:color="auto"/>
        <w:left w:val="none" w:sz="0" w:space="0" w:color="auto"/>
        <w:bottom w:val="none" w:sz="0" w:space="0" w:color="auto"/>
        <w:right w:val="none" w:sz="0" w:space="0" w:color="auto"/>
      </w:divBdr>
    </w:div>
    <w:div w:id="1652755404">
      <w:bodyDiv w:val="1"/>
      <w:marLeft w:val="0"/>
      <w:marRight w:val="0"/>
      <w:marTop w:val="0"/>
      <w:marBottom w:val="0"/>
      <w:divBdr>
        <w:top w:val="none" w:sz="0" w:space="0" w:color="auto"/>
        <w:left w:val="none" w:sz="0" w:space="0" w:color="auto"/>
        <w:bottom w:val="none" w:sz="0" w:space="0" w:color="auto"/>
        <w:right w:val="none" w:sz="0" w:space="0" w:color="auto"/>
      </w:divBdr>
    </w:div>
    <w:div w:id="1659458436">
      <w:bodyDiv w:val="1"/>
      <w:marLeft w:val="0"/>
      <w:marRight w:val="0"/>
      <w:marTop w:val="0"/>
      <w:marBottom w:val="0"/>
      <w:divBdr>
        <w:top w:val="none" w:sz="0" w:space="0" w:color="auto"/>
        <w:left w:val="none" w:sz="0" w:space="0" w:color="auto"/>
        <w:bottom w:val="none" w:sz="0" w:space="0" w:color="auto"/>
        <w:right w:val="none" w:sz="0" w:space="0" w:color="auto"/>
      </w:divBdr>
    </w:div>
    <w:div w:id="1731686273">
      <w:bodyDiv w:val="1"/>
      <w:marLeft w:val="0"/>
      <w:marRight w:val="0"/>
      <w:marTop w:val="0"/>
      <w:marBottom w:val="0"/>
      <w:divBdr>
        <w:top w:val="none" w:sz="0" w:space="0" w:color="auto"/>
        <w:left w:val="none" w:sz="0" w:space="0" w:color="auto"/>
        <w:bottom w:val="none" w:sz="0" w:space="0" w:color="auto"/>
        <w:right w:val="none" w:sz="0" w:space="0" w:color="auto"/>
      </w:divBdr>
      <w:divsChild>
        <w:div w:id="861240672">
          <w:marLeft w:val="274"/>
          <w:marRight w:val="0"/>
          <w:marTop w:val="120"/>
          <w:marBottom w:val="0"/>
          <w:divBdr>
            <w:top w:val="none" w:sz="0" w:space="0" w:color="auto"/>
            <w:left w:val="none" w:sz="0" w:space="0" w:color="auto"/>
            <w:bottom w:val="none" w:sz="0" w:space="0" w:color="auto"/>
            <w:right w:val="none" w:sz="0" w:space="0" w:color="auto"/>
          </w:divBdr>
        </w:div>
        <w:div w:id="104663363">
          <w:marLeft w:val="274"/>
          <w:marRight w:val="0"/>
          <w:marTop w:val="120"/>
          <w:marBottom w:val="0"/>
          <w:divBdr>
            <w:top w:val="none" w:sz="0" w:space="0" w:color="auto"/>
            <w:left w:val="none" w:sz="0" w:space="0" w:color="auto"/>
            <w:bottom w:val="none" w:sz="0" w:space="0" w:color="auto"/>
            <w:right w:val="none" w:sz="0" w:space="0" w:color="auto"/>
          </w:divBdr>
        </w:div>
      </w:divsChild>
    </w:div>
    <w:div w:id="1942175525">
      <w:bodyDiv w:val="1"/>
      <w:marLeft w:val="0"/>
      <w:marRight w:val="0"/>
      <w:marTop w:val="0"/>
      <w:marBottom w:val="0"/>
      <w:divBdr>
        <w:top w:val="none" w:sz="0" w:space="0" w:color="auto"/>
        <w:left w:val="none" w:sz="0" w:space="0" w:color="auto"/>
        <w:bottom w:val="none" w:sz="0" w:space="0" w:color="auto"/>
        <w:right w:val="none" w:sz="0" w:space="0" w:color="auto"/>
      </w:divBdr>
    </w:div>
    <w:div w:id="1955936619">
      <w:bodyDiv w:val="1"/>
      <w:marLeft w:val="0"/>
      <w:marRight w:val="0"/>
      <w:marTop w:val="0"/>
      <w:marBottom w:val="0"/>
      <w:divBdr>
        <w:top w:val="none" w:sz="0" w:space="0" w:color="auto"/>
        <w:left w:val="none" w:sz="0" w:space="0" w:color="auto"/>
        <w:bottom w:val="none" w:sz="0" w:space="0" w:color="auto"/>
        <w:right w:val="none" w:sz="0" w:space="0" w:color="auto"/>
      </w:divBdr>
    </w:div>
    <w:div w:id="2004385573">
      <w:bodyDiv w:val="1"/>
      <w:marLeft w:val="0"/>
      <w:marRight w:val="0"/>
      <w:marTop w:val="0"/>
      <w:marBottom w:val="0"/>
      <w:divBdr>
        <w:top w:val="none" w:sz="0" w:space="0" w:color="auto"/>
        <w:left w:val="none" w:sz="0" w:space="0" w:color="auto"/>
        <w:bottom w:val="none" w:sz="0" w:space="0" w:color="auto"/>
        <w:right w:val="none" w:sz="0" w:space="0" w:color="auto"/>
      </w:divBdr>
    </w:div>
    <w:div w:id="2025478766">
      <w:bodyDiv w:val="1"/>
      <w:marLeft w:val="0"/>
      <w:marRight w:val="0"/>
      <w:marTop w:val="0"/>
      <w:marBottom w:val="0"/>
      <w:divBdr>
        <w:top w:val="none" w:sz="0" w:space="0" w:color="auto"/>
        <w:left w:val="none" w:sz="0" w:space="0" w:color="auto"/>
        <w:bottom w:val="none" w:sz="0" w:space="0" w:color="auto"/>
        <w:right w:val="none" w:sz="0" w:space="0" w:color="auto"/>
      </w:divBdr>
    </w:div>
    <w:div w:id="202967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fat.gov.au/publications/aid/partnerships-recovery-australias-covid-19-development-response" TargetMode="External"/><Relationship Id="rId13" Type="http://schemas.openxmlformats.org/officeDocument/2006/relationships/hyperlink" Target="http://commons.wikimedia.org/wiki/File:Group_font_awesome.svg" TargetMode="External"/><Relationship Id="rId18" Type="http://schemas.openxmlformats.org/officeDocument/2006/relationships/hyperlink" Target="https://www.dfat.gov.au/about-us/publications/Pages/ancp-program-logic"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chart" Target="charts/chart2.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localhost\c$\users\rleven\OneDrive%20-%20Department%20of%20Foreign%20Affairs%20and%20Trade%20(dfat.gov.au)\Docs\Offline%20Records%20(CH)\2020-21%20data%20set\2020-21%20Performance%20Full%20Aid%20Statistics.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oleObject" Target="file:///\\localhost\c$\users\rleven\OneDrive%20-%20Department%20of%20Foreign%20Affairs%20and%20Trade%20(dfat.gov.au)\Docs\Offline%20Records%20(CH)\2020-21%20data%20set\2020-21%20Performance%20Header%20Program%20Logic%20Pathways%201,2%20and%203%20Report.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t>Graph 1: 2020-21 ANCP Project Expenditure by SDG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220848397060206"/>
          <c:y val="0.13777293561575246"/>
          <c:w val="0.60716234403986757"/>
          <c:h val="0.83147933552331121"/>
        </c:manualLayout>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1 SDGs'!$A$26:$A$43</c:f>
              <c:strCache>
                <c:ptCount val="17"/>
                <c:pt idx="0">
                  <c:v>Goal 1. No Poverty</c:v>
                </c:pt>
                <c:pt idx="1">
                  <c:v>Goal 2. Zero Hunger</c:v>
                </c:pt>
                <c:pt idx="2">
                  <c:v>Goal 3. Good Health and Well-being</c:v>
                </c:pt>
                <c:pt idx="3">
                  <c:v>Goal 4. Quality Education</c:v>
                </c:pt>
                <c:pt idx="4">
                  <c:v>Goal 5. Gender Equality</c:v>
                </c:pt>
                <c:pt idx="5">
                  <c:v>Goal 6. Clean Water and Sanitation</c:v>
                </c:pt>
                <c:pt idx="6">
                  <c:v>Goal 7. Affordable and Clean Energy</c:v>
                </c:pt>
                <c:pt idx="7">
                  <c:v>Goal 8. Decent Work and Economic Growth </c:v>
                </c:pt>
                <c:pt idx="8">
                  <c:v>Goal 9. Industry, Innovation and Infrastructure </c:v>
                </c:pt>
                <c:pt idx="9">
                  <c:v>Goal 10. Reduce Inequalities</c:v>
                </c:pt>
                <c:pt idx="10">
                  <c:v>Goal 11. Sustainable Cities and Communities </c:v>
                </c:pt>
                <c:pt idx="11">
                  <c:v>Goal 12. Responsible Consumption and Production </c:v>
                </c:pt>
                <c:pt idx="12">
                  <c:v>Goal 13. Climate Action</c:v>
                </c:pt>
                <c:pt idx="13">
                  <c:v>Goal 14. Life Below Water</c:v>
                </c:pt>
                <c:pt idx="14">
                  <c:v>Goal 15. Life on Land</c:v>
                </c:pt>
                <c:pt idx="15">
                  <c:v>Goal 16. Peace, Justice and Strong Institutions </c:v>
                </c:pt>
                <c:pt idx="16">
                  <c:v>Goal 17. Partnerships for the Goals</c:v>
                </c:pt>
              </c:strCache>
            </c:strRef>
          </c:cat>
          <c:val>
            <c:numRef>
              <c:f>'Graph 1 SDGs'!$B$26:$B$43</c:f>
              <c:numCache>
                <c:formatCode>0.00</c:formatCode>
                <c:ptCount val="17"/>
                <c:pt idx="0" formatCode="_(* #,##0.00_);_(* \(#,##0.00\);_(* &quot;-&quot;??_);_(@_)">
                  <c:v>6.1414263146455861</c:v>
                </c:pt>
                <c:pt idx="1">
                  <c:v>7.112425830452727</c:v>
                </c:pt>
                <c:pt idx="2">
                  <c:v>27.674682051502092</c:v>
                </c:pt>
                <c:pt idx="3">
                  <c:v>10.980868373533054</c:v>
                </c:pt>
                <c:pt idx="4">
                  <c:v>12.968183675801615</c:v>
                </c:pt>
                <c:pt idx="5">
                  <c:v>6.6463332412207361</c:v>
                </c:pt>
                <c:pt idx="6">
                  <c:v>0.13803552490350166</c:v>
                </c:pt>
                <c:pt idx="7">
                  <c:v>4.0144346790491596</c:v>
                </c:pt>
                <c:pt idx="8">
                  <c:v>1.4860796983774223</c:v>
                </c:pt>
                <c:pt idx="9">
                  <c:v>5.935496401006918</c:v>
                </c:pt>
                <c:pt idx="10">
                  <c:v>1.7476658972777912</c:v>
                </c:pt>
                <c:pt idx="11">
                  <c:v>0.11886595084981666</c:v>
                </c:pt>
                <c:pt idx="12">
                  <c:v>3.5021149382953141</c:v>
                </c:pt>
                <c:pt idx="13">
                  <c:v>7.884509654845806E-2</c:v>
                </c:pt>
                <c:pt idx="14">
                  <c:v>5.1468297904005942</c:v>
                </c:pt>
                <c:pt idx="15">
                  <c:v>5.5013855978937851</c:v>
                </c:pt>
                <c:pt idx="16">
                  <c:v>0.80632691994497441</c:v>
                </c:pt>
              </c:numCache>
            </c:numRef>
          </c:val>
          <c:extLst>
            <c:ext xmlns:c16="http://schemas.microsoft.com/office/drawing/2014/chart" uri="{C3380CC4-5D6E-409C-BE32-E72D297353CC}">
              <c16:uniqueId val="{00000000-FAA0-429E-89C0-651B6CD1CE0E}"/>
            </c:ext>
          </c:extLst>
        </c:ser>
        <c:dLbls>
          <c:showLegendKey val="0"/>
          <c:showVal val="0"/>
          <c:showCatName val="0"/>
          <c:showSerName val="0"/>
          <c:showPercent val="0"/>
          <c:showBubbleSize val="0"/>
        </c:dLbls>
        <c:gapWidth val="130"/>
        <c:axId val="858438624"/>
        <c:axId val="858443872"/>
      </c:barChart>
      <c:catAx>
        <c:axId val="8584386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443872"/>
        <c:crosses val="autoZero"/>
        <c:auto val="1"/>
        <c:lblAlgn val="ctr"/>
        <c:lblOffset val="100"/>
        <c:noMultiLvlLbl val="0"/>
      </c:catAx>
      <c:valAx>
        <c:axId val="858443872"/>
        <c:scaling>
          <c:orientation val="minMax"/>
        </c:scaling>
        <c:delete val="1"/>
        <c:axPos val="t"/>
        <c:numFmt formatCode="_(* #,##0.00_);_(* \(#,##0.00\);_(* &quot;-&quot;??_);_(@_)" sourceLinked="1"/>
        <c:majorTickMark val="none"/>
        <c:minorTickMark val="none"/>
        <c:tickLblPos val="nextTo"/>
        <c:crossAx val="858438624"/>
        <c:crosses val="autoZero"/>
        <c:crossBetween val="between"/>
      </c:valAx>
      <c:spPr>
        <a:noFill/>
        <a:ln>
          <a:noFill/>
        </a:ln>
        <a:effectLst/>
      </c:spPr>
    </c:plotArea>
    <c:plotVisOnly val="1"/>
    <c:dispBlanksAs val="gap"/>
    <c:showDLblsOverMax val="0"/>
  </c:chart>
  <c:spPr>
    <a:solidFill>
      <a:schemeClr val="bg1"/>
    </a:solidFill>
    <a:ln w="12700"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t>Graph 2: 2020-21 Implementing</a:t>
            </a:r>
            <a:r>
              <a:rPr lang="en-AU" b="1" baseline="0"/>
              <a:t> partners by type (%)</a:t>
            </a:r>
            <a:endParaRPr lang="en-AU"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2'!$A$21:$A$32</c:f>
              <c:strCache>
                <c:ptCount val="12"/>
                <c:pt idx="0">
                  <c:v>Auxiliary to Government</c:v>
                </c:pt>
                <c:pt idx="1">
                  <c:v>Committee/Network/Stakeholder Group</c:v>
                </c:pt>
                <c:pt idx="2">
                  <c:v>Disabled Persons Organisation (DPO)</c:v>
                </c:pt>
                <c:pt idx="3">
                  <c:v>Education (School, University, Training) should not include Govt. Dept. of Education</c:v>
                </c:pt>
                <c:pt idx="4">
                  <c:v>Faith Based Organisation</c:v>
                </c:pt>
                <c:pt idx="5">
                  <c:v>Government (Local/Provincial/National)</c:v>
                </c:pt>
                <c:pt idx="6">
                  <c:v>Health (Hospital, Medical Centre) should not include Govt. Dept. of Health</c:v>
                </c:pt>
                <c:pt idx="7">
                  <c:v>International NGO/CSO</c:v>
                </c:pt>
                <c:pt idx="8">
                  <c:v>Local NGO/CSO</c:v>
                </c:pt>
                <c:pt idx="9">
                  <c:v>Multi-lateral Organisation</c:v>
                </c:pt>
                <c:pt idx="10">
                  <c:v>Private Sector</c:v>
                </c:pt>
                <c:pt idx="11">
                  <c:v>Research or Technical Institution</c:v>
                </c:pt>
              </c:strCache>
            </c:strRef>
          </c:cat>
          <c:val>
            <c:numRef>
              <c:f>'Table 2'!$B$21:$B$32</c:f>
              <c:numCache>
                <c:formatCode>0.00</c:formatCode>
                <c:ptCount val="12"/>
                <c:pt idx="0">
                  <c:v>1.7482517482517483</c:v>
                </c:pt>
                <c:pt idx="1">
                  <c:v>6.2937062937062942</c:v>
                </c:pt>
                <c:pt idx="2">
                  <c:v>2.5641025641025639</c:v>
                </c:pt>
                <c:pt idx="3">
                  <c:v>3.4576534576534574</c:v>
                </c:pt>
                <c:pt idx="4">
                  <c:v>4.156954156954157</c:v>
                </c:pt>
                <c:pt idx="5">
                  <c:v>31.157731157731156</c:v>
                </c:pt>
                <c:pt idx="6">
                  <c:v>4.1958041958041958</c:v>
                </c:pt>
                <c:pt idx="7">
                  <c:v>11.84926184926185</c:v>
                </c:pt>
                <c:pt idx="8">
                  <c:v>26.767676767676768</c:v>
                </c:pt>
                <c:pt idx="9">
                  <c:v>1.5928515928515927</c:v>
                </c:pt>
                <c:pt idx="10">
                  <c:v>4.4677544677544683</c:v>
                </c:pt>
                <c:pt idx="11">
                  <c:v>1.7482517482517483</c:v>
                </c:pt>
              </c:numCache>
            </c:numRef>
          </c:val>
          <c:extLst>
            <c:ext xmlns:c16="http://schemas.microsoft.com/office/drawing/2014/chart" uri="{C3380CC4-5D6E-409C-BE32-E72D297353CC}">
              <c16:uniqueId val="{00000000-5146-4EAD-9B77-B13777827E65}"/>
            </c:ext>
          </c:extLst>
        </c:ser>
        <c:dLbls>
          <c:showLegendKey val="0"/>
          <c:showVal val="0"/>
          <c:showCatName val="0"/>
          <c:showSerName val="0"/>
          <c:showPercent val="0"/>
          <c:showBubbleSize val="0"/>
        </c:dLbls>
        <c:gapWidth val="100"/>
        <c:axId val="862261336"/>
        <c:axId val="1044910024"/>
      </c:barChart>
      <c:catAx>
        <c:axId val="862261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4910024"/>
        <c:crosses val="autoZero"/>
        <c:auto val="1"/>
        <c:lblAlgn val="ctr"/>
        <c:lblOffset val="100"/>
        <c:noMultiLvlLbl val="0"/>
      </c:catAx>
      <c:valAx>
        <c:axId val="1044910024"/>
        <c:scaling>
          <c:orientation val="minMax"/>
        </c:scaling>
        <c:delete val="1"/>
        <c:axPos val="b"/>
        <c:numFmt formatCode="0.00" sourceLinked="1"/>
        <c:majorTickMark val="none"/>
        <c:minorTickMark val="none"/>
        <c:tickLblPos val="nextTo"/>
        <c:crossAx val="862261336"/>
        <c:crosses val="autoZero"/>
        <c:crossBetween val="between"/>
      </c:valAx>
      <c:spPr>
        <a:noFill/>
        <a:ln w="3175">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t>Graph 3: ANCP </a:t>
            </a:r>
            <a:r>
              <a:rPr lang="en-AU" b="1" baseline="0"/>
              <a:t>Pathway 2: Development outcomes (# of NGOs)</a:t>
            </a:r>
            <a:endParaRPr lang="en-AU" b="1"/>
          </a:p>
        </c:rich>
      </c:tx>
      <c:layout>
        <c:manualLayout>
          <c:xMode val="edge"/>
          <c:yMode val="edge"/>
          <c:x val="0.13809230769230768"/>
          <c:y val="7.597340930674264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093765982095152"/>
          <c:y val="0.11846737632869203"/>
          <c:w val="0.48469605253133641"/>
          <c:h val="0.83118914136409583"/>
        </c:manualLayout>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'Modality 2'!$G$4:$G$8</c:f>
              <c:strCache>
                <c:ptCount val="5"/>
                <c:pt idx="0">
                  <c:v>ANGOs maintain quality relationships with in-country partners </c:v>
                </c:pt>
                <c:pt idx="1">
                  <c:v>ANGOs progress selected SDGs, focusing on groups whose needs are greatest </c:v>
                </c:pt>
                <c:pt idx="2">
                  <c:v>ANGOs strengthen capacity of in-country partners and civil society more broadly </c:v>
                </c:pt>
                <c:pt idx="3">
                  <c:v>ANGOs support locally led development processes </c:v>
                </c:pt>
                <c:pt idx="4">
                  <c:v>ANGOs, with in-country partners, deliver effective development programs with a focus on gender equality and social inclusion </c:v>
                </c:pt>
              </c:strCache>
            </c:strRef>
          </c:cat>
          <c:val>
            <c:numRef>
              <c:f>'Modality 2'!$H$4:$H$8</c:f>
              <c:numCache>
                <c:formatCode>General</c:formatCode>
                <c:ptCount val="5"/>
                <c:pt idx="0">
                  <c:v>14</c:v>
                </c:pt>
                <c:pt idx="1">
                  <c:v>22</c:v>
                </c:pt>
                <c:pt idx="2">
                  <c:v>30</c:v>
                </c:pt>
                <c:pt idx="3">
                  <c:v>13</c:v>
                </c:pt>
                <c:pt idx="4">
                  <c:v>23</c:v>
                </c:pt>
              </c:numCache>
            </c:numRef>
          </c:val>
          <c:extLst>
            <c:ext xmlns:c16="http://schemas.microsoft.com/office/drawing/2014/chart" uri="{C3380CC4-5D6E-409C-BE32-E72D297353CC}">
              <c16:uniqueId val="{00000000-69A5-4823-AD5C-D2F84836EAB0}"/>
            </c:ext>
          </c:extLst>
        </c:ser>
        <c:dLbls>
          <c:showLegendKey val="0"/>
          <c:showVal val="0"/>
          <c:showCatName val="0"/>
          <c:showSerName val="0"/>
          <c:showPercent val="0"/>
          <c:showBubbleSize val="0"/>
        </c:dLbls>
        <c:gapWidth val="182"/>
        <c:axId val="695567776"/>
        <c:axId val="695566464"/>
      </c:barChart>
      <c:catAx>
        <c:axId val="695567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95566464"/>
        <c:crosses val="autoZero"/>
        <c:auto val="1"/>
        <c:lblAlgn val="ctr"/>
        <c:lblOffset val="100"/>
        <c:noMultiLvlLbl val="0"/>
      </c:catAx>
      <c:valAx>
        <c:axId val="695566464"/>
        <c:scaling>
          <c:orientation val="minMax"/>
        </c:scaling>
        <c:delete val="1"/>
        <c:axPos val="b"/>
        <c:numFmt formatCode="General" sourceLinked="1"/>
        <c:majorTickMark val="none"/>
        <c:minorTickMark val="none"/>
        <c:tickLblPos val="nextTo"/>
        <c:crossAx val="695567776"/>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baseline="0"/>
              <a:t>Graph 4: 2020-21 capacity building focus (# of projects)</a:t>
            </a:r>
            <a:endParaRPr lang="en-AU" b="1"/>
          </a:p>
        </c:rich>
      </c:tx>
      <c:layout>
        <c:manualLayout>
          <c:xMode val="edge"/>
          <c:yMode val="edge"/>
          <c:x val="0.15048635049651052"/>
          <c:y val="1.82648401826484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7144230218718368"/>
          <c:y val="0.10777156922127711"/>
          <c:w val="0.69796391638427124"/>
          <c:h val="0.79607831057872813"/>
        </c:manualLayout>
      </c:layout>
      <c:barChart>
        <c:barDir val="bar"/>
        <c:grouping val="clustered"/>
        <c:varyColors val="0"/>
        <c:ser>
          <c:idx val="1"/>
          <c:order val="1"/>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'Capacity Building'!$I$2:$I$8</c:f>
              <c:strCache>
                <c:ptCount val="7"/>
                <c:pt idx="0">
                  <c:v>Safeguards </c:v>
                </c:pt>
                <c:pt idx="1">
                  <c:v>Technical </c:v>
                </c:pt>
                <c:pt idx="2">
                  <c:v>Financial and financial risk management</c:v>
                </c:pt>
                <c:pt idx="3">
                  <c:v>Gender Equality</c:v>
                </c:pt>
                <c:pt idx="4">
                  <c:v>M&amp;E</c:v>
                </c:pt>
                <c:pt idx="5">
                  <c:v>Disability Inclusion</c:v>
                </c:pt>
                <c:pt idx="6">
                  <c:v>Other</c:v>
                </c:pt>
              </c:strCache>
            </c:strRef>
          </c:cat>
          <c:val>
            <c:numRef>
              <c:f>'Capacity Building'!$K$2:$K$8</c:f>
              <c:numCache>
                <c:formatCode>General</c:formatCode>
                <c:ptCount val="7"/>
                <c:pt idx="0">
                  <c:v>272</c:v>
                </c:pt>
                <c:pt idx="1">
                  <c:v>222</c:v>
                </c:pt>
                <c:pt idx="2">
                  <c:v>183</c:v>
                </c:pt>
                <c:pt idx="3">
                  <c:v>167</c:v>
                </c:pt>
                <c:pt idx="4">
                  <c:v>155</c:v>
                </c:pt>
                <c:pt idx="5">
                  <c:v>117</c:v>
                </c:pt>
                <c:pt idx="6">
                  <c:v>32</c:v>
                </c:pt>
              </c:numCache>
            </c:numRef>
          </c:val>
          <c:extLst>
            <c:ext xmlns:c16="http://schemas.microsoft.com/office/drawing/2014/chart" uri="{C3380CC4-5D6E-409C-BE32-E72D297353CC}">
              <c16:uniqueId val="{00000000-62D0-422C-A00B-E150418169C2}"/>
            </c:ext>
          </c:extLst>
        </c:ser>
        <c:dLbls>
          <c:dLblPos val="outEnd"/>
          <c:showLegendKey val="0"/>
          <c:showVal val="1"/>
          <c:showCatName val="0"/>
          <c:showSerName val="0"/>
          <c:showPercent val="0"/>
          <c:showBubbleSize val="0"/>
        </c:dLbls>
        <c:gapWidth val="109"/>
        <c:axId val="808766936"/>
        <c:axId val="808771856"/>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'Capacity Building'!$I$2:$I$8</c15:sqref>
                        </c15:formulaRef>
                      </c:ext>
                    </c:extLst>
                    <c:strCache>
                      <c:ptCount val="7"/>
                      <c:pt idx="0">
                        <c:v>Safeguards </c:v>
                      </c:pt>
                      <c:pt idx="1">
                        <c:v>Technical </c:v>
                      </c:pt>
                      <c:pt idx="2">
                        <c:v>Financial and financial risk management</c:v>
                      </c:pt>
                      <c:pt idx="3">
                        <c:v>Gender Equality</c:v>
                      </c:pt>
                      <c:pt idx="4">
                        <c:v>M&amp;E</c:v>
                      </c:pt>
                      <c:pt idx="5">
                        <c:v>Disability Inclusion</c:v>
                      </c:pt>
                      <c:pt idx="6">
                        <c:v>Other</c:v>
                      </c:pt>
                    </c:strCache>
                  </c:strRef>
                </c:cat>
                <c:val>
                  <c:numRef>
                    <c:extLst>
                      <c:ext uri="{02D57815-91ED-43cb-92C2-25804820EDAC}">
                        <c15:formulaRef>
                          <c15:sqref>'Capacity Building'!$J$2:$J$8</c15:sqref>
                        </c15:formulaRef>
                      </c:ext>
                    </c:extLst>
                    <c:numCache>
                      <c:formatCode>General</c:formatCode>
                      <c:ptCount val="7"/>
                    </c:numCache>
                  </c:numRef>
                </c:val>
                <c:extLst>
                  <c:ext xmlns:c16="http://schemas.microsoft.com/office/drawing/2014/chart" uri="{C3380CC4-5D6E-409C-BE32-E72D297353CC}">
                    <c16:uniqueId val="{00000001-62D0-422C-A00B-E150418169C2}"/>
                  </c:ext>
                </c:extLst>
              </c15:ser>
            </c15:filteredBarSeries>
          </c:ext>
        </c:extLst>
      </c:barChart>
      <c:catAx>
        <c:axId val="808766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8771856"/>
        <c:crosses val="autoZero"/>
        <c:auto val="1"/>
        <c:lblAlgn val="ctr"/>
        <c:lblOffset val="100"/>
        <c:noMultiLvlLbl val="0"/>
      </c:catAx>
      <c:valAx>
        <c:axId val="808771856"/>
        <c:scaling>
          <c:orientation val="minMax"/>
        </c:scaling>
        <c:delete val="1"/>
        <c:axPos val="b"/>
        <c:numFmt formatCode="General" sourceLinked="1"/>
        <c:majorTickMark val="none"/>
        <c:minorTickMark val="none"/>
        <c:tickLblPos val="nextTo"/>
        <c:crossAx val="808766936"/>
        <c:crosses val="autoZero"/>
        <c:crossBetween val="between"/>
      </c:valAx>
      <c:spPr>
        <a:noFill/>
        <a:ln>
          <a:noFill/>
        </a:ln>
        <a:effectLst/>
      </c:spPr>
    </c:plotArea>
    <c:plotVisOnly val="1"/>
    <c:dispBlanksAs val="gap"/>
    <c:showDLblsOverMax val="0"/>
  </c:chart>
  <c:spPr>
    <a:solidFill>
      <a:schemeClr val="bg1"/>
    </a:solidFill>
    <a:ln w="12700"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t>Graph 5: ANCP Program Logic Pathway 1: Modality (#</a:t>
            </a:r>
            <a:r>
              <a:rPr lang="en-AU" b="1" baseline="0"/>
              <a:t> </a:t>
            </a:r>
            <a:r>
              <a:rPr lang="en-AU" b="1"/>
              <a:t>of NGOs)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'Modality 1'!$I$4:$I$8</c:f>
              <c:strCache>
                <c:ptCount val="5"/>
                <c:pt idx="0">
                  <c:v> ANCP complements and extends Australia’s bilateral and regional programs and priorities </c:v>
                </c:pt>
                <c:pt idx="1">
                  <c:v> ANCP delivers value for money programming </c:v>
                </c:pt>
                <c:pt idx="2">
                  <c:v> ANCP supports continuous improvement and learning in program delivery </c:v>
                </c:pt>
                <c:pt idx="3">
                  <c:v>ANCP demonstrates inclusive practices</c:v>
                </c:pt>
                <c:pt idx="4">
                  <c:v>ANCP provides flexibility to trial new ideas</c:v>
                </c:pt>
              </c:strCache>
            </c:strRef>
          </c:cat>
          <c:val>
            <c:numRef>
              <c:f>'Modality 1'!$J$4:$J$8</c:f>
              <c:numCache>
                <c:formatCode>General</c:formatCode>
                <c:ptCount val="5"/>
                <c:pt idx="0">
                  <c:v>21</c:v>
                </c:pt>
                <c:pt idx="1">
                  <c:v>22</c:v>
                </c:pt>
                <c:pt idx="2">
                  <c:v>22</c:v>
                </c:pt>
                <c:pt idx="3">
                  <c:v>17</c:v>
                </c:pt>
                <c:pt idx="4">
                  <c:v>22</c:v>
                </c:pt>
              </c:numCache>
            </c:numRef>
          </c:val>
          <c:extLst>
            <c:ext xmlns:c16="http://schemas.microsoft.com/office/drawing/2014/chart" uri="{C3380CC4-5D6E-409C-BE32-E72D297353CC}">
              <c16:uniqueId val="{00000000-CF57-41B3-87E3-737804CF6445}"/>
            </c:ext>
          </c:extLst>
        </c:ser>
        <c:dLbls>
          <c:dLblPos val="outEnd"/>
          <c:showLegendKey val="0"/>
          <c:showVal val="1"/>
          <c:showCatName val="0"/>
          <c:showSerName val="0"/>
          <c:showPercent val="0"/>
          <c:showBubbleSize val="0"/>
        </c:dLbls>
        <c:gapWidth val="182"/>
        <c:axId val="520269048"/>
        <c:axId val="520270032"/>
      </c:barChart>
      <c:catAx>
        <c:axId val="520269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20270032"/>
        <c:crosses val="autoZero"/>
        <c:auto val="1"/>
        <c:lblAlgn val="ctr"/>
        <c:lblOffset val="100"/>
        <c:noMultiLvlLbl val="0"/>
      </c:catAx>
      <c:valAx>
        <c:axId val="520270032"/>
        <c:scaling>
          <c:orientation val="minMax"/>
        </c:scaling>
        <c:delete val="1"/>
        <c:axPos val="b"/>
        <c:numFmt formatCode="General" sourceLinked="1"/>
        <c:majorTickMark val="none"/>
        <c:minorTickMark val="none"/>
        <c:tickLblPos val="nextTo"/>
        <c:crossAx val="520269048"/>
        <c:crosses val="autoZero"/>
        <c:crossBetween val="between"/>
      </c:valAx>
      <c:spPr>
        <a:noFill/>
        <a:ln>
          <a:noFill/>
        </a:ln>
        <a:effectLst/>
      </c:spPr>
    </c:plotArea>
    <c:plotVisOnly val="1"/>
    <c:dispBlanksAs val="gap"/>
    <c:showDLblsOverMax val="0"/>
  </c:chart>
  <c:spPr>
    <a:solidFill>
      <a:schemeClr val="bg1"/>
    </a:solidFill>
    <a:ln w="12700" cap="flat" cmpd="sng" algn="ctr">
      <a:solidFill>
        <a:sysClr val="windowText" lastClr="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FAT Corporate - Standard">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word/theme/themeOverride1.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FA8F1-6BB0-49D4-BEAD-4C04A833C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2586</Words>
  <Characters>15252</Characters>
  <Application>Microsoft Office Word</Application>
  <DocSecurity>0</DocSecurity>
  <Lines>299</Lines>
  <Paragraphs>137</Paragraphs>
  <ScaleCrop>false</ScaleCrop>
  <HeadingPairs>
    <vt:vector size="2" baseType="variant">
      <vt:variant>
        <vt:lpstr>Title</vt:lpstr>
      </vt:variant>
      <vt:variant>
        <vt:i4>1</vt:i4>
      </vt:variant>
    </vt:vector>
  </HeadingPairs>
  <TitlesOfParts>
    <vt:vector size="1" baseType="lpstr">
      <vt:lpstr>Australian NGO Cooperation Program (ANCP) Performance Snapshot 2019-20</vt:lpstr>
    </vt:vector>
  </TitlesOfParts>
  <Company/>
  <LinksUpToDate>false</LinksUpToDate>
  <CharactersWithSpaces>17766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NGO Cooperation Program (ANCP) Performance Snapshot 2020-21</dc:title>
  <dc:creator/>
  <cp:keywords> [SEC=OFFICIAL]</cp:keywords>
  <cp:lastModifiedBy/>
  <cp:revision>1</cp:revision>
  <dcterms:created xsi:type="dcterms:W3CDTF">2021-12-22T23:08:00Z</dcterms:created>
  <dcterms:modified xsi:type="dcterms:W3CDTF">2021-12-23T05:22:00Z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0CF5233A809D4E779FD6B07730BA6E53</vt:lpwstr>
  </property>
  <property fmtid="{D5CDD505-2E9C-101B-9397-08002B2CF9AE}" pid="9" name="PM_ProtectiveMarkingValue_Footer">
    <vt:lpwstr>OFFICIAL</vt:lpwstr>
  </property>
  <property fmtid="{D5CDD505-2E9C-101B-9397-08002B2CF9AE}" pid="10" name="PM_Originator_Hash_SHA1">
    <vt:lpwstr>D9F6E5C82DFAF7AB6E3D596D48DD43C72EDFDAB4</vt:lpwstr>
  </property>
  <property fmtid="{D5CDD505-2E9C-101B-9397-08002B2CF9AE}" pid="11" name="PM_OriginationTimeStamp">
    <vt:lpwstr>2021-12-23T05:21:43Z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39EC964C6847802C875F73A068B29533</vt:lpwstr>
  </property>
  <property fmtid="{D5CDD505-2E9C-101B-9397-08002B2CF9AE}" pid="20" name="PM_Hash_Salt">
    <vt:lpwstr>1B5B067A9879547C917CEDC87C2410BC</vt:lpwstr>
  </property>
  <property fmtid="{D5CDD505-2E9C-101B-9397-08002B2CF9AE}" pid="21" name="PM_Hash_SHA1">
    <vt:lpwstr>44584EF13500C9D278A96B2DC7AC518137063FEB</vt:lpwstr>
  </property>
  <property fmtid="{D5CDD505-2E9C-101B-9397-08002B2CF9AE}" pid="22" name="PM_SecurityClassification_Prev">
    <vt:lpwstr>OFFICIAL</vt:lpwstr>
  </property>
  <property fmtid="{D5CDD505-2E9C-101B-9397-08002B2CF9AE}" pid="23" name="PM_Qualifier_Prev">
    <vt:lpwstr/>
  </property>
</Properties>
</file>