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3AB4" w14:textId="77777777" w:rsidR="00DF71A2" w:rsidRPr="00332CEC" w:rsidRDefault="00DF71A2" w:rsidP="002D5D70">
      <w:pPr>
        <w:pStyle w:val="Title"/>
        <w:spacing w:before="120" w:after="120" w:line="240" w:lineRule="atLeast"/>
        <w:contextualSpacing/>
      </w:pPr>
      <w:r w:rsidRPr="00332CEC">
        <w:t>Australia’s APEC Support Program (AASP)</w:t>
      </w:r>
    </w:p>
    <w:p w14:paraId="4BC53065" w14:textId="4846C6A2" w:rsidR="00DF71A2" w:rsidRPr="00332CEC" w:rsidRDefault="00DF71A2" w:rsidP="002D5D70">
      <w:pPr>
        <w:pStyle w:val="Heading1"/>
        <w:spacing w:before="120" w:after="120" w:line="240" w:lineRule="atLeast"/>
        <w:contextualSpacing/>
      </w:pPr>
      <w:r w:rsidRPr="00332CEC">
        <w:t xml:space="preserve">CASE STUDY: SUPPORTING APEC PROFESSIONAL SERVICES AND MUTUAL RECOGNITION AGREEMENTS (MRAs) </w:t>
      </w:r>
    </w:p>
    <w:p w14:paraId="2E29713C" w14:textId="2602A86A" w:rsidR="002D7866" w:rsidRPr="00332CEC" w:rsidRDefault="00821C46" w:rsidP="002D5D70">
      <w:pPr>
        <w:pStyle w:val="Heading2"/>
        <w:spacing w:before="120" w:after="120" w:line="240" w:lineRule="atLeast"/>
        <w:contextualSpacing/>
      </w:pPr>
      <w:r>
        <w:t>K</w:t>
      </w:r>
      <w:r w:rsidRPr="00332CEC">
        <w:t>ey points</w:t>
      </w:r>
    </w:p>
    <w:p w14:paraId="76FECD34" w14:textId="77777777" w:rsidR="00905FED" w:rsidRPr="002D160A" w:rsidRDefault="00905FED" w:rsidP="004127ED">
      <w:pPr>
        <w:spacing w:before="120" w:after="120" w:line="240" w:lineRule="atLeast"/>
        <w:rPr>
          <w:rFonts w:ascii="Calibri" w:eastAsiaTheme="minorHAnsi" w:hAnsi="Calibri" w:cs="Calibri"/>
          <w:sz w:val="21"/>
          <w:szCs w:val="21"/>
          <w:lang w:val="en-US" w:eastAsia="en-US"/>
        </w:rPr>
      </w:pPr>
      <w:r w:rsidRPr="002D160A">
        <w:rPr>
          <w:rFonts w:ascii="Calibri" w:eastAsiaTheme="minorHAnsi" w:hAnsi="Calibri" w:cs="Calibri"/>
          <w:sz w:val="21"/>
          <w:szCs w:val="21"/>
          <w:lang w:val="en-US" w:eastAsia="en-US"/>
        </w:rPr>
        <w:t xml:space="preserve">The Australia APEC Support Project Fund (AASP) project built on Australia’s long-standing leadership in Mutual Recognition Agreements (MRAs). </w:t>
      </w:r>
    </w:p>
    <w:p w14:paraId="28133F39" w14:textId="6CE54469" w:rsidR="00905FED" w:rsidRPr="002D160A" w:rsidRDefault="00905FED" w:rsidP="004127ED">
      <w:pPr>
        <w:spacing w:before="120" w:after="120" w:line="240" w:lineRule="atLeast"/>
        <w:rPr>
          <w:rFonts w:ascii="Calibri" w:eastAsiaTheme="minorHAnsi" w:hAnsi="Calibri" w:cs="Calibri"/>
          <w:sz w:val="21"/>
          <w:szCs w:val="21"/>
          <w:lang w:val="en-US" w:eastAsia="en-US"/>
        </w:rPr>
      </w:pPr>
      <w:r w:rsidRPr="002D160A">
        <w:rPr>
          <w:rFonts w:ascii="Calibri" w:eastAsiaTheme="minorHAnsi" w:hAnsi="Calibri" w:cs="Calibri"/>
          <w:sz w:val="21"/>
          <w:szCs w:val="21"/>
          <w:lang w:val="en-US" w:eastAsia="en-US"/>
        </w:rPr>
        <w:t xml:space="preserve">The project aimed to enhance professional mobility across APEC economies, including developing economies, through MRAs. </w:t>
      </w:r>
    </w:p>
    <w:p w14:paraId="056D46CD" w14:textId="34309FF7" w:rsidR="00905FED" w:rsidRPr="002D160A" w:rsidRDefault="00905FED" w:rsidP="004127ED">
      <w:pPr>
        <w:spacing w:before="120" w:after="120" w:line="240" w:lineRule="atLeast"/>
        <w:rPr>
          <w:rFonts w:ascii="Calibri" w:eastAsiaTheme="minorHAnsi" w:hAnsi="Calibri" w:cs="Calibri"/>
          <w:sz w:val="21"/>
          <w:szCs w:val="21"/>
          <w:lang w:val="en-US" w:eastAsia="en-US"/>
        </w:rPr>
      </w:pPr>
      <w:r w:rsidRPr="002D160A">
        <w:rPr>
          <w:rFonts w:ascii="Calibri" w:eastAsiaTheme="minorHAnsi" w:hAnsi="Calibri" w:cs="Calibri"/>
          <w:sz w:val="21"/>
          <w:szCs w:val="21"/>
          <w:lang w:val="en-US" w:eastAsia="en-US"/>
        </w:rPr>
        <w:t xml:space="preserve">The project was successfully implemented through four key mechanisms: the APEC Professional Community of Practice (CoP), maintenance and expansion of the MRA Inventory website, online training on mutual recognition and digital credentialing, and policy analysis, along with related publications. </w:t>
      </w:r>
    </w:p>
    <w:p w14:paraId="4C41D8D3" w14:textId="2B5AF15C" w:rsidR="00905FED" w:rsidRPr="002D160A" w:rsidRDefault="00905FED" w:rsidP="004127ED">
      <w:pPr>
        <w:spacing w:before="120" w:after="120" w:line="240" w:lineRule="atLeast"/>
        <w:rPr>
          <w:rFonts w:ascii="Calibri" w:eastAsiaTheme="minorHAnsi" w:hAnsi="Calibri" w:cs="Calibri"/>
          <w:sz w:val="21"/>
          <w:szCs w:val="21"/>
          <w:lang w:val="en-US" w:eastAsia="en-US"/>
        </w:rPr>
      </w:pPr>
      <w:r w:rsidRPr="002D160A">
        <w:rPr>
          <w:rFonts w:ascii="Calibri" w:eastAsiaTheme="minorHAnsi" w:hAnsi="Calibri" w:cs="Calibri"/>
          <w:sz w:val="21"/>
          <w:szCs w:val="21"/>
          <w:lang w:val="en-US" w:eastAsia="en-US"/>
        </w:rPr>
        <w:t xml:space="preserve">The project received high level political endorsement, as APEC Ministers welcomed the completion of the Mutual Recognition Agreements Toolkit in the </w:t>
      </w:r>
      <w:hyperlink r:id="rId7" w:history="1">
        <w:r w:rsidRPr="002D160A">
          <w:rPr>
            <w:rFonts w:ascii="Calibri" w:hAnsi="Calibri" w:cs="Calibri"/>
            <w:sz w:val="21"/>
            <w:szCs w:val="21"/>
            <w:lang w:eastAsia="en-US"/>
          </w:rPr>
          <w:t>2023 Ministerial Statement</w:t>
        </w:r>
      </w:hyperlink>
      <w:r w:rsidRPr="002D160A">
        <w:rPr>
          <w:rFonts w:ascii="Calibri" w:eastAsiaTheme="minorHAnsi" w:hAnsi="Calibri" w:cs="Calibri"/>
          <w:sz w:val="21"/>
          <w:szCs w:val="21"/>
          <w:lang w:val="en-US" w:eastAsia="en-US"/>
        </w:rPr>
        <w:t xml:space="preserve">. </w:t>
      </w:r>
    </w:p>
    <w:p w14:paraId="2060C552" w14:textId="28DDD18E" w:rsidR="002D7866" w:rsidRPr="00DD4AEE" w:rsidRDefault="00821C46" w:rsidP="002D5D70">
      <w:pPr>
        <w:pStyle w:val="Heading2"/>
        <w:spacing w:before="120" w:after="120" w:line="240" w:lineRule="atLeast"/>
        <w:contextualSpacing/>
      </w:pPr>
      <w:r w:rsidRPr="00DD4AEE">
        <w:t>Timeline</w:t>
      </w:r>
    </w:p>
    <w:p w14:paraId="1F0E26AE" w14:textId="44724BEF" w:rsidR="00B432A9" w:rsidRDefault="00F80F1A" w:rsidP="002D5D70">
      <w:pPr>
        <w:spacing w:before="120" w:after="120" w:line="240" w:lineRule="atLeast"/>
        <w:contextualSpacing/>
        <w:rPr>
          <w:rFonts w:ascii="Calibri" w:eastAsiaTheme="minorHAnsi" w:hAnsi="Calibri" w:cs="Calibri"/>
          <w:sz w:val="21"/>
          <w:szCs w:val="21"/>
          <w:lang w:val="en-US" w:eastAsia="en-US"/>
        </w:rPr>
      </w:pPr>
      <w:r w:rsidRPr="00F80F1A">
        <w:rPr>
          <w:rFonts w:ascii="Calibri" w:eastAsiaTheme="minorHAnsi" w:hAnsi="Calibri" w:cs="Calibri"/>
          <w:sz w:val="21"/>
          <w:szCs w:val="21"/>
          <w:lang w:val="en-US" w:eastAsia="en-US"/>
        </w:rPr>
        <w:t>This case study examines the period from March 2022 to December 2023 while acknowledging that Australia’s leadership on the topic of MRAs in APEC has a history which predates the commencement of the AASP.</w:t>
      </w:r>
    </w:p>
    <w:p w14:paraId="04AB2FC5" w14:textId="144888BC" w:rsidR="002D7866" w:rsidRPr="002D7866" w:rsidRDefault="002D160A" w:rsidP="002D5D70">
      <w:pPr>
        <w:pStyle w:val="Heading2"/>
        <w:spacing w:before="120" w:after="120" w:line="240" w:lineRule="atLeast"/>
        <w:contextualSpacing/>
      </w:pPr>
      <w:r w:rsidRPr="00DD4AEE">
        <w:t xml:space="preserve">Project </w:t>
      </w:r>
      <w:r>
        <w:t>r</w:t>
      </w:r>
      <w:r w:rsidRPr="00DD4AEE">
        <w:t>ationale</w:t>
      </w:r>
    </w:p>
    <w:p w14:paraId="437DA3CC" w14:textId="4601A02D" w:rsidR="009531C9" w:rsidRDefault="009531C9" w:rsidP="002D5D70">
      <w:pPr>
        <w:spacing w:before="120" w:after="120" w:line="240" w:lineRule="atLeast"/>
        <w:contextualSpacing/>
        <w:rPr>
          <w:rFonts w:ascii="Calibri" w:eastAsiaTheme="minorHAnsi" w:hAnsi="Calibri" w:cs="Calibri"/>
          <w:sz w:val="21"/>
          <w:szCs w:val="21"/>
          <w:lang w:val="en-US" w:eastAsia="en-US"/>
        </w:rPr>
      </w:pPr>
      <w:r w:rsidRPr="009531C9">
        <w:rPr>
          <w:rFonts w:ascii="Calibri" w:eastAsiaTheme="minorHAnsi" w:hAnsi="Calibri" w:cs="Calibri"/>
          <w:sz w:val="21"/>
          <w:szCs w:val="21"/>
          <w:lang w:val="en-US" w:eastAsia="en-US"/>
        </w:rPr>
        <w:t xml:space="preserve">The </w:t>
      </w:r>
      <w:r w:rsidRPr="009531C9">
        <w:rPr>
          <w:rFonts w:ascii="Calibri" w:eastAsiaTheme="minorHAnsi" w:hAnsi="Calibri" w:cs="Calibri"/>
          <w:i/>
          <w:iCs/>
          <w:sz w:val="21"/>
          <w:szCs w:val="21"/>
          <w:lang w:val="en-US" w:eastAsia="en-US"/>
        </w:rPr>
        <w:t xml:space="preserve">APEC Services Competitiveness Roadmap </w:t>
      </w:r>
      <w:r w:rsidRPr="009531C9">
        <w:rPr>
          <w:rFonts w:ascii="Calibri" w:eastAsiaTheme="minorHAnsi" w:hAnsi="Calibri" w:cs="Calibri"/>
          <w:sz w:val="21"/>
          <w:szCs w:val="21"/>
          <w:lang w:val="en-US" w:eastAsia="en-US"/>
        </w:rPr>
        <w:t xml:space="preserve">(ASCR) and its </w:t>
      </w:r>
      <w:r w:rsidRPr="009531C9">
        <w:rPr>
          <w:rFonts w:ascii="Calibri" w:eastAsiaTheme="minorHAnsi" w:hAnsi="Calibri" w:cs="Calibri"/>
          <w:i/>
          <w:iCs/>
          <w:sz w:val="21"/>
          <w:szCs w:val="21"/>
          <w:lang w:val="en-US" w:eastAsia="en-US"/>
        </w:rPr>
        <w:t xml:space="preserve">Implementation Plan </w:t>
      </w:r>
      <w:r w:rsidRPr="009531C9">
        <w:rPr>
          <w:rFonts w:ascii="Calibri" w:eastAsiaTheme="minorHAnsi" w:hAnsi="Calibri" w:cs="Calibri"/>
          <w:sz w:val="21"/>
          <w:szCs w:val="21"/>
          <w:lang w:val="en-US" w:eastAsia="en-US"/>
        </w:rPr>
        <w:t xml:space="preserve">(2016-2025) aim to enhance the services sector’s competitiveness by promoting good regulatory practices, encouraging international regulatory cooperation, and fostering open services markets. The ASCR underscores the importance of supporting cross-border mobility for professionals, building on initiatives such as the </w:t>
      </w:r>
      <w:r w:rsidRPr="009531C9">
        <w:rPr>
          <w:rFonts w:ascii="Calibri" w:eastAsiaTheme="minorHAnsi" w:hAnsi="Calibri" w:cs="Calibri"/>
          <w:i/>
          <w:iCs/>
          <w:sz w:val="21"/>
          <w:szCs w:val="21"/>
          <w:lang w:val="en-US" w:eastAsia="en-US"/>
        </w:rPr>
        <w:t xml:space="preserve">APEC Architect Register </w:t>
      </w:r>
      <w:r w:rsidRPr="009531C9">
        <w:rPr>
          <w:rFonts w:ascii="Calibri" w:eastAsiaTheme="minorHAnsi" w:hAnsi="Calibri" w:cs="Calibri"/>
          <w:sz w:val="21"/>
          <w:szCs w:val="21"/>
          <w:lang w:val="en-US" w:eastAsia="en-US"/>
        </w:rPr>
        <w:t xml:space="preserve">and the </w:t>
      </w:r>
      <w:r w:rsidRPr="009531C9">
        <w:rPr>
          <w:rFonts w:ascii="Calibri" w:eastAsiaTheme="minorHAnsi" w:hAnsi="Calibri" w:cs="Calibri"/>
          <w:i/>
          <w:iCs/>
          <w:sz w:val="21"/>
          <w:szCs w:val="21"/>
          <w:lang w:val="en-US" w:eastAsia="en-US"/>
        </w:rPr>
        <w:t xml:space="preserve">APEC Engineer Register </w:t>
      </w:r>
      <w:r w:rsidRPr="009531C9">
        <w:rPr>
          <w:rFonts w:ascii="Calibri" w:eastAsiaTheme="minorHAnsi" w:hAnsi="Calibri" w:cs="Calibri"/>
          <w:sz w:val="21"/>
          <w:szCs w:val="21"/>
          <w:lang w:val="en-US" w:eastAsia="en-US"/>
        </w:rPr>
        <w:t xml:space="preserve">to facilitate mutual recognition arrangements. By </w:t>
      </w:r>
      <w:proofErr w:type="spellStart"/>
      <w:r w:rsidRPr="009531C9">
        <w:rPr>
          <w:rFonts w:ascii="Calibri" w:eastAsiaTheme="minorHAnsi" w:hAnsi="Calibri" w:cs="Calibri"/>
          <w:sz w:val="21"/>
          <w:szCs w:val="21"/>
          <w:lang w:val="en-US" w:eastAsia="en-US"/>
        </w:rPr>
        <w:t>focussing</w:t>
      </w:r>
      <w:proofErr w:type="spellEnd"/>
      <w:r w:rsidRPr="009531C9">
        <w:rPr>
          <w:rFonts w:ascii="Calibri" w:eastAsiaTheme="minorHAnsi" w:hAnsi="Calibri" w:cs="Calibri"/>
          <w:sz w:val="21"/>
          <w:szCs w:val="21"/>
          <w:lang w:val="en-US" w:eastAsia="en-US"/>
        </w:rPr>
        <w:t xml:space="preserve"> on increasing knowledge of MRAs and enhancing their use across APEC economies, with a focus on developing economies, the project aligns with the ASCR and builds on Australia’s long-standing support for facilitating the mobility of professionals within APEC. </w:t>
      </w:r>
    </w:p>
    <w:p w14:paraId="5C718298" w14:textId="3A372F0B" w:rsidR="002D7866" w:rsidRPr="00F23BC1" w:rsidRDefault="00821C46" w:rsidP="00C47016">
      <w:pPr>
        <w:pStyle w:val="Heading2"/>
        <w:spacing w:before="120" w:after="120" w:line="240" w:lineRule="atLeast"/>
      </w:pPr>
      <w:r w:rsidRPr="00F23BC1">
        <w:t>Objectives</w:t>
      </w:r>
    </w:p>
    <w:p w14:paraId="6AFA2AFA" w14:textId="6391BA63" w:rsidR="0043421E" w:rsidRPr="002D160A" w:rsidRDefault="0043421E" w:rsidP="00C47016">
      <w:pPr>
        <w:pStyle w:val="Heading2"/>
        <w:spacing w:before="120" w:after="120" w:line="240" w:lineRule="atLeast"/>
        <w:rPr>
          <w:rFonts w:eastAsiaTheme="minorHAnsi"/>
          <w:b w:val="0"/>
          <w:bCs w:val="0"/>
          <w:color w:val="153D63" w:themeColor="text2" w:themeTint="E6"/>
          <w:lang w:val="en-US"/>
        </w:rPr>
      </w:pPr>
      <w:r w:rsidRPr="002D160A">
        <w:rPr>
          <w:rFonts w:eastAsiaTheme="minorHAnsi"/>
          <w:b w:val="0"/>
          <w:bCs w:val="0"/>
          <w:color w:val="153D63" w:themeColor="text2" w:themeTint="E6"/>
          <w:lang w:val="en-US"/>
        </w:rPr>
        <w:t xml:space="preserve">The threefold objectives of the MRA project were to: </w:t>
      </w:r>
    </w:p>
    <w:p w14:paraId="1A4F99C8" w14:textId="77777777" w:rsidR="0043421E" w:rsidRPr="002D160A" w:rsidRDefault="0043421E" w:rsidP="00C47016">
      <w:pPr>
        <w:pStyle w:val="Heading2"/>
        <w:numPr>
          <w:ilvl w:val="0"/>
          <w:numId w:val="14"/>
        </w:numPr>
        <w:spacing w:before="120" w:after="120" w:line="240" w:lineRule="atLeast"/>
        <w:rPr>
          <w:rFonts w:eastAsiaTheme="minorHAnsi"/>
          <w:b w:val="0"/>
          <w:bCs w:val="0"/>
          <w:color w:val="153D63" w:themeColor="text2" w:themeTint="E6"/>
          <w:lang w:val="en-US"/>
        </w:rPr>
      </w:pPr>
      <w:r w:rsidRPr="002D160A">
        <w:rPr>
          <w:rFonts w:eastAsiaTheme="minorHAnsi"/>
          <w:b w:val="0"/>
          <w:bCs w:val="0"/>
          <w:color w:val="153D63" w:themeColor="text2" w:themeTint="E6"/>
          <w:lang w:val="en-US"/>
        </w:rPr>
        <w:t xml:space="preserve">Increase knowledge and </w:t>
      </w:r>
      <w:proofErr w:type="spellStart"/>
      <w:r w:rsidRPr="002D160A">
        <w:rPr>
          <w:rFonts w:eastAsiaTheme="minorHAnsi"/>
          <w:b w:val="0"/>
          <w:bCs w:val="0"/>
          <w:color w:val="153D63" w:themeColor="text2" w:themeTint="E6"/>
          <w:lang w:val="en-US"/>
        </w:rPr>
        <w:t>utilisation</w:t>
      </w:r>
      <w:proofErr w:type="spellEnd"/>
      <w:r w:rsidRPr="002D160A">
        <w:rPr>
          <w:rFonts w:eastAsiaTheme="minorHAnsi"/>
          <w:b w:val="0"/>
          <w:bCs w:val="0"/>
          <w:color w:val="153D63" w:themeColor="text2" w:themeTint="E6"/>
          <w:lang w:val="en-US"/>
        </w:rPr>
        <w:t xml:space="preserve"> of MRAs across APEC. </w:t>
      </w:r>
    </w:p>
    <w:p w14:paraId="7ACB42C7" w14:textId="77777777" w:rsidR="0043421E" w:rsidRPr="002D160A" w:rsidRDefault="0043421E" w:rsidP="00C47016">
      <w:pPr>
        <w:pStyle w:val="Heading2"/>
        <w:numPr>
          <w:ilvl w:val="0"/>
          <w:numId w:val="14"/>
        </w:numPr>
        <w:spacing w:before="120" w:after="120" w:line="240" w:lineRule="atLeast"/>
        <w:rPr>
          <w:rFonts w:eastAsiaTheme="minorHAnsi"/>
          <w:b w:val="0"/>
          <w:bCs w:val="0"/>
          <w:color w:val="153D63" w:themeColor="text2" w:themeTint="E6"/>
          <w:lang w:val="en-US"/>
        </w:rPr>
      </w:pPr>
      <w:r w:rsidRPr="002D160A">
        <w:rPr>
          <w:rFonts w:eastAsiaTheme="minorHAnsi"/>
          <w:b w:val="0"/>
          <w:bCs w:val="0"/>
          <w:color w:val="153D63" w:themeColor="text2" w:themeTint="E6"/>
          <w:lang w:val="en-US"/>
        </w:rPr>
        <w:t xml:space="preserve">Enhance the awareness of digital credentialing and licensure. </w:t>
      </w:r>
    </w:p>
    <w:p w14:paraId="62CDC42D" w14:textId="77777777" w:rsidR="0043421E" w:rsidRDefault="0043421E" w:rsidP="00C47016">
      <w:pPr>
        <w:pStyle w:val="Heading2"/>
        <w:numPr>
          <w:ilvl w:val="0"/>
          <w:numId w:val="14"/>
        </w:numPr>
        <w:spacing w:before="120" w:after="120" w:line="240" w:lineRule="atLeast"/>
        <w:rPr>
          <w:rFonts w:eastAsiaTheme="minorHAnsi"/>
          <w:b w:val="0"/>
          <w:bCs w:val="0"/>
          <w:color w:val="153D63" w:themeColor="text2" w:themeTint="E6"/>
          <w:lang w:val="en-US"/>
        </w:rPr>
      </w:pPr>
      <w:r w:rsidRPr="002D160A">
        <w:rPr>
          <w:rFonts w:eastAsiaTheme="minorHAnsi"/>
          <w:b w:val="0"/>
          <w:bCs w:val="0"/>
          <w:color w:val="153D63" w:themeColor="text2" w:themeTint="E6"/>
          <w:lang w:val="en-US"/>
        </w:rPr>
        <w:t xml:space="preserve">Promote information sharing and collaboration between stakeholders in professional and skilled services across APEC economies. </w:t>
      </w:r>
    </w:p>
    <w:p w14:paraId="5A80644F" w14:textId="77777777" w:rsidR="004127ED" w:rsidRPr="004127ED" w:rsidRDefault="004127ED" w:rsidP="004127ED">
      <w:pPr>
        <w:rPr>
          <w:lang w:val="en-US" w:eastAsia="en-US"/>
        </w:rPr>
      </w:pPr>
    </w:p>
    <w:p w14:paraId="32FD0431" w14:textId="3A7FE31B" w:rsidR="00B40DBE" w:rsidRPr="002D7866" w:rsidRDefault="00821C46" w:rsidP="002D5D70">
      <w:pPr>
        <w:pStyle w:val="Heading2"/>
        <w:spacing w:before="120" w:after="120" w:line="240" w:lineRule="atLeast"/>
        <w:contextualSpacing/>
      </w:pPr>
      <w:r w:rsidRPr="00DD4AEE">
        <w:t>Approach</w:t>
      </w:r>
    </w:p>
    <w:p w14:paraId="2B4E0B57" w14:textId="77777777" w:rsidR="009B0418" w:rsidRDefault="009B0418" w:rsidP="002D5D70">
      <w:pPr>
        <w:pStyle w:val="Pa2"/>
        <w:spacing w:before="120" w:after="120" w:line="240" w:lineRule="atLeast"/>
        <w:contextualSpacing/>
        <w:rPr>
          <w:color w:val="2F405E"/>
          <w:sz w:val="22"/>
          <w:szCs w:val="22"/>
        </w:rPr>
      </w:pPr>
      <w:r>
        <w:rPr>
          <w:rStyle w:val="A0"/>
        </w:rPr>
        <w:t xml:space="preserve">The project implementation team focused on four key deliverables, combining elements from previous efforts with new, innovative strategies: </w:t>
      </w:r>
    </w:p>
    <w:p w14:paraId="6C15C824" w14:textId="030B8239" w:rsidR="009B0418" w:rsidRDefault="009B0418" w:rsidP="002D5D70">
      <w:pPr>
        <w:pStyle w:val="Default"/>
        <w:numPr>
          <w:ilvl w:val="0"/>
          <w:numId w:val="16"/>
        </w:numPr>
        <w:spacing w:before="120" w:after="120" w:line="240" w:lineRule="atLeast"/>
        <w:contextualSpacing/>
        <w:rPr>
          <w:rStyle w:val="A0"/>
        </w:rPr>
      </w:pPr>
      <w:r>
        <w:rPr>
          <w:rStyle w:val="A0"/>
        </w:rPr>
        <w:t xml:space="preserve">Reinforced the </w:t>
      </w:r>
      <w:r>
        <w:rPr>
          <w:rStyle w:val="A0"/>
          <w:i/>
          <w:iCs/>
        </w:rPr>
        <w:t>APEC Professional Services and Mutual Recognition Community of Practice</w:t>
      </w:r>
      <w:r w:rsidRPr="0035586F">
        <w:rPr>
          <w:color w:val="2F405E"/>
          <w:sz w:val="21"/>
          <w:szCs w:val="21"/>
          <w:vertAlign w:val="superscript"/>
        </w:rPr>
        <w:t>1</w:t>
      </w:r>
      <w:r>
        <w:rPr>
          <w:rStyle w:val="A0"/>
        </w:rPr>
        <w:t xml:space="preserve">. </w:t>
      </w:r>
    </w:p>
    <w:p w14:paraId="0BACF2D1" w14:textId="2FB50FFC" w:rsidR="00E27E46" w:rsidRPr="00C47016" w:rsidRDefault="009B0418" w:rsidP="002D5D70">
      <w:pPr>
        <w:pStyle w:val="Default"/>
        <w:numPr>
          <w:ilvl w:val="0"/>
          <w:numId w:val="16"/>
        </w:numPr>
        <w:spacing w:before="120" w:after="120" w:line="240" w:lineRule="atLeast"/>
        <w:contextualSpacing/>
        <w:rPr>
          <w:color w:val="2F405E"/>
          <w:sz w:val="22"/>
          <w:szCs w:val="22"/>
        </w:rPr>
      </w:pPr>
      <w:r>
        <w:rPr>
          <w:rStyle w:val="A0"/>
        </w:rPr>
        <w:t xml:space="preserve">Maintained, updated (adding more than 138 updates to existing entries), and expanded the </w:t>
      </w:r>
      <w:r w:rsidRPr="00C47016">
        <w:rPr>
          <w:rStyle w:val="A0"/>
          <w:i/>
          <w:iCs/>
        </w:rPr>
        <w:t xml:space="preserve">APEC Inventory of Mutual Recognition Agreements for Professional Qualifications and Licensure </w:t>
      </w:r>
      <w:hyperlink r:id="rId8" w:history="1">
        <w:r w:rsidRPr="00C47016">
          <w:rPr>
            <w:rStyle w:val="Hyperlink"/>
            <w:i/>
            <w:iCs/>
            <w:sz w:val="22"/>
            <w:szCs w:val="22"/>
          </w:rPr>
          <w:t>(</w:t>
        </w:r>
        <w:r w:rsidRPr="00C47016">
          <w:rPr>
            <w:rStyle w:val="Hyperlink"/>
            <w:sz w:val="22"/>
            <w:szCs w:val="22"/>
          </w:rPr>
          <w:t>MRA Inventory</w:t>
        </w:r>
      </w:hyperlink>
      <w:r w:rsidRPr="00C47016">
        <w:rPr>
          <w:rStyle w:val="A0"/>
          <w:i/>
          <w:iCs/>
        </w:rPr>
        <w:t xml:space="preserve">) </w:t>
      </w:r>
      <w:r>
        <w:rPr>
          <w:rStyle w:val="A0"/>
        </w:rPr>
        <w:t xml:space="preserve">website, launched in August 2021. </w:t>
      </w:r>
    </w:p>
    <w:p w14:paraId="55B452D5" w14:textId="7751DD98" w:rsidR="009B0418" w:rsidRDefault="009B0418" w:rsidP="002D5D70">
      <w:pPr>
        <w:pStyle w:val="Default"/>
        <w:numPr>
          <w:ilvl w:val="0"/>
          <w:numId w:val="16"/>
        </w:numPr>
        <w:spacing w:before="120" w:after="120" w:line="240" w:lineRule="atLeast"/>
        <w:contextualSpacing/>
        <w:rPr>
          <w:rStyle w:val="A0"/>
        </w:rPr>
      </w:pPr>
      <w:r>
        <w:rPr>
          <w:rStyle w:val="A0"/>
        </w:rPr>
        <w:t xml:space="preserve">Expanded previous capacity-building efforts by developing and delivering </w:t>
      </w:r>
      <w:r>
        <w:rPr>
          <w:rStyle w:val="A0"/>
          <w:i/>
          <w:iCs/>
        </w:rPr>
        <w:t>Online Training on APEC Mutual Recognition and Digital Credentialing</w:t>
      </w:r>
      <w:r>
        <w:rPr>
          <w:rStyle w:val="A0"/>
        </w:rPr>
        <w:t xml:space="preserve">. </w:t>
      </w:r>
    </w:p>
    <w:p w14:paraId="01DAA088" w14:textId="26458593" w:rsidR="009B0418" w:rsidRDefault="009B0418" w:rsidP="002D5D70">
      <w:pPr>
        <w:pStyle w:val="Default"/>
        <w:numPr>
          <w:ilvl w:val="0"/>
          <w:numId w:val="16"/>
        </w:numPr>
        <w:spacing w:before="120" w:after="120" w:line="240" w:lineRule="atLeast"/>
        <w:contextualSpacing/>
        <w:rPr>
          <w:color w:val="2F405E"/>
          <w:sz w:val="22"/>
          <w:szCs w:val="22"/>
        </w:rPr>
      </w:pPr>
      <w:r>
        <w:rPr>
          <w:rStyle w:val="A0"/>
        </w:rPr>
        <w:t xml:space="preserve">Conducted policy analysis on MRAs, with outputs endorsed by the Group on Services (GOS) and published on the APEC website. </w:t>
      </w:r>
    </w:p>
    <w:p w14:paraId="13D56ABA" w14:textId="7411BCE0" w:rsidR="00C24684" w:rsidRPr="00821C46" w:rsidRDefault="00821C46" w:rsidP="002D5D70">
      <w:pPr>
        <w:pStyle w:val="Heading2"/>
        <w:spacing w:before="120" w:after="120" w:line="240" w:lineRule="atLeast"/>
        <w:contextualSpacing/>
      </w:pPr>
      <w:r w:rsidRPr="00821C46">
        <w:t>Outcomes</w:t>
      </w:r>
    </w:p>
    <w:p w14:paraId="6A802B27" w14:textId="52169B55" w:rsidR="002A21FF" w:rsidRPr="00821C46" w:rsidRDefault="002A21FF" w:rsidP="002D5D70">
      <w:pPr>
        <w:pStyle w:val="Heading3"/>
        <w:spacing w:before="120" w:beforeAutospacing="0" w:after="120" w:afterAutospacing="0"/>
        <w:contextualSpacing/>
      </w:pPr>
      <w:r w:rsidRPr="00821C46">
        <w:t xml:space="preserve">Capacity Building </w:t>
      </w:r>
    </w:p>
    <w:p w14:paraId="520457AD" w14:textId="73A8CB93" w:rsidR="002A21FF" w:rsidRDefault="002A21FF" w:rsidP="002D5D70">
      <w:pPr>
        <w:spacing w:before="120" w:after="120" w:line="240" w:lineRule="atLeast"/>
        <w:contextualSpacing/>
        <w:rPr>
          <w:rFonts w:ascii="Calibri" w:eastAsiaTheme="minorHAnsi" w:hAnsi="Calibri" w:cs="Calibri"/>
          <w:sz w:val="21"/>
          <w:szCs w:val="21"/>
          <w:lang w:val="en-US" w:eastAsia="en-US"/>
        </w:rPr>
      </w:pPr>
      <w:r w:rsidRPr="002A21FF">
        <w:rPr>
          <w:rFonts w:ascii="Calibri" w:eastAsiaTheme="minorHAnsi" w:hAnsi="Calibri" w:cs="Calibri"/>
          <w:sz w:val="21"/>
          <w:szCs w:val="21"/>
          <w:lang w:val="en-US" w:eastAsia="en-US"/>
        </w:rPr>
        <w:t>Feedback from participants indicated</w:t>
      </w:r>
      <w:r w:rsidRPr="002A21FF">
        <w:rPr>
          <w:rFonts w:ascii="Calibri" w:hAnsi="Calibri" w:cs="Calibri"/>
          <w:b/>
          <w:bCs/>
          <w:color w:val="C8A413"/>
          <w:sz w:val="21"/>
          <w:szCs w:val="21"/>
          <w:lang w:val="en-US" w:eastAsia="en-US"/>
        </w:rPr>
        <w:t xml:space="preserve"> </w:t>
      </w:r>
      <w:r w:rsidRPr="002A21FF">
        <w:rPr>
          <w:rFonts w:ascii="Calibri" w:eastAsiaTheme="minorHAnsi" w:hAnsi="Calibri" w:cs="Calibri"/>
          <w:sz w:val="21"/>
          <w:szCs w:val="21"/>
          <w:lang w:val="en-US" w:eastAsia="en-US"/>
        </w:rPr>
        <w:t xml:space="preserve">that the capacity-building approach of the project was effective. In post-workshop surveys, participants reported a greater awareness of the various policy approaches needed to facilitate professional </w:t>
      </w:r>
      <w:r w:rsidRPr="002A21FF">
        <w:rPr>
          <w:rFonts w:ascii="Calibri" w:eastAsiaTheme="minorHAnsi" w:hAnsi="Calibri" w:cs="Calibri"/>
          <w:sz w:val="21"/>
          <w:szCs w:val="21"/>
          <w:lang w:val="en-US" w:eastAsia="en-US"/>
        </w:rPr>
        <w:lastRenderedPageBreak/>
        <w:t xml:space="preserve">mobility and an understanding of the logistics of how professional bodies and regulators pursue, evaluate, and negotiate MRAs. Participants expressed improved comprehension of best practices for enhancing mutual recognition in professional services, stating they were “very glad to have learned more about what the MRA toolkit and template will entail” and </w:t>
      </w:r>
      <w:proofErr w:type="spellStart"/>
      <w:r w:rsidRPr="002A21FF">
        <w:rPr>
          <w:rFonts w:ascii="Calibri" w:eastAsiaTheme="minorHAnsi" w:hAnsi="Calibri" w:cs="Calibri"/>
          <w:sz w:val="21"/>
          <w:szCs w:val="21"/>
          <w:lang w:val="en-US" w:eastAsia="en-US"/>
        </w:rPr>
        <w:t>recognising</w:t>
      </w:r>
      <w:proofErr w:type="spellEnd"/>
      <w:r w:rsidRPr="002A21FF">
        <w:rPr>
          <w:rFonts w:ascii="Calibri" w:eastAsiaTheme="minorHAnsi" w:hAnsi="Calibri" w:cs="Calibri"/>
          <w:sz w:val="21"/>
          <w:szCs w:val="21"/>
          <w:lang w:val="en-US" w:eastAsia="en-US"/>
        </w:rPr>
        <w:t xml:space="preserve"> that the “gender dimension in MRAs is sector related, and there is need for a conscious effort to make it more gender neutral.”</w:t>
      </w:r>
    </w:p>
    <w:p w14:paraId="2750D573" w14:textId="3292D67C" w:rsidR="00A97CDB" w:rsidRPr="002A21FF" w:rsidRDefault="00A97CDB" w:rsidP="002D5D70">
      <w:pPr>
        <w:spacing w:before="120" w:after="120" w:line="240" w:lineRule="atLeast"/>
        <w:contextualSpacing/>
        <w:rPr>
          <w:rFonts w:ascii="Calibri" w:eastAsiaTheme="minorHAnsi" w:hAnsi="Calibri" w:cs="Calibri"/>
          <w:sz w:val="21"/>
          <w:szCs w:val="21"/>
          <w:lang w:val="en-US" w:eastAsia="en-US"/>
        </w:rPr>
      </w:pPr>
    </w:p>
    <w:p w14:paraId="62FC3FDB" w14:textId="27BA5F40" w:rsidR="004C7387" w:rsidRDefault="002A21FF" w:rsidP="002D5D70">
      <w:pPr>
        <w:spacing w:before="120" w:after="120" w:line="240" w:lineRule="atLeast"/>
        <w:contextualSpacing/>
        <w:rPr>
          <w:rFonts w:ascii="Calibri" w:eastAsiaTheme="minorHAnsi" w:hAnsi="Calibri" w:cs="Calibri"/>
          <w:sz w:val="21"/>
          <w:szCs w:val="21"/>
          <w:lang w:val="en-US" w:eastAsia="en-US"/>
        </w:rPr>
      </w:pPr>
      <w:r w:rsidRPr="002A21FF">
        <w:rPr>
          <w:rFonts w:ascii="Calibri" w:eastAsiaTheme="minorHAnsi" w:hAnsi="Calibri" w:cs="Calibri"/>
          <w:sz w:val="21"/>
          <w:szCs w:val="21"/>
          <w:lang w:val="en-US" w:eastAsia="en-US"/>
        </w:rPr>
        <w:t xml:space="preserve">Participants also increased their understanding of digital credentialing and licensure, noting that it was “very helpful in seeing the practical application of the (digital) tools” and “very useful to know how beneficial it is to develop a digital platform when </w:t>
      </w:r>
      <w:proofErr w:type="spellStart"/>
      <w:r w:rsidRPr="002A21FF">
        <w:rPr>
          <w:rFonts w:ascii="Calibri" w:eastAsiaTheme="minorHAnsi" w:hAnsi="Calibri" w:cs="Calibri"/>
          <w:sz w:val="21"/>
          <w:szCs w:val="21"/>
          <w:lang w:val="en-US" w:eastAsia="en-US"/>
        </w:rPr>
        <w:t>utilising</w:t>
      </w:r>
      <w:proofErr w:type="spellEnd"/>
      <w:r w:rsidRPr="002A21FF">
        <w:rPr>
          <w:rFonts w:ascii="Calibri" w:eastAsiaTheme="minorHAnsi" w:hAnsi="Calibri" w:cs="Calibri"/>
          <w:sz w:val="21"/>
          <w:szCs w:val="21"/>
          <w:lang w:val="en-US" w:eastAsia="en-US"/>
        </w:rPr>
        <w:t xml:space="preserve"> MRAs.” </w:t>
      </w:r>
    </w:p>
    <w:p w14:paraId="714F89B5" w14:textId="77777777" w:rsidR="001D6CB0" w:rsidRPr="002A21FF" w:rsidRDefault="001D6CB0" w:rsidP="002D5D70">
      <w:pPr>
        <w:spacing w:before="120" w:after="120" w:line="240" w:lineRule="atLeast"/>
        <w:contextualSpacing/>
        <w:rPr>
          <w:rFonts w:ascii="Calibri" w:eastAsiaTheme="minorHAnsi" w:hAnsi="Calibri" w:cs="Calibri"/>
          <w:sz w:val="21"/>
          <w:szCs w:val="21"/>
          <w:lang w:val="en-US" w:eastAsia="en-US"/>
        </w:rPr>
      </w:pPr>
    </w:p>
    <w:p w14:paraId="1DF75D77" w14:textId="1ABAFB9D" w:rsidR="00BD104E" w:rsidRPr="002A21FF" w:rsidRDefault="002A21FF" w:rsidP="002D5D70">
      <w:pPr>
        <w:spacing w:before="120" w:after="120" w:line="240" w:lineRule="atLeast"/>
        <w:contextualSpacing/>
        <w:rPr>
          <w:rFonts w:ascii="Calibri" w:eastAsiaTheme="minorHAnsi" w:hAnsi="Calibri" w:cs="Calibri"/>
          <w:sz w:val="21"/>
          <w:szCs w:val="21"/>
          <w:lang w:val="en-US" w:eastAsia="en-US"/>
        </w:rPr>
      </w:pPr>
      <w:r w:rsidRPr="002A21FF">
        <w:rPr>
          <w:rFonts w:ascii="Calibri" w:eastAsiaTheme="minorHAnsi" w:hAnsi="Calibri" w:cs="Calibri"/>
          <w:sz w:val="21"/>
          <w:szCs w:val="21"/>
          <w:lang w:val="en-US" w:eastAsia="en-US"/>
        </w:rPr>
        <w:t xml:space="preserve">Additionally, participants highlighted that the Community of Practice strengthened information sharing and collaboration among stakeholders, promoted a better understanding of MRAs, and helped identify the advantages of best-practice standards regarding MRAs. </w:t>
      </w:r>
    </w:p>
    <w:p w14:paraId="51BA42AF" w14:textId="557CCE42" w:rsidR="002A21FF" w:rsidRPr="000C619A" w:rsidRDefault="002A21FF" w:rsidP="002D5D70">
      <w:pPr>
        <w:pStyle w:val="Heading3"/>
        <w:spacing w:before="120" w:beforeAutospacing="0" w:after="120" w:afterAutospacing="0"/>
        <w:contextualSpacing/>
      </w:pPr>
      <w:r w:rsidRPr="000C619A">
        <w:t xml:space="preserve">Development Outcomes </w:t>
      </w:r>
    </w:p>
    <w:p w14:paraId="2265E3CA" w14:textId="68E7500F" w:rsidR="00947206" w:rsidRDefault="002A21FF" w:rsidP="002D5D70">
      <w:pPr>
        <w:spacing w:before="120" w:after="120" w:line="240" w:lineRule="atLeast"/>
        <w:contextualSpacing/>
        <w:rPr>
          <w:rFonts w:ascii="Calibri" w:eastAsiaTheme="minorHAnsi" w:hAnsi="Calibri" w:cs="Calibri"/>
          <w:sz w:val="21"/>
          <w:szCs w:val="21"/>
          <w:lang w:val="en-US" w:eastAsia="en-US"/>
        </w:rPr>
      </w:pPr>
      <w:r w:rsidRPr="004B00D1">
        <w:rPr>
          <w:rFonts w:ascii="Calibri" w:eastAsiaTheme="minorHAnsi" w:hAnsi="Calibri" w:cs="Calibri"/>
          <w:sz w:val="21"/>
          <w:szCs w:val="21"/>
          <w:lang w:val="en-US" w:eastAsia="en-US"/>
        </w:rPr>
        <w:t>The project has yielded significant results. Participants, particularly from developing economies, gained</w:t>
      </w:r>
      <w:r w:rsidR="00924ACB">
        <w:rPr>
          <w:rFonts w:ascii="Calibri" w:eastAsiaTheme="minorHAnsi" w:hAnsi="Calibri" w:cs="Calibri"/>
          <w:sz w:val="21"/>
          <w:szCs w:val="21"/>
          <w:lang w:val="en-US" w:eastAsia="en-US"/>
        </w:rPr>
        <w:t xml:space="preserve"> </w:t>
      </w:r>
      <w:r w:rsidR="00924ACB" w:rsidRPr="00924ACB">
        <w:rPr>
          <w:rFonts w:ascii="Calibri" w:eastAsiaTheme="minorHAnsi" w:hAnsi="Calibri" w:cs="Calibri"/>
          <w:sz w:val="21"/>
          <w:szCs w:val="21"/>
          <w:lang w:val="en-US" w:eastAsia="en-US"/>
        </w:rPr>
        <w:t xml:space="preserve">a deeper understanding of MRAs and their benefits for professional mobility. The Community of Practice fostered information sharing and collaboration, leading to the identification of best practices in MRA implementation. Feedback from participants revealed a variety of actions they committed to implementing, including developing </w:t>
      </w:r>
    </w:p>
    <w:p w14:paraId="4ABE961F" w14:textId="2ACEAAF3" w:rsidR="00CE7897" w:rsidRDefault="00924ACB" w:rsidP="002D5D70">
      <w:pPr>
        <w:spacing w:before="120" w:after="120" w:line="240" w:lineRule="atLeast"/>
        <w:contextualSpacing/>
        <w:rPr>
          <w:rFonts w:ascii="Calibri" w:eastAsiaTheme="minorHAnsi" w:hAnsi="Calibri" w:cs="Calibri"/>
          <w:sz w:val="21"/>
          <w:szCs w:val="21"/>
          <w:lang w:val="en-US" w:eastAsia="en-US"/>
        </w:rPr>
      </w:pPr>
      <w:r w:rsidRPr="00924ACB">
        <w:rPr>
          <w:rFonts w:ascii="Calibri" w:eastAsiaTheme="minorHAnsi" w:hAnsi="Calibri" w:cs="Calibri"/>
          <w:sz w:val="21"/>
          <w:szCs w:val="21"/>
          <w:lang w:val="en-US" w:eastAsia="en-US"/>
        </w:rPr>
        <w:t xml:space="preserve">guidelines and operating procedures for </w:t>
      </w:r>
      <w:proofErr w:type="spellStart"/>
      <w:r w:rsidRPr="00924ACB">
        <w:rPr>
          <w:rFonts w:ascii="Calibri" w:eastAsiaTheme="minorHAnsi" w:hAnsi="Calibri" w:cs="Calibri"/>
          <w:sz w:val="21"/>
          <w:szCs w:val="21"/>
          <w:lang w:val="en-US" w:eastAsia="en-US"/>
        </w:rPr>
        <w:t>digitising</w:t>
      </w:r>
      <w:proofErr w:type="spellEnd"/>
      <w:r w:rsidRPr="00924ACB">
        <w:rPr>
          <w:rFonts w:ascii="Calibri" w:eastAsiaTheme="minorHAnsi" w:hAnsi="Calibri" w:cs="Calibri"/>
          <w:sz w:val="21"/>
          <w:szCs w:val="21"/>
          <w:lang w:val="en-US" w:eastAsia="en-US"/>
        </w:rPr>
        <w:t xml:space="preserve"> the recognition process and certifying micro-credentials, incorporating current trade agreement provisions into the development of digital professional service delivery platforms, and restructuring existing platforms to enhance their ability to facilitate professional mobility within regional economies.</w:t>
      </w:r>
    </w:p>
    <w:p w14:paraId="772E1556" w14:textId="77777777" w:rsidR="006174B5" w:rsidRDefault="006174B5" w:rsidP="002D5D70">
      <w:pPr>
        <w:spacing w:before="120" w:after="120" w:line="240" w:lineRule="atLeast"/>
        <w:contextualSpacing/>
        <w:rPr>
          <w:rFonts w:ascii="Calibri" w:eastAsiaTheme="minorHAnsi" w:hAnsi="Calibri" w:cs="Calibri"/>
          <w:b/>
          <w:bCs/>
          <w:sz w:val="21"/>
          <w:szCs w:val="21"/>
          <w:lang w:val="en-US" w:eastAsia="en-US"/>
        </w:rPr>
      </w:pPr>
    </w:p>
    <w:p w14:paraId="08910F5C" w14:textId="77777777" w:rsidR="00B832AA" w:rsidRDefault="00B832AA" w:rsidP="002D5D70">
      <w:pPr>
        <w:spacing w:before="120" w:after="120" w:line="240" w:lineRule="atLeast"/>
        <w:contextualSpacing/>
        <w:rPr>
          <w:rFonts w:ascii="Calibri" w:eastAsiaTheme="majorEastAsia" w:hAnsi="Calibri" w:cs="Calibri"/>
          <w:color w:val="0F4761" w:themeColor="accent1" w:themeShade="BF"/>
          <w:sz w:val="21"/>
          <w:szCs w:val="21"/>
          <w:lang w:val="en-US" w:eastAsia="en-US"/>
        </w:rPr>
      </w:pPr>
      <w:r w:rsidRPr="00FF0CA3">
        <w:rPr>
          <w:rFonts w:ascii="Calibri" w:eastAsiaTheme="majorEastAsia" w:hAnsi="Calibri" w:cs="Calibri"/>
          <w:color w:val="0F4761" w:themeColor="accent1" w:themeShade="BF"/>
          <w:sz w:val="21"/>
          <w:szCs w:val="21"/>
          <w:lang w:val="en-US" w:eastAsia="en-US"/>
        </w:rPr>
        <w:t xml:space="preserve">The project generated </w:t>
      </w:r>
      <w:proofErr w:type="gramStart"/>
      <w:r w:rsidRPr="00FF0CA3">
        <w:rPr>
          <w:rFonts w:ascii="Calibri" w:eastAsiaTheme="majorEastAsia" w:hAnsi="Calibri" w:cs="Calibri"/>
          <w:color w:val="0F4761" w:themeColor="accent1" w:themeShade="BF"/>
          <w:sz w:val="21"/>
          <w:szCs w:val="21"/>
          <w:lang w:val="en-US" w:eastAsia="en-US"/>
        </w:rPr>
        <w:t>a number of</w:t>
      </w:r>
      <w:proofErr w:type="gramEnd"/>
      <w:r w:rsidRPr="00FF0CA3">
        <w:rPr>
          <w:rFonts w:ascii="Calibri" w:eastAsiaTheme="majorEastAsia" w:hAnsi="Calibri" w:cs="Calibri"/>
          <w:color w:val="0F4761" w:themeColor="accent1" w:themeShade="BF"/>
          <w:sz w:val="21"/>
          <w:szCs w:val="21"/>
          <w:lang w:val="en-US" w:eastAsia="en-US"/>
        </w:rPr>
        <w:t xml:space="preserve"> outputs, downloadable from the APEC website including:</w:t>
      </w:r>
    </w:p>
    <w:p w14:paraId="653F5B73" w14:textId="77777777" w:rsidR="00B832AA" w:rsidRPr="00FF0CA3" w:rsidRDefault="00DE184D" w:rsidP="002D5D70">
      <w:pPr>
        <w:numPr>
          <w:ilvl w:val="0"/>
          <w:numId w:val="20"/>
        </w:numPr>
        <w:spacing w:before="120" w:after="120" w:line="240" w:lineRule="atLeast"/>
        <w:contextualSpacing/>
        <w:rPr>
          <w:rFonts w:ascii="Calibri" w:eastAsiaTheme="majorEastAsia" w:hAnsi="Calibri" w:cs="Calibri"/>
          <w:color w:val="0F4761" w:themeColor="accent1" w:themeShade="BF"/>
          <w:sz w:val="21"/>
          <w:szCs w:val="21"/>
          <w:lang w:val="en-US" w:eastAsia="en-US"/>
        </w:rPr>
      </w:pPr>
      <w:hyperlink r:id="rId9" w:history="1">
        <w:r w:rsidR="00B832AA" w:rsidRPr="00FF0CA3">
          <w:rPr>
            <w:rStyle w:val="Hyperlink"/>
            <w:rFonts w:ascii="Calibri" w:eastAsiaTheme="majorEastAsia" w:hAnsi="Calibri" w:cs="Calibri"/>
            <w:sz w:val="21"/>
            <w:szCs w:val="21"/>
            <w:lang w:val="en-US" w:eastAsia="en-US"/>
          </w:rPr>
          <w:t>https://www.apec.org/publications/2023/10/mutual-recognition-agreements-toolkit</w:t>
        </w:r>
      </w:hyperlink>
      <w:r w:rsidR="00B832AA">
        <w:rPr>
          <w:rFonts w:ascii="Calibri" w:eastAsiaTheme="majorEastAsia" w:hAnsi="Calibri" w:cs="Calibri"/>
          <w:color w:val="0F4761" w:themeColor="accent1" w:themeShade="BF"/>
          <w:sz w:val="21"/>
          <w:szCs w:val="21"/>
          <w:lang w:val="en-US" w:eastAsia="en-US"/>
        </w:rPr>
        <w:t xml:space="preserve">  </w:t>
      </w:r>
      <w:r w:rsidR="00B832AA" w:rsidRPr="00FF0CA3">
        <w:rPr>
          <w:rFonts w:ascii="Calibri" w:eastAsiaTheme="majorEastAsia" w:hAnsi="Calibri" w:cs="Calibri"/>
          <w:color w:val="0F4761" w:themeColor="accent1" w:themeShade="BF"/>
          <w:sz w:val="21"/>
          <w:szCs w:val="21"/>
          <w:lang w:val="en-US" w:eastAsia="en-US"/>
        </w:rPr>
        <w:t xml:space="preserve">    </w:t>
      </w:r>
    </w:p>
    <w:p w14:paraId="4AA431CE" w14:textId="77777777" w:rsidR="00B832AA" w:rsidRPr="00FF0CA3" w:rsidRDefault="00DE184D" w:rsidP="002D5D70">
      <w:pPr>
        <w:numPr>
          <w:ilvl w:val="0"/>
          <w:numId w:val="20"/>
        </w:numPr>
        <w:spacing w:before="120" w:after="120" w:line="240" w:lineRule="atLeast"/>
        <w:contextualSpacing/>
        <w:rPr>
          <w:rFonts w:ascii="Calibri" w:eastAsiaTheme="majorEastAsia" w:hAnsi="Calibri" w:cs="Calibri"/>
          <w:color w:val="0F4761" w:themeColor="accent1" w:themeShade="BF"/>
          <w:sz w:val="21"/>
          <w:szCs w:val="21"/>
          <w:lang w:val="en-US" w:eastAsia="en-US"/>
        </w:rPr>
      </w:pPr>
      <w:hyperlink r:id="rId10" w:history="1">
        <w:r w:rsidR="00B832AA" w:rsidRPr="00FF0CA3">
          <w:rPr>
            <w:rStyle w:val="Hyperlink"/>
            <w:rFonts w:ascii="Calibri" w:eastAsiaTheme="majorEastAsia" w:hAnsi="Calibri" w:cs="Calibri"/>
            <w:sz w:val="21"/>
            <w:szCs w:val="21"/>
            <w:lang w:val="en-US" w:eastAsia="en-US"/>
          </w:rPr>
          <w:t>https://www.apec.org/publications/2021/11/mutual-recognition-of-professional-qualifications-in-the-asia-pacific-lessons-from-the-inventory-of-mutual-recognition-agreements-in-apec</w:t>
        </w:r>
      </w:hyperlink>
      <w:r w:rsidR="00B832AA">
        <w:rPr>
          <w:rFonts w:ascii="Calibri" w:eastAsiaTheme="majorEastAsia" w:hAnsi="Calibri" w:cs="Calibri"/>
          <w:color w:val="0F4761" w:themeColor="accent1" w:themeShade="BF"/>
          <w:sz w:val="21"/>
          <w:szCs w:val="21"/>
          <w:lang w:val="en-US" w:eastAsia="en-US"/>
        </w:rPr>
        <w:t xml:space="preserve"> </w:t>
      </w:r>
    </w:p>
    <w:p w14:paraId="18177C50" w14:textId="579131EB" w:rsidR="00B832AA" w:rsidRDefault="00DE184D" w:rsidP="002D5D70">
      <w:pPr>
        <w:numPr>
          <w:ilvl w:val="0"/>
          <w:numId w:val="20"/>
        </w:numPr>
        <w:spacing w:before="120" w:after="120" w:line="240" w:lineRule="atLeast"/>
        <w:contextualSpacing/>
        <w:rPr>
          <w:rFonts w:ascii="Calibri" w:eastAsiaTheme="majorEastAsia" w:hAnsi="Calibri" w:cs="Calibri"/>
          <w:color w:val="0F4761" w:themeColor="accent1" w:themeShade="BF"/>
          <w:sz w:val="21"/>
          <w:szCs w:val="21"/>
          <w:lang w:val="en-US" w:eastAsia="en-US"/>
        </w:rPr>
      </w:pPr>
      <w:hyperlink r:id="rId11" w:history="1">
        <w:r w:rsidR="00B832AA" w:rsidRPr="00FF0CA3">
          <w:rPr>
            <w:rStyle w:val="Hyperlink"/>
            <w:rFonts w:ascii="Calibri" w:eastAsiaTheme="majorEastAsia" w:hAnsi="Calibri" w:cs="Calibri"/>
            <w:sz w:val="21"/>
            <w:szCs w:val="21"/>
            <w:lang w:val="en-US" w:eastAsia="en-US"/>
          </w:rPr>
          <w:t>https://www.apec.org/publications/2024/02/mutual-recognition-agreements-for-professional-qualifications-and-licensure-in-apec-experiences-impediments-and-opportunities</w:t>
        </w:r>
      </w:hyperlink>
    </w:p>
    <w:p w14:paraId="1E5D5961" w14:textId="77777777" w:rsidR="002D5D70" w:rsidRPr="00FF0CA3" w:rsidRDefault="002D5D70" w:rsidP="002D5D70">
      <w:pPr>
        <w:spacing w:before="120" w:after="120" w:line="240" w:lineRule="atLeast"/>
        <w:ind w:left="360"/>
        <w:contextualSpacing/>
        <w:rPr>
          <w:rFonts w:ascii="Calibri" w:eastAsiaTheme="majorEastAsia" w:hAnsi="Calibri" w:cs="Calibri"/>
          <w:color w:val="0F4761" w:themeColor="accent1" w:themeShade="BF"/>
          <w:sz w:val="21"/>
          <w:szCs w:val="21"/>
          <w:lang w:val="en-US" w:eastAsia="en-US"/>
        </w:rPr>
      </w:pPr>
    </w:p>
    <w:p w14:paraId="0D15C8BF" w14:textId="7ABFB46E" w:rsidR="007922C4" w:rsidRPr="00F23BC1" w:rsidRDefault="00821C46" w:rsidP="002D5D70">
      <w:pPr>
        <w:spacing w:before="120" w:after="120" w:line="240" w:lineRule="atLeast"/>
        <w:contextualSpacing/>
        <w:rPr>
          <w:rFonts w:ascii="Calibri" w:eastAsiaTheme="minorHAnsi" w:hAnsi="Calibri" w:cs="Calibri"/>
          <w:sz w:val="21"/>
          <w:szCs w:val="21"/>
          <w:highlight w:val="yellow"/>
          <w:lang w:eastAsia="en-US"/>
        </w:rPr>
      </w:pPr>
      <w:r>
        <w:rPr>
          <w:rStyle w:val="Heading2Char"/>
        </w:rPr>
        <w:t>B</w:t>
      </w:r>
      <w:r w:rsidRPr="00F23BC1">
        <w:rPr>
          <w:rStyle w:val="Heading2Char"/>
        </w:rPr>
        <w:t>enefits experienced by developing economies</w:t>
      </w:r>
      <w:r w:rsidRPr="00F23BC1">
        <w:rPr>
          <w:rFonts w:ascii="Calibri" w:eastAsiaTheme="minorHAnsi" w:hAnsi="Calibri" w:cs="Calibri"/>
          <w:sz w:val="21"/>
          <w:szCs w:val="21"/>
          <w:highlight w:val="yellow"/>
          <w:lang w:eastAsia="en-US"/>
        </w:rPr>
        <w:t xml:space="preserve"> </w:t>
      </w:r>
    </w:p>
    <w:p w14:paraId="2F6C32F5" w14:textId="77777777" w:rsidR="007922C4" w:rsidRDefault="007922C4" w:rsidP="002D5D70">
      <w:pPr>
        <w:pStyle w:val="ListParagraph"/>
        <w:numPr>
          <w:ilvl w:val="0"/>
          <w:numId w:val="8"/>
        </w:numPr>
        <w:spacing w:before="120" w:after="120" w:line="240" w:lineRule="atLeast"/>
        <w:ind w:left="426"/>
        <w:rPr>
          <w:rFonts w:ascii="Calibri" w:eastAsiaTheme="minorHAnsi" w:hAnsi="Calibri" w:cs="Calibri"/>
          <w:sz w:val="21"/>
          <w:szCs w:val="21"/>
          <w:lang w:val="en-US" w:eastAsia="en-US"/>
        </w:rPr>
      </w:pPr>
      <w:r w:rsidRPr="00F607E0">
        <w:rPr>
          <w:rFonts w:ascii="Calibri" w:eastAsiaTheme="minorHAnsi" w:hAnsi="Calibri" w:cs="Calibri"/>
          <w:sz w:val="21"/>
          <w:szCs w:val="21"/>
          <w:lang w:val="en-US" w:eastAsia="en-US"/>
        </w:rPr>
        <w:t xml:space="preserve">Facilitated participation of developing economies in existing APEC initiatives on MRAs to advance understanding and collaboration </w:t>
      </w:r>
      <w:proofErr w:type="gramStart"/>
      <w:r w:rsidRPr="00F607E0">
        <w:rPr>
          <w:rFonts w:ascii="Calibri" w:eastAsiaTheme="minorHAnsi" w:hAnsi="Calibri" w:cs="Calibri"/>
          <w:sz w:val="21"/>
          <w:szCs w:val="21"/>
          <w:lang w:val="en-US" w:eastAsia="en-US"/>
        </w:rPr>
        <w:t>in the area of</w:t>
      </w:r>
      <w:proofErr w:type="gramEnd"/>
      <w:r w:rsidRPr="00F607E0">
        <w:rPr>
          <w:rFonts w:ascii="Calibri" w:eastAsiaTheme="minorHAnsi" w:hAnsi="Calibri" w:cs="Calibri"/>
          <w:sz w:val="21"/>
          <w:szCs w:val="21"/>
          <w:lang w:val="en-US" w:eastAsia="en-US"/>
        </w:rPr>
        <w:t xml:space="preserve"> professional services mutual recognition and digital credentialing across APEC economies </w:t>
      </w:r>
    </w:p>
    <w:p w14:paraId="3FB42170" w14:textId="77777777" w:rsidR="007922C4" w:rsidRPr="003C0818" w:rsidRDefault="007922C4" w:rsidP="002D5D70">
      <w:pPr>
        <w:pStyle w:val="ListParagraph"/>
        <w:numPr>
          <w:ilvl w:val="0"/>
          <w:numId w:val="8"/>
        </w:numPr>
        <w:spacing w:before="120" w:after="120" w:line="240" w:lineRule="atLeast"/>
        <w:ind w:left="426"/>
        <w:rPr>
          <w:rFonts w:ascii="Calibri" w:eastAsiaTheme="minorHAnsi" w:hAnsi="Calibri" w:cs="Calibri"/>
          <w:sz w:val="21"/>
          <w:szCs w:val="21"/>
          <w:lang w:val="en-US" w:eastAsia="en-US"/>
        </w:rPr>
      </w:pPr>
      <w:r w:rsidRPr="00F607E0">
        <w:rPr>
          <w:rFonts w:ascii="Calibri" w:eastAsiaTheme="minorHAnsi" w:hAnsi="Calibri" w:cs="Calibri"/>
          <w:sz w:val="21"/>
          <w:szCs w:val="21"/>
          <w:lang w:val="en-US" w:eastAsia="en-US"/>
        </w:rPr>
        <w:t xml:space="preserve">Improved understanding among APEC developing economies of the types of MRAs and their respective benefits, including how they facilitate the mobility of professional and skilled service providers and their </w:t>
      </w:r>
      <w:proofErr w:type="gramStart"/>
      <w:r w:rsidRPr="00F607E0">
        <w:rPr>
          <w:rFonts w:ascii="Calibri" w:eastAsiaTheme="minorHAnsi" w:hAnsi="Calibri" w:cs="Calibri"/>
          <w:sz w:val="21"/>
          <w:szCs w:val="21"/>
          <w:lang w:val="en-US" w:eastAsia="en-US"/>
        </w:rPr>
        <w:t>services;</w:t>
      </w:r>
      <w:proofErr w:type="gramEnd"/>
      <w:r w:rsidRPr="00F607E0">
        <w:rPr>
          <w:rFonts w:ascii="Calibri" w:eastAsiaTheme="minorHAnsi" w:hAnsi="Calibri" w:cs="Calibri"/>
          <w:sz w:val="21"/>
          <w:szCs w:val="21"/>
          <w:lang w:val="en-US" w:eastAsia="en-US"/>
        </w:rPr>
        <w:t xml:space="preserve"> </w:t>
      </w:r>
    </w:p>
    <w:p w14:paraId="7AA4D0BF" w14:textId="77777777" w:rsidR="007922C4" w:rsidRDefault="007922C4" w:rsidP="002D5D70">
      <w:pPr>
        <w:pStyle w:val="ListParagraph"/>
        <w:numPr>
          <w:ilvl w:val="0"/>
          <w:numId w:val="8"/>
        </w:numPr>
        <w:spacing w:before="120" w:after="120" w:line="240" w:lineRule="atLeast"/>
        <w:ind w:left="426"/>
        <w:rPr>
          <w:rFonts w:ascii="Calibri" w:eastAsiaTheme="minorHAnsi" w:hAnsi="Calibri" w:cs="Calibri"/>
          <w:sz w:val="21"/>
          <w:szCs w:val="21"/>
          <w:lang w:val="en-US" w:eastAsia="en-US"/>
        </w:rPr>
      </w:pPr>
      <w:r w:rsidRPr="00F607E0">
        <w:rPr>
          <w:rFonts w:ascii="Calibri" w:eastAsiaTheme="minorHAnsi" w:hAnsi="Calibri" w:cs="Calibri"/>
          <w:sz w:val="21"/>
          <w:szCs w:val="21"/>
          <w:lang w:val="en-US" w:eastAsia="en-US"/>
        </w:rPr>
        <w:t xml:space="preserve">Increased exposure of developing economies to international best-practice standards, including accreditation, licensing, and regulatory frameworks necessary to enhance professional services mutual </w:t>
      </w:r>
      <w:proofErr w:type="gramStart"/>
      <w:r w:rsidRPr="00F607E0">
        <w:rPr>
          <w:rFonts w:ascii="Calibri" w:eastAsiaTheme="minorHAnsi" w:hAnsi="Calibri" w:cs="Calibri"/>
          <w:sz w:val="21"/>
          <w:szCs w:val="21"/>
          <w:lang w:val="en-US" w:eastAsia="en-US"/>
        </w:rPr>
        <w:t>recognition;</w:t>
      </w:r>
      <w:proofErr w:type="gramEnd"/>
      <w:r w:rsidRPr="00F607E0">
        <w:rPr>
          <w:rFonts w:ascii="Calibri" w:eastAsiaTheme="minorHAnsi" w:hAnsi="Calibri" w:cs="Calibri"/>
          <w:sz w:val="21"/>
          <w:szCs w:val="21"/>
          <w:lang w:val="en-US" w:eastAsia="en-US"/>
        </w:rPr>
        <w:t xml:space="preserve"> </w:t>
      </w:r>
    </w:p>
    <w:p w14:paraId="4EF90F6E" w14:textId="66A48739" w:rsidR="007922C4" w:rsidRPr="003C0818" w:rsidRDefault="007922C4" w:rsidP="002D5D70">
      <w:pPr>
        <w:pStyle w:val="ListParagraph"/>
        <w:numPr>
          <w:ilvl w:val="0"/>
          <w:numId w:val="8"/>
        </w:numPr>
        <w:spacing w:before="120" w:after="120" w:line="240" w:lineRule="atLeast"/>
        <w:ind w:left="426"/>
        <w:rPr>
          <w:rFonts w:ascii="Calibri" w:eastAsiaTheme="minorHAnsi" w:hAnsi="Calibri" w:cs="Calibri"/>
          <w:sz w:val="21"/>
          <w:szCs w:val="21"/>
          <w:lang w:val="en-US" w:eastAsia="en-US"/>
        </w:rPr>
      </w:pPr>
      <w:r w:rsidRPr="00F607E0">
        <w:rPr>
          <w:rFonts w:ascii="Calibri" w:eastAsiaTheme="minorHAnsi" w:hAnsi="Calibri" w:cs="Calibri"/>
          <w:sz w:val="21"/>
          <w:szCs w:val="21"/>
          <w:lang w:val="en-US" w:eastAsia="en-US"/>
        </w:rPr>
        <w:t xml:space="preserve">Raised awareness of the use of digital credentialing and policies needed among APEC developing economies to facilitate the mobility of professionals between APEC </w:t>
      </w:r>
      <w:proofErr w:type="gramStart"/>
      <w:r w:rsidRPr="00F607E0">
        <w:rPr>
          <w:rFonts w:ascii="Calibri" w:eastAsiaTheme="minorHAnsi" w:hAnsi="Calibri" w:cs="Calibri"/>
          <w:sz w:val="21"/>
          <w:szCs w:val="21"/>
          <w:lang w:val="en-US" w:eastAsia="en-US"/>
        </w:rPr>
        <w:t>economies;</w:t>
      </w:r>
      <w:proofErr w:type="gramEnd"/>
    </w:p>
    <w:p w14:paraId="63FCBC07" w14:textId="77777777" w:rsidR="007922C4" w:rsidRDefault="007922C4" w:rsidP="002D5D70">
      <w:pPr>
        <w:pStyle w:val="ListParagraph"/>
        <w:numPr>
          <w:ilvl w:val="0"/>
          <w:numId w:val="8"/>
        </w:numPr>
        <w:spacing w:before="120" w:after="120" w:line="240" w:lineRule="atLeast"/>
        <w:ind w:left="426"/>
      </w:pPr>
      <w:r w:rsidRPr="00F607E0">
        <w:rPr>
          <w:rFonts w:ascii="Calibri" w:eastAsiaTheme="minorHAnsi" w:hAnsi="Calibri" w:cs="Calibri"/>
          <w:sz w:val="21"/>
          <w:szCs w:val="21"/>
          <w:lang w:val="en-US" w:eastAsia="en-US"/>
        </w:rPr>
        <w:t>Created opportunities for developing economies to share information and cooperate with professional and skilled services regulators, accreditation bodies, and professional peak bodies across the region.</w:t>
      </w:r>
    </w:p>
    <w:p w14:paraId="1B54112E" w14:textId="382AE609" w:rsidR="0064027B" w:rsidRPr="003678D8" w:rsidRDefault="00821C46" w:rsidP="002D5D70">
      <w:pPr>
        <w:pStyle w:val="Heading2"/>
        <w:spacing w:before="120" w:after="120" w:line="240" w:lineRule="atLeast"/>
        <w:contextualSpacing/>
        <w:rPr>
          <w:lang w:val="en-US"/>
        </w:rPr>
      </w:pPr>
      <w:r w:rsidRPr="003678D8">
        <w:rPr>
          <w:lang w:val="en-US"/>
        </w:rPr>
        <w:t>Gender</w:t>
      </w:r>
    </w:p>
    <w:p w14:paraId="0323C4EE" w14:textId="77777777" w:rsidR="0064027B" w:rsidRPr="003678D8" w:rsidRDefault="0064027B" w:rsidP="002D5D70">
      <w:pPr>
        <w:spacing w:before="120" w:after="120" w:line="240" w:lineRule="atLeast"/>
        <w:contextualSpacing/>
        <w:rPr>
          <w:rFonts w:ascii="Calibri" w:eastAsiaTheme="minorHAnsi" w:hAnsi="Calibri" w:cs="Calibri"/>
          <w:sz w:val="21"/>
          <w:szCs w:val="21"/>
          <w:lang w:val="en-US" w:eastAsia="en-US"/>
        </w:rPr>
      </w:pPr>
      <w:r w:rsidRPr="003678D8">
        <w:rPr>
          <w:rFonts w:ascii="Calibri" w:eastAsiaTheme="minorHAnsi" w:hAnsi="Calibri" w:cs="Calibri"/>
          <w:sz w:val="21"/>
          <w:szCs w:val="21"/>
          <w:lang w:val="en-US" w:eastAsia="en-US"/>
        </w:rPr>
        <w:t>Inclusion was a key focus of the project. Twenty-three economies (including 20 APEC economies) participated in all the project events, with a good gender balance for both attendees (51% female) and presenters (41% female). Post-course survey responses revealed that participants expressed satisfaction that the content of the course was responsive to gender equality and women’s empowerment and was generally accessible to persons with disabilities. The project also included a specific event designed to address and explore MRAs related to women and skills, and the Community of Practice meetings included a dedicated session on gender and MRAs.</w:t>
      </w:r>
    </w:p>
    <w:p w14:paraId="76A3E889" w14:textId="01CC7D8C" w:rsidR="00B903C5" w:rsidRDefault="00821C46" w:rsidP="002D5D70">
      <w:pPr>
        <w:pStyle w:val="Heading2"/>
        <w:spacing w:before="120" w:after="120" w:line="240" w:lineRule="atLeast"/>
        <w:contextualSpacing/>
        <w:rPr>
          <w:lang w:val="en-US"/>
        </w:rPr>
      </w:pPr>
      <w:r w:rsidRPr="00B903C5">
        <w:rPr>
          <w:lang w:val="en-US"/>
        </w:rPr>
        <w:t xml:space="preserve">Lessons </w:t>
      </w:r>
      <w:r>
        <w:rPr>
          <w:lang w:val="en-US"/>
        </w:rPr>
        <w:t>l</w:t>
      </w:r>
      <w:r w:rsidRPr="00B903C5">
        <w:rPr>
          <w:lang w:val="en-US"/>
        </w:rPr>
        <w:t xml:space="preserve">earned </w:t>
      </w:r>
    </w:p>
    <w:p w14:paraId="2560CE40" w14:textId="20E2E24D" w:rsidR="008200FB" w:rsidRDefault="00B903C5" w:rsidP="002D5D70">
      <w:pPr>
        <w:spacing w:before="120" w:after="120" w:line="240" w:lineRule="atLeast"/>
        <w:contextualSpacing/>
        <w:rPr>
          <w:rFonts w:ascii="Calibri" w:eastAsiaTheme="minorHAnsi" w:hAnsi="Calibri" w:cs="Calibri"/>
          <w:sz w:val="21"/>
          <w:szCs w:val="21"/>
          <w:lang w:val="en-GB" w:eastAsia="en-US"/>
        </w:rPr>
      </w:pPr>
      <w:r w:rsidRPr="00B903C5">
        <w:rPr>
          <w:rFonts w:ascii="Calibri" w:eastAsiaTheme="minorHAnsi" w:hAnsi="Calibri" w:cs="Calibri"/>
          <w:sz w:val="21"/>
          <w:szCs w:val="21"/>
          <w:lang w:val="en-US" w:eastAsia="en-US"/>
        </w:rPr>
        <w:t>The project highlighted several challenges and lessons learned, taking insights from earlier phases into account. The project team made appropriate adjustments to address these challenges, as outlined below.</w:t>
      </w:r>
    </w:p>
    <w:p w14:paraId="44D191CA" w14:textId="002240C8" w:rsidR="002E7010" w:rsidRPr="000C619A" w:rsidRDefault="002E7010" w:rsidP="002D5D70">
      <w:pPr>
        <w:pStyle w:val="Heading3"/>
        <w:spacing w:before="120" w:beforeAutospacing="0" w:after="120" w:afterAutospacing="0"/>
        <w:contextualSpacing/>
      </w:pPr>
      <w:r w:rsidRPr="000C619A">
        <w:t xml:space="preserve">Capacity building </w:t>
      </w:r>
    </w:p>
    <w:p w14:paraId="36D2B9DE" w14:textId="49780B05" w:rsidR="002E7010" w:rsidRDefault="002E7010" w:rsidP="002D5D70">
      <w:pPr>
        <w:spacing w:before="120" w:after="120" w:line="240" w:lineRule="atLeast"/>
        <w:contextualSpacing/>
        <w:rPr>
          <w:rFonts w:ascii="Calibri" w:eastAsiaTheme="minorHAnsi" w:hAnsi="Calibri" w:cs="Calibri"/>
          <w:sz w:val="21"/>
          <w:szCs w:val="21"/>
          <w:lang w:val="en-US" w:eastAsia="en-US"/>
        </w:rPr>
      </w:pPr>
      <w:r w:rsidRPr="002E7010">
        <w:rPr>
          <w:rFonts w:ascii="Calibri" w:eastAsiaTheme="minorHAnsi" w:hAnsi="Calibri" w:cs="Calibri"/>
          <w:sz w:val="21"/>
          <w:szCs w:val="21"/>
          <w:lang w:val="en-US" w:eastAsia="en-US"/>
        </w:rPr>
        <w:t xml:space="preserve">Initially, online training sessions were available for set periods, followed by in-person workshops. To improve access, the project extended the availability of online training, allowing participants to complete the courses at their own pace. </w:t>
      </w:r>
    </w:p>
    <w:p w14:paraId="4D313810" w14:textId="0D2F3B3F" w:rsidR="002E7010" w:rsidRPr="000C619A" w:rsidRDefault="002E7010" w:rsidP="002D5D70">
      <w:pPr>
        <w:pStyle w:val="Heading3"/>
        <w:spacing w:before="120" w:beforeAutospacing="0" w:after="120" w:afterAutospacing="0"/>
        <w:contextualSpacing/>
      </w:pPr>
      <w:r w:rsidRPr="000C619A">
        <w:lastRenderedPageBreak/>
        <w:t xml:space="preserve">Community of Practice </w:t>
      </w:r>
    </w:p>
    <w:p w14:paraId="7440A36A" w14:textId="0887818B" w:rsidR="002E7010" w:rsidRDefault="002E7010" w:rsidP="002D5D70">
      <w:pPr>
        <w:spacing w:before="120" w:after="120" w:line="240" w:lineRule="atLeast"/>
        <w:contextualSpacing/>
        <w:rPr>
          <w:rFonts w:ascii="Calibri" w:eastAsiaTheme="minorHAnsi" w:hAnsi="Calibri" w:cs="Calibri"/>
          <w:sz w:val="21"/>
          <w:szCs w:val="21"/>
          <w:lang w:val="en-US" w:eastAsia="en-US"/>
        </w:rPr>
      </w:pPr>
      <w:r w:rsidRPr="002E7010">
        <w:rPr>
          <w:rFonts w:ascii="Calibri" w:eastAsiaTheme="minorHAnsi" w:hAnsi="Calibri" w:cs="Calibri"/>
          <w:sz w:val="21"/>
          <w:szCs w:val="21"/>
          <w:lang w:val="en-US" w:eastAsia="en-US"/>
        </w:rPr>
        <w:t xml:space="preserve">For the Community of Practice, the project targeted participants most likely to benefit from the sessions, ensuring a foundational understanding of the subject matter. While completing the online MRA course was initially a prerequisite, this requirement was not strictly enforced. To enhance the project’s reach, membership in the Community of Practice was broadened. </w:t>
      </w:r>
    </w:p>
    <w:p w14:paraId="6EC9FF08" w14:textId="77777777" w:rsidR="002E7010" w:rsidRPr="000C619A" w:rsidRDefault="002E7010" w:rsidP="002D5D70">
      <w:pPr>
        <w:pStyle w:val="Heading3"/>
        <w:spacing w:before="120" w:beforeAutospacing="0" w:after="120" w:afterAutospacing="0"/>
        <w:contextualSpacing/>
      </w:pPr>
      <w:r w:rsidRPr="000C619A">
        <w:t xml:space="preserve">Recognition by APEC Ministers </w:t>
      </w:r>
    </w:p>
    <w:p w14:paraId="44B0EC0F" w14:textId="3C0C9621" w:rsidR="002E7010" w:rsidRDefault="002E7010" w:rsidP="00C47016">
      <w:pPr>
        <w:spacing w:before="120" w:after="120" w:line="240" w:lineRule="atLeast"/>
        <w:rPr>
          <w:rFonts w:ascii="Calibri" w:eastAsiaTheme="minorHAnsi" w:hAnsi="Calibri" w:cs="Calibri"/>
          <w:sz w:val="21"/>
          <w:szCs w:val="21"/>
          <w:lang w:val="en-GB" w:eastAsia="en-US"/>
        </w:rPr>
      </w:pPr>
      <w:r w:rsidRPr="002E7010">
        <w:rPr>
          <w:rFonts w:ascii="Calibri" w:eastAsiaTheme="minorHAnsi" w:hAnsi="Calibri" w:cs="Calibri"/>
          <w:sz w:val="21"/>
          <w:szCs w:val="21"/>
          <w:lang w:val="en-US" w:eastAsia="en-US"/>
        </w:rPr>
        <w:t xml:space="preserve">Recognition by APEC Foreign and Trade Ministers of the Toolkit at the </w:t>
      </w:r>
      <w:hyperlink r:id="rId12" w:history="1">
        <w:r w:rsidRPr="00560B90">
          <w:rPr>
            <w:rStyle w:val="Hyperlink"/>
            <w:rFonts w:ascii="Calibri" w:eastAsiaTheme="minorHAnsi" w:hAnsi="Calibri" w:cs="Calibri"/>
            <w:sz w:val="21"/>
            <w:szCs w:val="21"/>
            <w:lang w:val="en-US" w:eastAsia="en-US"/>
          </w:rPr>
          <w:t>2023 APEC Ministerial Meeting</w:t>
        </w:r>
      </w:hyperlink>
      <w:r w:rsidRPr="002E7010">
        <w:rPr>
          <w:rFonts w:ascii="Calibri" w:eastAsiaTheme="minorHAnsi" w:hAnsi="Calibri" w:cs="Calibri"/>
          <w:sz w:val="21"/>
          <w:szCs w:val="21"/>
          <w:u w:val="single"/>
          <w:lang w:val="en-US" w:eastAsia="en-US"/>
        </w:rPr>
        <w:t xml:space="preserve"> </w:t>
      </w:r>
      <w:r w:rsidRPr="002E7010">
        <w:rPr>
          <w:rFonts w:ascii="Calibri" w:eastAsiaTheme="minorHAnsi" w:hAnsi="Calibri" w:cs="Calibri"/>
          <w:sz w:val="21"/>
          <w:szCs w:val="21"/>
          <w:lang w:val="en-US" w:eastAsia="en-US"/>
        </w:rPr>
        <w:t>was beneficial for securing political acceptance of the project’s objectives and ensuring the sustainability of its successes. However, it is a time-consuming process typically beyond the control of projects like this, and capacity building outcomes can still be achieved without it.</w:t>
      </w:r>
    </w:p>
    <w:p w14:paraId="65976FF1" w14:textId="77777777" w:rsidR="000C619A" w:rsidRPr="004357E0" w:rsidRDefault="000C619A" w:rsidP="00B93372">
      <w:pPr>
        <w:spacing w:before="120" w:after="120" w:line="240" w:lineRule="atLeast"/>
        <w:rPr>
          <w:rFonts w:ascii="Calibri" w:eastAsiaTheme="majorEastAsia" w:hAnsi="Calibri" w:cs="Calibri"/>
          <w:b/>
          <w:bCs/>
          <w:color w:val="0F4761" w:themeColor="accent1" w:themeShade="BF"/>
          <w:sz w:val="21"/>
          <w:szCs w:val="21"/>
          <w:lang w:val="en-US" w:eastAsia="en-US"/>
        </w:rPr>
      </w:pPr>
      <w:r w:rsidRPr="004357E0">
        <w:rPr>
          <w:rFonts w:ascii="Calibri" w:eastAsiaTheme="majorEastAsia" w:hAnsi="Calibri" w:cs="Calibri"/>
          <w:b/>
          <w:bCs/>
          <w:color w:val="0F4761" w:themeColor="accent1" w:themeShade="BF"/>
          <w:sz w:val="21"/>
          <w:szCs w:val="21"/>
          <w:lang w:val="en-US" w:eastAsia="en-US"/>
        </w:rPr>
        <w:t xml:space="preserve">Feedback from Malaysia included: </w:t>
      </w:r>
    </w:p>
    <w:p w14:paraId="245CD980" w14:textId="77777777" w:rsidR="000C619A" w:rsidRPr="004357E0" w:rsidRDefault="000C619A" w:rsidP="00B93372">
      <w:pPr>
        <w:numPr>
          <w:ilvl w:val="0"/>
          <w:numId w:val="24"/>
        </w:numPr>
        <w:spacing w:before="120" w:after="120" w:line="240" w:lineRule="atLeast"/>
        <w:rPr>
          <w:rFonts w:ascii="Calibri" w:eastAsiaTheme="majorEastAsia" w:hAnsi="Calibri" w:cs="Calibri"/>
          <w:color w:val="0F4761" w:themeColor="accent1" w:themeShade="BF"/>
          <w:sz w:val="21"/>
          <w:szCs w:val="21"/>
          <w:lang w:val="en-US" w:eastAsia="en-US"/>
        </w:rPr>
      </w:pPr>
      <w:r w:rsidRPr="004357E0">
        <w:rPr>
          <w:rFonts w:ascii="Calibri" w:eastAsiaTheme="majorEastAsia" w:hAnsi="Calibri" w:cs="Calibri"/>
          <w:color w:val="0F4761" w:themeColor="accent1" w:themeShade="BF"/>
          <w:sz w:val="21"/>
          <w:szCs w:val="21"/>
          <w:lang w:val="en-US" w:eastAsia="en-US"/>
        </w:rPr>
        <w:t xml:space="preserve">The online capacity building </w:t>
      </w:r>
      <w:proofErr w:type="spellStart"/>
      <w:r w:rsidRPr="004357E0">
        <w:rPr>
          <w:rFonts w:ascii="Calibri" w:eastAsiaTheme="majorEastAsia" w:hAnsi="Calibri" w:cs="Calibri"/>
          <w:color w:val="0F4761" w:themeColor="accent1" w:themeShade="BF"/>
          <w:sz w:val="21"/>
          <w:szCs w:val="21"/>
          <w:lang w:val="en-US" w:eastAsia="en-US"/>
        </w:rPr>
        <w:t>programmes</w:t>
      </w:r>
      <w:proofErr w:type="spellEnd"/>
      <w:r w:rsidRPr="004357E0">
        <w:rPr>
          <w:rFonts w:ascii="Calibri" w:eastAsiaTheme="majorEastAsia" w:hAnsi="Calibri" w:cs="Calibri"/>
          <w:color w:val="0F4761" w:themeColor="accent1" w:themeShade="BF"/>
          <w:sz w:val="21"/>
          <w:szCs w:val="21"/>
          <w:lang w:val="en-US" w:eastAsia="en-US"/>
        </w:rPr>
        <w:t xml:space="preserve"> have been extended to our Professional Services Productivity Nexus. This allows participants to voluntarily engage, gain exposure, and discuss global issues. </w:t>
      </w:r>
    </w:p>
    <w:p w14:paraId="1910C25E" w14:textId="77777777" w:rsidR="000C619A" w:rsidRPr="004357E0" w:rsidRDefault="000C619A" w:rsidP="00B93372">
      <w:pPr>
        <w:numPr>
          <w:ilvl w:val="0"/>
          <w:numId w:val="24"/>
        </w:numPr>
        <w:spacing w:before="120" w:after="120" w:line="240" w:lineRule="atLeast"/>
        <w:rPr>
          <w:rFonts w:ascii="Calibri" w:eastAsiaTheme="majorEastAsia" w:hAnsi="Calibri" w:cs="Calibri"/>
          <w:color w:val="0F4761" w:themeColor="accent1" w:themeShade="BF"/>
          <w:sz w:val="21"/>
          <w:szCs w:val="21"/>
          <w:lang w:val="en-US" w:eastAsia="en-US"/>
        </w:rPr>
      </w:pPr>
      <w:r w:rsidRPr="004357E0">
        <w:rPr>
          <w:rFonts w:ascii="Calibri" w:eastAsiaTheme="majorEastAsia" w:hAnsi="Calibri" w:cs="Calibri"/>
          <w:color w:val="0F4761" w:themeColor="accent1" w:themeShade="BF"/>
          <w:sz w:val="21"/>
          <w:szCs w:val="21"/>
          <w:lang w:val="en-US" w:eastAsia="en-US"/>
        </w:rPr>
        <w:t xml:space="preserve">Malaysia uses the toolkit as a reference when reviewing existing Free Trade Agreements. It has been particularly beneficial for service negotiators with limited expertise in professional services. </w:t>
      </w:r>
    </w:p>
    <w:p w14:paraId="32FD52D6" w14:textId="77777777" w:rsidR="000C619A" w:rsidRPr="004357E0" w:rsidRDefault="000C619A" w:rsidP="00B93372">
      <w:pPr>
        <w:numPr>
          <w:ilvl w:val="0"/>
          <w:numId w:val="24"/>
        </w:numPr>
        <w:spacing w:before="120" w:after="120" w:line="240" w:lineRule="atLeast"/>
        <w:rPr>
          <w:rFonts w:ascii="Calibri" w:eastAsiaTheme="majorEastAsia" w:hAnsi="Calibri" w:cs="Calibri"/>
          <w:color w:val="0F4761" w:themeColor="accent1" w:themeShade="BF"/>
          <w:sz w:val="21"/>
          <w:szCs w:val="21"/>
          <w:lang w:val="en-US" w:eastAsia="en-US"/>
        </w:rPr>
      </w:pPr>
      <w:r w:rsidRPr="004357E0">
        <w:rPr>
          <w:rFonts w:ascii="Calibri" w:eastAsiaTheme="majorEastAsia" w:hAnsi="Calibri" w:cs="Calibri"/>
          <w:color w:val="0F4761" w:themeColor="accent1" w:themeShade="BF"/>
          <w:sz w:val="21"/>
          <w:szCs w:val="21"/>
          <w:lang w:val="en-US" w:eastAsia="en-US"/>
        </w:rPr>
        <w:t xml:space="preserve">Based on the guidance provided by the toolkit, Malaysia has initiated a study to develop a roadmap for professional bodies. This includes establishing guidelines for small and medium-sized enterprises (SMEs) to help them expand their services internationally and strengthen the offerings of domestic professional services companies. </w:t>
      </w:r>
    </w:p>
    <w:p w14:paraId="00CE3BB2" w14:textId="212A4D90" w:rsidR="007922C4" w:rsidRDefault="00821C46" w:rsidP="002D5D70">
      <w:pPr>
        <w:pStyle w:val="Heading2"/>
        <w:spacing w:before="120" w:after="120" w:line="240" w:lineRule="atLeast"/>
        <w:contextualSpacing/>
        <w:rPr>
          <w:lang w:val="en-US"/>
        </w:rPr>
      </w:pPr>
      <w:r w:rsidRPr="005E15BE">
        <w:rPr>
          <w:lang w:val="en-US"/>
        </w:rPr>
        <w:t xml:space="preserve">References </w:t>
      </w:r>
    </w:p>
    <w:p w14:paraId="02D4C51A" w14:textId="77777777" w:rsidR="007922C4" w:rsidRPr="005E15BE" w:rsidRDefault="007922C4" w:rsidP="002D5D70">
      <w:pPr>
        <w:spacing w:before="120" w:after="120" w:line="240" w:lineRule="atLeast"/>
        <w:contextualSpacing/>
        <w:rPr>
          <w:rFonts w:ascii="Calibri" w:eastAsiaTheme="majorEastAsia" w:hAnsi="Calibri" w:cs="Calibri"/>
          <w:color w:val="0F4761" w:themeColor="accent1" w:themeShade="BF"/>
          <w:sz w:val="21"/>
          <w:szCs w:val="21"/>
          <w:lang w:val="en-US" w:eastAsia="en-US"/>
        </w:rPr>
      </w:pPr>
    </w:p>
    <w:p w14:paraId="379A3B15" w14:textId="77777777" w:rsidR="007922C4" w:rsidRPr="00E80D18" w:rsidRDefault="007922C4" w:rsidP="002D5D70">
      <w:pPr>
        <w:pStyle w:val="ListParagraph"/>
        <w:numPr>
          <w:ilvl w:val="0"/>
          <w:numId w:val="18"/>
        </w:numPr>
        <w:spacing w:before="120" w:after="120" w:line="240" w:lineRule="atLeast"/>
        <w:ind w:left="426"/>
        <w:rPr>
          <w:rFonts w:ascii="Calibri" w:hAnsi="Calibri" w:cs="Calibri"/>
          <w:sz w:val="21"/>
          <w:szCs w:val="21"/>
        </w:rPr>
      </w:pPr>
      <w:r w:rsidRPr="005E15BE">
        <w:rPr>
          <w:rFonts w:ascii="Calibri" w:eastAsiaTheme="majorEastAsia" w:hAnsi="Calibri" w:cs="Calibri"/>
          <w:color w:val="0F4761" w:themeColor="accent1" w:themeShade="BF"/>
          <w:sz w:val="21"/>
          <w:szCs w:val="21"/>
          <w:lang w:val="en-US" w:eastAsia="en-US"/>
        </w:rPr>
        <w:t xml:space="preserve">Membership is open to government officials, professional and skilled services regulators, accreditation bodies, and related professional peak bodies. 144 attendees from 18 different economies attended, and seven sessions were held on various themes, including a Special Session at SOM1 2023. </w:t>
      </w:r>
    </w:p>
    <w:p w14:paraId="503EBBF3" w14:textId="77777777" w:rsidR="00580C3D" w:rsidRPr="00D16E77" w:rsidRDefault="00580C3D" w:rsidP="002D5D70">
      <w:pPr>
        <w:pStyle w:val="Pa0"/>
        <w:spacing w:before="120" w:after="120" w:line="240" w:lineRule="atLeast"/>
        <w:contextualSpacing/>
        <w:rPr>
          <w:rStyle w:val="A7"/>
          <w:color w:val="153D63" w:themeColor="text2" w:themeTint="E6"/>
          <w:sz w:val="21"/>
          <w:szCs w:val="21"/>
        </w:rPr>
      </w:pPr>
      <w:r w:rsidRPr="00D16E77">
        <w:rPr>
          <w:rStyle w:val="A7"/>
          <w:color w:val="153D63" w:themeColor="text2" w:themeTint="E6"/>
          <w:sz w:val="21"/>
          <w:szCs w:val="21"/>
        </w:rPr>
        <w:t xml:space="preserve">See also: </w:t>
      </w:r>
    </w:p>
    <w:p w14:paraId="21846167" w14:textId="77777777" w:rsidR="00580C3D" w:rsidRPr="00D16E77" w:rsidRDefault="00DE184D" w:rsidP="002D5D70">
      <w:pPr>
        <w:pStyle w:val="Default"/>
        <w:numPr>
          <w:ilvl w:val="0"/>
          <w:numId w:val="22"/>
        </w:numPr>
        <w:spacing w:before="120" w:after="120" w:line="240" w:lineRule="atLeast"/>
        <w:contextualSpacing/>
        <w:rPr>
          <w:color w:val="153D63" w:themeColor="text2" w:themeTint="E6"/>
          <w:sz w:val="21"/>
          <w:szCs w:val="21"/>
        </w:rPr>
      </w:pPr>
      <w:hyperlink r:id="rId13" w:history="1">
        <w:r w:rsidR="00580C3D" w:rsidRPr="00D16E77">
          <w:rPr>
            <w:rStyle w:val="Hyperlink"/>
            <w:color w:val="153D63" w:themeColor="text2" w:themeTint="E6"/>
            <w:sz w:val="21"/>
            <w:szCs w:val="21"/>
          </w:rPr>
          <w:t>https://www.dfat.gov.au/trade-investment/business-envoy/business-envoy-may-2022/fast-tracking-registration-professionals-across-apec-economies</w:t>
        </w:r>
      </w:hyperlink>
      <w:r w:rsidR="00580C3D" w:rsidRPr="00D16E77">
        <w:rPr>
          <w:rStyle w:val="A8"/>
          <w:color w:val="153D63" w:themeColor="text2" w:themeTint="E6"/>
          <w:sz w:val="21"/>
          <w:szCs w:val="21"/>
        </w:rPr>
        <w:t xml:space="preserve">  </w:t>
      </w:r>
    </w:p>
    <w:p w14:paraId="6E9965BC" w14:textId="77777777" w:rsidR="00580C3D" w:rsidRPr="00D16E77" w:rsidRDefault="00DE184D" w:rsidP="002D5D70">
      <w:pPr>
        <w:pStyle w:val="Default"/>
        <w:numPr>
          <w:ilvl w:val="0"/>
          <w:numId w:val="22"/>
        </w:numPr>
        <w:spacing w:before="120" w:after="120" w:line="240" w:lineRule="atLeast"/>
        <w:contextualSpacing/>
        <w:rPr>
          <w:color w:val="153D63" w:themeColor="text2" w:themeTint="E6"/>
          <w:sz w:val="21"/>
          <w:szCs w:val="21"/>
        </w:rPr>
      </w:pPr>
      <w:hyperlink r:id="rId14" w:history="1">
        <w:r w:rsidR="00580C3D" w:rsidRPr="00D16E77">
          <w:rPr>
            <w:rStyle w:val="Hyperlink"/>
            <w:color w:val="153D63" w:themeColor="text2" w:themeTint="E6"/>
            <w:sz w:val="21"/>
            <w:szCs w:val="21"/>
          </w:rPr>
          <w:t>https://aasc.knack.com/mra-inventory</w:t>
        </w:r>
      </w:hyperlink>
      <w:r w:rsidR="00580C3D" w:rsidRPr="00D16E77">
        <w:rPr>
          <w:rStyle w:val="A8"/>
          <w:color w:val="153D63" w:themeColor="text2" w:themeTint="E6"/>
          <w:sz w:val="21"/>
          <w:szCs w:val="21"/>
        </w:rPr>
        <w:t xml:space="preserve">  </w:t>
      </w:r>
    </w:p>
    <w:sectPr w:rsidR="00580C3D" w:rsidRPr="00D16E77" w:rsidSect="006C5EAC">
      <w:footerReference w:type="even" r:id="rId15"/>
      <w:footerReference w:type="default" r:id="rId16"/>
      <w:type w:val="continuous"/>
      <w:pgSz w:w="11906" w:h="16838"/>
      <w:pgMar w:top="720" w:right="720" w:bottom="720" w:left="720"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5B74" w14:textId="77777777" w:rsidR="00B6776E" w:rsidRDefault="00B6776E" w:rsidP="002D7866">
      <w:r>
        <w:separator/>
      </w:r>
    </w:p>
  </w:endnote>
  <w:endnote w:type="continuationSeparator" w:id="0">
    <w:p w14:paraId="0127FFEF" w14:textId="77777777" w:rsidR="00B6776E" w:rsidRDefault="00B6776E" w:rsidP="002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 Pro">
    <w:charset w:val="00"/>
    <w:family w:val="roman"/>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789829"/>
      <w:docPartObj>
        <w:docPartGallery w:val="Page Numbers (Bottom of Page)"/>
        <w:docPartUnique/>
      </w:docPartObj>
    </w:sdtPr>
    <w:sdtEndPr>
      <w:rPr>
        <w:rStyle w:val="PageNumber"/>
      </w:rPr>
    </w:sdtEndPr>
    <w:sdtContent>
      <w:p w14:paraId="0B946E0E" w14:textId="33BCCDBE" w:rsidR="00B42EC7" w:rsidRDefault="00B42EC7" w:rsidP="00BF2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3BC1">
          <w:rPr>
            <w:rStyle w:val="PageNumber"/>
            <w:noProof/>
          </w:rPr>
          <w:t>1</w:t>
        </w:r>
        <w:r>
          <w:rPr>
            <w:rStyle w:val="PageNumber"/>
          </w:rPr>
          <w:fldChar w:fldCharType="end"/>
        </w:r>
      </w:p>
    </w:sdtContent>
  </w:sdt>
  <w:p w14:paraId="584ECAF4" w14:textId="77777777" w:rsidR="00B42EC7" w:rsidRDefault="00B42EC7" w:rsidP="00D43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5339056"/>
      <w:docPartObj>
        <w:docPartGallery w:val="Page Numbers (Bottom of Page)"/>
        <w:docPartUnique/>
      </w:docPartObj>
    </w:sdtPr>
    <w:sdtEndPr>
      <w:rPr>
        <w:rStyle w:val="PageNumber"/>
      </w:rPr>
    </w:sdtEndPr>
    <w:sdtContent>
      <w:p w14:paraId="098DF3B2" w14:textId="77777777" w:rsidR="00B42EC7" w:rsidRDefault="00B42EC7" w:rsidP="00BF2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CA9F20" w14:textId="142423BB" w:rsidR="00B42EC7" w:rsidRDefault="00B42EC7" w:rsidP="00D43A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6676" w14:textId="77777777" w:rsidR="00B6776E" w:rsidRDefault="00B6776E" w:rsidP="002D7866">
      <w:r>
        <w:separator/>
      </w:r>
    </w:p>
  </w:footnote>
  <w:footnote w:type="continuationSeparator" w:id="0">
    <w:p w14:paraId="21DB08F7" w14:textId="77777777" w:rsidR="00B6776E" w:rsidRDefault="00B6776E" w:rsidP="002D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163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AD3D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880C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264519"/>
    <w:multiLevelType w:val="hybridMultilevel"/>
    <w:tmpl w:val="84EA9192"/>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0617A4"/>
    <w:multiLevelType w:val="hybridMultilevel"/>
    <w:tmpl w:val="3D6E0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EC3107"/>
    <w:multiLevelType w:val="hybridMultilevel"/>
    <w:tmpl w:val="1820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31F30"/>
    <w:multiLevelType w:val="hybridMultilevel"/>
    <w:tmpl w:val="62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49A9"/>
    <w:multiLevelType w:val="hybridMultilevel"/>
    <w:tmpl w:val="6A9E9AA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14175C"/>
    <w:multiLevelType w:val="hybridMultilevel"/>
    <w:tmpl w:val="AC4A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E6E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571DAC"/>
    <w:multiLevelType w:val="hybridMultilevel"/>
    <w:tmpl w:val="F71A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67901"/>
    <w:multiLevelType w:val="hybridMultilevel"/>
    <w:tmpl w:val="DA3C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6AE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3458B8"/>
    <w:multiLevelType w:val="hybridMultilevel"/>
    <w:tmpl w:val="966A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D4E5E"/>
    <w:multiLevelType w:val="hybridMultilevel"/>
    <w:tmpl w:val="830E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15299"/>
    <w:multiLevelType w:val="hybridMultilevel"/>
    <w:tmpl w:val="F2E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3B5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E050EE"/>
    <w:multiLevelType w:val="hybridMultilevel"/>
    <w:tmpl w:val="23421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24C84"/>
    <w:multiLevelType w:val="hybridMultilevel"/>
    <w:tmpl w:val="401E47B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453F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76A11FF"/>
    <w:multiLevelType w:val="hybridMultilevel"/>
    <w:tmpl w:val="50EA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DB3DD6"/>
    <w:multiLevelType w:val="hybridMultilevel"/>
    <w:tmpl w:val="B87E57D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9D5497"/>
    <w:multiLevelType w:val="hybridMultilevel"/>
    <w:tmpl w:val="E8C42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A42D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9199098">
    <w:abstractNumId w:val="4"/>
  </w:num>
  <w:num w:numId="2" w16cid:durableId="398598974">
    <w:abstractNumId w:val="13"/>
  </w:num>
  <w:num w:numId="3" w16cid:durableId="1541045188">
    <w:abstractNumId w:val="22"/>
  </w:num>
  <w:num w:numId="4" w16cid:durableId="1045134084">
    <w:abstractNumId w:val="6"/>
  </w:num>
  <w:num w:numId="5" w16cid:durableId="1115060831">
    <w:abstractNumId w:val="20"/>
  </w:num>
  <w:num w:numId="6" w16cid:durableId="938530">
    <w:abstractNumId w:val="5"/>
  </w:num>
  <w:num w:numId="7" w16cid:durableId="327712031">
    <w:abstractNumId w:val="19"/>
  </w:num>
  <w:num w:numId="8" w16cid:durableId="1831632361">
    <w:abstractNumId w:val="11"/>
  </w:num>
  <w:num w:numId="9" w16cid:durableId="2020616755">
    <w:abstractNumId w:val="16"/>
  </w:num>
  <w:num w:numId="10" w16cid:durableId="981933019">
    <w:abstractNumId w:val="17"/>
  </w:num>
  <w:num w:numId="11" w16cid:durableId="1588688274">
    <w:abstractNumId w:val="15"/>
  </w:num>
  <w:num w:numId="12" w16cid:durableId="748772735">
    <w:abstractNumId w:val="8"/>
  </w:num>
  <w:num w:numId="13" w16cid:durableId="167526555">
    <w:abstractNumId w:val="2"/>
  </w:num>
  <w:num w:numId="14" w16cid:durableId="484666243">
    <w:abstractNumId w:val="14"/>
  </w:num>
  <w:num w:numId="15" w16cid:durableId="693504703">
    <w:abstractNumId w:val="0"/>
  </w:num>
  <w:num w:numId="16" w16cid:durableId="249240905">
    <w:abstractNumId w:val="7"/>
  </w:num>
  <w:num w:numId="17" w16cid:durableId="1444765649">
    <w:abstractNumId w:val="1"/>
  </w:num>
  <w:num w:numId="18" w16cid:durableId="1408571541">
    <w:abstractNumId w:val="10"/>
  </w:num>
  <w:num w:numId="19" w16cid:durableId="195703941">
    <w:abstractNumId w:val="23"/>
  </w:num>
  <w:num w:numId="20" w16cid:durableId="18899495">
    <w:abstractNumId w:val="3"/>
  </w:num>
  <w:num w:numId="21" w16cid:durableId="996345240">
    <w:abstractNumId w:val="12"/>
  </w:num>
  <w:num w:numId="22" w16cid:durableId="1829710839">
    <w:abstractNumId w:val="21"/>
  </w:num>
  <w:num w:numId="23" w16cid:durableId="848444427">
    <w:abstractNumId w:val="9"/>
  </w:num>
  <w:num w:numId="24" w16cid:durableId="585306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66"/>
    <w:rsid w:val="00000182"/>
    <w:rsid w:val="00041A11"/>
    <w:rsid w:val="0006263B"/>
    <w:rsid w:val="00086284"/>
    <w:rsid w:val="0009548A"/>
    <w:rsid w:val="00097DEC"/>
    <w:rsid w:val="000C619A"/>
    <w:rsid w:val="00101DA1"/>
    <w:rsid w:val="0011015B"/>
    <w:rsid w:val="00112844"/>
    <w:rsid w:val="00115CDE"/>
    <w:rsid w:val="001204F3"/>
    <w:rsid w:val="001318C3"/>
    <w:rsid w:val="00153D80"/>
    <w:rsid w:val="00167552"/>
    <w:rsid w:val="00187192"/>
    <w:rsid w:val="001B000E"/>
    <w:rsid w:val="001D6CB0"/>
    <w:rsid w:val="00226566"/>
    <w:rsid w:val="002328C8"/>
    <w:rsid w:val="002519DD"/>
    <w:rsid w:val="00256175"/>
    <w:rsid w:val="00282BF3"/>
    <w:rsid w:val="00283E5D"/>
    <w:rsid w:val="002926C8"/>
    <w:rsid w:val="002A21FF"/>
    <w:rsid w:val="002B3CCE"/>
    <w:rsid w:val="002D160A"/>
    <w:rsid w:val="002D5D70"/>
    <w:rsid w:val="002D7866"/>
    <w:rsid w:val="002E044A"/>
    <w:rsid w:val="002E7010"/>
    <w:rsid w:val="00305EFD"/>
    <w:rsid w:val="00311AE6"/>
    <w:rsid w:val="00322E5D"/>
    <w:rsid w:val="00325056"/>
    <w:rsid w:val="00332CEC"/>
    <w:rsid w:val="00344033"/>
    <w:rsid w:val="00346CCD"/>
    <w:rsid w:val="00351171"/>
    <w:rsid w:val="0035439B"/>
    <w:rsid w:val="0035586F"/>
    <w:rsid w:val="003678D8"/>
    <w:rsid w:val="00375414"/>
    <w:rsid w:val="00397C26"/>
    <w:rsid w:val="003A1BBC"/>
    <w:rsid w:val="003A7F4B"/>
    <w:rsid w:val="003C0818"/>
    <w:rsid w:val="004127ED"/>
    <w:rsid w:val="004157C4"/>
    <w:rsid w:val="00420AE7"/>
    <w:rsid w:val="0043421E"/>
    <w:rsid w:val="004357E0"/>
    <w:rsid w:val="00465E82"/>
    <w:rsid w:val="004B00D1"/>
    <w:rsid w:val="004C7387"/>
    <w:rsid w:val="004D3F3B"/>
    <w:rsid w:val="004D479B"/>
    <w:rsid w:val="00505DE8"/>
    <w:rsid w:val="00507D37"/>
    <w:rsid w:val="005305DB"/>
    <w:rsid w:val="00543298"/>
    <w:rsid w:val="00560B90"/>
    <w:rsid w:val="00573A79"/>
    <w:rsid w:val="00580C3D"/>
    <w:rsid w:val="005A3212"/>
    <w:rsid w:val="005A507C"/>
    <w:rsid w:val="005B1BC4"/>
    <w:rsid w:val="005D03FB"/>
    <w:rsid w:val="005E15BE"/>
    <w:rsid w:val="005E6245"/>
    <w:rsid w:val="00602021"/>
    <w:rsid w:val="006174B5"/>
    <w:rsid w:val="006271DC"/>
    <w:rsid w:val="00630C85"/>
    <w:rsid w:val="0064027B"/>
    <w:rsid w:val="006755A2"/>
    <w:rsid w:val="006C5EAC"/>
    <w:rsid w:val="006D292E"/>
    <w:rsid w:val="007144A3"/>
    <w:rsid w:val="00723F6A"/>
    <w:rsid w:val="007476D7"/>
    <w:rsid w:val="00747884"/>
    <w:rsid w:val="00771DED"/>
    <w:rsid w:val="00791776"/>
    <w:rsid w:val="007922C4"/>
    <w:rsid w:val="007C2B74"/>
    <w:rsid w:val="007C4E84"/>
    <w:rsid w:val="007D7CF5"/>
    <w:rsid w:val="008200FB"/>
    <w:rsid w:val="0082080B"/>
    <w:rsid w:val="00821C46"/>
    <w:rsid w:val="00841160"/>
    <w:rsid w:val="0084752D"/>
    <w:rsid w:val="00861DE4"/>
    <w:rsid w:val="00875659"/>
    <w:rsid w:val="008A3686"/>
    <w:rsid w:val="008D357E"/>
    <w:rsid w:val="008F1CD0"/>
    <w:rsid w:val="00905FED"/>
    <w:rsid w:val="009129F8"/>
    <w:rsid w:val="00924ACB"/>
    <w:rsid w:val="00947206"/>
    <w:rsid w:val="009531C9"/>
    <w:rsid w:val="0097037E"/>
    <w:rsid w:val="00982B15"/>
    <w:rsid w:val="00990B12"/>
    <w:rsid w:val="00991122"/>
    <w:rsid w:val="009B0418"/>
    <w:rsid w:val="009B1EC1"/>
    <w:rsid w:val="009B6815"/>
    <w:rsid w:val="009B6C15"/>
    <w:rsid w:val="009C5701"/>
    <w:rsid w:val="00A65755"/>
    <w:rsid w:val="00A71AAB"/>
    <w:rsid w:val="00A81D45"/>
    <w:rsid w:val="00A9112D"/>
    <w:rsid w:val="00A95501"/>
    <w:rsid w:val="00A97CDB"/>
    <w:rsid w:val="00AA0F93"/>
    <w:rsid w:val="00AD15C0"/>
    <w:rsid w:val="00B10332"/>
    <w:rsid w:val="00B11F41"/>
    <w:rsid w:val="00B1426A"/>
    <w:rsid w:val="00B14EA9"/>
    <w:rsid w:val="00B300E5"/>
    <w:rsid w:val="00B40DBE"/>
    <w:rsid w:val="00B42EC7"/>
    <w:rsid w:val="00B432A9"/>
    <w:rsid w:val="00B517DA"/>
    <w:rsid w:val="00B615A0"/>
    <w:rsid w:val="00B6776E"/>
    <w:rsid w:val="00B80888"/>
    <w:rsid w:val="00B832AA"/>
    <w:rsid w:val="00B903C5"/>
    <w:rsid w:val="00B93372"/>
    <w:rsid w:val="00BB093A"/>
    <w:rsid w:val="00BB45E8"/>
    <w:rsid w:val="00BD104E"/>
    <w:rsid w:val="00BD48FA"/>
    <w:rsid w:val="00BE57CA"/>
    <w:rsid w:val="00BF03F4"/>
    <w:rsid w:val="00C10396"/>
    <w:rsid w:val="00C12E24"/>
    <w:rsid w:val="00C23F61"/>
    <w:rsid w:val="00C24301"/>
    <w:rsid w:val="00C24684"/>
    <w:rsid w:val="00C37DB1"/>
    <w:rsid w:val="00C439A8"/>
    <w:rsid w:val="00C45A31"/>
    <w:rsid w:val="00C47016"/>
    <w:rsid w:val="00C5356D"/>
    <w:rsid w:val="00C62CCC"/>
    <w:rsid w:val="00C73AED"/>
    <w:rsid w:val="00C922ED"/>
    <w:rsid w:val="00CA15E9"/>
    <w:rsid w:val="00CA3F7A"/>
    <w:rsid w:val="00CB6108"/>
    <w:rsid w:val="00CD18A7"/>
    <w:rsid w:val="00CD75A3"/>
    <w:rsid w:val="00CE7897"/>
    <w:rsid w:val="00CF6E15"/>
    <w:rsid w:val="00CF7AC2"/>
    <w:rsid w:val="00D16E77"/>
    <w:rsid w:val="00DD4AEE"/>
    <w:rsid w:val="00DE184D"/>
    <w:rsid w:val="00DF703A"/>
    <w:rsid w:val="00DF71A2"/>
    <w:rsid w:val="00E10B41"/>
    <w:rsid w:val="00E2261F"/>
    <w:rsid w:val="00E257DB"/>
    <w:rsid w:val="00E27E46"/>
    <w:rsid w:val="00E34155"/>
    <w:rsid w:val="00E80D18"/>
    <w:rsid w:val="00E82844"/>
    <w:rsid w:val="00EA6684"/>
    <w:rsid w:val="00EC1340"/>
    <w:rsid w:val="00EF6B5C"/>
    <w:rsid w:val="00F22ACA"/>
    <w:rsid w:val="00F23BC1"/>
    <w:rsid w:val="00F457FE"/>
    <w:rsid w:val="00F5001A"/>
    <w:rsid w:val="00F57CF5"/>
    <w:rsid w:val="00F607E0"/>
    <w:rsid w:val="00F80F1A"/>
    <w:rsid w:val="00F863C2"/>
    <w:rsid w:val="00FA25EF"/>
    <w:rsid w:val="00FA6236"/>
    <w:rsid w:val="00FE1DED"/>
    <w:rsid w:val="00FF0C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81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CA"/>
    <w:rPr>
      <w:color w:val="153D63" w:themeColor="text2" w:themeTint="E6"/>
    </w:rPr>
  </w:style>
  <w:style w:type="paragraph" w:styleId="Heading1">
    <w:name w:val="heading 1"/>
    <w:basedOn w:val="Normal"/>
    <w:next w:val="Normal"/>
    <w:link w:val="Heading1Char"/>
    <w:uiPriority w:val="9"/>
    <w:qFormat/>
    <w:rsid w:val="00332CEC"/>
    <w:pPr>
      <w:outlineLvl w:val="0"/>
    </w:pPr>
    <w:rPr>
      <w:rFonts w:ascii="Calibri" w:hAnsi="Calibri" w:cs="Calibri"/>
      <w:b/>
      <w:bCs/>
      <w:lang w:eastAsia="en-US"/>
    </w:rPr>
  </w:style>
  <w:style w:type="paragraph" w:styleId="Heading2">
    <w:name w:val="heading 2"/>
    <w:basedOn w:val="Normal"/>
    <w:next w:val="Normal"/>
    <w:link w:val="Heading2Char"/>
    <w:uiPriority w:val="9"/>
    <w:unhideWhenUsed/>
    <w:qFormat/>
    <w:rsid w:val="00332CEC"/>
    <w:pPr>
      <w:spacing w:after="240"/>
      <w:outlineLvl w:val="1"/>
    </w:pPr>
    <w:rPr>
      <w:rFonts w:ascii="Calibri" w:eastAsiaTheme="majorEastAsia" w:hAnsi="Calibri" w:cs="Calibri"/>
      <w:b/>
      <w:bCs/>
      <w:color w:val="0F4761" w:themeColor="accent1" w:themeShade="BF"/>
      <w:sz w:val="21"/>
      <w:szCs w:val="21"/>
      <w:lang w:eastAsia="en-US"/>
    </w:rPr>
  </w:style>
  <w:style w:type="paragraph" w:styleId="Heading3">
    <w:name w:val="heading 3"/>
    <w:basedOn w:val="Heading2"/>
    <w:next w:val="Normal"/>
    <w:link w:val="Heading3Char"/>
    <w:uiPriority w:val="9"/>
    <w:unhideWhenUsed/>
    <w:qFormat/>
    <w:rsid w:val="00821C46"/>
    <w:pPr>
      <w:spacing w:before="100" w:beforeAutospacing="1" w:after="100" w:afterAutospacing="1" w:line="240" w:lineRule="atLeast"/>
      <w:outlineLvl w:val="2"/>
    </w:pPr>
  </w:style>
  <w:style w:type="paragraph" w:styleId="Heading4">
    <w:name w:val="heading 4"/>
    <w:basedOn w:val="Normal"/>
    <w:next w:val="Normal"/>
    <w:link w:val="Heading4Char"/>
    <w:uiPriority w:val="9"/>
    <w:semiHidden/>
    <w:unhideWhenUsed/>
    <w:qFormat/>
    <w:rsid w:val="002D7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EC"/>
    <w:rPr>
      <w:rFonts w:ascii="Calibri" w:hAnsi="Calibri" w:cs="Calibri"/>
      <w:b/>
      <w:bCs/>
      <w:color w:val="153D63" w:themeColor="text2" w:themeTint="E6"/>
      <w:lang w:eastAsia="en-US"/>
    </w:rPr>
  </w:style>
  <w:style w:type="character" w:customStyle="1" w:styleId="Heading2Char">
    <w:name w:val="Heading 2 Char"/>
    <w:basedOn w:val="DefaultParagraphFont"/>
    <w:link w:val="Heading2"/>
    <w:uiPriority w:val="9"/>
    <w:rsid w:val="00332CEC"/>
    <w:rPr>
      <w:rFonts w:ascii="Calibri" w:eastAsiaTheme="majorEastAsia" w:hAnsi="Calibri" w:cs="Calibri"/>
      <w:b/>
      <w:bCs/>
      <w:color w:val="0F4761" w:themeColor="accent1" w:themeShade="BF"/>
      <w:sz w:val="21"/>
      <w:szCs w:val="21"/>
      <w:lang w:eastAsia="en-US"/>
    </w:rPr>
  </w:style>
  <w:style w:type="character" w:customStyle="1" w:styleId="Heading3Char">
    <w:name w:val="Heading 3 Char"/>
    <w:basedOn w:val="DefaultParagraphFont"/>
    <w:link w:val="Heading3"/>
    <w:uiPriority w:val="9"/>
    <w:rsid w:val="00821C46"/>
    <w:rPr>
      <w:rFonts w:ascii="Calibri" w:eastAsiaTheme="majorEastAsia" w:hAnsi="Calibri" w:cs="Calibri"/>
      <w:b/>
      <w:bCs/>
      <w:color w:val="0F4761" w:themeColor="accent1" w:themeShade="BF"/>
      <w:sz w:val="21"/>
      <w:szCs w:val="21"/>
      <w:lang w:eastAsia="en-US"/>
    </w:rPr>
  </w:style>
  <w:style w:type="character" w:customStyle="1" w:styleId="Heading4Char">
    <w:name w:val="Heading 4 Char"/>
    <w:basedOn w:val="DefaultParagraphFont"/>
    <w:link w:val="Heading4"/>
    <w:uiPriority w:val="9"/>
    <w:semiHidden/>
    <w:rsid w:val="002D7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866"/>
    <w:rPr>
      <w:rFonts w:eastAsiaTheme="majorEastAsia" w:cstheme="majorBidi"/>
      <w:color w:val="272727" w:themeColor="text1" w:themeTint="D8"/>
    </w:rPr>
  </w:style>
  <w:style w:type="paragraph" w:styleId="Title">
    <w:name w:val="Title"/>
    <w:basedOn w:val="Heading2"/>
    <w:next w:val="Normal"/>
    <w:link w:val="TitleChar"/>
    <w:uiPriority w:val="10"/>
    <w:qFormat/>
    <w:rsid w:val="00332CEC"/>
    <w:rPr>
      <w:sz w:val="28"/>
      <w:szCs w:val="28"/>
    </w:rPr>
  </w:style>
  <w:style w:type="character" w:customStyle="1" w:styleId="TitleChar">
    <w:name w:val="Title Char"/>
    <w:basedOn w:val="DefaultParagraphFont"/>
    <w:link w:val="Title"/>
    <w:uiPriority w:val="10"/>
    <w:rsid w:val="00332CEC"/>
    <w:rPr>
      <w:rFonts w:ascii="Calibri" w:eastAsiaTheme="majorEastAsia" w:hAnsi="Calibri" w:cs="Calibri"/>
      <w:b/>
      <w:bCs/>
      <w:color w:val="0F4761" w:themeColor="accent1" w:themeShade="BF"/>
      <w:sz w:val="28"/>
      <w:szCs w:val="28"/>
      <w:lang w:eastAsia="en-US"/>
    </w:rPr>
  </w:style>
  <w:style w:type="paragraph" w:styleId="Subtitle">
    <w:name w:val="Subtitle"/>
    <w:basedOn w:val="Normal"/>
    <w:next w:val="Normal"/>
    <w:link w:val="SubtitleChar"/>
    <w:uiPriority w:val="11"/>
    <w:qFormat/>
    <w:rsid w:val="002D7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7866"/>
    <w:rPr>
      <w:i/>
      <w:iCs/>
      <w:color w:val="404040" w:themeColor="text1" w:themeTint="BF"/>
    </w:rPr>
  </w:style>
  <w:style w:type="paragraph" w:styleId="ListParagraph">
    <w:name w:val="List Paragraph"/>
    <w:basedOn w:val="Normal"/>
    <w:uiPriority w:val="34"/>
    <w:qFormat/>
    <w:rsid w:val="002D7866"/>
    <w:pPr>
      <w:ind w:left="720"/>
      <w:contextualSpacing/>
    </w:pPr>
  </w:style>
  <w:style w:type="character" w:styleId="IntenseEmphasis">
    <w:name w:val="Intense Emphasis"/>
    <w:basedOn w:val="DefaultParagraphFont"/>
    <w:uiPriority w:val="21"/>
    <w:qFormat/>
    <w:rsid w:val="002D7866"/>
    <w:rPr>
      <w:i/>
      <w:iCs/>
      <w:color w:val="0F4761" w:themeColor="accent1" w:themeShade="BF"/>
    </w:rPr>
  </w:style>
  <w:style w:type="paragraph" w:styleId="IntenseQuote">
    <w:name w:val="Intense Quote"/>
    <w:basedOn w:val="Normal"/>
    <w:next w:val="Normal"/>
    <w:link w:val="IntenseQuoteChar"/>
    <w:uiPriority w:val="30"/>
    <w:qFormat/>
    <w:rsid w:val="002D7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866"/>
    <w:rPr>
      <w:i/>
      <w:iCs/>
      <w:color w:val="0F4761" w:themeColor="accent1" w:themeShade="BF"/>
    </w:rPr>
  </w:style>
  <w:style w:type="character" w:styleId="IntenseReference">
    <w:name w:val="Intense Reference"/>
    <w:basedOn w:val="DefaultParagraphFont"/>
    <w:uiPriority w:val="32"/>
    <w:qFormat/>
    <w:rsid w:val="002D7866"/>
    <w:rPr>
      <w:b/>
      <w:bCs/>
      <w:smallCaps/>
      <w:color w:val="0F4761" w:themeColor="accent1" w:themeShade="BF"/>
      <w:spacing w:val="5"/>
    </w:rPr>
  </w:style>
  <w:style w:type="paragraph" w:styleId="Header">
    <w:name w:val="header"/>
    <w:basedOn w:val="Normal"/>
    <w:link w:val="HeaderChar"/>
    <w:uiPriority w:val="99"/>
    <w:unhideWhenUsed/>
    <w:rsid w:val="002D7866"/>
    <w:pPr>
      <w:tabs>
        <w:tab w:val="center" w:pos="4680"/>
        <w:tab w:val="right" w:pos="9360"/>
      </w:tabs>
    </w:pPr>
  </w:style>
  <w:style w:type="character" w:customStyle="1" w:styleId="HeaderChar">
    <w:name w:val="Header Char"/>
    <w:basedOn w:val="DefaultParagraphFont"/>
    <w:link w:val="Header"/>
    <w:uiPriority w:val="99"/>
    <w:rsid w:val="002D7866"/>
  </w:style>
  <w:style w:type="paragraph" w:styleId="Footer">
    <w:name w:val="footer"/>
    <w:basedOn w:val="Normal"/>
    <w:link w:val="FooterChar"/>
    <w:uiPriority w:val="99"/>
    <w:unhideWhenUsed/>
    <w:rsid w:val="002D7866"/>
    <w:pPr>
      <w:tabs>
        <w:tab w:val="center" w:pos="4680"/>
        <w:tab w:val="right" w:pos="9360"/>
      </w:tabs>
    </w:pPr>
  </w:style>
  <w:style w:type="character" w:customStyle="1" w:styleId="FooterChar">
    <w:name w:val="Footer Char"/>
    <w:basedOn w:val="DefaultParagraphFont"/>
    <w:link w:val="Footer"/>
    <w:uiPriority w:val="99"/>
    <w:rsid w:val="002D7866"/>
  </w:style>
  <w:style w:type="character" w:styleId="PageNumber">
    <w:name w:val="page number"/>
    <w:basedOn w:val="DefaultParagraphFont"/>
    <w:uiPriority w:val="99"/>
    <w:semiHidden/>
    <w:unhideWhenUsed/>
    <w:rsid w:val="002D7866"/>
  </w:style>
  <w:style w:type="character" w:styleId="SubtleEmphasis">
    <w:name w:val="Subtle Emphasis"/>
    <w:basedOn w:val="DefaultParagraphFont"/>
    <w:uiPriority w:val="19"/>
    <w:qFormat/>
    <w:rsid w:val="00F22ACA"/>
    <w:rPr>
      <w:rFonts w:ascii="Calibri" w:hAnsi="Calibri" w:cs="Calibri"/>
      <w:i/>
      <w:iCs/>
      <w:color w:val="153D63" w:themeColor="text2" w:themeTint="E6"/>
      <w:sz w:val="22"/>
      <w:szCs w:val="22"/>
      <w:lang w:eastAsia="en-AU"/>
    </w:rPr>
  </w:style>
  <w:style w:type="paragraph" w:customStyle="1" w:styleId="BasicParagraph">
    <w:name w:val="[Basic Paragraph]"/>
    <w:basedOn w:val="Normal"/>
    <w:uiPriority w:val="99"/>
    <w:rsid w:val="008200FB"/>
    <w:pPr>
      <w:autoSpaceDE w:val="0"/>
      <w:autoSpaceDN w:val="0"/>
      <w:adjustRightInd w:val="0"/>
      <w:spacing w:line="288" w:lineRule="auto"/>
      <w:textAlignment w:val="center"/>
    </w:pPr>
    <w:rPr>
      <w:rFonts w:ascii="Minion Pro" w:hAnsi="Minion Pro" w:cs="Minion Pro"/>
      <w:color w:val="000000"/>
      <w:kern w:val="0"/>
      <w:lang w:val="en-US"/>
    </w:rPr>
  </w:style>
  <w:style w:type="character" w:styleId="Hyperlink">
    <w:name w:val="Hyperlink"/>
    <w:basedOn w:val="DefaultParagraphFont"/>
    <w:uiPriority w:val="99"/>
    <w:unhideWhenUsed/>
    <w:rsid w:val="00311AE6"/>
    <w:rPr>
      <w:color w:val="467886" w:themeColor="hyperlink"/>
      <w:u w:val="single"/>
    </w:rPr>
  </w:style>
  <w:style w:type="character" w:styleId="UnresolvedMention">
    <w:name w:val="Unresolved Mention"/>
    <w:basedOn w:val="DefaultParagraphFont"/>
    <w:uiPriority w:val="99"/>
    <w:semiHidden/>
    <w:unhideWhenUsed/>
    <w:rsid w:val="00311AE6"/>
    <w:rPr>
      <w:color w:val="605E5C"/>
      <w:shd w:val="clear" w:color="auto" w:fill="E1DFDD"/>
    </w:rPr>
  </w:style>
  <w:style w:type="paragraph" w:customStyle="1" w:styleId="Default">
    <w:name w:val="Default"/>
    <w:rsid w:val="009B0418"/>
    <w:pPr>
      <w:autoSpaceDE w:val="0"/>
      <w:autoSpaceDN w:val="0"/>
      <w:adjustRightInd w:val="0"/>
    </w:pPr>
    <w:rPr>
      <w:rFonts w:ascii="Calibri" w:hAnsi="Calibri" w:cs="Calibri"/>
      <w:color w:val="000000"/>
      <w:kern w:val="0"/>
      <w:lang w:val="en-US"/>
    </w:rPr>
  </w:style>
  <w:style w:type="paragraph" w:customStyle="1" w:styleId="Pa2">
    <w:name w:val="Pa2"/>
    <w:basedOn w:val="Default"/>
    <w:next w:val="Default"/>
    <w:uiPriority w:val="99"/>
    <w:rsid w:val="009B0418"/>
    <w:pPr>
      <w:spacing w:line="241" w:lineRule="atLeast"/>
    </w:pPr>
    <w:rPr>
      <w:color w:val="auto"/>
    </w:rPr>
  </w:style>
  <w:style w:type="character" w:customStyle="1" w:styleId="A0">
    <w:name w:val="A0"/>
    <w:uiPriority w:val="99"/>
    <w:rsid w:val="009B0418"/>
    <w:rPr>
      <w:color w:val="2F405E"/>
      <w:sz w:val="22"/>
      <w:szCs w:val="22"/>
    </w:rPr>
  </w:style>
  <w:style w:type="character" w:customStyle="1" w:styleId="A2">
    <w:name w:val="A2"/>
    <w:uiPriority w:val="99"/>
    <w:rsid w:val="009B0418"/>
    <w:rPr>
      <w:i/>
      <w:iCs/>
      <w:color w:val="205D9F"/>
      <w:sz w:val="22"/>
      <w:szCs w:val="22"/>
      <w:u w:val="single"/>
    </w:rPr>
  </w:style>
  <w:style w:type="paragraph" w:customStyle="1" w:styleId="Pa0">
    <w:name w:val="Pa0"/>
    <w:basedOn w:val="Default"/>
    <w:next w:val="Default"/>
    <w:uiPriority w:val="99"/>
    <w:rsid w:val="00EA6684"/>
    <w:pPr>
      <w:spacing w:line="241" w:lineRule="atLeast"/>
    </w:pPr>
    <w:rPr>
      <w:color w:val="auto"/>
    </w:rPr>
  </w:style>
  <w:style w:type="character" w:customStyle="1" w:styleId="A7">
    <w:name w:val="A7"/>
    <w:uiPriority w:val="99"/>
    <w:rsid w:val="00EA6684"/>
    <w:rPr>
      <w:color w:val="FFFFFF"/>
      <w:sz w:val="20"/>
      <w:szCs w:val="20"/>
    </w:rPr>
  </w:style>
  <w:style w:type="character" w:customStyle="1" w:styleId="A8">
    <w:name w:val="A8"/>
    <w:uiPriority w:val="99"/>
    <w:rsid w:val="00EA6684"/>
    <w:rPr>
      <w:color w:val="FFFF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sc.knack.com/mra-inventory" TargetMode="External"/><Relationship Id="rId13" Type="http://schemas.openxmlformats.org/officeDocument/2006/relationships/hyperlink" Target="https://www.dfat.gov.au/trade-investment/business-envoy/business-envoy-may-2022/fast-tracking-registration-professionals-across-apec-econom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ec.org/meeting-papers/annual-ministerial-meetings/2023/2023-apec-ministerial-meeting" TargetMode="External"/><Relationship Id="rId12" Type="http://schemas.openxmlformats.org/officeDocument/2006/relationships/hyperlink" Target="https://www.apec.org/meeting-papers/annual-ministerial-meetings/2023/2023-apec-ministerial-meet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ec.org/publications/2024/02/mutual-recognition-agreements-for-professional-qualifications-and-licensure-in-apec-experiences-impediments-and-opportunit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pec.org/publications/2021/11/mutual-recognition-of-professional-qualifications-in-the-asia-pacific-lessons-from-the-inventory-of-mutual-recognition-agreements-in-apec" TargetMode="External"/><Relationship Id="rId4" Type="http://schemas.openxmlformats.org/officeDocument/2006/relationships/webSettings" Target="webSettings.xml"/><Relationship Id="rId9" Type="http://schemas.openxmlformats.org/officeDocument/2006/relationships/hyperlink" Target="https://www.apec.org/publications/2023/10/mutual-recognition-agreements-toolkit" TargetMode="External"/><Relationship Id="rId14" Type="http://schemas.openxmlformats.org/officeDocument/2006/relationships/hyperlink" Target="https://aasc.knack.com/mra-inve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8608</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APEC Support Program (AASP) - Case study: Supporting APEC professional services and Mutual Recognition Agreements (MRAS)</dc:title>
  <dc:subject/>
  <dc:creator/>
  <cp:keywords>[SEC=OFFICIAL]</cp:keywords>
  <dc:description/>
  <cp:lastModifiedBy/>
  <cp:revision>1</cp:revision>
  <dcterms:created xsi:type="dcterms:W3CDTF">2025-02-23T22:31:00Z</dcterms:created>
  <dcterms:modified xsi:type="dcterms:W3CDTF">2025-02-23T22:31:00Z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v=2022.1;a=SHA256;h=83DE604E3E2AD3F9154640ECF0CE15BBF48E98DA1DA2C9940E65B323447D1C14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2025-02-10T04:23:53Z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B9AAFCBEFFBA417C8871D72398AF42EB</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8F6A2C0B0D2665F7AFA72027DEC67044</vt:lpwstr>
  </property>
  <property fmtid="{D5CDD505-2E9C-101B-9397-08002B2CF9AE}" pid="24" name="PM_Hash_Salt">
    <vt:lpwstr>6C0633E78BE5B1435E0D1994164D5C7B</vt:lpwstr>
  </property>
  <property fmtid="{D5CDD505-2E9C-101B-9397-08002B2CF9AE}" pid="25" name="PM_Hash_SHA1">
    <vt:lpwstr>5D29A7904FEC073850F6427F0801551FAAEE1CF0</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ies>
</file>