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5B" w:rsidRPr="009201BE" w:rsidRDefault="008B5267">
      <w:pPr>
        <w:pStyle w:val="Title"/>
        <w:ind w:right="-702"/>
        <w:rPr>
          <w:color w:val="AD495D"/>
        </w:rPr>
      </w:pPr>
      <w:r>
        <w:rPr>
          <w:noProof/>
          <w:color w:val="AD495D"/>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560310" cy="3024505"/>
            <wp:effectExtent l="0" t="0" r="2540" b="4445"/>
            <wp:wrapNone/>
            <wp:docPr id="1198" name="Picture 1198" descr="AusAID_facsheet_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AusAID_facsheet_A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C047E5">
        <w:t>Latin America</w:t>
      </w:r>
      <w:r w:rsidR="0035177E">
        <w:rPr>
          <w:color w:val="AD495D"/>
        </w:rPr>
        <w:t xml:space="preserve"> </w:t>
      </w:r>
      <w:r w:rsidR="00DC09CC">
        <w:rPr>
          <w:color w:val="AD495D"/>
        </w:rPr>
        <w:t>Annual Program Performance Report</w:t>
      </w:r>
      <w:r w:rsidR="0035177E">
        <w:rPr>
          <w:color w:val="AD495D"/>
        </w:rPr>
        <w:t xml:space="preserve"> </w:t>
      </w:r>
      <w:r w:rsidR="00574E74">
        <w:rPr>
          <w:color w:val="AD495D"/>
        </w:rPr>
        <w:t>2011</w:t>
      </w:r>
    </w:p>
    <w:p w:rsidR="0094365B" w:rsidRPr="009201BE" w:rsidRDefault="0030623D">
      <w:pPr>
        <w:pStyle w:val="Date"/>
        <w:rPr>
          <w:color w:val="AD495D"/>
        </w:rPr>
      </w:pPr>
      <w:r>
        <w:t>August</w:t>
      </w:r>
      <w:r w:rsidR="00C047E5">
        <w:t xml:space="preserve"> 2012</w:t>
      </w:r>
    </w:p>
    <w:p w:rsidR="00D04DD6" w:rsidRPr="00BC36DE" w:rsidRDefault="00D04DD6" w:rsidP="00BC36DE">
      <w:pPr>
        <w:pStyle w:val="Heading2"/>
      </w:pPr>
      <w:r w:rsidRPr="00BC36DE">
        <w:t>Summary</w:t>
      </w:r>
    </w:p>
    <w:p w:rsidR="005447E1" w:rsidRDefault="0035177E" w:rsidP="005447E1">
      <w:pPr>
        <w:pStyle w:val="BodyText"/>
        <w:jc w:val="both"/>
        <w:rPr>
          <w:color w:val="0070C0"/>
        </w:rPr>
      </w:pPr>
      <w:r w:rsidRPr="002C1967">
        <w:rPr>
          <w:color w:val="0070C0"/>
        </w:rPr>
        <w:t xml:space="preserve">This report summarises </w:t>
      </w:r>
      <w:r w:rsidR="00944913">
        <w:rPr>
          <w:color w:val="0070C0"/>
        </w:rPr>
        <w:t>AusAID’s progress establishing and delivering a</w:t>
      </w:r>
      <w:r w:rsidR="00DC09CC" w:rsidRPr="002C1967">
        <w:rPr>
          <w:color w:val="0070C0"/>
        </w:rPr>
        <w:t xml:space="preserve"> </w:t>
      </w:r>
      <w:r w:rsidR="00445370">
        <w:rPr>
          <w:color w:val="0070C0"/>
        </w:rPr>
        <w:t xml:space="preserve">regional </w:t>
      </w:r>
      <w:r w:rsidR="00944913">
        <w:rPr>
          <w:color w:val="0070C0"/>
        </w:rPr>
        <w:t xml:space="preserve">development cooperation program in </w:t>
      </w:r>
      <w:r w:rsidR="005447E1">
        <w:rPr>
          <w:color w:val="0070C0"/>
        </w:rPr>
        <w:t>Latin America</w:t>
      </w:r>
      <w:r w:rsidR="009C688F">
        <w:rPr>
          <w:color w:val="0070C0"/>
        </w:rPr>
        <w:t>.</w:t>
      </w:r>
      <w:r w:rsidR="001C767C">
        <w:rPr>
          <w:rStyle w:val="FootnoteReference"/>
          <w:color w:val="0070C0"/>
        </w:rPr>
        <w:footnoteReference w:id="2"/>
      </w:r>
      <w:r w:rsidR="005447E1">
        <w:rPr>
          <w:color w:val="0070C0"/>
        </w:rPr>
        <w:t xml:space="preserve"> It is the </w:t>
      </w:r>
      <w:r w:rsidR="0035026E">
        <w:rPr>
          <w:color w:val="0070C0"/>
        </w:rPr>
        <w:t xml:space="preserve">program’s </w:t>
      </w:r>
      <w:r w:rsidR="005447E1">
        <w:rPr>
          <w:color w:val="0070C0"/>
        </w:rPr>
        <w:t xml:space="preserve">first </w:t>
      </w:r>
      <w:r w:rsidR="00FE002A">
        <w:rPr>
          <w:color w:val="0070C0"/>
        </w:rPr>
        <w:t>Annual Program Performance Report (APPR)</w:t>
      </w:r>
      <w:r w:rsidR="00D61376">
        <w:rPr>
          <w:color w:val="0070C0"/>
        </w:rPr>
        <w:t>.</w:t>
      </w:r>
      <w:r w:rsidR="0035026E">
        <w:rPr>
          <w:color w:val="0070C0"/>
        </w:rPr>
        <w:t xml:space="preserve"> </w:t>
      </w:r>
      <w:r w:rsidR="00D61376">
        <w:rPr>
          <w:color w:val="0070C0"/>
        </w:rPr>
        <w:t>Noting the brief implementation period and nascent program architecture of the Latin America program, this APPR articulates AusAID’s progress establishing the program, major development initiatives delivered to date and key achievements including impact data where this is available.</w:t>
      </w:r>
      <w:r w:rsidR="00500054">
        <w:rPr>
          <w:color w:val="0070C0"/>
        </w:rPr>
        <w:t xml:space="preserve"> This APPR also highlights the challenges, risks and lessons learned to date.</w:t>
      </w:r>
      <w:r w:rsidR="00B818CF">
        <w:rPr>
          <w:color w:val="0070C0"/>
        </w:rPr>
        <w:t xml:space="preserve"> </w:t>
      </w:r>
    </w:p>
    <w:p w:rsidR="007C613A" w:rsidRDefault="007C613A" w:rsidP="005447E1">
      <w:pPr>
        <w:keepNext/>
        <w:spacing w:after="100" w:line="320" w:lineRule="atLeast"/>
        <w:jc w:val="both"/>
        <w:outlineLvl w:val="0"/>
        <w:rPr>
          <w:rFonts w:ascii="Franklin Gothic Demi" w:hAnsi="Franklin Gothic Demi"/>
          <w:color w:val="AD495D"/>
          <w:kern w:val="28"/>
          <w:sz w:val="28"/>
          <w:szCs w:val="28"/>
        </w:rPr>
      </w:pPr>
    </w:p>
    <w:p w:rsidR="00E02AF8" w:rsidRDefault="004F32A0" w:rsidP="005447E1">
      <w:pPr>
        <w:keepNext/>
        <w:spacing w:after="100" w:line="320" w:lineRule="atLeast"/>
        <w:jc w:val="both"/>
        <w:outlineLvl w:val="0"/>
        <w:rPr>
          <w:rFonts w:ascii="Franklin Gothic Demi" w:hAnsi="Franklin Gothic Demi"/>
          <w:color w:val="AD495D"/>
          <w:kern w:val="28"/>
          <w:sz w:val="28"/>
          <w:szCs w:val="28"/>
        </w:rPr>
      </w:pPr>
      <w:r>
        <w:rPr>
          <w:rFonts w:ascii="Franklin Gothic Demi" w:hAnsi="Franklin Gothic Demi"/>
          <w:color w:val="AD495D"/>
          <w:kern w:val="28"/>
          <w:sz w:val="28"/>
          <w:szCs w:val="28"/>
        </w:rPr>
        <w:t>C</w:t>
      </w:r>
      <w:r w:rsidR="00BC36DE" w:rsidRPr="00174585">
        <w:rPr>
          <w:rFonts w:ascii="Franklin Gothic Demi" w:hAnsi="Franklin Gothic Demi"/>
          <w:color w:val="AD495D"/>
          <w:kern w:val="28"/>
          <w:sz w:val="28"/>
          <w:szCs w:val="28"/>
        </w:rPr>
        <w:t>ontext</w:t>
      </w:r>
      <w:r w:rsidR="00E02AF8" w:rsidRPr="00174585">
        <w:rPr>
          <w:rFonts w:ascii="Franklin Gothic Demi" w:hAnsi="Franklin Gothic Demi"/>
          <w:color w:val="AD495D"/>
          <w:kern w:val="28"/>
          <w:sz w:val="28"/>
          <w:szCs w:val="28"/>
        </w:rPr>
        <w:t xml:space="preserve"> </w:t>
      </w:r>
    </w:p>
    <w:p w:rsidR="00D00586" w:rsidRDefault="003C7488" w:rsidP="009C688F">
      <w:pPr>
        <w:pStyle w:val="BodyText"/>
        <w:jc w:val="both"/>
        <w:rPr>
          <w:color w:val="0070C0"/>
        </w:rPr>
      </w:pPr>
      <w:r>
        <w:rPr>
          <w:color w:val="0070C0"/>
        </w:rPr>
        <w:t xml:space="preserve">Around 57 million people in countries covered by the </w:t>
      </w:r>
      <w:r w:rsidR="00A01FC8">
        <w:rPr>
          <w:color w:val="0070C0"/>
        </w:rPr>
        <w:t>Latin America program</w:t>
      </w:r>
      <w:r>
        <w:rPr>
          <w:color w:val="0070C0"/>
        </w:rPr>
        <w:t xml:space="preserve"> live on less than US$2 a day (10.5% of</w:t>
      </w:r>
      <w:r w:rsidR="00F74843">
        <w:rPr>
          <w:color w:val="0070C0"/>
        </w:rPr>
        <w:t xml:space="preserve"> the population of 540 million).</w:t>
      </w:r>
      <w:r w:rsidR="00B818CF">
        <w:rPr>
          <w:color w:val="0070C0"/>
        </w:rPr>
        <w:t xml:space="preserve"> </w:t>
      </w:r>
      <w:r w:rsidR="00633336" w:rsidRPr="009C688F">
        <w:rPr>
          <w:color w:val="0070C0"/>
        </w:rPr>
        <w:t>Many Latin American countries have far higher rates of poverty and extreme poverty than comparable middle incomes countries in other regions.</w:t>
      </w:r>
      <w:r w:rsidR="001C3652">
        <w:rPr>
          <w:color w:val="0070C0"/>
        </w:rPr>
        <w:t xml:space="preserve"> </w:t>
      </w:r>
      <w:r w:rsidR="00F74843">
        <w:rPr>
          <w:color w:val="0070C0"/>
        </w:rPr>
        <w:t>Poverty levels are greater (25% to 32%) in some countries including Nicaragua, Honduras, Bolivia and Guatemala. T</w:t>
      </w:r>
      <w:r w:rsidR="00633336" w:rsidRPr="009C688F">
        <w:rPr>
          <w:color w:val="0070C0"/>
        </w:rPr>
        <w:t>en of the world’s 15 most unequal</w:t>
      </w:r>
      <w:r w:rsidR="00633336">
        <w:rPr>
          <w:color w:val="0070C0"/>
        </w:rPr>
        <w:t xml:space="preserve"> countries </w:t>
      </w:r>
      <w:r w:rsidR="00F74843">
        <w:rPr>
          <w:color w:val="0070C0"/>
        </w:rPr>
        <w:t>are</w:t>
      </w:r>
      <w:r w:rsidR="00FE002A">
        <w:rPr>
          <w:color w:val="0070C0"/>
        </w:rPr>
        <w:t xml:space="preserve"> </w:t>
      </w:r>
      <w:r w:rsidR="00633336">
        <w:rPr>
          <w:color w:val="0070C0"/>
        </w:rPr>
        <w:t>in Latin America</w:t>
      </w:r>
      <w:r w:rsidR="00AC1A59">
        <w:rPr>
          <w:color w:val="0070C0"/>
        </w:rPr>
        <w:t>.</w:t>
      </w:r>
      <w:r w:rsidR="00BF3944">
        <w:rPr>
          <w:rStyle w:val="FootnoteReference"/>
          <w:color w:val="0070C0"/>
        </w:rPr>
        <w:footnoteReference w:id="3"/>
      </w:r>
      <w:r w:rsidR="003C5627" w:rsidRPr="003C5627">
        <w:rPr>
          <w:rFonts w:ascii="Times New Roman" w:hAnsi="Times New Roman"/>
          <w:color w:val="0070C0"/>
          <w:sz w:val="24"/>
          <w:szCs w:val="24"/>
        </w:rPr>
        <w:t xml:space="preserve"> </w:t>
      </w:r>
      <w:r w:rsidR="003C5627">
        <w:rPr>
          <w:color w:val="0070C0"/>
        </w:rPr>
        <w:t>Additionally,</w:t>
      </w:r>
      <w:r w:rsidR="003C5627" w:rsidRPr="003C5627">
        <w:rPr>
          <w:color w:val="0070C0"/>
        </w:rPr>
        <w:t xml:space="preserve"> the richest one-tenth o</w:t>
      </w:r>
      <w:r w:rsidR="003C5627">
        <w:rPr>
          <w:color w:val="0070C0"/>
        </w:rPr>
        <w:t>f the population earns</w:t>
      </w:r>
      <w:r w:rsidR="003C5627" w:rsidRPr="003C5627">
        <w:rPr>
          <w:color w:val="0070C0"/>
        </w:rPr>
        <w:t xml:space="preserve"> 48% of the total income.</w:t>
      </w:r>
      <w:r w:rsidR="003C5627" w:rsidRPr="003C5627">
        <w:rPr>
          <w:rStyle w:val="FootnoteReference"/>
        </w:rPr>
        <w:footnoteReference w:id="4"/>
      </w:r>
      <w:r w:rsidR="00AC1A59" w:rsidRPr="003C5627">
        <w:rPr>
          <w:rStyle w:val="FootnoteReference"/>
        </w:rPr>
        <w:t xml:space="preserve"> </w:t>
      </w:r>
      <w:r w:rsidR="00E24C23" w:rsidRPr="009C688F">
        <w:rPr>
          <w:color w:val="0070C0"/>
        </w:rPr>
        <w:t xml:space="preserve">High </w:t>
      </w:r>
      <w:r w:rsidR="00E24C23">
        <w:rPr>
          <w:color w:val="0070C0"/>
        </w:rPr>
        <w:t xml:space="preserve">levels of income </w:t>
      </w:r>
      <w:r w:rsidR="00E24C23" w:rsidRPr="009C688F">
        <w:rPr>
          <w:color w:val="0070C0"/>
        </w:rPr>
        <w:t>inequality are</w:t>
      </w:r>
      <w:r w:rsidR="009C688F" w:rsidRPr="009C688F">
        <w:rPr>
          <w:color w:val="0070C0"/>
        </w:rPr>
        <w:t xml:space="preserve"> a fundamental impediment to poverty reduction </w:t>
      </w:r>
      <w:r w:rsidR="007A191F">
        <w:rPr>
          <w:color w:val="0070C0"/>
        </w:rPr>
        <w:t>that affects w</w:t>
      </w:r>
      <w:r w:rsidR="009C688F" w:rsidRPr="009C688F">
        <w:rPr>
          <w:color w:val="0070C0"/>
        </w:rPr>
        <w:t xml:space="preserve">omen, indigenous </w:t>
      </w:r>
      <w:r w:rsidR="007A191F">
        <w:rPr>
          <w:color w:val="0070C0"/>
        </w:rPr>
        <w:t>and Afro-descendant populations</w:t>
      </w:r>
      <w:r w:rsidR="009C688F" w:rsidRPr="009C688F">
        <w:rPr>
          <w:color w:val="0070C0"/>
        </w:rPr>
        <w:t>.</w:t>
      </w:r>
      <w:r w:rsidR="001C3652">
        <w:rPr>
          <w:color w:val="0070C0"/>
        </w:rPr>
        <w:t xml:space="preserve"> </w:t>
      </w:r>
    </w:p>
    <w:p w:rsidR="00D00586" w:rsidRDefault="00D00586" w:rsidP="00D00586">
      <w:pPr>
        <w:pStyle w:val="BodyText"/>
        <w:jc w:val="both"/>
        <w:rPr>
          <w:color w:val="0070C0"/>
        </w:rPr>
      </w:pPr>
      <w:r w:rsidRPr="009C688F">
        <w:rPr>
          <w:color w:val="0070C0"/>
        </w:rPr>
        <w:t>The wealthier count</w:t>
      </w:r>
      <w:r w:rsidR="00201C82">
        <w:rPr>
          <w:color w:val="0070C0"/>
        </w:rPr>
        <w:t>r</w:t>
      </w:r>
      <w:r w:rsidRPr="009C688F">
        <w:rPr>
          <w:color w:val="0070C0"/>
        </w:rPr>
        <w:t>ies of Latin America have made significant progress meeting their MDGs targets</w:t>
      </w:r>
      <w:r w:rsidR="00271F5A">
        <w:rPr>
          <w:color w:val="0070C0"/>
        </w:rPr>
        <w:t xml:space="preserve"> (Annex A refers)</w:t>
      </w:r>
      <w:r w:rsidRPr="009C688F">
        <w:rPr>
          <w:color w:val="0070C0"/>
        </w:rPr>
        <w:t>.</w:t>
      </w:r>
      <w:r>
        <w:rPr>
          <w:color w:val="0070C0"/>
        </w:rPr>
        <w:t xml:space="preserve"> </w:t>
      </w:r>
      <w:r w:rsidRPr="009C688F">
        <w:rPr>
          <w:color w:val="0070C0"/>
        </w:rPr>
        <w:t>In particular, Argentina</w:t>
      </w:r>
      <w:r>
        <w:rPr>
          <w:color w:val="0070C0"/>
        </w:rPr>
        <w:t>,</w:t>
      </w:r>
      <w:r w:rsidRPr="009C688F">
        <w:rPr>
          <w:color w:val="0070C0"/>
        </w:rPr>
        <w:t xml:space="preserve"> Brazil, Chile, Costa Rica, Panama, Uruguay and Venezuela all have relatively lo</w:t>
      </w:r>
      <w:r>
        <w:rPr>
          <w:color w:val="0070C0"/>
        </w:rPr>
        <w:t xml:space="preserve">w incidence of extreme poverty. </w:t>
      </w:r>
      <w:r w:rsidRPr="009C688F">
        <w:rPr>
          <w:color w:val="0070C0"/>
        </w:rPr>
        <w:t>However</w:t>
      </w:r>
      <w:r>
        <w:rPr>
          <w:color w:val="0070C0"/>
        </w:rPr>
        <w:t>,</w:t>
      </w:r>
      <w:r w:rsidRPr="009C688F">
        <w:rPr>
          <w:color w:val="0070C0"/>
        </w:rPr>
        <w:t xml:space="preserve"> poorer countries (Bolivia, Guatemala, Honduras, Nicaragua, Paraguay and Peru) all have high proportions of </w:t>
      </w:r>
      <w:r>
        <w:rPr>
          <w:color w:val="0070C0"/>
        </w:rPr>
        <w:t xml:space="preserve">rural poor and </w:t>
      </w:r>
      <w:r w:rsidRPr="009C688F">
        <w:rPr>
          <w:color w:val="0070C0"/>
        </w:rPr>
        <w:t>urban populations living in slums (MDG7).</w:t>
      </w:r>
      <w:r>
        <w:rPr>
          <w:color w:val="0070C0"/>
        </w:rPr>
        <w:t xml:space="preserve"> </w:t>
      </w:r>
    </w:p>
    <w:p w:rsidR="00D00586" w:rsidRDefault="009C688F" w:rsidP="009C688F">
      <w:pPr>
        <w:pStyle w:val="BodyText"/>
        <w:jc w:val="both"/>
        <w:rPr>
          <w:color w:val="0070C0"/>
        </w:rPr>
      </w:pPr>
      <w:r w:rsidRPr="009C688F">
        <w:rPr>
          <w:color w:val="0070C0"/>
        </w:rPr>
        <w:t xml:space="preserve">Rural populations </w:t>
      </w:r>
      <w:r w:rsidR="00D00586">
        <w:rPr>
          <w:color w:val="0070C0"/>
        </w:rPr>
        <w:t xml:space="preserve">in the region </w:t>
      </w:r>
      <w:r w:rsidRPr="009C688F">
        <w:rPr>
          <w:color w:val="0070C0"/>
        </w:rPr>
        <w:t>experience poverty disproportionately, with the incidence of extreme poverty in rural areas three times higher than in urban areas.</w:t>
      </w:r>
      <w:r w:rsidR="001C3652">
        <w:rPr>
          <w:color w:val="0070C0"/>
        </w:rPr>
        <w:t xml:space="preserve"> </w:t>
      </w:r>
      <w:r w:rsidRPr="009C688F">
        <w:rPr>
          <w:color w:val="0070C0"/>
        </w:rPr>
        <w:t>This reflects the lack of economic and social development opportunities for marginalised populations, as well as long</w:t>
      </w:r>
      <w:r w:rsidR="00201C82">
        <w:rPr>
          <w:color w:val="0070C0"/>
        </w:rPr>
        <w:t>-</w:t>
      </w:r>
      <w:r w:rsidRPr="009C688F">
        <w:rPr>
          <w:color w:val="0070C0"/>
        </w:rPr>
        <w:t>standing discrimination based on gender and racial-ethnic origins.</w:t>
      </w:r>
      <w:r w:rsidR="001C3652">
        <w:rPr>
          <w:color w:val="0070C0"/>
        </w:rPr>
        <w:t xml:space="preserve"> </w:t>
      </w:r>
      <w:r w:rsidRPr="009C688F">
        <w:rPr>
          <w:color w:val="0070C0"/>
        </w:rPr>
        <w:t>These people are generally unable to access expanded opportunities when economic growth accelerates.</w:t>
      </w:r>
      <w:r w:rsidR="00AC1A59" w:rsidRPr="00AC1A59">
        <w:rPr>
          <w:color w:val="0070C0"/>
        </w:rPr>
        <w:t xml:space="preserve"> </w:t>
      </w:r>
    </w:p>
    <w:p w:rsidR="004A3D2A" w:rsidRPr="004A3D2A" w:rsidRDefault="004A3D2A" w:rsidP="004A3D2A">
      <w:pPr>
        <w:pStyle w:val="BodyText"/>
        <w:rPr>
          <w:color w:val="0070C0"/>
        </w:rPr>
      </w:pPr>
      <w:r w:rsidRPr="004A3D2A">
        <w:rPr>
          <w:color w:val="0070C0"/>
        </w:rPr>
        <w:lastRenderedPageBreak/>
        <w:t xml:space="preserve">Sustained high economic growth </w:t>
      </w:r>
      <w:r>
        <w:rPr>
          <w:color w:val="0070C0"/>
        </w:rPr>
        <w:t xml:space="preserve">has </w:t>
      </w:r>
      <w:r w:rsidRPr="004A3D2A">
        <w:rPr>
          <w:color w:val="0070C0"/>
        </w:rPr>
        <w:t xml:space="preserve">helped </w:t>
      </w:r>
      <w:r>
        <w:rPr>
          <w:color w:val="0070C0"/>
        </w:rPr>
        <w:t xml:space="preserve">to </w:t>
      </w:r>
      <w:r w:rsidRPr="004A3D2A">
        <w:rPr>
          <w:color w:val="0070C0"/>
        </w:rPr>
        <w:t>reduce poverty and inequality in Latin America over the last decade. The extreme poor are particularly vulnerable when economies slow down or experience shocks, and their economies suffer disproportionately from natural disasters and environmental degradation. Economic shocks such as global food, fuel and financial crises in 2009, and natural disasters in Chile, Colombia, Brazil and Central America, placed further pressure on poverty reduction efforts.</w:t>
      </w:r>
      <w:r>
        <w:rPr>
          <w:color w:val="0070C0"/>
        </w:rPr>
        <w:t xml:space="preserve"> </w:t>
      </w:r>
      <w:r w:rsidR="00AC1A59" w:rsidRPr="009C688F">
        <w:rPr>
          <w:color w:val="0070C0"/>
        </w:rPr>
        <w:t>Latin America has sustained strong economic growth in</w:t>
      </w:r>
      <w:r w:rsidR="00F8031A">
        <w:rPr>
          <w:color w:val="0070C0"/>
        </w:rPr>
        <w:t xml:space="preserve"> recent years, averaging over 5%</w:t>
      </w:r>
      <w:r w:rsidR="00AC1A59" w:rsidRPr="009C688F">
        <w:rPr>
          <w:color w:val="0070C0"/>
        </w:rPr>
        <w:t xml:space="preserve"> growth between 2003 and 2008.</w:t>
      </w:r>
      <w:r w:rsidR="001C3652">
        <w:rPr>
          <w:color w:val="0070C0"/>
        </w:rPr>
        <w:t xml:space="preserve"> </w:t>
      </w:r>
      <w:r w:rsidR="00AC1A59" w:rsidRPr="009C688F">
        <w:rPr>
          <w:color w:val="0070C0"/>
        </w:rPr>
        <w:t>Most countries have exited from the 2009 global financial crises faster than anticipated</w:t>
      </w:r>
      <w:r w:rsidR="00AC1A59">
        <w:rPr>
          <w:color w:val="0070C0"/>
        </w:rPr>
        <w:t xml:space="preserve"> and faster than other regions.</w:t>
      </w:r>
      <w:r w:rsidR="00AC1A59" w:rsidRPr="009C688F">
        <w:rPr>
          <w:color w:val="0070C0"/>
        </w:rPr>
        <w:t xml:space="preserve"> </w:t>
      </w:r>
      <w:r w:rsidR="00201C82">
        <w:rPr>
          <w:color w:val="0070C0"/>
        </w:rPr>
        <w:t>However</w:t>
      </w:r>
      <w:r w:rsidR="00F74843">
        <w:rPr>
          <w:color w:val="0070C0"/>
        </w:rPr>
        <w:t xml:space="preserve">, the sustained economic growth experienced by a number of countries is not guaranteed, threatening prospects for development. </w:t>
      </w:r>
    </w:p>
    <w:p w:rsidR="00A57987" w:rsidRDefault="00A57987" w:rsidP="006A2855">
      <w:pPr>
        <w:pStyle w:val="BodyText"/>
        <w:rPr>
          <w:color w:val="0070C0"/>
        </w:rPr>
      </w:pPr>
      <w:r w:rsidRPr="006A2855">
        <w:rPr>
          <w:rStyle w:val="FootnoteReference"/>
          <w:color w:val="0070C0"/>
        </w:rPr>
        <w:footnoteReference w:id="5"/>
      </w:r>
      <w:r w:rsidRPr="006A2855">
        <w:rPr>
          <w:rStyle w:val="FootnoteReference"/>
          <w:color w:val="0070C0"/>
        </w:rPr>
        <w:t xml:space="preserve"> </w:t>
      </w:r>
      <w:r w:rsidR="006A2855" w:rsidRPr="006A2855">
        <w:rPr>
          <w:color w:val="0070C0"/>
        </w:rPr>
        <w:t xml:space="preserve">Over the past ten years, with </w:t>
      </w:r>
      <w:r w:rsidR="00577478">
        <w:rPr>
          <w:color w:val="0070C0"/>
        </w:rPr>
        <w:t>all</w:t>
      </w:r>
      <w:r w:rsidR="006A2855" w:rsidRPr="006A2855">
        <w:rPr>
          <w:color w:val="0070C0"/>
        </w:rPr>
        <w:t xml:space="preserve"> </w:t>
      </w:r>
      <w:r w:rsidR="00577478">
        <w:rPr>
          <w:color w:val="0070C0"/>
        </w:rPr>
        <w:t xml:space="preserve">program </w:t>
      </w:r>
      <w:r w:rsidR="006A2855" w:rsidRPr="006A2855">
        <w:rPr>
          <w:color w:val="0070C0"/>
        </w:rPr>
        <w:t>countries in the region classified as middle income countries, ODA to Latin America has been falling.</w:t>
      </w:r>
      <w:r w:rsidR="006A2855" w:rsidRPr="006A2855">
        <w:rPr>
          <w:rStyle w:val="FootnoteReference"/>
          <w:color w:val="0070C0"/>
        </w:rPr>
        <w:footnoteReference w:id="6"/>
      </w:r>
      <w:r w:rsidR="001C3652">
        <w:rPr>
          <w:color w:val="0070C0"/>
        </w:rPr>
        <w:t xml:space="preserve"> </w:t>
      </w:r>
      <w:r w:rsidR="00291164">
        <w:rPr>
          <w:color w:val="0070C0"/>
        </w:rPr>
        <w:t>D</w:t>
      </w:r>
      <w:r w:rsidR="006A2855" w:rsidRPr="006A2855">
        <w:rPr>
          <w:color w:val="0070C0"/>
        </w:rPr>
        <w:t xml:space="preserve">onors, particularly from Western Europe (United Kingdom, Denmark, and the Netherlands) are </w:t>
      </w:r>
      <w:r w:rsidR="007A191F">
        <w:rPr>
          <w:color w:val="0070C0"/>
        </w:rPr>
        <w:t>exiting or reducing engagement in</w:t>
      </w:r>
      <w:r w:rsidR="006A2855" w:rsidRPr="006A2855">
        <w:rPr>
          <w:color w:val="0070C0"/>
        </w:rPr>
        <w:t xml:space="preserve"> Latin America to focus on other regions.</w:t>
      </w:r>
      <w:r w:rsidR="001C3652">
        <w:rPr>
          <w:color w:val="0070C0"/>
        </w:rPr>
        <w:t xml:space="preserve"> </w:t>
      </w:r>
      <w:r w:rsidR="006A2855" w:rsidRPr="006A2855">
        <w:rPr>
          <w:color w:val="0070C0"/>
        </w:rPr>
        <w:t>The total Latin America and Caribbean share of global ODA fell from over 11% in 1998 to 8% in 2008.</w:t>
      </w:r>
      <w:r w:rsidR="001C3652">
        <w:rPr>
          <w:color w:val="0070C0"/>
        </w:rPr>
        <w:t xml:space="preserve"> </w:t>
      </w:r>
      <w:r w:rsidR="006A2855" w:rsidRPr="006A2855">
        <w:rPr>
          <w:color w:val="0070C0"/>
        </w:rPr>
        <w:t>The total amount of ODA fell from an annual average of US$7.8 billion during the 1990s to a low of US$6.9 billion in 2007.</w:t>
      </w:r>
      <w:r w:rsidR="006A2855" w:rsidRPr="006A2855">
        <w:rPr>
          <w:rStyle w:val="FootnoteReference"/>
          <w:color w:val="0070C0"/>
        </w:rPr>
        <w:footnoteReference w:id="7"/>
      </w:r>
      <w:r w:rsidR="006A2855">
        <w:rPr>
          <w:color w:val="0070C0"/>
        </w:rPr>
        <w:t xml:space="preserve"> </w:t>
      </w:r>
    </w:p>
    <w:p w:rsidR="004318C3" w:rsidRDefault="004318C3" w:rsidP="004318C3">
      <w:pPr>
        <w:pStyle w:val="BodyText"/>
        <w:rPr>
          <w:b/>
          <w:color w:val="0070C0"/>
        </w:rPr>
      </w:pPr>
      <w:r w:rsidRPr="006A2855">
        <w:rPr>
          <w:color w:val="0070C0"/>
        </w:rPr>
        <w:t xml:space="preserve">The top three donors </w:t>
      </w:r>
      <w:r>
        <w:rPr>
          <w:color w:val="0070C0"/>
        </w:rPr>
        <w:t xml:space="preserve">in the region </w:t>
      </w:r>
      <w:r w:rsidRPr="006A2855">
        <w:rPr>
          <w:color w:val="0070C0"/>
        </w:rPr>
        <w:t>are United States (US$ 2.</w:t>
      </w:r>
      <w:r>
        <w:rPr>
          <w:color w:val="0070C0"/>
        </w:rPr>
        <w:t>72</w:t>
      </w:r>
      <w:r w:rsidRPr="006A2855">
        <w:rPr>
          <w:color w:val="0070C0"/>
        </w:rPr>
        <w:t xml:space="preserve"> billion)</w:t>
      </w:r>
      <w:r>
        <w:rPr>
          <w:color w:val="0070C0"/>
        </w:rPr>
        <w:t xml:space="preserve">; </w:t>
      </w:r>
      <w:r w:rsidRPr="006A2855">
        <w:rPr>
          <w:color w:val="0070C0"/>
        </w:rPr>
        <w:t>Spain (US$1.</w:t>
      </w:r>
      <w:r>
        <w:rPr>
          <w:color w:val="0070C0"/>
        </w:rPr>
        <w:t>37</w:t>
      </w:r>
      <w:r w:rsidRPr="006A2855">
        <w:rPr>
          <w:color w:val="0070C0"/>
        </w:rPr>
        <w:t xml:space="preserve"> billion);</w:t>
      </w:r>
      <w:r>
        <w:rPr>
          <w:color w:val="0070C0"/>
        </w:rPr>
        <w:t xml:space="preserve"> and </w:t>
      </w:r>
      <w:r w:rsidRPr="006A2855">
        <w:rPr>
          <w:color w:val="0070C0"/>
        </w:rPr>
        <w:t>Germa</w:t>
      </w:r>
      <w:r>
        <w:rPr>
          <w:color w:val="0070C0"/>
        </w:rPr>
        <w:t>ny (US$913 million)</w:t>
      </w:r>
      <w:r w:rsidRPr="006A2855">
        <w:rPr>
          <w:color w:val="0070C0"/>
        </w:rPr>
        <w:t>.</w:t>
      </w:r>
      <w:r>
        <w:rPr>
          <w:rStyle w:val="FootnoteReference"/>
          <w:color w:val="0070C0"/>
        </w:rPr>
        <w:footnoteReference w:id="8"/>
      </w:r>
      <w:r>
        <w:rPr>
          <w:color w:val="0070C0"/>
        </w:rPr>
        <w:t xml:space="preserve"> </w:t>
      </w:r>
      <w:r w:rsidRPr="006A2855">
        <w:rPr>
          <w:color w:val="0070C0"/>
        </w:rPr>
        <w:t>The top 3 multilateral donors to Latin America are European</w:t>
      </w:r>
      <w:r>
        <w:rPr>
          <w:color w:val="0070C0"/>
        </w:rPr>
        <w:t xml:space="preserve"> Union institutions providing 46</w:t>
      </w:r>
      <w:r w:rsidRPr="006A2855">
        <w:rPr>
          <w:color w:val="0070C0"/>
        </w:rPr>
        <w:t>% of all multilateral net disbursements; the Int</w:t>
      </w:r>
      <w:r>
        <w:rPr>
          <w:color w:val="0070C0"/>
        </w:rPr>
        <w:t>er-American Development Bank (16</w:t>
      </w:r>
      <w:r w:rsidRPr="006A2855">
        <w:rPr>
          <w:color w:val="0070C0"/>
        </w:rPr>
        <w:t>%) and the World Bank’s Internat</w:t>
      </w:r>
      <w:r>
        <w:rPr>
          <w:color w:val="0070C0"/>
        </w:rPr>
        <w:t>ional Development Association (8</w:t>
      </w:r>
      <w:r w:rsidRPr="006A2855">
        <w:rPr>
          <w:color w:val="0070C0"/>
        </w:rPr>
        <w:t>%).</w:t>
      </w:r>
      <w:r>
        <w:rPr>
          <w:rStyle w:val="FootnoteReference"/>
          <w:color w:val="0070C0"/>
        </w:rPr>
        <w:footnoteReference w:id="9"/>
      </w:r>
      <w:r w:rsidRPr="006A2855">
        <w:rPr>
          <w:b/>
          <w:color w:val="0070C0"/>
        </w:rPr>
        <w:t xml:space="preserve"> </w:t>
      </w:r>
    </w:p>
    <w:p w:rsidR="00F82F4C" w:rsidRPr="006A2855" w:rsidRDefault="00A57987" w:rsidP="00F82F4C">
      <w:pPr>
        <w:pStyle w:val="BodyText"/>
        <w:rPr>
          <w:color w:val="0070C0"/>
        </w:rPr>
      </w:pPr>
      <w:r>
        <w:rPr>
          <w:color w:val="0070C0"/>
        </w:rPr>
        <w:t xml:space="preserve">In this context </w:t>
      </w:r>
      <w:r w:rsidR="008E080C" w:rsidRPr="006A2855">
        <w:rPr>
          <w:color w:val="0070C0"/>
        </w:rPr>
        <w:t>Australia is a relatively sma</w:t>
      </w:r>
      <w:r w:rsidR="00201C82">
        <w:rPr>
          <w:color w:val="0070C0"/>
        </w:rPr>
        <w:t>ll, new donor in Latin America</w:t>
      </w:r>
      <w:r w:rsidR="00291164">
        <w:rPr>
          <w:color w:val="0070C0"/>
        </w:rPr>
        <w:t xml:space="preserve"> but well respected</w:t>
      </w:r>
      <w:r w:rsidR="008A32F3">
        <w:rPr>
          <w:color w:val="0070C0"/>
        </w:rPr>
        <w:t xml:space="preserve">. </w:t>
      </w:r>
      <w:r w:rsidR="00291164">
        <w:rPr>
          <w:color w:val="0070C0"/>
        </w:rPr>
        <w:t xml:space="preserve">Although modest, </w:t>
      </w:r>
      <w:r w:rsidR="00741107" w:rsidRPr="006A2855">
        <w:rPr>
          <w:color w:val="0070C0"/>
        </w:rPr>
        <w:t>t</w:t>
      </w:r>
      <w:r w:rsidR="00291164">
        <w:rPr>
          <w:color w:val="0070C0"/>
        </w:rPr>
        <w:t xml:space="preserve">he program has been welcomed and </w:t>
      </w:r>
      <w:r w:rsidR="00291164" w:rsidRPr="006A2855">
        <w:rPr>
          <w:color w:val="0070C0"/>
        </w:rPr>
        <w:t>well</w:t>
      </w:r>
      <w:r w:rsidR="00AC1A59" w:rsidRPr="006A2855">
        <w:rPr>
          <w:color w:val="0070C0"/>
        </w:rPr>
        <w:t xml:space="preserve"> received by </w:t>
      </w:r>
      <w:r w:rsidR="00201C82">
        <w:rPr>
          <w:color w:val="0070C0"/>
        </w:rPr>
        <w:t>countries in the region</w:t>
      </w:r>
      <w:r w:rsidR="00AC1A59" w:rsidRPr="006A2855">
        <w:rPr>
          <w:color w:val="0070C0"/>
        </w:rPr>
        <w:t>.</w:t>
      </w:r>
      <w:r w:rsidR="00A46F96">
        <w:rPr>
          <w:rStyle w:val="FootnoteReference"/>
          <w:color w:val="0070C0"/>
        </w:rPr>
        <w:footnoteReference w:id="10"/>
      </w:r>
      <w:r w:rsidR="00201C82">
        <w:rPr>
          <w:color w:val="0070C0"/>
        </w:rPr>
        <w:t xml:space="preserve"> </w:t>
      </w:r>
      <w:r w:rsidR="00291164">
        <w:rPr>
          <w:color w:val="0070C0"/>
        </w:rPr>
        <w:t xml:space="preserve">Our approach to development through partnerships is appreciated and our development expertise is highly pertinent. </w:t>
      </w:r>
    </w:p>
    <w:p w:rsidR="00B647BA" w:rsidRPr="0063085F" w:rsidRDefault="00B647BA" w:rsidP="008E080C">
      <w:pPr>
        <w:pStyle w:val="GuidanceText"/>
        <w:jc w:val="both"/>
        <w:rPr>
          <w:rFonts w:ascii="Times New Roman" w:hAnsi="Times New Roman"/>
          <w:color w:val="0070C0"/>
        </w:rPr>
      </w:pPr>
    </w:p>
    <w:p w:rsidR="00DF1246" w:rsidRPr="00462194" w:rsidRDefault="00130109" w:rsidP="005447E1">
      <w:pPr>
        <w:keepNext/>
        <w:spacing w:after="100" w:line="320" w:lineRule="atLeast"/>
        <w:jc w:val="both"/>
        <w:outlineLvl w:val="0"/>
        <w:rPr>
          <w:rFonts w:ascii="Franklin Gothic Demi" w:hAnsi="Franklin Gothic Demi"/>
          <w:color w:val="AD495D"/>
          <w:kern w:val="28"/>
          <w:sz w:val="28"/>
          <w:szCs w:val="28"/>
        </w:rPr>
      </w:pPr>
      <w:r>
        <w:rPr>
          <w:rFonts w:ascii="Franklin Gothic Demi" w:hAnsi="Franklin Gothic Demi"/>
          <w:color w:val="AD495D"/>
          <w:kern w:val="28"/>
          <w:sz w:val="28"/>
          <w:szCs w:val="28"/>
        </w:rPr>
        <w:t xml:space="preserve">Program </w:t>
      </w:r>
      <w:r w:rsidR="00E1231D">
        <w:rPr>
          <w:rFonts w:ascii="Franklin Gothic Demi" w:hAnsi="Franklin Gothic Demi"/>
          <w:color w:val="AD495D"/>
          <w:kern w:val="28"/>
          <w:sz w:val="28"/>
          <w:szCs w:val="28"/>
        </w:rPr>
        <w:t xml:space="preserve">strategy and </w:t>
      </w:r>
      <w:r>
        <w:rPr>
          <w:rFonts w:ascii="Franklin Gothic Demi" w:hAnsi="Franklin Gothic Demi"/>
          <w:color w:val="AD495D"/>
          <w:kern w:val="28"/>
          <w:sz w:val="28"/>
          <w:szCs w:val="28"/>
        </w:rPr>
        <w:t>objectives</w:t>
      </w:r>
      <w:r w:rsidR="00202738">
        <w:rPr>
          <w:rFonts w:ascii="Franklin Gothic Demi" w:hAnsi="Franklin Gothic Demi"/>
          <w:color w:val="AD495D"/>
          <w:kern w:val="28"/>
          <w:sz w:val="28"/>
          <w:szCs w:val="28"/>
        </w:rPr>
        <w:t xml:space="preserve"> </w:t>
      </w:r>
    </w:p>
    <w:p w:rsidR="00C30BDE" w:rsidRPr="00F576C3" w:rsidRDefault="00FE002A" w:rsidP="00C30BDE">
      <w:pPr>
        <w:pStyle w:val="BodyText"/>
        <w:jc w:val="both"/>
        <w:rPr>
          <w:color w:val="0070C0"/>
        </w:rPr>
      </w:pPr>
      <w:r>
        <w:rPr>
          <w:color w:val="0070C0"/>
        </w:rPr>
        <w:t xml:space="preserve">In 2010-11 </w:t>
      </w:r>
      <w:r w:rsidR="00815B8A">
        <w:rPr>
          <w:color w:val="0070C0"/>
        </w:rPr>
        <w:t>AusAID</w:t>
      </w:r>
      <w:r>
        <w:rPr>
          <w:color w:val="0070C0"/>
        </w:rPr>
        <w:t xml:space="preserve"> </w:t>
      </w:r>
      <w:r w:rsidR="0035026E">
        <w:rPr>
          <w:color w:val="0070C0"/>
        </w:rPr>
        <w:t xml:space="preserve">commenced the </w:t>
      </w:r>
      <w:r>
        <w:rPr>
          <w:color w:val="0070C0"/>
        </w:rPr>
        <w:t>develop</w:t>
      </w:r>
      <w:r w:rsidR="0035026E">
        <w:rPr>
          <w:color w:val="0070C0"/>
        </w:rPr>
        <w:t>ment of</w:t>
      </w:r>
      <w:r>
        <w:rPr>
          <w:color w:val="0070C0"/>
        </w:rPr>
        <w:t xml:space="preserve"> a program in Latin America </w:t>
      </w:r>
      <w:r w:rsidR="00815B8A">
        <w:rPr>
          <w:color w:val="0070C0"/>
        </w:rPr>
        <w:t>following a government</w:t>
      </w:r>
      <w:r>
        <w:rPr>
          <w:color w:val="0070C0"/>
        </w:rPr>
        <w:t xml:space="preserve"> commitment to deliver a </w:t>
      </w:r>
      <w:r w:rsidR="00815B8A">
        <w:rPr>
          <w:color w:val="0070C0"/>
        </w:rPr>
        <w:t xml:space="preserve">$100 million </w:t>
      </w:r>
      <w:r w:rsidR="00983391">
        <w:rPr>
          <w:color w:val="0070C0"/>
        </w:rPr>
        <w:t xml:space="preserve">package of development assistance </w:t>
      </w:r>
      <w:r w:rsidR="00815B8A">
        <w:rPr>
          <w:color w:val="0070C0"/>
        </w:rPr>
        <w:t>to the region</w:t>
      </w:r>
      <w:r w:rsidR="00983391">
        <w:rPr>
          <w:color w:val="0070C0"/>
        </w:rPr>
        <w:t>.</w:t>
      </w:r>
      <w:r w:rsidR="0045762D">
        <w:rPr>
          <w:color w:val="0070C0"/>
        </w:rPr>
        <w:t xml:space="preserve"> A</w:t>
      </w:r>
      <w:r w:rsidR="006317C0">
        <w:rPr>
          <w:color w:val="0070C0"/>
        </w:rPr>
        <w:t>n</w:t>
      </w:r>
      <w:r w:rsidR="0045762D">
        <w:rPr>
          <w:color w:val="0070C0"/>
        </w:rPr>
        <w:t xml:space="preserve"> initial framework focussing on agriculture, scholarships and microfinance</w:t>
      </w:r>
      <w:r w:rsidR="006317C0">
        <w:rPr>
          <w:color w:val="0070C0"/>
        </w:rPr>
        <w:t xml:space="preserve"> guided AusAID’s early programming in the region</w:t>
      </w:r>
      <w:r w:rsidR="0045762D">
        <w:rPr>
          <w:color w:val="0070C0"/>
        </w:rPr>
        <w:t>. Delivery through partnership</w:t>
      </w:r>
      <w:r w:rsidR="00225C9D">
        <w:rPr>
          <w:color w:val="0070C0"/>
        </w:rPr>
        <w:t>s</w:t>
      </w:r>
      <w:r w:rsidR="0045762D">
        <w:rPr>
          <w:color w:val="0070C0"/>
        </w:rPr>
        <w:t xml:space="preserve"> including trilateral cooperation underpinned the implementation approach.</w:t>
      </w:r>
      <w:r w:rsidR="00C30BDE">
        <w:rPr>
          <w:color w:val="0070C0"/>
        </w:rPr>
        <w:t xml:space="preserve"> </w:t>
      </w:r>
    </w:p>
    <w:p w:rsidR="00FE002A" w:rsidRPr="00E24C23" w:rsidRDefault="0045762D" w:rsidP="00C2722E">
      <w:pPr>
        <w:pStyle w:val="BodyText"/>
        <w:jc w:val="both"/>
        <w:rPr>
          <w:color w:val="0070C0"/>
        </w:rPr>
      </w:pPr>
      <w:r>
        <w:rPr>
          <w:color w:val="0070C0"/>
        </w:rPr>
        <w:t>Without prior</w:t>
      </w:r>
      <w:r w:rsidR="00C30BDE">
        <w:rPr>
          <w:color w:val="0070C0"/>
        </w:rPr>
        <w:t xml:space="preserve"> development engagement</w:t>
      </w:r>
      <w:r w:rsidR="00983391">
        <w:rPr>
          <w:color w:val="0070C0"/>
        </w:rPr>
        <w:t xml:space="preserve"> </w:t>
      </w:r>
      <w:r w:rsidR="00815B8A">
        <w:rPr>
          <w:color w:val="0070C0"/>
        </w:rPr>
        <w:t>or representation in the region</w:t>
      </w:r>
      <w:r>
        <w:rPr>
          <w:color w:val="0070C0"/>
        </w:rPr>
        <w:t xml:space="preserve">, AusAID’s </w:t>
      </w:r>
      <w:r w:rsidR="00225C9D">
        <w:rPr>
          <w:color w:val="0070C0"/>
        </w:rPr>
        <w:t xml:space="preserve">early </w:t>
      </w:r>
      <w:r w:rsidR="00FE002A">
        <w:rPr>
          <w:color w:val="0070C0"/>
        </w:rPr>
        <w:t>objective</w:t>
      </w:r>
      <w:r w:rsidR="00225C9D">
        <w:rPr>
          <w:color w:val="0070C0"/>
        </w:rPr>
        <w:t>s</w:t>
      </w:r>
      <w:r w:rsidR="00FE002A">
        <w:rPr>
          <w:color w:val="0070C0"/>
        </w:rPr>
        <w:t xml:space="preserve"> </w:t>
      </w:r>
      <w:r w:rsidR="00225C9D">
        <w:rPr>
          <w:color w:val="0070C0"/>
        </w:rPr>
        <w:t>were</w:t>
      </w:r>
      <w:r w:rsidR="00FE002A">
        <w:rPr>
          <w:color w:val="0070C0"/>
        </w:rPr>
        <w:t xml:space="preserve"> to</w:t>
      </w:r>
      <w:r w:rsidR="00C2722E">
        <w:rPr>
          <w:color w:val="0070C0"/>
        </w:rPr>
        <w:t xml:space="preserve"> e</w:t>
      </w:r>
      <w:r w:rsidR="00F3566F" w:rsidRPr="00E24C23">
        <w:rPr>
          <w:color w:val="0070C0"/>
        </w:rPr>
        <w:t xml:space="preserve">stablish the program </w:t>
      </w:r>
      <w:r w:rsidR="00944913">
        <w:rPr>
          <w:color w:val="0070C0"/>
        </w:rPr>
        <w:t xml:space="preserve">including </w:t>
      </w:r>
      <w:r w:rsidR="00D61376">
        <w:rPr>
          <w:color w:val="0070C0"/>
        </w:rPr>
        <w:t>setting up a regional office in the region;</w:t>
      </w:r>
      <w:r w:rsidR="00F3566F" w:rsidRPr="00E24C23">
        <w:rPr>
          <w:color w:val="0070C0"/>
        </w:rPr>
        <w:t xml:space="preserve"> </w:t>
      </w:r>
      <w:r w:rsidR="00944913" w:rsidRPr="00E24C23">
        <w:rPr>
          <w:color w:val="0070C0"/>
        </w:rPr>
        <w:t xml:space="preserve">deliver </w:t>
      </w:r>
      <w:r w:rsidR="00944913">
        <w:rPr>
          <w:color w:val="0070C0"/>
        </w:rPr>
        <w:t xml:space="preserve">early </w:t>
      </w:r>
      <w:r w:rsidR="007A191F" w:rsidRPr="00E24C23">
        <w:rPr>
          <w:color w:val="0070C0"/>
        </w:rPr>
        <w:t xml:space="preserve">development </w:t>
      </w:r>
      <w:r w:rsidR="00944913">
        <w:rPr>
          <w:color w:val="0070C0"/>
        </w:rPr>
        <w:t>initiatives in line with the broad framework; and build</w:t>
      </w:r>
      <w:r w:rsidR="00815B8A" w:rsidRPr="00E24C23">
        <w:rPr>
          <w:color w:val="0070C0"/>
        </w:rPr>
        <w:t xml:space="preserve"> our</w:t>
      </w:r>
      <w:r w:rsidR="00FE002A" w:rsidRPr="00E24C23">
        <w:rPr>
          <w:color w:val="0070C0"/>
        </w:rPr>
        <w:t xml:space="preserve"> </w:t>
      </w:r>
      <w:r w:rsidR="00FE002A" w:rsidRPr="00E24C23">
        <w:rPr>
          <w:color w:val="0070C0"/>
        </w:rPr>
        <w:lastRenderedPageBreak/>
        <w:t>knowledge</w:t>
      </w:r>
      <w:r w:rsidR="00944913">
        <w:rPr>
          <w:color w:val="0070C0"/>
        </w:rPr>
        <w:t xml:space="preserve"> and relationships which would enable us to refine</w:t>
      </w:r>
      <w:r w:rsidR="00F576C3" w:rsidRPr="00E24C23">
        <w:rPr>
          <w:color w:val="0070C0"/>
        </w:rPr>
        <w:t xml:space="preserve"> our</w:t>
      </w:r>
      <w:r w:rsidR="003048C1" w:rsidRPr="00E24C23">
        <w:rPr>
          <w:color w:val="0070C0"/>
        </w:rPr>
        <w:t xml:space="preserve"> </w:t>
      </w:r>
      <w:r w:rsidR="00944913">
        <w:rPr>
          <w:color w:val="0070C0"/>
        </w:rPr>
        <w:t xml:space="preserve">priorities and determine key delivery </w:t>
      </w:r>
      <w:r w:rsidR="00815B8A" w:rsidRPr="00E24C23">
        <w:rPr>
          <w:color w:val="0070C0"/>
        </w:rPr>
        <w:t>partners</w:t>
      </w:r>
      <w:r w:rsidRPr="00E24C23">
        <w:rPr>
          <w:color w:val="0070C0"/>
        </w:rPr>
        <w:t xml:space="preserve">. </w:t>
      </w:r>
      <w:r w:rsidR="00D61376">
        <w:rPr>
          <w:color w:val="0070C0"/>
        </w:rPr>
        <w:t>Work also began to develop a regional engagement strategy.</w:t>
      </w:r>
    </w:p>
    <w:p w:rsidR="009706AA" w:rsidRDefault="00D61376" w:rsidP="00983391">
      <w:pPr>
        <w:pStyle w:val="BodyText"/>
        <w:jc w:val="both"/>
        <w:rPr>
          <w:color w:val="0070C0"/>
        </w:rPr>
      </w:pPr>
      <w:r>
        <w:rPr>
          <w:color w:val="0070C0"/>
        </w:rPr>
        <w:t>I</w:t>
      </w:r>
      <w:r w:rsidR="006317C0">
        <w:rPr>
          <w:color w:val="0070C0"/>
        </w:rPr>
        <w:t xml:space="preserve">n </w:t>
      </w:r>
      <w:r w:rsidR="00C30BDE">
        <w:rPr>
          <w:color w:val="0070C0"/>
        </w:rPr>
        <w:t xml:space="preserve">mid-2011, </w:t>
      </w:r>
      <w:r w:rsidR="00E1231D">
        <w:rPr>
          <w:color w:val="0070C0"/>
        </w:rPr>
        <w:t xml:space="preserve">the </w:t>
      </w:r>
      <w:r w:rsidR="00E1231D" w:rsidRPr="00F34CA3">
        <w:rPr>
          <w:color w:val="0070C0"/>
        </w:rPr>
        <w:t>Australian Government</w:t>
      </w:r>
      <w:r w:rsidR="006317C0" w:rsidRPr="00F34CA3">
        <w:rPr>
          <w:color w:val="0070C0"/>
        </w:rPr>
        <w:t xml:space="preserve"> </w:t>
      </w:r>
      <w:r w:rsidR="00F576C3" w:rsidRPr="00F34CA3">
        <w:rPr>
          <w:color w:val="0070C0"/>
        </w:rPr>
        <w:t>undertook a comprehensive review of the aid program and developed</w:t>
      </w:r>
      <w:r w:rsidR="00F34CA3" w:rsidRPr="00F34CA3">
        <w:rPr>
          <w:color w:val="0070C0"/>
        </w:rPr>
        <w:t xml:space="preserve"> a new aid policy for Australia’s aid program, </w:t>
      </w:r>
      <w:r w:rsidR="00F34CA3" w:rsidRPr="00F34CA3">
        <w:rPr>
          <w:i/>
          <w:color w:val="0070C0"/>
        </w:rPr>
        <w:t>An Effective Aid Program for Australia: Making a real difference—Delivering real results</w:t>
      </w:r>
      <w:r w:rsidR="00F34CA3" w:rsidRPr="00F34CA3">
        <w:rPr>
          <w:color w:val="0070C0"/>
        </w:rPr>
        <w:t xml:space="preserve"> and </w:t>
      </w:r>
      <w:r w:rsidR="00F34CA3" w:rsidRPr="00F34CA3">
        <w:rPr>
          <w:i/>
          <w:color w:val="0070C0"/>
        </w:rPr>
        <w:t>Australia’s Comprehensive Aid Policy Framework to 2015-16</w:t>
      </w:r>
      <w:r w:rsidR="00F34CA3" w:rsidRPr="00F34CA3">
        <w:rPr>
          <w:color w:val="0070C0"/>
        </w:rPr>
        <w:t xml:space="preserve"> </w:t>
      </w:r>
      <w:r w:rsidR="00F34CA3" w:rsidRPr="00F34CA3">
        <w:rPr>
          <w:i/>
          <w:color w:val="0070C0"/>
        </w:rPr>
        <w:t>(CAPF)</w:t>
      </w:r>
      <w:r w:rsidR="00F34CA3" w:rsidRPr="00F34CA3">
        <w:rPr>
          <w:color w:val="0070C0"/>
        </w:rPr>
        <w:t>.</w:t>
      </w:r>
    </w:p>
    <w:p w:rsidR="00D61376" w:rsidRDefault="009706AA" w:rsidP="00983391">
      <w:pPr>
        <w:pStyle w:val="BodyText"/>
        <w:jc w:val="both"/>
        <w:rPr>
          <w:color w:val="0070C0"/>
        </w:rPr>
      </w:pPr>
      <w:r>
        <w:rPr>
          <w:color w:val="0070C0"/>
        </w:rPr>
        <w:t>The CAPF introduced a new framework of strategic goals for all Australian ODA funded initiatives and</w:t>
      </w:r>
      <w:r w:rsidR="00944913">
        <w:rPr>
          <w:color w:val="0070C0"/>
        </w:rPr>
        <w:t xml:space="preserve"> </w:t>
      </w:r>
      <w:r w:rsidR="002637F9">
        <w:rPr>
          <w:color w:val="0070C0"/>
        </w:rPr>
        <w:t>projects</w:t>
      </w:r>
      <w:r w:rsidR="00944913">
        <w:rPr>
          <w:color w:val="0070C0"/>
        </w:rPr>
        <w:t xml:space="preserve"> a modest </w:t>
      </w:r>
      <w:r w:rsidR="002637F9">
        <w:rPr>
          <w:color w:val="0070C0"/>
        </w:rPr>
        <w:t xml:space="preserve">continuing </w:t>
      </w:r>
      <w:r>
        <w:rPr>
          <w:color w:val="0070C0"/>
        </w:rPr>
        <w:t>level of development funding</w:t>
      </w:r>
      <w:r w:rsidR="00D61376">
        <w:rPr>
          <w:color w:val="0070C0"/>
        </w:rPr>
        <w:t xml:space="preserve"> </w:t>
      </w:r>
      <w:r w:rsidR="002637F9">
        <w:rPr>
          <w:color w:val="0070C0"/>
        </w:rPr>
        <w:t>to</w:t>
      </w:r>
      <w:r w:rsidR="00944913">
        <w:rPr>
          <w:color w:val="0070C0"/>
        </w:rPr>
        <w:t xml:space="preserve"> Latin America </w:t>
      </w:r>
      <w:r w:rsidR="002637F9">
        <w:rPr>
          <w:color w:val="0070C0"/>
        </w:rPr>
        <w:t>and the Caribbean.</w:t>
      </w:r>
      <w:r w:rsidR="00FB1753">
        <w:rPr>
          <w:color w:val="0070C0"/>
        </w:rPr>
        <w:t xml:space="preserve"> </w:t>
      </w:r>
    </w:p>
    <w:p w:rsidR="00F576C3" w:rsidRDefault="00E1231D" w:rsidP="00983391">
      <w:pPr>
        <w:pStyle w:val="BodyText"/>
        <w:jc w:val="both"/>
        <w:rPr>
          <w:color w:val="0070C0"/>
        </w:rPr>
      </w:pPr>
      <w:r>
        <w:rPr>
          <w:color w:val="0070C0"/>
        </w:rPr>
        <w:t>In 2011 t</w:t>
      </w:r>
      <w:r w:rsidR="00FB1753">
        <w:rPr>
          <w:color w:val="0070C0"/>
        </w:rPr>
        <w:t>he</w:t>
      </w:r>
      <w:r w:rsidR="007461F7">
        <w:rPr>
          <w:color w:val="0070C0"/>
        </w:rPr>
        <w:t xml:space="preserve"> Latin America program </w:t>
      </w:r>
      <w:r>
        <w:rPr>
          <w:color w:val="0070C0"/>
        </w:rPr>
        <w:t>therefore</w:t>
      </w:r>
      <w:r w:rsidR="00C30BDE">
        <w:rPr>
          <w:color w:val="0070C0"/>
        </w:rPr>
        <w:t xml:space="preserve"> beg</w:t>
      </w:r>
      <w:r>
        <w:rPr>
          <w:color w:val="0070C0"/>
        </w:rPr>
        <w:t>a</w:t>
      </w:r>
      <w:r w:rsidR="007461F7">
        <w:rPr>
          <w:color w:val="0070C0"/>
        </w:rPr>
        <w:t xml:space="preserve">n </w:t>
      </w:r>
      <w:r w:rsidR="00C30BDE">
        <w:rPr>
          <w:color w:val="0070C0"/>
        </w:rPr>
        <w:t>to align</w:t>
      </w:r>
      <w:r w:rsidR="007461F7">
        <w:rPr>
          <w:color w:val="0070C0"/>
        </w:rPr>
        <w:t xml:space="preserve"> its </w:t>
      </w:r>
      <w:r>
        <w:rPr>
          <w:color w:val="0070C0"/>
        </w:rPr>
        <w:t>existing</w:t>
      </w:r>
      <w:r w:rsidR="007461F7">
        <w:rPr>
          <w:color w:val="0070C0"/>
        </w:rPr>
        <w:t xml:space="preserve"> initiatives under three of the five Strategic Goals: Sustainable economic development; Effective governance; </w:t>
      </w:r>
      <w:r w:rsidR="00D96BF1">
        <w:rPr>
          <w:color w:val="0070C0"/>
        </w:rPr>
        <w:t>and H</w:t>
      </w:r>
      <w:r w:rsidR="007461F7">
        <w:rPr>
          <w:color w:val="0070C0"/>
        </w:rPr>
        <w:t>umanitarian an</w:t>
      </w:r>
      <w:r w:rsidR="00C31BFE">
        <w:rPr>
          <w:color w:val="0070C0"/>
        </w:rPr>
        <w:t>d disaster response. Specific</w:t>
      </w:r>
      <w:r w:rsidR="00C30BDE">
        <w:rPr>
          <w:color w:val="0070C0"/>
        </w:rPr>
        <w:t xml:space="preserve"> </w:t>
      </w:r>
      <w:r w:rsidR="00500054">
        <w:rPr>
          <w:color w:val="0070C0"/>
        </w:rPr>
        <w:t xml:space="preserve">program </w:t>
      </w:r>
      <w:r w:rsidR="00C30BDE">
        <w:rPr>
          <w:color w:val="0070C0"/>
        </w:rPr>
        <w:t>o</w:t>
      </w:r>
      <w:r w:rsidR="007461F7">
        <w:rPr>
          <w:color w:val="0070C0"/>
        </w:rPr>
        <w:t xml:space="preserve">bjectives </w:t>
      </w:r>
      <w:r w:rsidR="00500054">
        <w:rPr>
          <w:color w:val="0070C0"/>
        </w:rPr>
        <w:t xml:space="preserve">will be articulated </w:t>
      </w:r>
      <w:r w:rsidR="00C30BDE">
        <w:rPr>
          <w:color w:val="0070C0"/>
        </w:rPr>
        <w:t>in the Regional Program S</w:t>
      </w:r>
      <w:r w:rsidR="007461F7">
        <w:rPr>
          <w:color w:val="0070C0"/>
        </w:rPr>
        <w:t xml:space="preserve">trategy </w:t>
      </w:r>
      <w:r w:rsidR="00C30BDE">
        <w:rPr>
          <w:color w:val="0070C0"/>
        </w:rPr>
        <w:t xml:space="preserve">(the Strategy) </w:t>
      </w:r>
      <w:r w:rsidR="007461F7">
        <w:rPr>
          <w:color w:val="0070C0"/>
        </w:rPr>
        <w:t>and Performance Assess</w:t>
      </w:r>
      <w:r w:rsidR="00C30BDE">
        <w:rPr>
          <w:color w:val="0070C0"/>
        </w:rPr>
        <w:t>ment F</w:t>
      </w:r>
      <w:r w:rsidR="007461F7">
        <w:rPr>
          <w:color w:val="0070C0"/>
        </w:rPr>
        <w:t>ramework</w:t>
      </w:r>
      <w:r w:rsidR="00B818CF">
        <w:rPr>
          <w:color w:val="0070C0"/>
        </w:rPr>
        <w:t xml:space="preserve"> (PAF)</w:t>
      </w:r>
      <w:r w:rsidR="007461F7">
        <w:rPr>
          <w:color w:val="0070C0"/>
        </w:rPr>
        <w:t xml:space="preserve"> to </w:t>
      </w:r>
      <w:r>
        <w:rPr>
          <w:color w:val="0070C0"/>
        </w:rPr>
        <w:t xml:space="preserve">be completed </w:t>
      </w:r>
      <w:r w:rsidR="002637F9">
        <w:rPr>
          <w:color w:val="0070C0"/>
        </w:rPr>
        <w:t>in 2013</w:t>
      </w:r>
      <w:r>
        <w:rPr>
          <w:color w:val="0070C0"/>
        </w:rPr>
        <w:t xml:space="preserve">. </w:t>
      </w:r>
    </w:p>
    <w:p w:rsidR="00F3566F" w:rsidRDefault="00500054" w:rsidP="00983391">
      <w:pPr>
        <w:pStyle w:val="BodyText"/>
        <w:jc w:val="both"/>
        <w:rPr>
          <w:color w:val="0070C0"/>
        </w:rPr>
      </w:pPr>
      <w:proofErr w:type="gramStart"/>
      <w:r>
        <w:rPr>
          <w:color w:val="0070C0"/>
        </w:rPr>
        <w:t>Noting the stage of program development, this APPR set</w:t>
      </w:r>
      <w:r w:rsidR="009706AA">
        <w:rPr>
          <w:color w:val="0070C0"/>
        </w:rPr>
        <w:t>s</w:t>
      </w:r>
      <w:r>
        <w:rPr>
          <w:color w:val="0070C0"/>
        </w:rPr>
        <w:t xml:space="preserve"> out </w:t>
      </w:r>
      <w:r w:rsidR="009706AA">
        <w:rPr>
          <w:color w:val="0070C0"/>
        </w:rPr>
        <w:t xml:space="preserve">the </w:t>
      </w:r>
      <w:r>
        <w:rPr>
          <w:color w:val="0070C0"/>
        </w:rPr>
        <w:t>program</w:t>
      </w:r>
      <w:r w:rsidR="00FB1753">
        <w:rPr>
          <w:color w:val="0070C0"/>
        </w:rPr>
        <w:t xml:space="preserve"> initiatives again</w:t>
      </w:r>
      <w:r w:rsidR="00E1231D">
        <w:rPr>
          <w:color w:val="0070C0"/>
        </w:rPr>
        <w:t>st the</w:t>
      </w:r>
      <w:r w:rsidR="00F3566F">
        <w:rPr>
          <w:color w:val="0070C0"/>
        </w:rPr>
        <w:t xml:space="preserve"> three CAPF strategic goals</w:t>
      </w:r>
      <w:r w:rsidR="00225C9D">
        <w:rPr>
          <w:color w:val="0070C0"/>
        </w:rPr>
        <w:t>.</w:t>
      </w:r>
      <w:proofErr w:type="gramEnd"/>
      <w:r w:rsidR="00FB1753">
        <w:rPr>
          <w:color w:val="0070C0"/>
        </w:rPr>
        <w:t xml:space="preserve"> APPR </w:t>
      </w:r>
      <w:r w:rsidR="00E1231D">
        <w:rPr>
          <w:color w:val="0070C0"/>
        </w:rPr>
        <w:t xml:space="preserve">performance </w:t>
      </w:r>
      <w:r w:rsidR="00FB1753">
        <w:rPr>
          <w:color w:val="0070C0"/>
        </w:rPr>
        <w:t xml:space="preserve">ratings </w:t>
      </w:r>
      <w:r w:rsidR="00E1231D">
        <w:rPr>
          <w:color w:val="0070C0"/>
        </w:rPr>
        <w:t xml:space="preserve">are used </w:t>
      </w:r>
      <w:r>
        <w:rPr>
          <w:color w:val="0070C0"/>
        </w:rPr>
        <w:t xml:space="preserve">broadly </w:t>
      </w:r>
      <w:r w:rsidR="00E1231D">
        <w:rPr>
          <w:color w:val="0070C0"/>
        </w:rPr>
        <w:t xml:space="preserve">to provide a general </w:t>
      </w:r>
      <w:r w:rsidR="009706AA">
        <w:rPr>
          <w:color w:val="0070C0"/>
        </w:rPr>
        <w:t xml:space="preserve">and qualitative </w:t>
      </w:r>
      <w:r>
        <w:rPr>
          <w:color w:val="0070C0"/>
        </w:rPr>
        <w:t>indication</w:t>
      </w:r>
      <w:r w:rsidR="00E1231D">
        <w:rPr>
          <w:color w:val="0070C0"/>
        </w:rPr>
        <w:t xml:space="preserve"> of the relevance </w:t>
      </w:r>
      <w:r>
        <w:rPr>
          <w:color w:val="0070C0"/>
        </w:rPr>
        <w:t>and progress of programs to these goals.</w:t>
      </w:r>
    </w:p>
    <w:p w:rsidR="00F3566F" w:rsidRDefault="00F3566F" w:rsidP="005447E1">
      <w:pPr>
        <w:pStyle w:val="Heading2"/>
        <w:keepNext/>
        <w:tabs>
          <w:tab w:val="left" w:pos="1920"/>
        </w:tabs>
        <w:spacing w:before="0" w:after="120" w:line="320" w:lineRule="atLeast"/>
        <w:jc w:val="both"/>
      </w:pPr>
    </w:p>
    <w:p w:rsidR="00F3566F" w:rsidRPr="00F3566F" w:rsidRDefault="00A72572" w:rsidP="00F3566F">
      <w:pPr>
        <w:keepNext/>
        <w:spacing w:after="100" w:line="320" w:lineRule="atLeast"/>
        <w:jc w:val="both"/>
        <w:outlineLvl w:val="0"/>
        <w:rPr>
          <w:rFonts w:ascii="Franklin Gothic Demi" w:hAnsi="Franklin Gothic Demi"/>
          <w:color w:val="AD495D"/>
          <w:kern w:val="28"/>
          <w:sz w:val="28"/>
          <w:szCs w:val="28"/>
        </w:rPr>
      </w:pPr>
      <w:r>
        <w:rPr>
          <w:rFonts w:ascii="Franklin Gothic Demi" w:hAnsi="Franklin Gothic Demi"/>
          <w:color w:val="AD495D"/>
          <w:kern w:val="28"/>
          <w:sz w:val="28"/>
          <w:szCs w:val="28"/>
        </w:rPr>
        <w:t>E</w:t>
      </w:r>
      <w:r w:rsidR="00F3566F" w:rsidRPr="00F3566F">
        <w:rPr>
          <w:rFonts w:ascii="Franklin Gothic Demi" w:hAnsi="Franklin Gothic Demi"/>
          <w:color w:val="AD495D"/>
          <w:kern w:val="28"/>
          <w:sz w:val="28"/>
          <w:szCs w:val="28"/>
        </w:rPr>
        <w:t>stablishing the program</w:t>
      </w:r>
    </w:p>
    <w:p w:rsidR="00BB7BC3" w:rsidRDefault="001C37EE" w:rsidP="00F3566F">
      <w:pPr>
        <w:pStyle w:val="BodyText"/>
        <w:jc w:val="both"/>
        <w:rPr>
          <w:color w:val="0070C0"/>
        </w:rPr>
      </w:pPr>
      <w:r w:rsidRPr="001C37EE">
        <w:rPr>
          <w:b/>
          <w:color w:val="0070C0"/>
        </w:rPr>
        <w:t>Regional operations and representation:</w:t>
      </w:r>
      <w:r>
        <w:rPr>
          <w:color w:val="0070C0"/>
        </w:rPr>
        <w:t xml:space="preserve"> </w:t>
      </w:r>
    </w:p>
    <w:p w:rsidR="00F0463B" w:rsidRDefault="00BB7BC3" w:rsidP="00F3566F">
      <w:pPr>
        <w:pStyle w:val="BodyText"/>
        <w:jc w:val="both"/>
        <w:rPr>
          <w:color w:val="0070C0"/>
        </w:rPr>
      </w:pPr>
      <w:r>
        <w:rPr>
          <w:color w:val="0070C0"/>
        </w:rPr>
        <w:t xml:space="preserve">In 2011 </w:t>
      </w:r>
      <w:r w:rsidR="00F0463B">
        <w:rPr>
          <w:color w:val="0070C0"/>
        </w:rPr>
        <w:t xml:space="preserve">AusAID </w:t>
      </w:r>
      <w:r>
        <w:rPr>
          <w:color w:val="0070C0"/>
        </w:rPr>
        <w:t xml:space="preserve">consolidated its regional </w:t>
      </w:r>
      <w:r w:rsidR="00243C11">
        <w:rPr>
          <w:color w:val="0070C0"/>
        </w:rPr>
        <w:t>office</w:t>
      </w:r>
      <w:r>
        <w:rPr>
          <w:color w:val="0070C0"/>
        </w:rPr>
        <w:t xml:space="preserve"> </w:t>
      </w:r>
      <w:r w:rsidR="00EF1FC9">
        <w:rPr>
          <w:color w:val="0070C0"/>
        </w:rPr>
        <w:t>in Santiago</w:t>
      </w:r>
      <w:r w:rsidR="0099543A">
        <w:rPr>
          <w:color w:val="0070C0"/>
        </w:rPr>
        <w:t xml:space="preserve"> de Chile</w:t>
      </w:r>
      <w:r>
        <w:rPr>
          <w:color w:val="0070C0"/>
        </w:rPr>
        <w:t xml:space="preserve"> following the </w:t>
      </w:r>
      <w:r w:rsidR="00243C11">
        <w:rPr>
          <w:color w:val="0070C0"/>
        </w:rPr>
        <w:t>deployment</w:t>
      </w:r>
      <w:r w:rsidR="0099543A">
        <w:rPr>
          <w:color w:val="0070C0"/>
        </w:rPr>
        <w:t xml:space="preserve"> of one </w:t>
      </w:r>
      <w:r w:rsidR="002637F9">
        <w:rPr>
          <w:color w:val="0070C0"/>
        </w:rPr>
        <w:t>posted</w:t>
      </w:r>
      <w:r w:rsidR="0099543A">
        <w:rPr>
          <w:color w:val="0070C0"/>
        </w:rPr>
        <w:t xml:space="preserve"> officer</w:t>
      </w:r>
      <w:r>
        <w:rPr>
          <w:color w:val="0070C0"/>
        </w:rPr>
        <w:t xml:space="preserve"> in 2010</w:t>
      </w:r>
      <w:r w:rsidR="0099543A">
        <w:rPr>
          <w:color w:val="0070C0"/>
        </w:rPr>
        <w:t xml:space="preserve">. </w:t>
      </w:r>
      <w:r w:rsidR="00C31BFE">
        <w:rPr>
          <w:color w:val="0070C0"/>
        </w:rPr>
        <w:t>Three locally</w:t>
      </w:r>
      <w:r>
        <w:rPr>
          <w:color w:val="0070C0"/>
        </w:rPr>
        <w:t xml:space="preserve"> engaged staff </w:t>
      </w:r>
      <w:proofErr w:type="gramStart"/>
      <w:r>
        <w:rPr>
          <w:color w:val="0070C0"/>
        </w:rPr>
        <w:t>were</w:t>
      </w:r>
      <w:proofErr w:type="gramEnd"/>
      <w:r>
        <w:rPr>
          <w:color w:val="0070C0"/>
        </w:rPr>
        <w:t xml:space="preserve"> recruited to provide greater capacity to </w:t>
      </w:r>
      <w:r w:rsidR="00243C11">
        <w:rPr>
          <w:color w:val="0070C0"/>
        </w:rPr>
        <w:t>manage</w:t>
      </w:r>
      <w:r>
        <w:rPr>
          <w:color w:val="0070C0"/>
        </w:rPr>
        <w:t xml:space="preserve"> programs as they </w:t>
      </w:r>
      <w:r w:rsidR="00243C11">
        <w:rPr>
          <w:color w:val="0070C0"/>
        </w:rPr>
        <w:t>came on line</w:t>
      </w:r>
      <w:r w:rsidR="00EF1FC9">
        <w:rPr>
          <w:color w:val="0070C0"/>
        </w:rPr>
        <w:t xml:space="preserve"> </w:t>
      </w:r>
      <w:r w:rsidR="00243C11">
        <w:rPr>
          <w:color w:val="0070C0"/>
        </w:rPr>
        <w:t>and provide representation across the region.</w:t>
      </w:r>
      <w:r w:rsidR="00B818CF">
        <w:rPr>
          <w:color w:val="0070C0"/>
        </w:rPr>
        <w:t xml:space="preserve"> </w:t>
      </w:r>
    </w:p>
    <w:p w:rsidR="001C37EE" w:rsidRDefault="00243C11" w:rsidP="00F3566F">
      <w:pPr>
        <w:pStyle w:val="BodyText"/>
        <w:jc w:val="both"/>
        <w:rPr>
          <w:color w:val="0070C0"/>
        </w:rPr>
      </w:pPr>
      <w:r>
        <w:rPr>
          <w:color w:val="0070C0"/>
        </w:rPr>
        <w:t>AusAID established</w:t>
      </w:r>
      <w:r w:rsidR="001C37EE">
        <w:rPr>
          <w:color w:val="0070C0"/>
        </w:rPr>
        <w:t xml:space="preserve"> productive aid </w:t>
      </w:r>
      <w:r w:rsidR="00BB7BC3">
        <w:rPr>
          <w:color w:val="0070C0"/>
        </w:rPr>
        <w:t>relationships to underpin program</w:t>
      </w:r>
      <w:r w:rsidR="0099543A">
        <w:rPr>
          <w:color w:val="0070C0"/>
        </w:rPr>
        <w:t xml:space="preserve"> </w:t>
      </w:r>
      <w:r>
        <w:rPr>
          <w:color w:val="0070C0"/>
        </w:rPr>
        <w:t xml:space="preserve">delivery, </w:t>
      </w:r>
      <w:r w:rsidR="00C31BFE">
        <w:rPr>
          <w:color w:val="0070C0"/>
        </w:rPr>
        <w:t>and by</w:t>
      </w:r>
      <w:r w:rsidR="00BB7BC3">
        <w:rPr>
          <w:color w:val="0070C0"/>
        </w:rPr>
        <w:t xml:space="preserve"> working closely with the five Australian diplomatic </w:t>
      </w:r>
      <w:r>
        <w:rPr>
          <w:color w:val="0070C0"/>
        </w:rPr>
        <w:t>missions,</w:t>
      </w:r>
      <w:r w:rsidR="00BB7BC3">
        <w:rPr>
          <w:color w:val="0070C0"/>
        </w:rPr>
        <w:t xml:space="preserve"> </w:t>
      </w:r>
      <w:r w:rsidR="0099543A">
        <w:rPr>
          <w:color w:val="0070C0"/>
        </w:rPr>
        <w:t>made a substantial contribution to Australia’s profile in the region.</w:t>
      </w:r>
      <w:r w:rsidRPr="00243C11">
        <w:rPr>
          <w:color w:val="0070C0"/>
        </w:rPr>
        <w:t xml:space="preserve"> </w:t>
      </w:r>
      <w:r>
        <w:rPr>
          <w:color w:val="0070C0"/>
        </w:rPr>
        <w:t>C</w:t>
      </w:r>
      <w:r w:rsidRPr="00F0463B">
        <w:rPr>
          <w:color w:val="0070C0"/>
        </w:rPr>
        <w:t>ooperation and partnerships</w:t>
      </w:r>
      <w:r>
        <w:rPr>
          <w:color w:val="0070C0"/>
        </w:rPr>
        <w:t xml:space="preserve"> </w:t>
      </w:r>
      <w:r w:rsidRPr="001B3182">
        <w:rPr>
          <w:color w:val="0070C0"/>
        </w:rPr>
        <w:t xml:space="preserve">with established </w:t>
      </w:r>
      <w:r>
        <w:rPr>
          <w:color w:val="0070C0"/>
        </w:rPr>
        <w:t xml:space="preserve">and credible </w:t>
      </w:r>
      <w:r w:rsidRPr="001B3182">
        <w:rPr>
          <w:color w:val="0070C0"/>
        </w:rPr>
        <w:t xml:space="preserve">development partners </w:t>
      </w:r>
      <w:r>
        <w:rPr>
          <w:color w:val="0070C0"/>
        </w:rPr>
        <w:t xml:space="preserve">has provided useful entry points, </w:t>
      </w:r>
      <w:r w:rsidRPr="001B3182">
        <w:rPr>
          <w:color w:val="0070C0"/>
        </w:rPr>
        <w:t>expand</w:t>
      </w:r>
      <w:r>
        <w:rPr>
          <w:color w:val="0070C0"/>
        </w:rPr>
        <w:t>ed</w:t>
      </w:r>
      <w:r w:rsidRPr="001B3182">
        <w:rPr>
          <w:color w:val="0070C0"/>
        </w:rPr>
        <w:t xml:space="preserve"> </w:t>
      </w:r>
      <w:r>
        <w:rPr>
          <w:color w:val="0070C0"/>
        </w:rPr>
        <w:t xml:space="preserve">the reach of our relatively modest investment </w:t>
      </w:r>
      <w:r w:rsidR="00B818CF">
        <w:rPr>
          <w:color w:val="0070C0"/>
        </w:rPr>
        <w:t xml:space="preserve">and </w:t>
      </w:r>
      <w:r w:rsidR="00B818CF" w:rsidRPr="001B3182">
        <w:rPr>
          <w:color w:val="0070C0"/>
        </w:rPr>
        <w:t>leveraged</w:t>
      </w:r>
      <w:r>
        <w:rPr>
          <w:color w:val="0070C0"/>
        </w:rPr>
        <w:t xml:space="preserve"> </w:t>
      </w:r>
      <w:r w:rsidRPr="001B3182">
        <w:rPr>
          <w:color w:val="0070C0"/>
        </w:rPr>
        <w:t>additional aid benefits by building on existing programs or</w:t>
      </w:r>
      <w:r>
        <w:rPr>
          <w:color w:val="0070C0"/>
        </w:rPr>
        <w:t xml:space="preserve"> attracting additional</w:t>
      </w:r>
      <w:r w:rsidRPr="001B3182">
        <w:rPr>
          <w:color w:val="0070C0"/>
        </w:rPr>
        <w:t xml:space="preserve"> </w:t>
      </w:r>
      <w:r w:rsidRPr="0039191D">
        <w:rPr>
          <w:color w:val="0070C0"/>
        </w:rPr>
        <w:t>resources.</w:t>
      </w:r>
    </w:p>
    <w:p w:rsidR="0099543A" w:rsidRPr="0099543A" w:rsidRDefault="00F0463B" w:rsidP="0099543A">
      <w:pPr>
        <w:pStyle w:val="BodyText"/>
        <w:jc w:val="both"/>
        <w:rPr>
          <w:color w:val="0070C0"/>
        </w:rPr>
      </w:pPr>
      <w:r w:rsidRPr="007F5335">
        <w:rPr>
          <w:color w:val="0070C0"/>
        </w:rPr>
        <w:t xml:space="preserve">AusAID </w:t>
      </w:r>
      <w:r w:rsidR="0099543A">
        <w:rPr>
          <w:color w:val="0070C0"/>
        </w:rPr>
        <w:t xml:space="preserve">contributed to </w:t>
      </w:r>
      <w:r w:rsidRPr="007F5335">
        <w:rPr>
          <w:color w:val="0070C0"/>
        </w:rPr>
        <w:t>significa</w:t>
      </w:r>
      <w:r w:rsidR="00D6517F" w:rsidRPr="007F5335">
        <w:rPr>
          <w:color w:val="0070C0"/>
        </w:rPr>
        <w:t>nt high level regional fora</w:t>
      </w:r>
      <w:r w:rsidR="00E24C23" w:rsidRPr="007F5335">
        <w:rPr>
          <w:color w:val="0070C0"/>
        </w:rPr>
        <w:t xml:space="preserve"> </w:t>
      </w:r>
      <w:r w:rsidR="00243C11">
        <w:rPr>
          <w:color w:val="0070C0"/>
        </w:rPr>
        <w:t>most notably the</w:t>
      </w:r>
      <w:r w:rsidRPr="007F5335">
        <w:rPr>
          <w:color w:val="0070C0"/>
        </w:rPr>
        <w:t xml:space="preserve"> </w:t>
      </w:r>
      <w:r w:rsidR="0099543A" w:rsidRPr="0099543A">
        <w:rPr>
          <w:color w:val="0070C0"/>
        </w:rPr>
        <w:t>SICA</w:t>
      </w:r>
      <w:r w:rsidR="0099543A">
        <w:rPr>
          <w:color w:val="0070C0"/>
        </w:rPr>
        <w:t xml:space="preserve"> Leaders Summit; </w:t>
      </w:r>
      <w:r w:rsidR="0099543A" w:rsidRPr="0099543A">
        <w:rPr>
          <w:color w:val="0070C0"/>
        </w:rPr>
        <w:t>FEALAC (Forum on East Asia Latin America Cooperation in Argentina</w:t>
      </w:r>
      <w:r w:rsidR="0099543A">
        <w:rPr>
          <w:color w:val="0070C0"/>
        </w:rPr>
        <w:t xml:space="preserve">; </w:t>
      </w:r>
      <w:r w:rsidR="0099543A" w:rsidRPr="0099543A">
        <w:rPr>
          <w:color w:val="0070C0"/>
        </w:rPr>
        <w:t>Task Team (forum): Learning from South-South/Triangular Cooperation</w:t>
      </w:r>
      <w:r w:rsidR="00243C11">
        <w:rPr>
          <w:color w:val="0070C0"/>
        </w:rPr>
        <w:t>;</w:t>
      </w:r>
      <w:r w:rsidR="0099543A" w:rsidRPr="0099543A">
        <w:rPr>
          <w:color w:val="0070C0"/>
        </w:rPr>
        <w:t xml:space="preserve"> </w:t>
      </w:r>
      <w:r w:rsidR="0099543A">
        <w:rPr>
          <w:color w:val="0070C0"/>
        </w:rPr>
        <w:t>FOROMIC</w:t>
      </w:r>
      <w:r w:rsidR="0099543A" w:rsidRPr="0099543A">
        <w:rPr>
          <w:color w:val="0070C0"/>
        </w:rPr>
        <w:t xml:space="preserve"> (Inter-Ame</w:t>
      </w:r>
      <w:r w:rsidR="00243C11">
        <w:rPr>
          <w:color w:val="0070C0"/>
        </w:rPr>
        <w:t>rican Forum on Microenterprise)</w:t>
      </w:r>
      <w:r w:rsidR="00BB7BC3">
        <w:rPr>
          <w:color w:val="0070C0"/>
        </w:rPr>
        <w:t>;</w:t>
      </w:r>
      <w:r w:rsidR="0099543A" w:rsidRPr="0099543A">
        <w:rPr>
          <w:color w:val="0070C0"/>
        </w:rPr>
        <w:t xml:space="preserve"> Rio+20 Government consultations on Sus</w:t>
      </w:r>
      <w:r w:rsidR="00243C11">
        <w:rPr>
          <w:color w:val="0070C0"/>
        </w:rPr>
        <w:t>tainable Development Objectives.</w:t>
      </w:r>
    </w:p>
    <w:p w:rsidR="00F3566F" w:rsidRPr="00A9729F" w:rsidRDefault="001F248B" w:rsidP="00F3566F">
      <w:pPr>
        <w:pStyle w:val="BodyText"/>
        <w:jc w:val="both"/>
        <w:rPr>
          <w:color w:val="0070C0"/>
        </w:rPr>
      </w:pPr>
      <w:r>
        <w:rPr>
          <w:color w:val="0070C0"/>
        </w:rPr>
        <w:t>Cooperation with significant multilateral partners is delivering development results with programs currently being delivered through</w:t>
      </w:r>
      <w:r w:rsidR="00F3566F" w:rsidRPr="0039191D">
        <w:rPr>
          <w:color w:val="0070C0"/>
        </w:rPr>
        <w:t xml:space="preserve"> the Inter-American Development Bank (IDB)</w:t>
      </w:r>
      <w:r w:rsidR="0039191D" w:rsidRPr="0039191D">
        <w:rPr>
          <w:color w:val="0070C0"/>
        </w:rPr>
        <w:t xml:space="preserve">, </w:t>
      </w:r>
      <w:r w:rsidR="00500054">
        <w:rPr>
          <w:color w:val="0070C0"/>
        </w:rPr>
        <w:t>the World Food P</w:t>
      </w:r>
      <w:r>
        <w:rPr>
          <w:color w:val="0070C0"/>
        </w:rPr>
        <w:t xml:space="preserve">rogram </w:t>
      </w:r>
      <w:r w:rsidR="00500054">
        <w:rPr>
          <w:color w:val="0070C0"/>
        </w:rPr>
        <w:t>(WFP) and the Latin America office of the Food and Agriculture O</w:t>
      </w:r>
      <w:r>
        <w:rPr>
          <w:color w:val="0070C0"/>
        </w:rPr>
        <w:t>rganisation (FAO</w:t>
      </w:r>
      <w:r w:rsidR="00C31BFE">
        <w:rPr>
          <w:color w:val="0070C0"/>
        </w:rPr>
        <w:t>)</w:t>
      </w:r>
      <w:r w:rsidR="005C26C4">
        <w:rPr>
          <w:color w:val="0070C0"/>
        </w:rPr>
        <w:t xml:space="preserve"> </w:t>
      </w:r>
      <w:r w:rsidR="005C26C4" w:rsidRPr="00BA3F06">
        <w:rPr>
          <w:color w:val="0070C0"/>
        </w:rPr>
        <w:t>International Committee of the Red Cross (ICRC), United Nations International Strategy for Disaster Reduction (UNISDR), World Bank (WB), United Nations Development Program (UNDP), World Food Program</w:t>
      </w:r>
      <w:r w:rsidR="005C26C4">
        <w:rPr>
          <w:color w:val="0070C0"/>
        </w:rPr>
        <w:t>. Initia</w:t>
      </w:r>
      <w:r w:rsidR="00CD2C15">
        <w:rPr>
          <w:color w:val="0070C0"/>
        </w:rPr>
        <w:t>tive</w:t>
      </w:r>
      <w:r w:rsidR="005C26C4">
        <w:rPr>
          <w:color w:val="0070C0"/>
        </w:rPr>
        <w:t xml:space="preserve">s </w:t>
      </w:r>
      <w:r w:rsidR="00CD2C15">
        <w:rPr>
          <w:color w:val="0070C0"/>
        </w:rPr>
        <w:t xml:space="preserve">are primarily </w:t>
      </w:r>
      <w:r w:rsidR="005C26C4">
        <w:rPr>
          <w:color w:val="0070C0"/>
        </w:rPr>
        <w:t>focus</w:t>
      </w:r>
      <w:r w:rsidR="00CD2C15">
        <w:rPr>
          <w:color w:val="0070C0"/>
        </w:rPr>
        <w:t>ed</w:t>
      </w:r>
      <w:r w:rsidR="005C26C4">
        <w:rPr>
          <w:color w:val="0070C0"/>
        </w:rPr>
        <w:t xml:space="preserve"> on</w:t>
      </w:r>
      <w:r w:rsidR="00B818CF">
        <w:rPr>
          <w:color w:val="0070C0"/>
        </w:rPr>
        <w:t xml:space="preserve"> </w:t>
      </w:r>
      <w:r w:rsidR="00C31BFE">
        <w:rPr>
          <w:color w:val="0070C0"/>
        </w:rPr>
        <w:t xml:space="preserve">improving </w:t>
      </w:r>
      <w:r w:rsidR="00CD2C15">
        <w:rPr>
          <w:color w:val="0070C0"/>
        </w:rPr>
        <w:t xml:space="preserve">incomes and </w:t>
      </w:r>
      <w:r>
        <w:rPr>
          <w:color w:val="0070C0"/>
        </w:rPr>
        <w:t>microenterprise development,</w:t>
      </w:r>
      <w:r w:rsidR="00F0463B" w:rsidRPr="0039191D">
        <w:rPr>
          <w:color w:val="0070C0"/>
        </w:rPr>
        <w:t xml:space="preserve"> </w:t>
      </w:r>
      <w:r w:rsidR="0039191D" w:rsidRPr="0039191D">
        <w:rPr>
          <w:color w:val="0070C0"/>
        </w:rPr>
        <w:t>food security</w:t>
      </w:r>
      <w:r>
        <w:rPr>
          <w:color w:val="0070C0"/>
        </w:rPr>
        <w:t xml:space="preserve"> and recovery from natural disasters.</w:t>
      </w:r>
      <w:r w:rsidR="005C26C4" w:rsidRPr="00BA3F06">
        <w:rPr>
          <w:color w:val="0070C0"/>
        </w:rPr>
        <w:t xml:space="preserve"> </w:t>
      </w:r>
      <w:r w:rsidR="00CD2C15">
        <w:rPr>
          <w:color w:val="0070C0"/>
        </w:rPr>
        <w:t xml:space="preserve">Working with women are key focus </w:t>
      </w:r>
      <w:r w:rsidR="00B818CF">
        <w:rPr>
          <w:color w:val="0070C0"/>
        </w:rPr>
        <w:t xml:space="preserve">areas </w:t>
      </w:r>
      <w:r w:rsidR="00CD2C15">
        <w:rPr>
          <w:color w:val="0070C0"/>
        </w:rPr>
        <w:t>for much of this work.</w:t>
      </w:r>
    </w:p>
    <w:p w:rsidR="00A9729F" w:rsidRDefault="001F248B" w:rsidP="00A9729F">
      <w:pPr>
        <w:pStyle w:val="BodyText"/>
        <w:jc w:val="both"/>
        <w:rPr>
          <w:color w:val="0070C0"/>
        </w:rPr>
      </w:pPr>
      <w:r>
        <w:rPr>
          <w:color w:val="0070C0"/>
        </w:rPr>
        <w:lastRenderedPageBreak/>
        <w:t xml:space="preserve">AusAID has formed </w:t>
      </w:r>
      <w:r w:rsidR="00500054">
        <w:rPr>
          <w:color w:val="0070C0"/>
        </w:rPr>
        <w:t>development</w:t>
      </w:r>
      <w:r>
        <w:rPr>
          <w:color w:val="0070C0"/>
        </w:rPr>
        <w:t xml:space="preserve"> partnerships with Brazil (MOU December 2010) and Chile (MOU September 2012) to provide joint assistance to </w:t>
      </w:r>
      <w:r w:rsidR="00A4614E">
        <w:rPr>
          <w:color w:val="0070C0"/>
        </w:rPr>
        <w:t>less developed</w:t>
      </w:r>
      <w:r>
        <w:rPr>
          <w:color w:val="0070C0"/>
        </w:rPr>
        <w:t xml:space="preserve"> countries in the region</w:t>
      </w:r>
      <w:r w:rsidR="00A4614E">
        <w:rPr>
          <w:color w:val="0070C0"/>
        </w:rPr>
        <w:t>.</w:t>
      </w:r>
      <w:r w:rsidR="00500054">
        <w:rPr>
          <w:color w:val="0070C0"/>
        </w:rPr>
        <w:t xml:space="preserve"> </w:t>
      </w:r>
      <w:r w:rsidR="00B30977" w:rsidRPr="00A9729F">
        <w:rPr>
          <w:color w:val="0070C0"/>
        </w:rPr>
        <w:t xml:space="preserve">Australia and Brazil </w:t>
      </w:r>
      <w:r w:rsidR="00A9729F" w:rsidRPr="00A9729F">
        <w:rPr>
          <w:color w:val="0070C0"/>
        </w:rPr>
        <w:t xml:space="preserve">are </w:t>
      </w:r>
      <w:r w:rsidR="00A4614E">
        <w:rPr>
          <w:color w:val="0070C0"/>
        </w:rPr>
        <w:t xml:space="preserve">working </w:t>
      </w:r>
      <w:r w:rsidR="00A4614E" w:rsidRPr="00A9729F">
        <w:rPr>
          <w:color w:val="0070C0"/>
        </w:rPr>
        <w:t>in</w:t>
      </w:r>
      <w:r w:rsidR="00A9729F" w:rsidRPr="00A9729F">
        <w:rPr>
          <w:color w:val="0070C0"/>
        </w:rPr>
        <w:t xml:space="preserve"> Haiti </w:t>
      </w:r>
      <w:r w:rsidR="0039191D" w:rsidRPr="00A9729F">
        <w:rPr>
          <w:color w:val="0070C0"/>
        </w:rPr>
        <w:t>to improve water and sanitation by</w:t>
      </w:r>
      <w:r w:rsidR="0039191D" w:rsidRPr="0039191D">
        <w:rPr>
          <w:color w:val="0070C0"/>
        </w:rPr>
        <w:t xml:space="preserve"> constructing 175 cisterns</w:t>
      </w:r>
      <w:r w:rsidR="00A9729F">
        <w:rPr>
          <w:color w:val="0070C0"/>
        </w:rPr>
        <w:t xml:space="preserve">; and </w:t>
      </w:r>
      <w:r w:rsidR="00A4614E">
        <w:rPr>
          <w:color w:val="0070C0"/>
        </w:rPr>
        <w:t xml:space="preserve">with </w:t>
      </w:r>
      <w:r w:rsidR="00A9729F">
        <w:rPr>
          <w:color w:val="0070C0"/>
        </w:rPr>
        <w:t xml:space="preserve">Chile </w:t>
      </w:r>
      <w:r w:rsidR="00A4614E">
        <w:rPr>
          <w:color w:val="0070C0"/>
        </w:rPr>
        <w:t>(and Germany) in Paraguay and Honduras.</w:t>
      </w:r>
      <w:r w:rsidR="00A9729F">
        <w:rPr>
          <w:color w:val="0070C0"/>
        </w:rPr>
        <w:t xml:space="preserve"> </w:t>
      </w:r>
      <w:r w:rsidR="000C5FAC">
        <w:rPr>
          <w:color w:val="0070C0"/>
        </w:rPr>
        <w:t>Australia has also been able to strengthen development policy dialogue in global fora such as the G20 through these relationships.</w:t>
      </w:r>
    </w:p>
    <w:p w:rsidR="007D3A07" w:rsidRDefault="007D3A07" w:rsidP="00F3566F">
      <w:pPr>
        <w:pStyle w:val="BodyText"/>
        <w:jc w:val="both"/>
        <w:rPr>
          <w:color w:val="0070C0"/>
        </w:rPr>
      </w:pPr>
      <w:r>
        <w:rPr>
          <w:color w:val="0070C0"/>
        </w:rPr>
        <w:t>AusAID’s early programming in Latin America focussed on opening of its global programs including scholarships, fellowships, Public Sector Linkages Program</w:t>
      </w:r>
      <w:r w:rsidR="009706AA">
        <w:rPr>
          <w:color w:val="0070C0"/>
        </w:rPr>
        <w:t xml:space="preserve"> (PSLP)</w:t>
      </w:r>
      <w:r>
        <w:rPr>
          <w:color w:val="0070C0"/>
        </w:rPr>
        <w:t>, volunteers and the Human Rights Grants Program. These programs have been well received</w:t>
      </w:r>
      <w:r w:rsidR="00290560">
        <w:rPr>
          <w:color w:val="0070C0"/>
        </w:rPr>
        <w:t xml:space="preserve"> </w:t>
      </w:r>
      <w:r>
        <w:rPr>
          <w:color w:val="0070C0"/>
        </w:rPr>
        <w:t>and substantially contributed to our positive</w:t>
      </w:r>
      <w:r w:rsidR="00290560">
        <w:rPr>
          <w:color w:val="0070C0"/>
        </w:rPr>
        <w:t xml:space="preserve"> engagement in the region. Australia’s commitment to the region was quickly demonstrated </w:t>
      </w:r>
      <w:r w:rsidR="00F7079F">
        <w:rPr>
          <w:color w:val="0070C0"/>
        </w:rPr>
        <w:t xml:space="preserve">particularly </w:t>
      </w:r>
      <w:r w:rsidR="00290560">
        <w:rPr>
          <w:color w:val="0070C0"/>
        </w:rPr>
        <w:t>through the design and delivery of Australian scholarships, fe</w:t>
      </w:r>
      <w:r w:rsidR="00F7079F">
        <w:rPr>
          <w:color w:val="0070C0"/>
        </w:rPr>
        <w:t xml:space="preserve">llowships and leadership awards </w:t>
      </w:r>
      <w:r w:rsidR="00A4614E">
        <w:rPr>
          <w:color w:val="0070C0"/>
        </w:rPr>
        <w:t xml:space="preserve">and introduction of the </w:t>
      </w:r>
      <w:r w:rsidR="009706AA">
        <w:rPr>
          <w:color w:val="0070C0"/>
        </w:rPr>
        <w:t>PSLP</w:t>
      </w:r>
      <w:r w:rsidR="00F7079F">
        <w:rPr>
          <w:color w:val="0070C0"/>
        </w:rPr>
        <w:t>.</w:t>
      </w:r>
      <w:r w:rsidR="00290560">
        <w:rPr>
          <w:color w:val="0070C0"/>
        </w:rPr>
        <w:t xml:space="preserve"> </w:t>
      </w:r>
    </w:p>
    <w:p w:rsidR="001C37EE" w:rsidRDefault="00A4614E" w:rsidP="001C37EE">
      <w:pPr>
        <w:pStyle w:val="BodyText"/>
        <w:jc w:val="both"/>
        <w:rPr>
          <w:color w:val="0070C0"/>
        </w:rPr>
      </w:pPr>
      <w:r>
        <w:rPr>
          <w:color w:val="0070C0"/>
        </w:rPr>
        <w:t xml:space="preserve">In 2011, </w:t>
      </w:r>
      <w:r w:rsidR="00290560" w:rsidRPr="00080267">
        <w:rPr>
          <w:color w:val="0070C0"/>
        </w:rPr>
        <w:t xml:space="preserve">AusAID </w:t>
      </w:r>
      <w:r w:rsidR="00080267">
        <w:rPr>
          <w:color w:val="0070C0"/>
        </w:rPr>
        <w:t>established</w:t>
      </w:r>
      <w:r w:rsidR="00290560" w:rsidRPr="00080267">
        <w:rPr>
          <w:color w:val="0070C0"/>
        </w:rPr>
        <w:t xml:space="preserve"> </w:t>
      </w:r>
      <w:r w:rsidR="00080267">
        <w:rPr>
          <w:color w:val="0070C0"/>
        </w:rPr>
        <w:t>several</w:t>
      </w:r>
      <w:r w:rsidR="00290560" w:rsidRPr="00080267">
        <w:rPr>
          <w:color w:val="0070C0"/>
        </w:rPr>
        <w:t xml:space="preserve"> regional </w:t>
      </w:r>
      <w:r w:rsidR="00080267">
        <w:rPr>
          <w:color w:val="0070C0"/>
        </w:rPr>
        <w:t>and</w:t>
      </w:r>
      <w:r w:rsidR="00290560" w:rsidRPr="00080267">
        <w:rPr>
          <w:color w:val="0070C0"/>
        </w:rPr>
        <w:t xml:space="preserve"> bilateral </w:t>
      </w:r>
      <w:r>
        <w:rPr>
          <w:color w:val="0070C0"/>
        </w:rPr>
        <w:t>initiatives</w:t>
      </w:r>
      <w:r w:rsidR="00290560" w:rsidRPr="00080267">
        <w:rPr>
          <w:color w:val="0070C0"/>
        </w:rPr>
        <w:t xml:space="preserve"> focussing on the </w:t>
      </w:r>
      <w:r>
        <w:rPr>
          <w:color w:val="0070C0"/>
        </w:rPr>
        <w:t xml:space="preserve">less </w:t>
      </w:r>
      <w:r w:rsidR="00C31BFE">
        <w:rPr>
          <w:color w:val="0070C0"/>
        </w:rPr>
        <w:t>developed</w:t>
      </w:r>
      <w:r w:rsidR="00290560" w:rsidRPr="00080267">
        <w:rPr>
          <w:color w:val="0070C0"/>
        </w:rPr>
        <w:t xml:space="preserve"> countries in the region</w:t>
      </w:r>
      <w:r>
        <w:rPr>
          <w:color w:val="0070C0"/>
        </w:rPr>
        <w:t>. Details are set out below</w:t>
      </w:r>
      <w:r w:rsidR="00290560" w:rsidRPr="00080267">
        <w:rPr>
          <w:color w:val="0070C0"/>
        </w:rPr>
        <w:t>.</w:t>
      </w:r>
      <w:r w:rsidR="00080267">
        <w:rPr>
          <w:color w:val="0070C0"/>
        </w:rPr>
        <w:t xml:space="preserve"> </w:t>
      </w:r>
    </w:p>
    <w:p w:rsidR="00C31BFE" w:rsidRDefault="00C31BFE" w:rsidP="006850A3">
      <w:pPr>
        <w:pStyle w:val="Heading2"/>
        <w:keepNext/>
        <w:tabs>
          <w:tab w:val="left" w:pos="1920"/>
        </w:tabs>
        <w:spacing w:before="0" w:after="120" w:line="320" w:lineRule="atLeast"/>
        <w:jc w:val="both"/>
      </w:pPr>
    </w:p>
    <w:p w:rsidR="00842196" w:rsidRDefault="00F27507" w:rsidP="006850A3">
      <w:pPr>
        <w:pStyle w:val="Heading2"/>
        <w:keepNext/>
        <w:tabs>
          <w:tab w:val="left" w:pos="1920"/>
        </w:tabs>
        <w:spacing w:before="0" w:after="120" w:line="320" w:lineRule="atLeast"/>
        <w:jc w:val="both"/>
      </w:pPr>
      <w:r>
        <w:t xml:space="preserve">AusAID </w:t>
      </w:r>
      <w:r w:rsidR="00842196" w:rsidRPr="00A6320C">
        <w:t>Expenditure</w:t>
      </w:r>
      <w:r w:rsidR="00AC0956">
        <w:t xml:space="preserve">   (TBC)</w:t>
      </w:r>
    </w:p>
    <w:p w:rsidR="00842196" w:rsidRPr="003E4C57" w:rsidRDefault="00842196" w:rsidP="005447E1">
      <w:pPr>
        <w:pStyle w:val="Caption"/>
        <w:jc w:val="both"/>
        <w:rPr>
          <w:highlight w:val="magenta"/>
        </w:rPr>
      </w:pPr>
      <w:r w:rsidRPr="00E271CD">
        <w:t xml:space="preserve">Table </w:t>
      </w:r>
      <w:r w:rsidR="006207C0">
        <w:t>1</w:t>
      </w:r>
      <w:r w:rsidRPr="00E271CD">
        <w:t xml:space="preserve">: </w:t>
      </w:r>
      <w:r w:rsidR="00F27507">
        <w:t>AusAID e</w:t>
      </w:r>
      <w:r>
        <w:t>stimated e</w:t>
      </w:r>
      <w:r w:rsidRPr="00E271CD">
        <w:t>xpenditure</w:t>
      </w:r>
      <w:r>
        <w:t xml:space="preserve"> </w:t>
      </w:r>
      <w:r w:rsidR="00B36A3C">
        <w:t xml:space="preserve">on objectives </w:t>
      </w:r>
      <w:r>
        <w:t>in 201</w:t>
      </w:r>
      <w:r w:rsidR="006F3973">
        <w:t>1-12</w:t>
      </w:r>
      <w:r>
        <w:t xml:space="preserve"> </w:t>
      </w:r>
    </w:p>
    <w:tbl>
      <w:tblPr>
        <w:tblW w:w="8095" w:type="dxa"/>
        <w:tblInd w:w="108" w:type="dxa"/>
        <w:tblLayout w:type="fixed"/>
        <w:tblLook w:val="0000" w:firstRow="0" w:lastRow="0" w:firstColumn="0" w:lastColumn="0" w:noHBand="0" w:noVBand="0"/>
      </w:tblPr>
      <w:tblGrid>
        <w:gridCol w:w="5387"/>
        <w:gridCol w:w="850"/>
        <w:gridCol w:w="580"/>
        <w:gridCol w:w="1278"/>
      </w:tblGrid>
      <w:tr w:rsidR="0053234B" w:rsidRPr="003E4C57" w:rsidTr="00CE543B">
        <w:trPr>
          <w:trHeight w:val="574"/>
        </w:trPr>
        <w:tc>
          <w:tcPr>
            <w:tcW w:w="5387" w:type="dxa"/>
            <w:tcBorders>
              <w:top w:val="single" w:sz="12" w:space="0" w:color="auto"/>
              <w:bottom w:val="single" w:sz="2" w:space="0" w:color="auto"/>
            </w:tcBorders>
          </w:tcPr>
          <w:p w:rsidR="0053234B" w:rsidRDefault="0053234B" w:rsidP="005447E1">
            <w:pPr>
              <w:pStyle w:val="TableDataColumnHeading"/>
              <w:jc w:val="both"/>
            </w:pPr>
            <w:r>
              <w:t>Objective</w:t>
            </w:r>
          </w:p>
        </w:tc>
        <w:tc>
          <w:tcPr>
            <w:tcW w:w="850" w:type="dxa"/>
            <w:tcBorders>
              <w:top w:val="single" w:sz="12" w:space="0" w:color="auto"/>
              <w:bottom w:val="single" w:sz="2" w:space="0" w:color="auto"/>
            </w:tcBorders>
            <w:shd w:val="clear" w:color="auto" w:fill="auto"/>
            <w:tcMar>
              <w:left w:w="57" w:type="dxa"/>
              <w:right w:w="57" w:type="dxa"/>
            </w:tcMar>
          </w:tcPr>
          <w:p w:rsidR="0053234B" w:rsidRDefault="0053234B" w:rsidP="005447E1">
            <w:pPr>
              <w:pStyle w:val="TableDataColumnHeading"/>
              <w:jc w:val="both"/>
            </w:pPr>
            <w:r>
              <w:t>A$ million</w:t>
            </w:r>
          </w:p>
        </w:tc>
        <w:tc>
          <w:tcPr>
            <w:tcW w:w="1858" w:type="dxa"/>
            <w:gridSpan w:val="2"/>
            <w:tcBorders>
              <w:top w:val="single" w:sz="12" w:space="0" w:color="auto"/>
              <w:bottom w:val="single" w:sz="2" w:space="0" w:color="auto"/>
            </w:tcBorders>
            <w:shd w:val="clear" w:color="auto" w:fill="auto"/>
            <w:tcMar>
              <w:left w:w="57" w:type="dxa"/>
              <w:right w:w="57" w:type="dxa"/>
            </w:tcMar>
          </w:tcPr>
          <w:p w:rsidR="0053234B" w:rsidRDefault="0053234B" w:rsidP="00F27507">
            <w:pPr>
              <w:pStyle w:val="TableDataColumnHeading"/>
              <w:jc w:val="both"/>
            </w:pPr>
            <w:r>
              <w:t xml:space="preserve">% of </w:t>
            </w:r>
            <w:r w:rsidR="00F27507">
              <w:t>regional</w:t>
            </w:r>
            <w:r>
              <w:t xml:space="preserve"> program</w:t>
            </w:r>
          </w:p>
        </w:tc>
      </w:tr>
      <w:tr w:rsidR="0053234B" w:rsidRPr="002452D0" w:rsidTr="00CE543B">
        <w:trPr>
          <w:gridAfter w:val="1"/>
          <w:wAfter w:w="1278" w:type="dxa"/>
          <w:trHeight w:val="279"/>
        </w:trPr>
        <w:tc>
          <w:tcPr>
            <w:tcW w:w="5387" w:type="dxa"/>
          </w:tcPr>
          <w:p w:rsidR="0053234B" w:rsidRDefault="008E0EB8" w:rsidP="00CE543B">
            <w:pPr>
              <w:pStyle w:val="TableDataEntries"/>
              <w:jc w:val="both"/>
            </w:pPr>
            <w:r>
              <w:t>Objective 1</w:t>
            </w:r>
            <w:r w:rsidR="00CE543B">
              <w:t>: More sustainable economic development in the region</w:t>
            </w:r>
          </w:p>
        </w:tc>
        <w:tc>
          <w:tcPr>
            <w:tcW w:w="850" w:type="dxa"/>
            <w:shd w:val="clear" w:color="auto" w:fill="auto"/>
            <w:tcMar>
              <w:left w:w="57" w:type="dxa"/>
              <w:right w:w="57" w:type="dxa"/>
            </w:tcMar>
          </w:tcPr>
          <w:p w:rsidR="0053234B" w:rsidRPr="002452D0" w:rsidRDefault="00F9220B" w:rsidP="005447E1">
            <w:pPr>
              <w:pStyle w:val="TableDataEntries"/>
              <w:jc w:val="both"/>
            </w:pPr>
            <w:r>
              <w:t>$6.4m</w:t>
            </w:r>
          </w:p>
        </w:tc>
        <w:tc>
          <w:tcPr>
            <w:tcW w:w="580" w:type="dxa"/>
            <w:shd w:val="clear" w:color="auto" w:fill="auto"/>
            <w:tcMar>
              <w:left w:w="57" w:type="dxa"/>
              <w:right w:w="57" w:type="dxa"/>
            </w:tcMar>
          </w:tcPr>
          <w:p w:rsidR="0053234B" w:rsidRPr="002452D0" w:rsidRDefault="00F9220B" w:rsidP="005447E1">
            <w:pPr>
              <w:pStyle w:val="TableDataEntries"/>
              <w:jc w:val="both"/>
            </w:pPr>
            <w:r>
              <w:t>43%</w:t>
            </w:r>
          </w:p>
        </w:tc>
      </w:tr>
      <w:tr w:rsidR="0053234B" w:rsidRPr="002452D0" w:rsidTr="00F9220B">
        <w:trPr>
          <w:gridAfter w:val="1"/>
          <w:wAfter w:w="1278" w:type="dxa"/>
          <w:trHeight w:val="257"/>
        </w:trPr>
        <w:tc>
          <w:tcPr>
            <w:tcW w:w="5387" w:type="dxa"/>
          </w:tcPr>
          <w:p w:rsidR="008E0EB8" w:rsidRDefault="008E0EB8" w:rsidP="00CE543B">
            <w:pPr>
              <w:pStyle w:val="TableDataEntries"/>
              <w:jc w:val="both"/>
            </w:pPr>
            <w:r>
              <w:t>Objective 2</w:t>
            </w:r>
            <w:r w:rsidR="00CE543B">
              <w:t>: Improved governance in the region</w:t>
            </w:r>
          </w:p>
        </w:tc>
        <w:tc>
          <w:tcPr>
            <w:tcW w:w="850" w:type="dxa"/>
            <w:shd w:val="clear" w:color="auto" w:fill="auto"/>
            <w:tcMar>
              <w:left w:w="57" w:type="dxa"/>
              <w:right w:w="57" w:type="dxa"/>
            </w:tcMar>
          </w:tcPr>
          <w:p w:rsidR="0053234B" w:rsidRDefault="00F9220B" w:rsidP="005447E1">
            <w:pPr>
              <w:pStyle w:val="TableDataEntries"/>
              <w:jc w:val="both"/>
            </w:pPr>
            <w:r>
              <w:t>$4.5m</w:t>
            </w:r>
          </w:p>
        </w:tc>
        <w:tc>
          <w:tcPr>
            <w:tcW w:w="580" w:type="dxa"/>
            <w:shd w:val="clear" w:color="auto" w:fill="auto"/>
            <w:tcMar>
              <w:left w:w="57" w:type="dxa"/>
              <w:right w:w="57" w:type="dxa"/>
            </w:tcMar>
          </w:tcPr>
          <w:p w:rsidR="0053234B" w:rsidRDefault="00F9220B" w:rsidP="005447E1">
            <w:pPr>
              <w:pStyle w:val="TableDataEntries"/>
              <w:jc w:val="both"/>
            </w:pPr>
            <w:r>
              <w:t>30%</w:t>
            </w:r>
          </w:p>
        </w:tc>
      </w:tr>
      <w:tr w:rsidR="0053234B" w:rsidRPr="002452D0" w:rsidTr="00CE543B">
        <w:trPr>
          <w:gridAfter w:val="1"/>
          <w:wAfter w:w="1278" w:type="dxa"/>
          <w:trHeight w:val="279"/>
        </w:trPr>
        <w:tc>
          <w:tcPr>
            <w:tcW w:w="5387" w:type="dxa"/>
            <w:tcBorders>
              <w:bottom w:val="single" w:sz="12" w:space="0" w:color="auto"/>
            </w:tcBorders>
          </w:tcPr>
          <w:p w:rsidR="0053234B" w:rsidRDefault="00F9220B" w:rsidP="005447E1">
            <w:pPr>
              <w:pStyle w:val="TableDataEntries"/>
              <w:jc w:val="both"/>
            </w:pPr>
            <w:r>
              <w:t>Objective 3: Enhanced humanitarian and disaster response</w:t>
            </w:r>
          </w:p>
        </w:tc>
        <w:tc>
          <w:tcPr>
            <w:tcW w:w="850" w:type="dxa"/>
            <w:tcBorders>
              <w:bottom w:val="single" w:sz="12" w:space="0" w:color="auto"/>
            </w:tcBorders>
            <w:shd w:val="clear" w:color="auto" w:fill="auto"/>
            <w:tcMar>
              <w:left w:w="57" w:type="dxa"/>
              <w:right w:w="57" w:type="dxa"/>
            </w:tcMar>
          </w:tcPr>
          <w:p w:rsidR="0053234B" w:rsidRPr="002452D0" w:rsidRDefault="00F9220B" w:rsidP="005447E1">
            <w:pPr>
              <w:pStyle w:val="TableDataEntries"/>
              <w:jc w:val="both"/>
            </w:pPr>
            <w:r>
              <w:t>$4.0m</w:t>
            </w:r>
          </w:p>
        </w:tc>
        <w:tc>
          <w:tcPr>
            <w:tcW w:w="580" w:type="dxa"/>
            <w:tcBorders>
              <w:bottom w:val="single" w:sz="12" w:space="0" w:color="auto"/>
            </w:tcBorders>
            <w:shd w:val="clear" w:color="auto" w:fill="auto"/>
            <w:tcMar>
              <w:left w:w="57" w:type="dxa"/>
              <w:right w:w="57" w:type="dxa"/>
            </w:tcMar>
          </w:tcPr>
          <w:p w:rsidR="0053234B" w:rsidRPr="002452D0" w:rsidRDefault="00F9220B" w:rsidP="005447E1">
            <w:pPr>
              <w:pStyle w:val="TableDataEntries"/>
              <w:jc w:val="both"/>
            </w:pPr>
            <w:r>
              <w:t>27%</w:t>
            </w:r>
          </w:p>
        </w:tc>
      </w:tr>
    </w:tbl>
    <w:p w:rsidR="00A72572" w:rsidRDefault="00A72572" w:rsidP="00E24C23">
      <w:pPr>
        <w:pStyle w:val="Heading2"/>
        <w:keepNext/>
        <w:tabs>
          <w:tab w:val="left" w:pos="1920"/>
        </w:tabs>
        <w:spacing w:before="0" w:after="120" w:line="320" w:lineRule="atLeast"/>
        <w:jc w:val="both"/>
      </w:pPr>
    </w:p>
    <w:p w:rsidR="00633336" w:rsidRPr="00E24C23" w:rsidRDefault="00A72572" w:rsidP="00A72572">
      <w:pPr>
        <w:pStyle w:val="Subtitle"/>
      </w:pPr>
      <w:r>
        <w:br w:type="page"/>
      </w:r>
    </w:p>
    <w:p w:rsidR="00F7079F" w:rsidRDefault="00130109" w:rsidP="00F7079F">
      <w:pPr>
        <w:keepNext/>
        <w:spacing w:after="100" w:line="320" w:lineRule="atLeast"/>
        <w:jc w:val="both"/>
        <w:outlineLvl w:val="0"/>
        <w:rPr>
          <w:rFonts w:ascii="Franklin Gothic Demi" w:hAnsi="Franklin Gothic Demi"/>
          <w:color w:val="AD495D"/>
          <w:kern w:val="28"/>
          <w:sz w:val="28"/>
          <w:szCs w:val="28"/>
        </w:rPr>
      </w:pPr>
      <w:r>
        <w:rPr>
          <w:rFonts w:ascii="Franklin Gothic Demi" w:hAnsi="Franklin Gothic Demi"/>
          <w:color w:val="AD495D"/>
          <w:kern w:val="28"/>
          <w:sz w:val="28"/>
          <w:szCs w:val="28"/>
        </w:rPr>
        <w:lastRenderedPageBreak/>
        <w:t>Progress against objectives</w:t>
      </w:r>
    </w:p>
    <w:p w:rsidR="009706AA" w:rsidRDefault="00F7079F" w:rsidP="009706AA">
      <w:pPr>
        <w:pStyle w:val="BodyText"/>
        <w:jc w:val="both"/>
        <w:rPr>
          <w:color w:val="0070C0"/>
        </w:rPr>
      </w:pPr>
      <w:r w:rsidRPr="00F7079F">
        <w:rPr>
          <w:color w:val="0070C0"/>
        </w:rPr>
        <w:t xml:space="preserve">Development initiatives are set out against three CAPF strategic goals. </w:t>
      </w:r>
      <w:r w:rsidR="009706AA">
        <w:rPr>
          <w:color w:val="0070C0"/>
        </w:rPr>
        <w:t>APPR performance ratings are used broadly to provide a general and qualitative indication of the relevance and progress of programs to these goals.</w:t>
      </w:r>
    </w:p>
    <w:p w:rsidR="00F7079F" w:rsidRDefault="00F7079F" w:rsidP="00F7079F">
      <w:pPr>
        <w:keepNext/>
        <w:spacing w:after="100" w:line="320" w:lineRule="atLeast"/>
        <w:jc w:val="both"/>
        <w:outlineLvl w:val="0"/>
        <w:rPr>
          <w:color w:val="0070C0"/>
        </w:rPr>
      </w:pPr>
      <w:r w:rsidRPr="00F7079F">
        <w:rPr>
          <w:rFonts w:ascii="Georgia" w:hAnsi="Georgia"/>
          <w:color w:val="0070C0"/>
          <w:sz w:val="19"/>
          <w:szCs w:val="19"/>
        </w:rPr>
        <w:t xml:space="preserve"> </w:t>
      </w:r>
      <w:r w:rsidR="00A4614E">
        <w:rPr>
          <w:rFonts w:ascii="Georgia" w:hAnsi="Georgia"/>
          <w:color w:val="0070C0"/>
          <w:sz w:val="19"/>
          <w:szCs w:val="19"/>
        </w:rPr>
        <w:t>Initiatives that are not on track are identified specifically</w:t>
      </w:r>
      <w:r w:rsidR="009706AA">
        <w:rPr>
          <w:rFonts w:ascii="Georgia" w:hAnsi="Georgia"/>
          <w:color w:val="0070C0"/>
          <w:sz w:val="19"/>
          <w:szCs w:val="19"/>
        </w:rPr>
        <w:t xml:space="preserve"> within the text</w:t>
      </w:r>
      <w:r w:rsidR="00A4614E">
        <w:rPr>
          <w:rFonts w:ascii="Georgia" w:hAnsi="Georgia"/>
          <w:color w:val="0070C0"/>
          <w:sz w:val="19"/>
          <w:szCs w:val="19"/>
        </w:rPr>
        <w:t>.</w:t>
      </w:r>
    </w:p>
    <w:p w:rsidR="00E1231D" w:rsidRPr="00F7079F" w:rsidRDefault="00E1231D" w:rsidP="00F7079F">
      <w:pPr>
        <w:keepNext/>
        <w:spacing w:after="100" w:line="320" w:lineRule="atLeast"/>
        <w:jc w:val="both"/>
        <w:outlineLvl w:val="0"/>
        <w:rPr>
          <w:rFonts w:ascii="Franklin Gothic Demi" w:hAnsi="Franklin Gothic Demi"/>
          <w:color w:val="AD495D"/>
          <w:kern w:val="28"/>
          <w:sz w:val="28"/>
          <w:szCs w:val="28"/>
        </w:rPr>
      </w:pPr>
      <w:r w:rsidRPr="00DC1DB5">
        <w:t>Table 2: Ratings of the program’s</w:t>
      </w:r>
      <w:r w:rsidRPr="0067746B">
        <w:rPr>
          <w:color w:val="0070C0"/>
        </w:rPr>
        <w:t xml:space="preserve"> </w:t>
      </w:r>
      <w:r>
        <w:t xml:space="preserve">progress towards the objectives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5"/>
        <w:gridCol w:w="896"/>
        <w:gridCol w:w="1316"/>
      </w:tblGrid>
      <w:tr w:rsidR="00E1231D" w:rsidRPr="00D81B5B" w:rsidTr="00E1231D">
        <w:trPr>
          <w:cantSplit/>
        </w:trPr>
        <w:tc>
          <w:tcPr>
            <w:tcW w:w="5725" w:type="dxa"/>
            <w:shd w:val="clear" w:color="auto" w:fill="auto"/>
            <w:tcMar>
              <w:left w:w="57" w:type="dxa"/>
              <w:right w:w="57" w:type="dxa"/>
            </w:tcMar>
          </w:tcPr>
          <w:p w:rsidR="00E1231D" w:rsidRPr="00936B2C" w:rsidRDefault="00E1231D" w:rsidP="00E1231D">
            <w:pPr>
              <w:pStyle w:val="TableTextColumnHeading"/>
              <w:jc w:val="both"/>
              <w:rPr>
                <w:b/>
              </w:rPr>
            </w:pPr>
            <w:r w:rsidRPr="00936B2C">
              <w:rPr>
                <w:b/>
              </w:rPr>
              <w:t>Objective</w:t>
            </w:r>
          </w:p>
        </w:tc>
        <w:tc>
          <w:tcPr>
            <w:tcW w:w="896" w:type="dxa"/>
            <w:shd w:val="clear" w:color="auto" w:fill="auto"/>
            <w:tcMar>
              <w:left w:w="57" w:type="dxa"/>
              <w:right w:w="57" w:type="dxa"/>
            </w:tcMar>
          </w:tcPr>
          <w:p w:rsidR="00E1231D" w:rsidRDefault="00E1231D" w:rsidP="00E1231D">
            <w:pPr>
              <w:pStyle w:val="TableTextColumnHeading"/>
              <w:jc w:val="both"/>
            </w:pPr>
            <w:r>
              <w:t>Current r</w:t>
            </w:r>
            <w:r w:rsidRPr="00D81B5B">
              <w:t>ating</w:t>
            </w:r>
            <w:r>
              <w:t xml:space="preserve"> </w:t>
            </w:r>
          </w:p>
        </w:tc>
        <w:tc>
          <w:tcPr>
            <w:tcW w:w="1316" w:type="dxa"/>
            <w:shd w:val="clear" w:color="auto" w:fill="auto"/>
            <w:tcMar>
              <w:left w:w="57" w:type="dxa"/>
              <w:right w:w="57" w:type="dxa"/>
            </w:tcMar>
          </w:tcPr>
          <w:p w:rsidR="00E1231D" w:rsidRDefault="00E1231D" w:rsidP="00E1231D">
            <w:pPr>
              <w:pStyle w:val="TableTextColumnHeading"/>
            </w:pPr>
            <w:r>
              <w:t>Relative to</w:t>
            </w:r>
            <w:r w:rsidRPr="00D81B5B">
              <w:t xml:space="preserve"> </w:t>
            </w:r>
            <w:r>
              <w:br/>
            </w:r>
            <w:r w:rsidRPr="00D81B5B">
              <w:t>previous rating</w:t>
            </w:r>
          </w:p>
        </w:tc>
      </w:tr>
      <w:tr w:rsidR="00E1231D" w:rsidRPr="00D81B5B" w:rsidTr="00E1231D">
        <w:trPr>
          <w:cantSplit/>
          <w:trHeight w:val="665"/>
        </w:trPr>
        <w:tc>
          <w:tcPr>
            <w:tcW w:w="5725" w:type="dxa"/>
            <w:tcMar>
              <w:left w:w="57" w:type="dxa"/>
              <w:right w:w="57" w:type="dxa"/>
            </w:tcMar>
            <w:vAlign w:val="center"/>
          </w:tcPr>
          <w:p w:rsidR="00E1231D" w:rsidRPr="00936B2C" w:rsidRDefault="00E1231D" w:rsidP="00E1231D">
            <w:pPr>
              <w:pStyle w:val="TableTextEntries"/>
              <w:spacing w:before="0" w:after="0"/>
              <w:jc w:val="both"/>
              <w:rPr>
                <w:rFonts w:ascii="Franklin Gothic Medium" w:hAnsi="Franklin Gothic Medium"/>
              </w:rPr>
            </w:pPr>
            <w:r>
              <w:rPr>
                <w:rFonts w:ascii="Franklin Gothic Medium" w:hAnsi="Franklin Gothic Medium"/>
              </w:rPr>
              <w:t>Objective 1</w:t>
            </w:r>
            <w:r w:rsidRPr="00872B3E">
              <w:rPr>
                <w:rFonts w:ascii="Times New Roman" w:hAnsi="Times New Roman"/>
                <w:sz w:val="20"/>
                <w:szCs w:val="24"/>
                <w:lang w:eastAsia="en-AU"/>
              </w:rPr>
              <w:t xml:space="preserve"> </w:t>
            </w:r>
            <w:r w:rsidRPr="00872B3E">
              <w:rPr>
                <w:rFonts w:ascii="Franklin Gothic Medium" w:hAnsi="Franklin Gothic Medium"/>
              </w:rPr>
              <w:t>More sustainable economic development in the region</w:t>
            </w:r>
          </w:p>
        </w:tc>
        <w:tc>
          <w:tcPr>
            <w:tcW w:w="896" w:type="dxa"/>
            <w:shd w:val="clear" w:color="auto" w:fill="auto"/>
            <w:tcMar>
              <w:left w:w="57" w:type="dxa"/>
              <w:right w:w="57" w:type="dxa"/>
            </w:tcMar>
            <w:vAlign w:val="center"/>
          </w:tcPr>
          <w:p w:rsidR="00E1231D" w:rsidRPr="00F7079F" w:rsidRDefault="00E1231D" w:rsidP="00E1231D">
            <w:pPr>
              <w:pStyle w:val="Ratingbullet"/>
              <w:spacing w:before="0" w:after="0"/>
              <w:jc w:val="both"/>
              <w:rPr>
                <w:color w:val="FFC000"/>
              </w:rPr>
            </w:pPr>
            <w:r w:rsidRPr="00F7079F">
              <w:rPr>
                <w:color w:val="FFC000"/>
              </w:rPr>
              <w:fldChar w:fldCharType="begin"/>
            </w:r>
            <w:r w:rsidRPr="00F7079F">
              <w:rPr>
                <w:color w:val="FFC000"/>
              </w:rPr>
              <w:instrText xml:space="preserve"> AUTOTEXTLIST  \s "Rating bullet"\t "Right click to choose a rating" \* MERGEFORMAT </w:instrText>
            </w:r>
            <w:r w:rsidRPr="00F7079F">
              <w:rPr>
                <w:color w:val="FFC000"/>
              </w:rPr>
              <w:fldChar w:fldCharType="separate"/>
            </w:r>
            <w:r w:rsidRPr="00F7079F">
              <w:rPr>
                <w:color w:val="FFC000"/>
              </w:rPr>
              <w:sym w:font="Webdings" w:char="F067"/>
            </w:r>
            <w:r w:rsidRPr="00F7079F">
              <w:rPr>
                <w:color w:val="FFC000"/>
              </w:rPr>
              <w:fldChar w:fldCharType="end"/>
            </w:r>
          </w:p>
        </w:tc>
        <w:tc>
          <w:tcPr>
            <w:tcW w:w="1316" w:type="dxa"/>
            <w:tcMar>
              <w:left w:w="57" w:type="dxa"/>
              <w:right w:w="57" w:type="dxa"/>
            </w:tcMar>
            <w:vAlign w:val="center"/>
          </w:tcPr>
          <w:p w:rsidR="00E1231D" w:rsidRPr="0058729F" w:rsidRDefault="00E1231D" w:rsidP="00E1231D">
            <w:pPr>
              <w:pStyle w:val="TableTextEntries"/>
              <w:spacing w:before="0" w:after="0"/>
              <w:jc w:val="both"/>
            </w:pPr>
            <w:r>
              <w:rPr>
                <w:bCs/>
              </w:rPr>
              <w:fldChar w:fldCharType="begin"/>
            </w:r>
            <w:r>
              <w:rPr>
                <w:bCs/>
              </w:rPr>
              <w:instrText xml:space="preserve"> AUTOTEXTLIST  \s "Table Text Entries"\t "Right click to choose a response" \* MERGEFORMAT </w:instrText>
            </w:r>
            <w:r>
              <w:rPr>
                <w:bCs/>
              </w:rPr>
              <w:fldChar w:fldCharType="separate"/>
            </w:r>
            <w:r w:rsidRPr="00BE6709">
              <w:rPr>
                <w:bCs/>
              </w:rPr>
              <w:t>Not applicable</w:t>
            </w:r>
            <w:r>
              <w:rPr>
                <w:bCs/>
              </w:rPr>
              <w:fldChar w:fldCharType="end"/>
            </w:r>
          </w:p>
        </w:tc>
      </w:tr>
      <w:tr w:rsidR="00E1231D" w:rsidRPr="00B874EA" w:rsidTr="00E1231D">
        <w:trPr>
          <w:cantSplit/>
          <w:trHeight w:val="689"/>
        </w:trPr>
        <w:tc>
          <w:tcPr>
            <w:tcW w:w="5725" w:type="dxa"/>
            <w:tcMar>
              <w:left w:w="57" w:type="dxa"/>
              <w:right w:w="57" w:type="dxa"/>
            </w:tcMar>
            <w:vAlign w:val="center"/>
          </w:tcPr>
          <w:p w:rsidR="00E1231D" w:rsidRPr="00936B2C" w:rsidRDefault="00E1231D" w:rsidP="00E1231D">
            <w:pPr>
              <w:pStyle w:val="TableTextEntries"/>
              <w:spacing w:before="0" w:after="0"/>
              <w:jc w:val="both"/>
              <w:rPr>
                <w:rFonts w:ascii="Franklin Gothic Medium" w:hAnsi="Franklin Gothic Medium"/>
              </w:rPr>
            </w:pPr>
            <w:r>
              <w:rPr>
                <w:rFonts w:ascii="Franklin Gothic Medium" w:hAnsi="Franklin Gothic Medium"/>
              </w:rPr>
              <w:t>Objective 2</w:t>
            </w:r>
            <w:r w:rsidRPr="00B874EA">
              <w:rPr>
                <w:rFonts w:ascii="Franklin Gothic Medium" w:hAnsi="Franklin Gothic Medium"/>
              </w:rPr>
              <w:t xml:space="preserve"> </w:t>
            </w:r>
            <w:r w:rsidRPr="00872B3E">
              <w:rPr>
                <w:rFonts w:ascii="Franklin Gothic Medium" w:hAnsi="Franklin Gothic Medium"/>
              </w:rPr>
              <w:t>Improved governance in the region</w:t>
            </w:r>
          </w:p>
        </w:tc>
        <w:tc>
          <w:tcPr>
            <w:tcW w:w="896" w:type="dxa"/>
            <w:shd w:val="clear" w:color="auto" w:fill="auto"/>
            <w:tcMar>
              <w:left w:w="57" w:type="dxa"/>
              <w:right w:w="57" w:type="dxa"/>
            </w:tcMar>
            <w:vAlign w:val="center"/>
          </w:tcPr>
          <w:p w:rsidR="00E1231D" w:rsidRPr="00F7079F" w:rsidRDefault="00E1231D" w:rsidP="00E1231D">
            <w:pPr>
              <w:pStyle w:val="Ratingbullet"/>
              <w:spacing w:before="0" w:after="0" w:line="240" w:lineRule="auto"/>
              <w:jc w:val="both"/>
              <w:rPr>
                <w:color w:val="FFC000"/>
              </w:rPr>
            </w:pPr>
            <w:r w:rsidRPr="00F7079F">
              <w:rPr>
                <w:color w:val="FFC000"/>
              </w:rPr>
              <w:fldChar w:fldCharType="begin"/>
            </w:r>
            <w:r w:rsidRPr="00F7079F">
              <w:rPr>
                <w:color w:val="FFC000"/>
              </w:rPr>
              <w:instrText xml:space="preserve"> AUTOTEXTLIST  \s "Rating bullet"\t "Right click to choose a rating" \* MERGEFORMAT </w:instrText>
            </w:r>
            <w:r w:rsidRPr="00F7079F">
              <w:rPr>
                <w:color w:val="FFC000"/>
              </w:rPr>
              <w:fldChar w:fldCharType="separate"/>
            </w:r>
            <w:r w:rsidRPr="00F7079F">
              <w:rPr>
                <w:color w:val="FFC000"/>
              </w:rPr>
              <w:sym w:font="Webdings" w:char="F067"/>
            </w:r>
            <w:r w:rsidRPr="00F7079F">
              <w:rPr>
                <w:color w:val="FFC000"/>
              </w:rPr>
              <w:fldChar w:fldCharType="end"/>
            </w:r>
          </w:p>
        </w:tc>
        <w:tc>
          <w:tcPr>
            <w:tcW w:w="1316" w:type="dxa"/>
            <w:tcMar>
              <w:left w:w="57" w:type="dxa"/>
              <w:right w:w="57" w:type="dxa"/>
            </w:tcMar>
            <w:vAlign w:val="center"/>
          </w:tcPr>
          <w:p w:rsidR="00E1231D" w:rsidRPr="00B874EA" w:rsidRDefault="00E1231D" w:rsidP="00E1231D">
            <w:pPr>
              <w:pStyle w:val="TableTextEntries"/>
              <w:spacing w:before="0" w:after="0" w:line="240" w:lineRule="auto"/>
              <w:jc w:val="both"/>
              <w:rPr>
                <w:bCs/>
              </w:rPr>
            </w:pPr>
            <w:r>
              <w:rPr>
                <w:bCs/>
              </w:rPr>
              <w:fldChar w:fldCharType="begin"/>
            </w:r>
            <w:r>
              <w:rPr>
                <w:bCs/>
              </w:rPr>
              <w:instrText xml:space="preserve"> AUTOTEXTLIST  \s "Table Text Entries"\t "Right click to choose a response" \* MERGEFORMAT </w:instrText>
            </w:r>
            <w:r>
              <w:rPr>
                <w:bCs/>
              </w:rPr>
              <w:fldChar w:fldCharType="separate"/>
            </w:r>
            <w:r w:rsidRPr="00BE6709">
              <w:rPr>
                <w:bCs/>
              </w:rPr>
              <w:t>Not applicable</w:t>
            </w:r>
            <w:r>
              <w:rPr>
                <w:bCs/>
              </w:rPr>
              <w:fldChar w:fldCharType="end"/>
            </w:r>
          </w:p>
        </w:tc>
      </w:tr>
      <w:tr w:rsidR="00E1231D" w:rsidRPr="00D81B5B" w:rsidTr="00E1231D">
        <w:trPr>
          <w:cantSplit/>
          <w:trHeight w:val="700"/>
        </w:trPr>
        <w:tc>
          <w:tcPr>
            <w:tcW w:w="5725" w:type="dxa"/>
            <w:tcMar>
              <w:left w:w="57" w:type="dxa"/>
              <w:right w:w="57" w:type="dxa"/>
            </w:tcMar>
            <w:vAlign w:val="center"/>
          </w:tcPr>
          <w:p w:rsidR="00E1231D" w:rsidRPr="00936B2C" w:rsidRDefault="00E1231D" w:rsidP="00E1231D">
            <w:pPr>
              <w:pStyle w:val="TableTextEntries"/>
              <w:spacing w:before="0" w:after="0"/>
              <w:jc w:val="both"/>
              <w:rPr>
                <w:rFonts w:ascii="Franklin Gothic Medium" w:hAnsi="Franklin Gothic Medium" w:cs="Courier New"/>
                <w:szCs w:val="20"/>
              </w:rPr>
            </w:pPr>
            <w:r>
              <w:rPr>
                <w:rFonts w:ascii="Franklin Gothic Medium" w:hAnsi="Franklin Gothic Medium"/>
              </w:rPr>
              <w:t>Objective 3</w:t>
            </w:r>
            <w:r w:rsidRPr="00B874EA">
              <w:rPr>
                <w:rFonts w:ascii="Franklin Gothic Medium" w:hAnsi="Franklin Gothic Medium"/>
              </w:rPr>
              <w:t xml:space="preserve"> </w:t>
            </w:r>
            <w:r w:rsidRPr="00872B3E">
              <w:rPr>
                <w:rFonts w:ascii="Franklin Gothic Medium" w:hAnsi="Franklin Gothic Medium"/>
              </w:rPr>
              <w:t>Enhanced humanitarian and disaster response</w:t>
            </w:r>
          </w:p>
        </w:tc>
        <w:tc>
          <w:tcPr>
            <w:tcW w:w="896" w:type="dxa"/>
            <w:shd w:val="clear" w:color="auto" w:fill="auto"/>
            <w:tcMar>
              <w:left w:w="57" w:type="dxa"/>
              <w:right w:w="57" w:type="dxa"/>
            </w:tcMar>
            <w:vAlign w:val="center"/>
          </w:tcPr>
          <w:p w:rsidR="00E1231D" w:rsidRPr="00F7079F" w:rsidRDefault="00E1231D" w:rsidP="00E1231D">
            <w:pPr>
              <w:pStyle w:val="Ratingbullet"/>
              <w:spacing w:before="0" w:after="0"/>
              <w:jc w:val="both"/>
              <w:rPr>
                <w:color w:val="FFC000"/>
              </w:rPr>
            </w:pPr>
            <w:r w:rsidRPr="00F7079F">
              <w:rPr>
                <w:color w:val="FFC000"/>
              </w:rPr>
              <w:fldChar w:fldCharType="begin"/>
            </w:r>
            <w:r w:rsidRPr="00F7079F">
              <w:rPr>
                <w:color w:val="FFC000"/>
              </w:rPr>
              <w:instrText xml:space="preserve"> AUTOTEXTLIST  \s "Rating bullet"\t "Right click to choose a rating" \* MERGEFORMAT </w:instrText>
            </w:r>
            <w:r w:rsidRPr="00F7079F">
              <w:rPr>
                <w:color w:val="FFC000"/>
              </w:rPr>
              <w:fldChar w:fldCharType="separate"/>
            </w:r>
            <w:r w:rsidRPr="00F7079F">
              <w:rPr>
                <w:color w:val="FFC000"/>
              </w:rPr>
              <w:sym w:font="Webdings" w:char="F067"/>
            </w:r>
            <w:r w:rsidRPr="00F7079F">
              <w:rPr>
                <w:color w:val="FFC000"/>
              </w:rPr>
              <w:fldChar w:fldCharType="end"/>
            </w:r>
          </w:p>
        </w:tc>
        <w:tc>
          <w:tcPr>
            <w:tcW w:w="1316" w:type="dxa"/>
            <w:tcMar>
              <w:left w:w="57" w:type="dxa"/>
              <w:right w:w="57" w:type="dxa"/>
            </w:tcMar>
            <w:vAlign w:val="center"/>
          </w:tcPr>
          <w:p w:rsidR="00E1231D" w:rsidRPr="0058729F" w:rsidRDefault="00E1231D" w:rsidP="00E1231D">
            <w:pPr>
              <w:pStyle w:val="TableTextEntries"/>
              <w:spacing w:before="0" w:after="0"/>
              <w:jc w:val="both"/>
            </w:pPr>
            <w:r>
              <w:rPr>
                <w:bCs/>
              </w:rPr>
              <w:fldChar w:fldCharType="begin"/>
            </w:r>
            <w:r>
              <w:rPr>
                <w:bCs/>
              </w:rPr>
              <w:instrText xml:space="preserve"> AUTOTEXTLIST  \s "Table Text Entries"\t "Right click to choose a response" \* MERGEFORMAT </w:instrText>
            </w:r>
            <w:r>
              <w:rPr>
                <w:bCs/>
              </w:rPr>
              <w:fldChar w:fldCharType="separate"/>
            </w:r>
            <w:r w:rsidRPr="00BE6709">
              <w:rPr>
                <w:bCs/>
              </w:rPr>
              <w:t>Not applicable</w:t>
            </w:r>
            <w:r>
              <w:rPr>
                <w:bCs/>
              </w:rPr>
              <w:fldChar w:fldCharType="end"/>
            </w:r>
          </w:p>
        </w:tc>
      </w:tr>
    </w:tbl>
    <w:p w:rsidR="00E1231D" w:rsidRDefault="00E1231D" w:rsidP="00E1231D">
      <w:pPr>
        <w:pStyle w:val="Note"/>
        <w:keepNext/>
        <w:jc w:val="both"/>
      </w:pPr>
      <w:r w:rsidRPr="00D33DDE">
        <w:t xml:space="preserve">Note: </w:t>
      </w:r>
    </w:p>
    <w:p w:rsidR="00E1231D" w:rsidRPr="006D2818" w:rsidRDefault="00E1231D" w:rsidP="00E1231D">
      <w:pPr>
        <w:pStyle w:val="Note"/>
        <w:keepNext/>
        <w:spacing w:before="0"/>
        <w:jc w:val="both"/>
      </w:pPr>
      <w:r w:rsidRPr="00DF1246">
        <w:rPr>
          <w:color w:val="99CC00"/>
          <w:sz w:val="18"/>
          <w:szCs w:val="18"/>
        </w:rPr>
        <w:sym w:font="Webdings" w:char="F067"/>
      </w:r>
      <w:r>
        <w:rPr>
          <w:rFonts w:ascii="Arial Unicode MS" w:eastAsia="Arial Unicode MS" w:hAnsi="Arial Unicode MS" w:cs="Arial Unicode MS"/>
        </w:rPr>
        <w:t> </w:t>
      </w:r>
      <w:r w:rsidRPr="006D2818">
        <w:t>The objective will be fully achieved within the timeframe of the strategy.</w:t>
      </w:r>
    </w:p>
    <w:p w:rsidR="00E1231D" w:rsidRPr="006D2818" w:rsidRDefault="00E1231D" w:rsidP="00E1231D">
      <w:pPr>
        <w:pStyle w:val="Note"/>
        <w:keepNext/>
        <w:spacing w:before="0"/>
        <w:jc w:val="both"/>
      </w:pPr>
      <w:r>
        <w:rPr>
          <w:color w:val="FF9900"/>
          <w:sz w:val="18"/>
          <w:szCs w:val="18"/>
        </w:rPr>
        <w:sym w:font="Webdings" w:char="F067"/>
      </w:r>
      <w:r>
        <w:rPr>
          <w:rFonts w:ascii="Arial Unicode MS" w:eastAsia="Arial Unicode MS" w:hAnsi="Arial Unicode MS" w:cs="Arial Unicode MS"/>
        </w:rPr>
        <w:t> </w:t>
      </w:r>
      <w:r w:rsidRPr="006D2818">
        <w:t>The objective will be partly achieved within the timeframe of the strategy.</w:t>
      </w:r>
    </w:p>
    <w:p w:rsidR="00E1231D" w:rsidRDefault="00E1231D" w:rsidP="00E1231D">
      <w:pPr>
        <w:pStyle w:val="Note"/>
        <w:spacing w:before="0"/>
        <w:jc w:val="both"/>
      </w:pPr>
      <w:r>
        <w:rPr>
          <w:color w:val="FF0000"/>
          <w:sz w:val="18"/>
          <w:szCs w:val="18"/>
        </w:rPr>
        <w:sym w:font="Webdings" w:char="F067"/>
      </w:r>
      <w:r>
        <w:rPr>
          <w:rFonts w:ascii="Arial Unicode MS" w:eastAsia="Arial Unicode MS" w:hAnsi="Arial Unicode MS" w:cs="Arial Unicode MS"/>
        </w:rPr>
        <w:t> </w:t>
      </w:r>
      <w:r w:rsidRPr="006D2818">
        <w:t>The objective is unlikely to be achieved within the timeframe of the strategy.</w:t>
      </w:r>
    </w:p>
    <w:p w:rsidR="00F3566F" w:rsidRDefault="00F3566F" w:rsidP="005447E1">
      <w:pPr>
        <w:pStyle w:val="Heading2"/>
        <w:keepNext/>
        <w:tabs>
          <w:tab w:val="left" w:pos="1920"/>
        </w:tabs>
        <w:spacing w:before="0" w:after="120" w:line="320" w:lineRule="atLeast"/>
        <w:jc w:val="both"/>
      </w:pPr>
    </w:p>
    <w:p w:rsidR="006409FF" w:rsidRPr="00C67023" w:rsidRDefault="00B05049" w:rsidP="00C67023">
      <w:pPr>
        <w:pStyle w:val="Heading2"/>
        <w:keepNext/>
        <w:numPr>
          <w:ilvl w:val="1"/>
          <w:numId w:val="7"/>
        </w:numPr>
        <w:tabs>
          <w:tab w:val="left" w:pos="1920"/>
        </w:tabs>
        <w:spacing w:before="0" w:after="120" w:line="320" w:lineRule="atLeast"/>
        <w:ind w:left="0"/>
        <w:jc w:val="both"/>
        <w:rPr>
          <w:b/>
        </w:rPr>
      </w:pPr>
      <w:r w:rsidRPr="00C67023">
        <w:rPr>
          <w:b/>
        </w:rPr>
        <w:t>Strategic Goal</w:t>
      </w:r>
      <w:r w:rsidR="005C2DAC" w:rsidRPr="00C67023">
        <w:rPr>
          <w:b/>
        </w:rPr>
        <w:t xml:space="preserve"> </w:t>
      </w:r>
      <w:r w:rsidR="00C67023">
        <w:rPr>
          <w:b/>
        </w:rPr>
        <w:t xml:space="preserve">1 </w:t>
      </w:r>
      <w:r w:rsidR="005C2DAC" w:rsidRPr="00C67023">
        <w:rPr>
          <w:b/>
        </w:rPr>
        <w:t xml:space="preserve">– More sustainable economic development </w:t>
      </w:r>
    </w:p>
    <w:p w:rsidR="00977F0B" w:rsidRPr="00CD2C15" w:rsidRDefault="00977F0B" w:rsidP="00C67023">
      <w:pPr>
        <w:pStyle w:val="Heading2"/>
        <w:keepNext/>
        <w:numPr>
          <w:ilvl w:val="1"/>
          <w:numId w:val="7"/>
        </w:numPr>
        <w:tabs>
          <w:tab w:val="left" w:pos="1920"/>
        </w:tabs>
        <w:spacing w:before="0" w:after="120" w:line="320" w:lineRule="atLeast"/>
        <w:ind w:left="0"/>
        <w:jc w:val="both"/>
        <w:rPr>
          <w:i/>
          <w:sz w:val="20"/>
          <w:szCs w:val="20"/>
        </w:rPr>
      </w:pPr>
      <w:r w:rsidRPr="00CD2C15">
        <w:rPr>
          <w:i/>
          <w:sz w:val="20"/>
          <w:szCs w:val="20"/>
        </w:rPr>
        <w:t>Improving food security; Im</w:t>
      </w:r>
      <w:bookmarkStart w:id="0" w:name="_GoBack"/>
      <w:bookmarkEnd w:id="0"/>
      <w:r w:rsidRPr="00CD2C15">
        <w:rPr>
          <w:i/>
          <w:sz w:val="20"/>
          <w:szCs w:val="20"/>
        </w:rPr>
        <w:t>proving Incomes, employment</w:t>
      </w:r>
      <w:r w:rsidR="00527ED3" w:rsidRPr="00CD2C15">
        <w:rPr>
          <w:i/>
          <w:sz w:val="20"/>
          <w:szCs w:val="20"/>
        </w:rPr>
        <w:t xml:space="preserve"> and enterprise opportunities; and r</w:t>
      </w:r>
      <w:r w:rsidRPr="00CD2C15">
        <w:rPr>
          <w:i/>
          <w:sz w:val="20"/>
          <w:szCs w:val="20"/>
        </w:rPr>
        <w:t>educing the negative impacts of climate change and other environmental factors.</w:t>
      </w:r>
    </w:p>
    <w:p w:rsidR="001B6F87" w:rsidRPr="00961238" w:rsidRDefault="001B6F87" w:rsidP="001B6F87">
      <w:pPr>
        <w:pStyle w:val="Heading2"/>
        <w:keepNext/>
        <w:tabs>
          <w:tab w:val="left" w:pos="1920"/>
        </w:tabs>
        <w:spacing w:before="0" w:after="120" w:line="320" w:lineRule="atLeast"/>
        <w:jc w:val="both"/>
        <w:rPr>
          <w:color w:val="auto"/>
          <w:sz w:val="20"/>
          <w:szCs w:val="20"/>
        </w:rPr>
      </w:pPr>
      <w:r w:rsidRPr="00961238">
        <w:rPr>
          <w:color w:val="auto"/>
          <w:sz w:val="20"/>
          <w:szCs w:val="20"/>
        </w:rPr>
        <w:t xml:space="preserve">Rating: </w:t>
      </w:r>
      <w:r w:rsidRPr="00F7079F">
        <w:rPr>
          <w:color w:val="FFC000"/>
        </w:rPr>
        <w:sym w:font="Webdings" w:char="F067"/>
      </w:r>
      <w:r w:rsidRPr="00961238">
        <w:rPr>
          <w:color w:val="auto"/>
          <w:sz w:val="20"/>
          <w:szCs w:val="20"/>
        </w:rPr>
        <w:t> </w:t>
      </w:r>
      <w:r w:rsidR="00705385">
        <w:rPr>
          <w:color w:val="auto"/>
          <w:sz w:val="20"/>
          <w:szCs w:val="20"/>
        </w:rPr>
        <w:t>The objective will be partially</w:t>
      </w:r>
      <w:r w:rsidR="00C31BFE">
        <w:rPr>
          <w:color w:val="auto"/>
          <w:sz w:val="20"/>
          <w:szCs w:val="20"/>
        </w:rPr>
        <w:t xml:space="preserve"> </w:t>
      </w:r>
      <w:r w:rsidRPr="00961238">
        <w:rPr>
          <w:color w:val="auto"/>
          <w:sz w:val="20"/>
          <w:szCs w:val="20"/>
        </w:rPr>
        <w:t>achieved within the timeframe of the strategy.</w:t>
      </w:r>
    </w:p>
    <w:p w:rsidR="00E55D6F" w:rsidRPr="00BA3F06" w:rsidRDefault="00C2722E" w:rsidP="00BA3F06">
      <w:pPr>
        <w:pStyle w:val="BodyText"/>
        <w:jc w:val="both"/>
        <w:rPr>
          <w:color w:val="0070C0"/>
        </w:rPr>
      </w:pPr>
      <w:r w:rsidRPr="00BA3F06">
        <w:rPr>
          <w:color w:val="0070C0"/>
        </w:rPr>
        <w:t xml:space="preserve">In 2011 the Latin America program </w:t>
      </w:r>
      <w:r w:rsidR="008B486E" w:rsidRPr="00BA3F06">
        <w:rPr>
          <w:color w:val="0070C0"/>
        </w:rPr>
        <w:t>implemented</w:t>
      </w:r>
      <w:r w:rsidRPr="00BA3F06">
        <w:rPr>
          <w:color w:val="0070C0"/>
        </w:rPr>
        <w:t xml:space="preserve"> init</w:t>
      </w:r>
      <w:r w:rsidR="00705385">
        <w:rPr>
          <w:color w:val="0070C0"/>
        </w:rPr>
        <w:t>iatives to improve</w:t>
      </w:r>
      <w:r w:rsidRPr="00BA3F06">
        <w:rPr>
          <w:color w:val="0070C0"/>
        </w:rPr>
        <w:t xml:space="preserve"> food security</w:t>
      </w:r>
      <w:r w:rsidR="00CD2C15">
        <w:rPr>
          <w:color w:val="0070C0"/>
        </w:rPr>
        <w:t xml:space="preserve">; </w:t>
      </w:r>
      <w:r w:rsidR="00CD2C15" w:rsidRPr="00BA3F06">
        <w:rPr>
          <w:color w:val="0070C0"/>
        </w:rPr>
        <w:t>and</w:t>
      </w:r>
      <w:r w:rsidR="00705385" w:rsidRPr="00BA3F06">
        <w:rPr>
          <w:color w:val="0070C0"/>
        </w:rPr>
        <w:t xml:space="preserve"> </w:t>
      </w:r>
      <w:r w:rsidR="00CD2C15">
        <w:rPr>
          <w:color w:val="0070C0"/>
        </w:rPr>
        <w:t xml:space="preserve">financial inclusion to </w:t>
      </w:r>
      <w:r w:rsidR="00705385">
        <w:rPr>
          <w:color w:val="0070C0"/>
        </w:rPr>
        <w:t xml:space="preserve">improve incomes and </w:t>
      </w:r>
      <w:r w:rsidRPr="00BA3F06">
        <w:rPr>
          <w:color w:val="0070C0"/>
        </w:rPr>
        <w:t>enterprise development</w:t>
      </w:r>
      <w:r w:rsidR="00546364" w:rsidRPr="00BA3F06">
        <w:rPr>
          <w:color w:val="0070C0"/>
        </w:rPr>
        <w:t>.</w:t>
      </w:r>
      <w:r w:rsidR="004A3D2A" w:rsidRPr="00BA3F06">
        <w:rPr>
          <w:rStyle w:val="FootnoteReference"/>
          <w:color w:val="0070C0"/>
        </w:rPr>
        <w:footnoteReference w:id="11"/>
      </w:r>
      <w:r w:rsidR="004A3D2A" w:rsidRPr="00BA3F06">
        <w:rPr>
          <w:color w:val="0070C0"/>
        </w:rPr>
        <w:t xml:space="preserve"> </w:t>
      </w:r>
    </w:p>
    <w:p w:rsidR="007742EF" w:rsidRPr="00BA3F06" w:rsidRDefault="00F26A01" w:rsidP="00BA3F06">
      <w:pPr>
        <w:pStyle w:val="BodyText"/>
        <w:jc w:val="both"/>
        <w:rPr>
          <w:color w:val="0070C0"/>
        </w:rPr>
      </w:pPr>
      <w:r w:rsidRPr="00BA3F06">
        <w:rPr>
          <w:b/>
          <w:color w:val="0070C0"/>
        </w:rPr>
        <w:t>The</w:t>
      </w:r>
      <w:r w:rsidR="008B486E" w:rsidRPr="00BA3F06">
        <w:rPr>
          <w:b/>
          <w:color w:val="0070C0"/>
        </w:rPr>
        <w:t xml:space="preserve"> </w:t>
      </w:r>
      <w:r w:rsidR="00C2722E" w:rsidRPr="00BA3F06">
        <w:rPr>
          <w:b/>
          <w:color w:val="0070C0"/>
        </w:rPr>
        <w:t>AusAID/</w:t>
      </w:r>
      <w:r w:rsidR="0031478E" w:rsidRPr="00BA3F06">
        <w:rPr>
          <w:b/>
          <w:color w:val="0070C0"/>
        </w:rPr>
        <w:t xml:space="preserve">IDB </w:t>
      </w:r>
      <w:r w:rsidR="00C2722E" w:rsidRPr="00BA3F06">
        <w:rPr>
          <w:b/>
          <w:color w:val="0070C0"/>
        </w:rPr>
        <w:t>Partnersh</w:t>
      </w:r>
      <w:r w:rsidR="008B486E" w:rsidRPr="00BA3F06">
        <w:rPr>
          <w:b/>
          <w:color w:val="0070C0"/>
        </w:rPr>
        <w:t>ip T</w:t>
      </w:r>
      <w:r w:rsidR="00C2722E" w:rsidRPr="00BA3F06">
        <w:rPr>
          <w:b/>
          <w:color w:val="0070C0"/>
        </w:rPr>
        <w:t>r</w:t>
      </w:r>
      <w:r w:rsidR="008B486E" w:rsidRPr="00BA3F06">
        <w:rPr>
          <w:b/>
          <w:color w:val="0070C0"/>
        </w:rPr>
        <w:t xml:space="preserve">ust Fund for Poverty Reduction in </w:t>
      </w:r>
      <w:r w:rsidR="007742EF" w:rsidRPr="00BA3F06">
        <w:rPr>
          <w:b/>
          <w:color w:val="0070C0"/>
        </w:rPr>
        <w:t>Latin</w:t>
      </w:r>
      <w:r w:rsidR="008B486E" w:rsidRPr="00BA3F06">
        <w:rPr>
          <w:b/>
          <w:color w:val="0070C0"/>
        </w:rPr>
        <w:t xml:space="preserve"> America</w:t>
      </w:r>
      <w:r w:rsidR="007742EF" w:rsidRPr="00BA3F06">
        <w:rPr>
          <w:color w:val="0070C0"/>
        </w:rPr>
        <w:t xml:space="preserve"> </w:t>
      </w:r>
      <w:r w:rsidR="008B486E" w:rsidRPr="00BA3F06">
        <w:rPr>
          <w:color w:val="0070C0"/>
        </w:rPr>
        <w:t>was signed and commenced in June 2011</w:t>
      </w:r>
      <w:r w:rsidR="007742EF" w:rsidRPr="00BA3F06">
        <w:rPr>
          <w:color w:val="0070C0"/>
        </w:rPr>
        <w:t xml:space="preserve"> with a commitment of $10 million over four years</w:t>
      </w:r>
      <w:r w:rsidR="00705385">
        <w:rPr>
          <w:color w:val="0070C0"/>
        </w:rPr>
        <w:t>, matched dollar for dollar by the IDB.</w:t>
      </w:r>
      <w:r w:rsidR="00B818CF">
        <w:rPr>
          <w:color w:val="0070C0"/>
        </w:rPr>
        <w:t xml:space="preserve"> </w:t>
      </w:r>
      <w:r w:rsidR="007742EF" w:rsidRPr="00BA3F06">
        <w:rPr>
          <w:color w:val="0070C0"/>
        </w:rPr>
        <w:t>The Trust Fund</w:t>
      </w:r>
      <w:r w:rsidRPr="00BA3F06">
        <w:rPr>
          <w:color w:val="0070C0"/>
        </w:rPr>
        <w:t xml:space="preserve"> </w:t>
      </w:r>
      <w:r w:rsidR="00AB4CC8" w:rsidRPr="00BA3F06">
        <w:rPr>
          <w:color w:val="0070C0"/>
        </w:rPr>
        <w:t xml:space="preserve">enables the </w:t>
      </w:r>
      <w:r w:rsidR="007742EF" w:rsidRPr="00BA3F06">
        <w:rPr>
          <w:color w:val="0070C0"/>
        </w:rPr>
        <w:t xml:space="preserve">joint </w:t>
      </w:r>
      <w:r w:rsidR="00AB4CC8" w:rsidRPr="00BA3F06">
        <w:rPr>
          <w:color w:val="0070C0"/>
        </w:rPr>
        <w:t xml:space="preserve">financing of multiple </w:t>
      </w:r>
      <w:r w:rsidR="007A120B" w:rsidRPr="00BA3F06">
        <w:rPr>
          <w:color w:val="0070C0"/>
        </w:rPr>
        <w:t xml:space="preserve">development </w:t>
      </w:r>
      <w:r w:rsidR="00AB4CC8" w:rsidRPr="00BA3F06">
        <w:rPr>
          <w:color w:val="0070C0"/>
        </w:rPr>
        <w:t>activities in the region with a single, st</w:t>
      </w:r>
      <w:r w:rsidR="007A120B" w:rsidRPr="00BA3F06">
        <w:rPr>
          <w:color w:val="0070C0"/>
        </w:rPr>
        <w:t>reamlined managem</w:t>
      </w:r>
      <w:r w:rsidR="00C2722E" w:rsidRPr="00BA3F06">
        <w:rPr>
          <w:color w:val="0070C0"/>
        </w:rPr>
        <w:t>ent mechanism</w:t>
      </w:r>
      <w:r w:rsidR="007742EF" w:rsidRPr="00BA3F06">
        <w:rPr>
          <w:color w:val="0070C0"/>
        </w:rPr>
        <w:t xml:space="preserve"> managed by the IDB through its network of offices across Latin America</w:t>
      </w:r>
      <w:r w:rsidR="00AB4CC8" w:rsidRPr="00BA3F06">
        <w:rPr>
          <w:color w:val="0070C0"/>
        </w:rPr>
        <w:t>.</w:t>
      </w:r>
      <w:r w:rsidR="008B486E" w:rsidRPr="00BA3F06">
        <w:rPr>
          <w:color w:val="0070C0"/>
        </w:rPr>
        <w:t xml:space="preserve"> To date, f</w:t>
      </w:r>
      <w:r w:rsidR="00ED2003" w:rsidRPr="00BA3F06">
        <w:rPr>
          <w:color w:val="0070C0"/>
        </w:rPr>
        <w:t xml:space="preserve">ive projects </w:t>
      </w:r>
      <w:r w:rsidR="00C87066" w:rsidRPr="00BA3F06">
        <w:rPr>
          <w:color w:val="0070C0"/>
        </w:rPr>
        <w:t xml:space="preserve">have </w:t>
      </w:r>
      <w:r w:rsidR="00ED2003" w:rsidRPr="00BA3F06">
        <w:rPr>
          <w:color w:val="0070C0"/>
        </w:rPr>
        <w:t>be</w:t>
      </w:r>
      <w:r w:rsidR="00C87066" w:rsidRPr="00BA3F06">
        <w:rPr>
          <w:color w:val="0070C0"/>
        </w:rPr>
        <w:t>en</w:t>
      </w:r>
      <w:r w:rsidR="00ED2003" w:rsidRPr="00BA3F06">
        <w:rPr>
          <w:color w:val="0070C0"/>
        </w:rPr>
        <w:t xml:space="preserve"> approved </w:t>
      </w:r>
      <w:r w:rsidR="008B486E" w:rsidRPr="00BA3F06">
        <w:rPr>
          <w:color w:val="0070C0"/>
        </w:rPr>
        <w:t>for implementation in:</w:t>
      </w:r>
      <w:r w:rsidR="00ED2003" w:rsidRPr="00BA3F06">
        <w:rPr>
          <w:color w:val="0070C0"/>
        </w:rPr>
        <w:t xml:space="preserve"> Colombia (2), El Salvador</w:t>
      </w:r>
      <w:r w:rsidR="008B486E" w:rsidRPr="00BA3F06">
        <w:rPr>
          <w:color w:val="0070C0"/>
        </w:rPr>
        <w:t xml:space="preserve"> (1), Nicaragua</w:t>
      </w:r>
      <w:r w:rsidR="007742EF" w:rsidRPr="00BA3F06">
        <w:rPr>
          <w:color w:val="0070C0"/>
        </w:rPr>
        <w:t xml:space="preserve"> </w:t>
      </w:r>
      <w:r w:rsidR="008B486E" w:rsidRPr="00BA3F06">
        <w:rPr>
          <w:color w:val="0070C0"/>
        </w:rPr>
        <w:t xml:space="preserve">(1) </w:t>
      </w:r>
      <w:r w:rsidR="00126B7A" w:rsidRPr="00BA3F06">
        <w:rPr>
          <w:color w:val="0070C0"/>
        </w:rPr>
        <w:t>and</w:t>
      </w:r>
      <w:r w:rsidR="00C87066" w:rsidRPr="00BA3F06">
        <w:rPr>
          <w:color w:val="0070C0"/>
        </w:rPr>
        <w:t xml:space="preserve"> Paraguay</w:t>
      </w:r>
      <w:r w:rsidR="008B486E" w:rsidRPr="00BA3F06">
        <w:rPr>
          <w:color w:val="0070C0"/>
        </w:rPr>
        <w:t xml:space="preserve"> (1)</w:t>
      </w:r>
      <w:r w:rsidR="00C87066" w:rsidRPr="00BA3F06">
        <w:rPr>
          <w:color w:val="0070C0"/>
        </w:rPr>
        <w:t xml:space="preserve">. </w:t>
      </w:r>
      <w:r w:rsidR="00ED2003" w:rsidRPr="00BA3F06">
        <w:rPr>
          <w:color w:val="0070C0"/>
        </w:rPr>
        <w:t xml:space="preserve">A further five financial inclusion projects and four large-scale proposals in agriculture, youth employment, mining and climate change are being considered. </w:t>
      </w:r>
    </w:p>
    <w:p w:rsidR="00310CED" w:rsidRPr="00BA3F06" w:rsidRDefault="008B486E" w:rsidP="00BA3F06">
      <w:pPr>
        <w:pStyle w:val="BodyText"/>
        <w:jc w:val="both"/>
        <w:rPr>
          <w:color w:val="0070C0"/>
        </w:rPr>
      </w:pPr>
      <w:r w:rsidRPr="00BA3F06">
        <w:rPr>
          <w:color w:val="0070C0"/>
        </w:rPr>
        <w:t>AusAID funding is matched dollar for dollar by the IDB and p</w:t>
      </w:r>
      <w:r w:rsidR="00C87066" w:rsidRPr="00BA3F06">
        <w:rPr>
          <w:color w:val="0070C0"/>
        </w:rPr>
        <w:t xml:space="preserve">rojects </w:t>
      </w:r>
      <w:r w:rsidR="00ED2003" w:rsidRPr="00BA3F06">
        <w:rPr>
          <w:color w:val="0070C0"/>
        </w:rPr>
        <w:t>require local counterpart funding</w:t>
      </w:r>
      <w:r w:rsidR="007742EF" w:rsidRPr="00BA3F06">
        <w:rPr>
          <w:color w:val="0070C0"/>
        </w:rPr>
        <w:t xml:space="preserve"> or contributions</w:t>
      </w:r>
      <w:r w:rsidR="00ED2003" w:rsidRPr="00BA3F06">
        <w:rPr>
          <w:color w:val="0070C0"/>
        </w:rPr>
        <w:t xml:space="preserve">. </w:t>
      </w:r>
      <w:r w:rsidR="007742EF" w:rsidRPr="00BA3F06">
        <w:rPr>
          <w:color w:val="0070C0"/>
        </w:rPr>
        <w:t>Local implementing partners are engaged</w:t>
      </w:r>
      <w:r w:rsidR="00ED2003" w:rsidRPr="00BA3F06">
        <w:rPr>
          <w:color w:val="0070C0"/>
        </w:rPr>
        <w:t xml:space="preserve"> to ensure good knowledge of the local operating environment, culture and systems</w:t>
      </w:r>
      <w:r w:rsidR="007742EF" w:rsidRPr="00BA3F06">
        <w:rPr>
          <w:color w:val="0070C0"/>
        </w:rPr>
        <w:t xml:space="preserve"> and build local capacity</w:t>
      </w:r>
      <w:r w:rsidR="00B05049" w:rsidRPr="00BA3F06">
        <w:rPr>
          <w:color w:val="0070C0"/>
        </w:rPr>
        <w:t>.</w:t>
      </w:r>
      <w:r w:rsidR="00190901" w:rsidRPr="00BA3F06">
        <w:rPr>
          <w:color w:val="0070C0"/>
        </w:rPr>
        <w:t xml:space="preserve"> </w:t>
      </w:r>
      <w:r w:rsidRPr="00BA3F06">
        <w:rPr>
          <w:color w:val="0070C0"/>
        </w:rPr>
        <w:t>T</w:t>
      </w:r>
      <w:r w:rsidR="009B0D53" w:rsidRPr="00BA3F06">
        <w:rPr>
          <w:color w:val="0070C0"/>
        </w:rPr>
        <w:t xml:space="preserve">he trust fund focuses on marginalised populations of which women are explicitly identified as a target group. </w:t>
      </w:r>
    </w:p>
    <w:p w:rsidR="006850A3" w:rsidRPr="000E0D16" w:rsidRDefault="008B486E" w:rsidP="000E0D16">
      <w:pPr>
        <w:pStyle w:val="BodyText"/>
        <w:jc w:val="both"/>
        <w:rPr>
          <w:color w:val="0070C0"/>
        </w:rPr>
      </w:pPr>
      <w:r w:rsidRPr="00BA3F06">
        <w:rPr>
          <w:color w:val="0070C0"/>
        </w:rPr>
        <w:lastRenderedPageBreak/>
        <w:t xml:space="preserve">Monitoring and evaluation systems are in place for all </w:t>
      </w:r>
      <w:r w:rsidR="007742EF" w:rsidRPr="00BA3F06">
        <w:rPr>
          <w:color w:val="0070C0"/>
        </w:rPr>
        <w:t>projects.</w:t>
      </w:r>
      <w:r w:rsidR="000E0D16">
        <w:rPr>
          <w:color w:val="0070C0"/>
        </w:rPr>
        <w:t xml:space="preserve"> </w:t>
      </w:r>
      <w:r w:rsidR="000E0D16" w:rsidRPr="000E0D16">
        <w:rPr>
          <w:color w:val="0070C0"/>
        </w:rPr>
        <w:t xml:space="preserve">A Quality </w:t>
      </w:r>
      <w:r w:rsidR="00DB3DCC" w:rsidRPr="000E0D16">
        <w:rPr>
          <w:color w:val="0070C0"/>
        </w:rPr>
        <w:t>at</w:t>
      </w:r>
      <w:r w:rsidR="000E0D16" w:rsidRPr="000E0D16">
        <w:rPr>
          <w:color w:val="0070C0"/>
        </w:rPr>
        <w:t xml:space="preserve"> Implementation (QAI) report </w:t>
      </w:r>
      <w:r w:rsidR="00705385">
        <w:rPr>
          <w:color w:val="0070C0"/>
        </w:rPr>
        <w:t>undertaken in April 2012</w:t>
      </w:r>
      <w:r w:rsidR="000E0D16" w:rsidRPr="000E0D16">
        <w:rPr>
          <w:color w:val="0070C0"/>
        </w:rPr>
        <w:t xml:space="preserve"> </w:t>
      </w:r>
      <w:r w:rsidR="000E0D16">
        <w:rPr>
          <w:color w:val="0070C0"/>
        </w:rPr>
        <w:t xml:space="preserve">showed that </w:t>
      </w:r>
      <w:r w:rsidR="00DB3DCC">
        <w:rPr>
          <w:color w:val="0070C0"/>
        </w:rPr>
        <w:t>the projects sourced by the IDB are appropriate but that the timeframes within which projects are identified, designed and implemented could be improved and could be increased in scale. T</w:t>
      </w:r>
      <w:r w:rsidR="000E0D16">
        <w:rPr>
          <w:color w:val="0070C0"/>
        </w:rPr>
        <w:t xml:space="preserve">he </w:t>
      </w:r>
      <w:r w:rsidR="00DB3DCC">
        <w:rPr>
          <w:color w:val="0070C0"/>
        </w:rPr>
        <w:t>operations of the Trust Fund are</w:t>
      </w:r>
      <w:r w:rsidR="000E0D16" w:rsidRPr="000E0D16">
        <w:rPr>
          <w:color w:val="0070C0"/>
        </w:rPr>
        <w:t xml:space="preserve"> progressing well </w:t>
      </w:r>
      <w:r w:rsidR="00DB3DCC">
        <w:rPr>
          <w:color w:val="0070C0"/>
        </w:rPr>
        <w:t>and the partnership between AusAID and the IDB/MIF is well established</w:t>
      </w:r>
      <w:r w:rsidR="00CD2C15">
        <w:rPr>
          <w:color w:val="0070C0"/>
        </w:rPr>
        <w:t>.</w:t>
      </w:r>
      <w:r w:rsidR="00705385">
        <w:rPr>
          <w:color w:val="0070C0"/>
        </w:rPr>
        <w:t xml:space="preserve"> A </w:t>
      </w:r>
      <w:r w:rsidR="00705385" w:rsidRPr="00BA3F06">
        <w:rPr>
          <w:color w:val="0070C0"/>
        </w:rPr>
        <w:t xml:space="preserve">Mid-Term Review (MTR) </w:t>
      </w:r>
      <w:r w:rsidR="00DB3DCC">
        <w:rPr>
          <w:color w:val="0070C0"/>
        </w:rPr>
        <w:t>to</w:t>
      </w:r>
      <w:r w:rsidR="00705385" w:rsidRPr="00BA3F06">
        <w:rPr>
          <w:color w:val="0070C0"/>
        </w:rPr>
        <w:t xml:space="preserve"> be undertaken in </w:t>
      </w:r>
      <w:r w:rsidR="002637F9">
        <w:rPr>
          <w:color w:val="0070C0"/>
        </w:rPr>
        <w:t>20</w:t>
      </w:r>
      <w:r w:rsidR="00705385" w:rsidRPr="00BA3F06">
        <w:rPr>
          <w:color w:val="0070C0"/>
        </w:rPr>
        <w:t xml:space="preserve">13 </w:t>
      </w:r>
      <w:r w:rsidR="00DB3DCC">
        <w:rPr>
          <w:color w:val="0070C0"/>
        </w:rPr>
        <w:t>will</w:t>
      </w:r>
      <w:r w:rsidR="00705385">
        <w:rPr>
          <w:color w:val="0070C0"/>
        </w:rPr>
        <w:t xml:space="preserve"> assess this </w:t>
      </w:r>
      <w:r w:rsidR="002637F9">
        <w:rPr>
          <w:color w:val="0070C0"/>
        </w:rPr>
        <w:t xml:space="preserve">partnership </w:t>
      </w:r>
      <w:r w:rsidR="00705385">
        <w:rPr>
          <w:color w:val="0070C0"/>
        </w:rPr>
        <w:t xml:space="preserve">more fully and guide improvements. </w:t>
      </w:r>
    </w:p>
    <w:p w:rsidR="008B486E" w:rsidRPr="00BA3F06" w:rsidRDefault="00B05049" w:rsidP="00BA3F06">
      <w:pPr>
        <w:pStyle w:val="BodyText"/>
        <w:jc w:val="both"/>
        <w:rPr>
          <w:color w:val="0070C0"/>
        </w:rPr>
      </w:pPr>
      <w:r w:rsidRPr="00BA3F06">
        <w:rPr>
          <w:b/>
          <w:color w:val="0070C0"/>
        </w:rPr>
        <w:t>SALTA</w:t>
      </w:r>
      <w:r w:rsidR="008B486E" w:rsidRPr="00BA3F06">
        <w:rPr>
          <w:color w:val="0070C0"/>
        </w:rPr>
        <w:t xml:space="preserve">: </w:t>
      </w:r>
      <w:r w:rsidR="00977F0B" w:rsidRPr="00BA3F06">
        <w:rPr>
          <w:color w:val="0070C0"/>
        </w:rPr>
        <w:t xml:space="preserve">AusAID is also contributing $2 million toward the IDB’s SALTA project that provides financial literacy training and business development skills to poor women in rural and urban areas of Peru. </w:t>
      </w:r>
    </w:p>
    <w:p w:rsidR="007742EF" w:rsidRPr="00BA3F06" w:rsidRDefault="00977F0B" w:rsidP="00BA3F06">
      <w:pPr>
        <w:pStyle w:val="BodyText"/>
        <w:jc w:val="both"/>
        <w:rPr>
          <w:color w:val="0070C0"/>
        </w:rPr>
      </w:pPr>
      <w:r w:rsidRPr="00BA3F06">
        <w:rPr>
          <w:color w:val="0070C0"/>
        </w:rPr>
        <w:t xml:space="preserve">At the end of 2011, over 46,000 women had received basic training at 226 events, which is 6 per cent above the target. Around 50% of these beneficiaries are located in rural areas, which is a significant increase on the 20% originally envisaged. The project is partnering with 13 microfinance organisations in Peru, which is a significant increase of the target of 5 microfinance institutions originally planned. </w:t>
      </w:r>
    </w:p>
    <w:p w:rsidR="00977F0B" w:rsidRPr="00BA3F06" w:rsidRDefault="007D0FA2" w:rsidP="00BA3F06">
      <w:pPr>
        <w:pStyle w:val="BodyText"/>
        <w:jc w:val="both"/>
        <w:rPr>
          <w:color w:val="0070C0"/>
        </w:rPr>
      </w:pPr>
      <w:r>
        <w:rPr>
          <w:color w:val="0070C0"/>
        </w:rPr>
        <w:t>This project is demonstrating</w:t>
      </w:r>
      <w:r w:rsidR="00705385">
        <w:rPr>
          <w:color w:val="0070C0"/>
        </w:rPr>
        <w:t xml:space="preserve"> early results.</w:t>
      </w:r>
      <w:r w:rsidR="00B818CF">
        <w:rPr>
          <w:color w:val="0070C0"/>
        </w:rPr>
        <w:t xml:space="preserve"> </w:t>
      </w:r>
      <w:r w:rsidR="00977F0B" w:rsidRPr="00BA3F06">
        <w:rPr>
          <w:color w:val="0070C0"/>
        </w:rPr>
        <w:t xml:space="preserve">For example, 80% of the women did not initially separate business expenses from household expenses, but started to do so after the intervention. In addition, 75% of the women did not register their income and expenses, but started doing so after the intervention. AusAID is in consultation with </w:t>
      </w:r>
      <w:r>
        <w:rPr>
          <w:color w:val="0070C0"/>
        </w:rPr>
        <w:t>project partners</w:t>
      </w:r>
      <w:r w:rsidR="00977F0B" w:rsidRPr="00BA3F06">
        <w:rPr>
          <w:color w:val="0070C0"/>
        </w:rPr>
        <w:t xml:space="preserve"> to consider how to scale-up the results of the project in a potential second phase.</w:t>
      </w:r>
    </w:p>
    <w:p w:rsidR="00977F0B" w:rsidRPr="00BA3F06" w:rsidRDefault="00B05049" w:rsidP="00BA3F06">
      <w:pPr>
        <w:pStyle w:val="BodyText"/>
        <w:jc w:val="both"/>
        <w:rPr>
          <w:color w:val="0070C0"/>
        </w:rPr>
      </w:pPr>
      <w:r w:rsidRPr="00BA3F06">
        <w:rPr>
          <w:b/>
          <w:color w:val="0070C0"/>
        </w:rPr>
        <w:t>Nicaragua School Feeding Program</w:t>
      </w:r>
      <w:r w:rsidRPr="00BA3F06">
        <w:rPr>
          <w:color w:val="0070C0"/>
        </w:rPr>
        <w:t>: Australia is contributing $2 million to a school feeding program in Nicaragua, implemented by WFP in partnership with the government. These funds purchased 490 metric tonnes of Corn Soya Blend (CSB) with sugar; 616 metric tonnes of yellow split peas; 250 metric tonnes of sugar; 724 metric tonnes of white maize; 900 mt of rice; and 750 mt of beans to assist 22,645 school children over a 2 year period. The school feeding program has been linked with increased access to education, gender equality, and benefits in terms of health, nutrition and income transfers to families. Through the WFP's "Purchase for Progress" initiative the food used in the school feeding programs is purchased from local smallholders, thereby providing an additional stimulus to the national economy and avoiding any distortions to the market. In Nicaragua, 2200 farmers are participating in the WFP's P4P.</w:t>
      </w:r>
    </w:p>
    <w:p w:rsidR="00A72572" w:rsidRDefault="00A72572" w:rsidP="006850A3">
      <w:pPr>
        <w:pStyle w:val="Heading2"/>
        <w:keepNext/>
        <w:numPr>
          <w:ilvl w:val="1"/>
          <w:numId w:val="7"/>
        </w:numPr>
        <w:tabs>
          <w:tab w:val="left" w:pos="1920"/>
        </w:tabs>
        <w:spacing w:before="0" w:after="120" w:line="320" w:lineRule="atLeast"/>
        <w:ind w:left="0"/>
        <w:jc w:val="both"/>
        <w:rPr>
          <w:b/>
        </w:rPr>
      </w:pPr>
    </w:p>
    <w:p w:rsidR="00C67023" w:rsidRPr="00C67023" w:rsidRDefault="00EA72B2" w:rsidP="006850A3">
      <w:pPr>
        <w:pStyle w:val="Heading2"/>
        <w:keepNext/>
        <w:numPr>
          <w:ilvl w:val="1"/>
          <w:numId w:val="7"/>
        </w:numPr>
        <w:tabs>
          <w:tab w:val="left" w:pos="1920"/>
        </w:tabs>
        <w:spacing w:before="0" w:after="120" w:line="320" w:lineRule="atLeast"/>
        <w:ind w:left="0"/>
        <w:jc w:val="both"/>
        <w:rPr>
          <w:b/>
        </w:rPr>
      </w:pPr>
      <w:r w:rsidRPr="00C67023">
        <w:rPr>
          <w:b/>
        </w:rPr>
        <w:t>Strategic Goal</w:t>
      </w:r>
      <w:r w:rsidR="00C67023">
        <w:rPr>
          <w:b/>
        </w:rPr>
        <w:t xml:space="preserve"> 2 </w:t>
      </w:r>
      <w:r w:rsidR="005C2DAC" w:rsidRPr="00C67023">
        <w:rPr>
          <w:b/>
        </w:rPr>
        <w:t>– Im</w:t>
      </w:r>
      <w:r w:rsidR="00C67023">
        <w:rPr>
          <w:b/>
        </w:rPr>
        <w:t>proved governance in the region</w:t>
      </w:r>
    </w:p>
    <w:p w:rsidR="006850A3" w:rsidRPr="00CD2C15" w:rsidRDefault="006850A3" w:rsidP="006850A3">
      <w:pPr>
        <w:pStyle w:val="Heading2"/>
        <w:keepNext/>
        <w:numPr>
          <w:ilvl w:val="1"/>
          <w:numId w:val="7"/>
        </w:numPr>
        <w:tabs>
          <w:tab w:val="left" w:pos="1920"/>
        </w:tabs>
        <w:spacing w:before="0" w:after="120" w:line="320" w:lineRule="atLeast"/>
        <w:ind w:left="0"/>
        <w:jc w:val="both"/>
        <w:rPr>
          <w:i/>
          <w:sz w:val="20"/>
          <w:szCs w:val="20"/>
        </w:rPr>
      </w:pPr>
      <w:r w:rsidRPr="00CD2C15">
        <w:rPr>
          <w:i/>
          <w:sz w:val="20"/>
          <w:szCs w:val="20"/>
        </w:rPr>
        <w:t>Improving governance to deliver better services, improve security, and enhance justice and human rights.</w:t>
      </w:r>
    </w:p>
    <w:p w:rsidR="001B6F87" w:rsidRPr="00961238" w:rsidRDefault="001B6F87" w:rsidP="001B6F87">
      <w:pPr>
        <w:pStyle w:val="Heading2"/>
        <w:keepNext/>
        <w:tabs>
          <w:tab w:val="left" w:pos="1920"/>
        </w:tabs>
        <w:spacing w:before="0" w:after="120" w:line="320" w:lineRule="atLeast"/>
        <w:jc w:val="both"/>
        <w:rPr>
          <w:color w:val="auto"/>
          <w:sz w:val="20"/>
          <w:szCs w:val="20"/>
        </w:rPr>
      </w:pPr>
      <w:r w:rsidRPr="00961238">
        <w:rPr>
          <w:color w:val="auto"/>
          <w:sz w:val="20"/>
          <w:szCs w:val="20"/>
        </w:rPr>
        <w:t xml:space="preserve">Rating: </w:t>
      </w:r>
      <w:r w:rsidRPr="00A21FB6">
        <w:rPr>
          <w:color w:val="FFC000"/>
        </w:rPr>
        <w:sym w:font="Webdings" w:char="F067"/>
      </w:r>
      <w:r w:rsidRPr="00961238">
        <w:rPr>
          <w:color w:val="auto"/>
          <w:sz w:val="20"/>
          <w:szCs w:val="20"/>
        </w:rPr>
        <w:t> </w:t>
      </w:r>
      <w:r w:rsidR="009706AA" w:rsidRPr="009706AA">
        <w:rPr>
          <w:color w:val="auto"/>
          <w:sz w:val="20"/>
          <w:szCs w:val="20"/>
        </w:rPr>
        <w:t xml:space="preserve"> </w:t>
      </w:r>
      <w:r w:rsidR="009706AA">
        <w:rPr>
          <w:color w:val="auto"/>
          <w:sz w:val="20"/>
          <w:szCs w:val="20"/>
        </w:rPr>
        <w:t xml:space="preserve">The objective will be partially </w:t>
      </w:r>
      <w:r w:rsidR="009706AA" w:rsidRPr="00961238">
        <w:rPr>
          <w:color w:val="auto"/>
          <w:sz w:val="20"/>
          <w:szCs w:val="20"/>
        </w:rPr>
        <w:t>achieved within the timeframe of the strategy.</w:t>
      </w:r>
    </w:p>
    <w:p w:rsidR="00A21FB6" w:rsidRPr="00BA3F06" w:rsidRDefault="001B7287" w:rsidP="00A21FB6">
      <w:pPr>
        <w:pStyle w:val="BodyText"/>
        <w:jc w:val="both"/>
        <w:rPr>
          <w:color w:val="0070C0"/>
        </w:rPr>
      </w:pPr>
      <w:r w:rsidRPr="00BA3F06">
        <w:rPr>
          <w:color w:val="0070C0"/>
        </w:rPr>
        <w:t xml:space="preserve">AusAID </w:t>
      </w:r>
      <w:r w:rsidR="007742EF" w:rsidRPr="00BA3F06">
        <w:rPr>
          <w:color w:val="0070C0"/>
        </w:rPr>
        <w:t xml:space="preserve">supports </w:t>
      </w:r>
      <w:r w:rsidR="00510410" w:rsidRPr="00BA3F06">
        <w:rPr>
          <w:color w:val="0070C0"/>
        </w:rPr>
        <w:t>improved</w:t>
      </w:r>
      <w:r w:rsidRPr="00BA3F06">
        <w:rPr>
          <w:color w:val="0070C0"/>
        </w:rPr>
        <w:t xml:space="preserve"> governance</w:t>
      </w:r>
      <w:r w:rsidR="000F7C3E">
        <w:rPr>
          <w:color w:val="0070C0"/>
        </w:rPr>
        <w:t xml:space="preserve"> by building professional skills and knowledge</w:t>
      </w:r>
      <w:r w:rsidRPr="00BA3F06">
        <w:rPr>
          <w:color w:val="0070C0"/>
        </w:rPr>
        <w:t xml:space="preserve"> in Latin America</w:t>
      </w:r>
      <w:r w:rsidR="000F7C3E">
        <w:rPr>
          <w:color w:val="0070C0"/>
        </w:rPr>
        <w:t>.</w:t>
      </w:r>
      <w:r w:rsidR="00B818CF">
        <w:rPr>
          <w:color w:val="0070C0"/>
        </w:rPr>
        <w:t xml:space="preserve"> </w:t>
      </w:r>
      <w:r w:rsidR="000F7C3E">
        <w:rPr>
          <w:color w:val="0070C0"/>
        </w:rPr>
        <w:t>This is achieved</w:t>
      </w:r>
      <w:r w:rsidRPr="00BA3F06">
        <w:rPr>
          <w:color w:val="0070C0"/>
        </w:rPr>
        <w:t xml:space="preserve"> </w:t>
      </w:r>
      <w:r w:rsidR="00EA72B2" w:rsidRPr="00BA3F06">
        <w:rPr>
          <w:color w:val="0070C0"/>
        </w:rPr>
        <w:t xml:space="preserve">primarily </w:t>
      </w:r>
      <w:r w:rsidRPr="00BA3F06">
        <w:rPr>
          <w:color w:val="0070C0"/>
        </w:rPr>
        <w:t>through</w:t>
      </w:r>
      <w:r w:rsidR="00EA72B2" w:rsidRPr="00BA3F06">
        <w:rPr>
          <w:color w:val="0070C0"/>
        </w:rPr>
        <w:t xml:space="preserve"> </w:t>
      </w:r>
      <w:r w:rsidR="003F79C6">
        <w:rPr>
          <w:color w:val="0070C0"/>
        </w:rPr>
        <w:t xml:space="preserve">AusAID </w:t>
      </w:r>
      <w:r w:rsidR="007742EF" w:rsidRPr="00BA3F06">
        <w:rPr>
          <w:color w:val="0070C0"/>
        </w:rPr>
        <w:t xml:space="preserve">Global Programs: </w:t>
      </w:r>
      <w:r w:rsidR="00EA72B2" w:rsidRPr="00BA3F06">
        <w:rPr>
          <w:color w:val="0070C0"/>
        </w:rPr>
        <w:t xml:space="preserve">Australia Awards for development (ADS scholarships and </w:t>
      </w:r>
      <w:r w:rsidR="002725B4" w:rsidRPr="00BA3F06">
        <w:rPr>
          <w:color w:val="0070C0"/>
        </w:rPr>
        <w:t>Fellowships</w:t>
      </w:r>
      <w:r w:rsidR="007742EF" w:rsidRPr="00BA3F06">
        <w:rPr>
          <w:color w:val="0070C0"/>
        </w:rPr>
        <w:t>)</w:t>
      </w:r>
      <w:r w:rsidR="002725B4" w:rsidRPr="00BA3F06">
        <w:rPr>
          <w:color w:val="0070C0"/>
        </w:rPr>
        <w:t xml:space="preserve">, Australian Volunteers for International Development (AVID), </w:t>
      </w:r>
      <w:r w:rsidRPr="00BA3F06">
        <w:rPr>
          <w:color w:val="0070C0"/>
        </w:rPr>
        <w:t xml:space="preserve">Australian Non-Government Organisation Cooperation </w:t>
      </w:r>
      <w:r w:rsidR="00CB2B1C" w:rsidRPr="00BA3F06">
        <w:rPr>
          <w:color w:val="0070C0"/>
        </w:rPr>
        <w:t xml:space="preserve">Program </w:t>
      </w:r>
      <w:r w:rsidRPr="00BA3F06">
        <w:rPr>
          <w:color w:val="0070C0"/>
        </w:rPr>
        <w:t>(ANC</w:t>
      </w:r>
      <w:r w:rsidR="00CB2B1C" w:rsidRPr="00BA3F06">
        <w:rPr>
          <w:color w:val="0070C0"/>
        </w:rPr>
        <w:t>P</w:t>
      </w:r>
      <w:r w:rsidRPr="00BA3F06">
        <w:rPr>
          <w:color w:val="0070C0"/>
        </w:rPr>
        <w:t>), the Public Sector Linkages Program (PSLP), and</w:t>
      </w:r>
      <w:r w:rsidR="002725B4" w:rsidRPr="00BA3F06">
        <w:rPr>
          <w:color w:val="0070C0"/>
        </w:rPr>
        <w:t xml:space="preserve"> Human Rights Grants Scheme (HRGS)</w:t>
      </w:r>
      <w:r w:rsidRPr="00BA3F06">
        <w:rPr>
          <w:color w:val="0070C0"/>
        </w:rPr>
        <w:t>.</w:t>
      </w:r>
      <w:r w:rsidR="00705385" w:rsidRPr="00705385">
        <w:rPr>
          <w:color w:val="0070C0"/>
        </w:rPr>
        <w:t xml:space="preserve"> </w:t>
      </w:r>
      <w:r w:rsidR="00C31BFE">
        <w:rPr>
          <w:color w:val="0070C0"/>
        </w:rPr>
        <w:t>A trilateral p</w:t>
      </w:r>
      <w:r w:rsidR="007D0FA2">
        <w:rPr>
          <w:color w:val="0070C0"/>
        </w:rPr>
        <w:t>roject</w:t>
      </w:r>
      <w:r w:rsidR="00705385" w:rsidRPr="00BA3F06">
        <w:rPr>
          <w:color w:val="0070C0"/>
        </w:rPr>
        <w:t xml:space="preserve"> to strengthen the planning and delivery of social services </w:t>
      </w:r>
      <w:r w:rsidR="00C31BFE">
        <w:rPr>
          <w:color w:val="0070C0"/>
        </w:rPr>
        <w:t>to poor communities in Paraguay</w:t>
      </w:r>
      <w:r w:rsidR="002637F9">
        <w:rPr>
          <w:color w:val="0070C0"/>
        </w:rPr>
        <w:t xml:space="preserve"> also</w:t>
      </w:r>
      <w:r w:rsidR="00C31BFE">
        <w:rPr>
          <w:color w:val="0070C0"/>
        </w:rPr>
        <w:t xml:space="preserve"> </w:t>
      </w:r>
      <w:r w:rsidR="00705385" w:rsidRPr="00BA3F06">
        <w:rPr>
          <w:color w:val="0070C0"/>
        </w:rPr>
        <w:t>provide</w:t>
      </w:r>
      <w:r w:rsidR="002637F9">
        <w:rPr>
          <w:color w:val="0070C0"/>
        </w:rPr>
        <w:t>s</w:t>
      </w:r>
      <w:r w:rsidR="00705385" w:rsidRPr="00BA3F06">
        <w:rPr>
          <w:color w:val="0070C0"/>
        </w:rPr>
        <w:t xml:space="preserve"> a valuable contribution toward meeting this Goal.</w:t>
      </w:r>
    </w:p>
    <w:p w:rsidR="00A21FB6" w:rsidRDefault="00C5163E" w:rsidP="00BA3F06">
      <w:pPr>
        <w:pStyle w:val="BodyText"/>
        <w:jc w:val="both"/>
        <w:rPr>
          <w:color w:val="0070C0"/>
        </w:rPr>
      </w:pPr>
      <w:r w:rsidRPr="00BA3F06">
        <w:rPr>
          <w:b/>
          <w:color w:val="0070C0"/>
        </w:rPr>
        <w:lastRenderedPageBreak/>
        <w:t>Australian D</w:t>
      </w:r>
      <w:r w:rsidR="00635541" w:rsidRPr="00BA3F06">
        <w:rPr>
          <w:b/>
          <w:color w:val="0070C0"/>
        </w:rPr>
        <w:t>evelopment Scholarships</w:t>
      </w:r>
      <w:r w:rsidR="00635541" w:rsidRPr="00BA3F06">
        <w:rPr>
          <w:color w:val="0070C0"/>
        </w:rPr>
        <w:t>: Th</w:t>
      </w:r>
      <w:r w:rsidR="000F7C3E">
        <w:rPr>
          <w:color w:val="0070C0"/>
        </w:rPr>
        <w:t>is initiative</w:t>
      </w:r>
      <w:r w:rsidR="00635541" w:rsidRPr="00BA3F06">
        <w:rPr>
          <w:color w:val="0070C0"/>
        </w:rPr>
        <w:t xml:space="preserve"> is on track</w:t>
      </w:r>
      <w:r w:rsidR="002725B4" w:rsidRPr="00BA3F06">
        <w:rPr>
          <w:color w:val="0070C0"/>
        </w:rPr>
        <w:t xml:space="preserve"> to provide 250 scholarships for Latin America </w:t>
      </w:r>
      <w:r w:rsidR="00A21FB6">
        <w:rPr>
          <w:color w:val="0070C0"/>
        </w:rPr>
        <w:t>over the four years, with 100 of the</w:t>
      </w:r>
      <w:r w:rsidR="00A21FB6" w:rsidRPr="00BA3F06">
        <w:rPr>
          <w:color w:val="0070C0"/>
        </w:rPr>
        <w:t xml:space="preserve">se </w:t>
      </w:r>
      <w:r w:rsidR="00A21FB6">
        <w:rPr>
          <w:color w:val="0070C0"/>
        </w:rPr>
        <w:t>targeted to</w:t>
      </w:r>
      <w:r w:rsidR="002725B4" w:rsidRPr="00BA3F06">
        <w:rPr>
          <w:color w:val="0070C0"/>
        </w:rPr>
        <w:t xml:space="preserve"> Central America</w:t>
      </w:r>
      <w:r w:rsidR="00B432DE" w:rsidRPr="00BA3F06">
        <w:rPr>
          <w:color w:val="0070C0"/>
        </w:rPr>
        <w:t>.</w:t>
      </w:r>
      <w:r w:rsidRPr="00BA3F06">
        <w:rPr>
          <w:color w:val="0070C0"/>
        </w:rPr>
        <w:t xml:space="preserve"> </w:t>
      </w:r>
      <w:r w:rsidR="000F7C3E">
        <w:rPr>
          <w:color w:val="0070C0"/>
        </w:rPr>
        <w:t xml:space="preserve">However significant </w:t>
      </w:r>
      <w:r w:rsidR="003F79C6">
        <w:rPr>
          <w:color w:val="0070C0"/>
        </w:rPr>
        <w:t xml:space="preserve">promotional </w:t>
      </w:r>
      <w:r w:rsidR="000F7C3E">
        <w:rPr>
          <w:color w:val="0070C0"/>
        </w:rPr>
        <w:t>effort will be needed to meet</w:t>
      </w:r>
      <w:r w:rsidR="00A21FB6">
        <w:rPr>
          <w:color w:val="0070C0"/>
        </w:rPr>
        <w:t xml:space="preserve"> the Central American target.</w:t>
      </w:r>
      <w:r w:rsidR="00A21FB6" w:rsidRPr="00BA3F06">
        <w:rPr>
          <w:color w:val="0070C0"/>
        </w:rPr>
        <w:t xml:space="preserve"> </w:t>
      </w:r>
    </w:p>
    <w:p w:rsidR="00C5163E" w:rsidRPr="00BA3F06" w:rsidRDefault="00A21FB6" w:rsidP="00BA3F06">
      <w:pPr>
        <w:pStyle w:val="BodyText"/>
        <w:jc w:val="both"/>
        <w:rPr>
          <w:color w:val="0070C0"/>
        </w:rPr>
      </w:pPr>
      <w:r w:rsidRPr="00BA3F06">
        <w:rPr>
          <w:color w:val="0070C0"/>
        </w:rPr>
        <w:t>In</w:t>
      </w:r>
      <w:r w:rsidR="00C5163E" w:rsidRPr="00BA3F06">
        <w:rPr>
          <w:color w:val="0070C0"/>
        </w:rPr>
        <w:t xml:space="preserve"> 2011, 22 long-term Australian Development Scholarships began postgraduate studies in Australia, and 59 places were offered for the 2012 intake. As the program scales-up, a further 75 candidates have been recommended for ADS in 2013. The Latin America ADS program, now in its third year of operation, is attracting widespread interest. More than 700 applications were received in 2012, from all countries in the region represented by the program, compared to 226 in 2011. While striking a balance amongst all eligible countries in the region, there has been a 20 per cent shift in scholarships being offered to candidates from the six least developed countries in the region. Consistent with Australia's comparative advantage and the needs of developing countries in the region, the program focuses on five priority themes: water, natural resource management, mining, governance, and rural livelihoods. </w:t>
      </w:r>
    </w:p>
    <w:p w:rsidR="00C5163E" w:rsidRPr="00BA3F06" w:rsidRDefault="00C5163E" w:rsidP="00BA3F06">
      <w:pPr>
        <w:pStyle w:val="BodyText"/>
        <w:jc w:val="both"/>
        <w:rPr>
          <w:color w:val="0070C0"/>
        </w:rPr>
      </w:pPr>
      <w:r w:rsidRPr="00BA3F06">
        <w:rPr>
          <w:b/>
          <w:color w:val="0070C0"/>
        </w:rPr>
        <w:t>Australian Leadership Award Fellowships</w:t>
      </w:r>
      <w:r w:rsidRPr="00BA3F06">
        <w:rPr>
          <w:color w:val="0070C0"/>
        </w:rPr>
        <w:t>:</w:t>
      </w:r>
      <w:r w:rsidR="00E3738D" w:rsidRPr="00BA3F06">
        <w:rPr>
          <w:color w:val="0070C0"/>
        </w:rPr>
        <w:t xml:space="preserve"> </w:t>
      </w:r>
      <w:r w:rsidRPr="00BA3F06">
        <w:rPr>
          <w:color w:val="0070C0"/>
        </w:rPr>
        <w:t>72 short-term fellowships were granted to Latin American professionals by the end of 2011. They will undertake short-term study and research with 13 education and government providers in Australia. An additional 47 fellows have been nominated by the time of reporting in 2012.</w:t>
      </w:r>
    </w:p>
    <w:p w:rsidR="00635541" w:rsidRPr="00AC0956" w:rsidRDefault="002725B4" w:rsidP="00BA3F06">
      <w:pPr>
        <w:pStyle w:val="BodyText"/>
        <w:jc w:val="both"/>
      </w:pPr>
      <w:r w:rsidRPr="00BA3F06">
        <w:rPr>
          <w:color w:val="0070C0"/>
        </w:rPr>
        <w:t xml:space="preserve">Australia’s assistance builds the capacity of local systems, and it promotes gender equality. For example, 46% of development awards have been undertaken by </w:t>
      </w:r>
      <w:r w:rsidR="00635541" w:rsidRPr="00BA3F06">
        <w:rPr>
          <w:color w:val="0070C0"/>
        </w:rPr>
        <w:t>women</w:t>
      </w:r>
      <w:r w:rsidRPr="00BA3F06">
        <w:rPr>
          <w:color w:val="0070C0"/>
        </w:rPr>
        <w:t xml:space="preserve">. </w:t>
      </w:r>
      <w:r w:rsidR="00025407">
        <w:rPr>
          <w:color w:val="0070C0"/>
        </w:rPr>
        <w:t>In 2011 a range of leadership award fellowships were undertaken in areas such as, climate c</w:t>
      </w:r>
      <w:r w:rsidR="00025407" w:rsidRPr="00025407">
        <w:rPr>
          <w:color w:val="0070C0"/>
        </w:rPr>
        <w:t xml:space="preserve">hange </w:t>
      </w:r>
      <w:r w:rsidR="00025407">
        <w:rPr>
          <w:color w:val="0070C0"/>
        </w:rPr>
        <w:t>r</w:t>
      </w:r>
      <w:r w:rsidR="00025407" w:rsidRPr="00025407">
        <w:rPr>
          <w:color w:val="0070C0"/>
        </w:rPr>
        <w:t>esilience</w:t>
      </w:r>
      <w:r w:rsidR="00025407">
        <w:rPr>
          <w:color w:val="0070C0"/>
        </w:rPr>
        <w:t>, community b</w:t>
      </w:r>
      <w:r w:rsidR="00025407" w:rsidRPr="00025407">
        <w:rPr>
          <w:color w:val="0070C0"/>
        </w:rPr>
        <w:t xml:space="preserve">ased </w:t>
      </w:r>
      <w:r w:rsidR="00025407">
        <w:rPr>
          <w:color w:val="0070C0"/>
        </w:rPr>
        <w:t>r</w:t>
      </w:r>
      <w:r w:rsidR="00025407" w:rsidRPr="00025407">
        <w:rPr>
          <w:color w:val="0070C0"/>
        </w:rPr>
        <w:t xml:space="preserve">esearch </w:t>
      </w:r>
      <w:r w:rsidR="00025407">
        <w:rPr>
          <w:color w:val="0070C0"/>
        </w:rPr>
        <w:t>p</w:t>
      </w:r>
      <w:r w:rsidR="00025407" w:rsidRPr="00025407">
        <w:rPr>
          <w:color w:val="0070C0"/>
        </w:rPr>
        <w:t>rojects</w:t>
      </w:r>
      <w:r w:rsidR="00025407">
        <w:rPr>
          <w:color w:val="0070C0"/>
        </w:rPr>
        <w:t xml:space="preserve"> (l</w:t>
      </w:r>
      <w:r w:rsidR="00025407" w:rsidRPr="00025407">
        <w:rPr>
          <w:color w:val="0070C0"/>
        </w:rPr>
        <w:t xml:space="preserve">eadership and </w:t>
      </w:r>
      <w:r w:rsidR="00025407">
        <w:rPr>
          <w:color w:val="0070C0"/>
        </w:rPr>
        <w:t>d</w:t>
      </w:r>
      <w:r w:rsidR="00025407" w:rsidRPr="00025407">
        <w:rPr>
          <w:color w:val="0070C0"/>
        </w:rPr>
        <w:t>esign</w:t>
      </w:r>
      <w:r w:rsidR="00025407">
        <w:rPr>
          <w:color w:val="0070C0"/>
        </w:rPr>
        <w:t>), and a</w:t>
      </w:r>
      <w:r w:rsidR="00025407" w:rsidRPr="00025407">
        <w:rPr>
          <w:color w:val="0070C0"/>
        </w:rPr>
        <w:t>n evaluation of by-products from bio-fuels production as ruminant feeds on methane emissions</w:t>
      </w:r>
      <w:r w:rsidR="00025407">
        <w:rPr>
          <w:color w:val="0070C0"/>
        </w:rPr>
        <w:t xml:space="preserve"> etc.</w:t>
      </w:r>
    </w:p>
    <w:p w:rsidR="002412F2" w:rsidRDefault="00E3738D" w:rsidP="00BA3F06">
      <w:pPr>
        <w:pStyle w:val="BodyText"/>
        <w:jc w:val="both"/>
        <w:rPr>
          <w:color w:val="0070C0"/>
        </w:rPr>
      </w:pPr>
      <w:r w:rsidRPr="00BA3F06">
        <w:rPr>
          <w:b/>
          <w:color w:val="0070C0"/>
        </w:rPr>
        <w:t>Australian volunteers for development</w:t>
      </w:r>
      <w:r w:rsidRPr="00BA3F06">
        <w:rPr>
          <w:color w:val="0070C0"/>
        </w:rPr>
        <w:t xml:space="preserve">: </w:t>
      </w:r>
      <w:r w:rsidR="00635541" w:rsidRPr="00BA3F06">
        <w:rPr>
          <w:color w:val="0070C0"/>
        </w:rPr>
        <w:t>The Latin America program has established its vol</w:t>
      </w:r>
      <w:r w:rsidR="00C5163E" w:rsidRPr="00BA3F06">
        <w:rPr>
          <w:color w:val="0070C0"/>
        </w:rPr>
        <w:t xml:space="preserve">unteer program in </w:t>
      </w:r>
      <w:r w:rsidRPr="00BA3F06">
        <w:rPr>
          <w:color w:val="0070C0"/>
        </w:rPr>
        <w:t>Latin</w:t>
      </w:r>
      <w:r w:rsidR="00C5163E" w:rsidRPr="00BA3F06">
        <w:rPr>
          <w:color w:val="0070C0"/>
        </w:rPr>
        <w:t xml:space="preserve"> America </w:t>
      </w:r>
      <w:r w:rsidR="00A21FB6">
        <w:rPr>
          <w:color w:val="0070C0"/>
        </w:rPr>
        <w:t xml:space="preserve">with a target </w:t>
      </w:r>
      <w:r w:rsidR="002412F2">
        <w:rPr>
          <w:color w:val="0070C0"/>
        </w:rPr>
        <w:t xml:space="preserve">of </w:t>
      </w:r>
      <w:r w:rsidR="002412F2" w:rsidRPr="00BA3F06">
        <w:rPr>
          <w:color w:val="0070C0"/>
        </w:rPr>
        <w:t>40</w:t>
      </w:r>
      <w:r w:rsidR="00C5163E" w:rsidRPr="00BA3F06">
        <w:rPr>
          <w:color w:val="0070C0"/>
        </w:rPr>
        <w:t xml:space="preserve"> Australian volunteers in Latin America by 2013-14.</w:t>
      </w:r>
      <w:r w:rsidR="00A21FB6">
        <w:rPr>
          <w:color w:val="0070C0"/>
        </w:rPr>
        <w:t xml:space="preserve"> Whilst t</w:t>
      </w:r>
      <w:r w:rsidR="00C5163E" w:rsidRPr="00BA3F06">
        <w:rPr>
          <w:color w:val="0070C0"/>
        </w:rPr>
        <w:t>he program is being implemented</w:t>
      </w:r>
      <w:r w:rsidR="002412F2">
        <w:rPr>
          <w:color w:val="0070C0"/>
        </w:rPr>
        <w:t xml:space="preserve"> in </w:t>
      </w:r>
      <w:r w:rsidR="000F7C3E">
        <w:rPr>
          <w:color w:val="0070C0"/>
        </w:rPr>
        <w:t>multiple</w:t>
      </w:r>
      <w:r w:rsidR="002412F2">
        <w:rPr>
          <w:color w:val="0070C0"/>
        </w:rPr>
        <w:t xml:space="preserve"> countries</w:t>
      </w:r>
      <w:r w:rsidR="00C5163E" w:rsidRPr="00BA3F06">
        <w:rPr>
          <w:color w:val="0070C0"/>
        </w:rPr>
        <w:t xml:space="preserve"> progressively </w:t>
      </w:r>
      <w:r w:rsidR="002412F2">
        <w:rPr>
          <w:color w:val="0070C0"/>
        </w:rPr>
        <w:t>(</w:t>
      </w:r>
      <w:r w:rsidRPr="00BA3F06">
        <w:rPr>
          <w:color w:val="0070C0"/>
        </w:rPr>
        <w:t>start</w:t>
      </w:r>
      <w:r w:rsidR="00774132">
        <w:rPr>
          <w:color w:val="0070C0"/>
        </w:rPr>
        <w:t xml:space="preserve">ing with </w:t>
      </w:r>
      <w:r w:rsidR="003F79C6">
        <w:rPr>
          <w:color w:val="0070C0"/>
        </w:rPr>
        <w:t xml:space="preserve">10 in </w:t>
      </w:r>
      <w:r w:rsidR="00774132">
        <w:rPr>
          <w:color w:val="0070C0"/>
        </w:rPr>
        <w:t>P</w:t>
      </w:r>
      <w:r w:rsidRPr="00BA3F06">
        <w:rPr>
          <w:color w:val="0070C0"/>
        </w:rPr>
        <w:t>eru</w:t>
      </w:r>
      <w:r w:rsidR="002412F2">
        <w:rPr>
          <w:color w:val="0070C0"/>
        </w:rPr>
        <w:t>)</w:t>
      </w:r>
      <w:r w:rsidR="00A21FB6">
        <w:rPr>
          <w:color w:val="0070C0"/>
        </w:rPr>
        <w:t xml:space="preserve"> there will be challenges in meeting this target within the </w:t>
      </w:r>
      <w:r w:rsidR="002412F2">
        <w:rPr>
          <w:color w:val="0070C0"/>
        </w:rPr>
        <w:t xml:space="preserve">remaining </w:t>
      </w:r>
      <w:r w:rsidR="00A21FB6">
        <w:rPr>
          <w:color w:val="0070C0"/>
        </w:rPr>
        <w:t>timeframe.</w:t>
      </w:r>
      <w:r w:rsidR="00C5163E" w:rsidRPr="00BA3F06">
        <w:rPr>
          <w:color w:val="0070C0"/>
        </w:rPr>
        <w:t xml:space="preserve"> D</w:t>
      </w:r>
      <w:r w:rsidR="00635541" w:rsidRPr="00BA3F06">
        <w:rPr>
          <w:color w:val="0070C0"/>
        </w:rPr>
        <w:t xml:space="preserve">etailed and </w:t>
      </w:r>
      <w:r w:rsidR="002412F2">
        <w:rPr>
          <w:color w:val="0070C0"/>
        </w:rPr>
        <w:t xml:space="preserve">sometimes </w:t>
      </w:r>
      <w:r w:rsidR="00635541" w:rsidRPr="00BA3F06">
        <w:rPr>
          <w:color w:val="0070C0"/>
        </w:rPr>
        <w:t xml:space="preserve">complex negotiations with </w:t>
      </w:r>
      <w:r w:rsidR="00C5163E" w:rsidRPr="00BA3F06">
        <w:rPr>
          <w:color w:val="0070C0"/>
        </w:rPr>
        <w:t xml:space="preserve">each </w:t>
      </w:r>
      <w:r w:rsidR="00635541" w:rsidRPr="00BA3F06">
        <w:rPr>
          <w:color w:val="0070C0"/>
        </w:rPr>
        <w:t>ho</w:t>
      </w:r>
      <w:r w:rsidRPr="00BA3F06">
        <w:rPr>
          <w:color w:val="0070C0"/>
        </w:rPr>
        <w:t>st country government are</w:t>
      </w:r>
      <w:r w:rsidR="00C5163E" w:rsidRPr="00BA3F06">
        <w:rPr>
          <w:color w:val="0070C0"/>
        </w:rPr>
        <w:t xml:space="preserve"> required as well as</w:t>
      </w:r>
      <w:r w:rsidR="00635541" w:rsidRPr="00BA3F06">
        <w:rPr>
          <w:color w:val="0070C0"/>
        </w:rPr>
        <w:t xml:space="preserve"> rigorous attention to security assessment</w:t>
      </w:r>
      <w:r w:rsidR="00C5163E" w:rsidRPr="00BA3F06">
        <w:rPr>
          <w:color w:val="0070C0"/>
        </w:rPr>
        <w:t>s</w:t>
      </w:r>
      <w:r w:rsidR="00635541" w:rsidRPr="00BA3F06">
        <w:rPr>
          <w:color w:val="0070C0"/>
        </w:rPr>
        <w:t xml:space="preserve"> and </w:t>
      </w:r>
      <w:r w:rsidR="00C5163E" w:rsidRPr="00BA3F06">
        <w:rPr>
          <w:color w:val="0070C0"/>
        </w:rPr>
        <w:t>careful selection</w:t>
      </w:r>
      <w:r w:rsidR="00635541" w:rsidRPr="00BA3F06">
        <w:rPr>
          <w:color w:val="0070C0"/>
        </w:rPr>
        <w:t xml:space="preserve"> of </w:t>
      </w:r>
      <w:r w:rsidR="00C5163E" w:rsidRPr="00BA3F06">
        <w:rPr>
          <w:color w:val="0070C0"/>
        </w:rPr>
        <w:t>appropriate assignments and volunteers.</w:t>
      </w:r>
      <w:r w:rsidR="002412F2">
        <w:rPr>
          <w:color w:val="0070C0"/>
        </w:rPr>
        <w:t xml:space="preserve"> Language is also a major impediment.</w:t>
      </w:r>
      <w:r w:rsidR="00B818CF">
        <w:rPr>
          <w:color w:val="0070C0"/>
        </w:rPr>
        <w:t xml:space="preserve"> </w:t>
      </w:r>
      <w:r w:rsidR="003F79C6">
        <w:rPr>
          <w:color w:val="0070C0"/>
        </w:rPr>
        <w:t>Six volunteers are</w:t>
      </w:r>
      <w:r w:rsidR="00C5163E" w:rsidRPr="00025407">
        <w:rPr>
          <w:color w:val="0070C0"/>
        </w:rPr>
        <w:t xml:space="preserve"> currently</w:t>
      </w:r>
      <w:r w:rsidR="00774132" w:rsidRPr="00025407">
        <w:rPr>
          <w:color w:val="0070C0"/>
        </w:rPr>
        <w:t xml:space="preserve"> </w:t>
      </w:r>
      <w:r w:rsidR="00C5163E" w:rsidRPr="00025407">
        <w:rPr>
          <w:color w:val="0070C0"/>
        </w:rPr>
        <w:t>on assignment</w:t>
      </w:r>
      <w:r w:rsidR="003F79C6">
        <w:rPr>
          <w:color w:val="0070C0"/>
        </w:rPr>
        <w:t xml:space="preserve"> in Peru</w:t>
      </w:r>
      <w:r w:rsidR="00635541" w:rsidRPr="00025407">
        <w:rPr>
          <w:color w:val="0070C0"/>
        </w:rPr>
        <w:t xml:space="preserve">. Negotiations are underway to expand </w:t>
      </w:r>
      <w:r w:rsidR="00C5163E" w:rsidRPr="00025407">
        <w:rPr>
          <w:color w:val="0070C0"/>
        </w:rPr>
        <w:t>the program to</w:t>
      </w:r>
      <w:r w:rsidR="00635541" w:rsidRPr="00025407">
        <w:rPr>
          <w:color w:val="0070C0"/>
        </w:rPr>
        <w:t xml:space="preserve"> Paraguay, </w:t>
      </w:r>
      <w:r w:rsidR="00C5163E" w:rsidRPr="00025407">
        <w:rPr>
          <w:color w:val="0070C0"/>
        </w:rPr>
        <w:t>Colombia</w:t>
      </w:r>
      <w:r w:rsidR="00774132" w:rsidRPr="00025407">
        <w:rPr>
          <w:color w:val="0070C0"/>
        </w:rPr>
        <w:t>, Nicaragua</w:t>
      </w:r>
      <w:r w:rsidR="00C5163E" w:rsidRPr="00025407">
        <w:rPr>
          <w:color w:val="0070C0"/>
        </w:rPr>
        <w:t xml:space="preserve"> and Ecuador.</w:t>
      </w:r>
      <w:r w:rsidRPr="00025407">
        <w:rPr>
          <w:color w:val="0070C0"/>
        </w:rPr>
        <w:t xml:space="preserve"> </w:t>
      </w:r>
    </w:p>
    <w:p w:rsidR="00E3738D" w:rsidRPr="00BA3F06" w:rsidRDefault="00E3738D" w:rsidP="00BA3F06">
      <w:pPr>
        <w:pStyle w:val="BodyText"/>
        <w:jc w:val="both"/>
        <w:rPr>
          <w:color w:val="0070C0"/>
        </w:rPr>
      </w:pPr>
      <w:r w:rsidRPr="00BA3F06">
        <w:rPr>
          <w:b/>
          <w:color w:val="0070C0"/>
        </w:rPr>
        <w:t>Public Sector Linkages Program</w:t>
      </w:r>
      <w:r w:rsidRPr="00BA3F06">
        <w:rPr>
          <w:color w:val="0070C0"/>
        </w:rPr>
        <w:t xml:space="preserve">: </w:t>
      </w:r>
      <w:r w:rsidR="00111F1D">
        <w:rPr>
          <w:color w:val="0070C0"/>
        </w:rPr>
        <w:t xml:space="preserve">Implementation of this initiative has been successful and </w:t>
      </w:r>
      <w:r w:rsidR="007D0FA2">
        <w:rPr>
          <w:color w:val="0070C0"/>
        </w:rPr>
        <w:t>is well aligned with regional need for strengthening of public sector capacity</w:t>
      </w:r>
      <w:r w:rsidR="000C5FAC">
        <w:rPr>
          <w:color w:val="0070C0"/>
        </w:rPr>
        <w:t>.</w:t>
      </w:r>
      <w:r w:rsidR="00111F1D">
        <w:rPr>
          <w:color w:val="0070C0"/>
        </w:rPr>
        <w:t xml:space="preserve"> </w:t>
      </w:r>
      <w:r w:rsidRPr="00BA3F06">
        <w:rPr>
          <w:color w:val="0070C0"/>
        </w:rPr>
        <w:t xml:space="preserve">In the first three rounds of PSLP, the aid program is funding 30 short-term capacity-building activities between Australia and Latin America, worth over $6.5 million. These activities help to strengthen public organisations in Latin America, while fostering institutional linkages and exchanges of knowledge with Australian Agencies. </w:t>
      </w:r>
      <w:r w:rsidRPr="00CE746C">
        <w:rPr>
          <w:color w:val="0070C0"/>
        </w:rPr>
        <w:t xml:space="preserve">For example, the </w:t>
      </w:r>
      <w:r w:rsidR="00CE746C" w:rsidRPr="00CE746C">
        <w:rPr>
          <w:color w:val="0070C0"/>
        </w:rPr>
        <w:t>University of Adelaide</w:t>
      </w:r>
      <w:r w:rsidRPr="00BA3F06">
        <w:rPr>
          <w:color w:val="0070C0"/>
        </w:rPr>
        <w:t xml:space="preserve"> Institute for International Trade has partnered with the Department of Foreign Affairs and Trade (DFAT) and </w:t>
      </w:r>
      <w:r w:rsidR="00CE746C">
        <w:rPr>
          <w:color w:val="0070C0"/>
        </w:rPr>
        <w:t>t</w:t>
      </w:r>
      <w:r w:rsidR="00CE746C" w:rsidRPr="00CE746C">
        <w:rPr>
          <w:color w:val="0070C0"/>
        </w:rPr>
        <w:t xml:space="preserve">he United Nations Economic Commission for Latin America (ECLAC) </w:t>
      </w:r>
      <w:r w:rsidRPr="00BA3F06">
        <w:rPr>
          <w:color w:val="0070C0"/>
        </w:rPr>
        <w:t>to deliver a capacity-building workshop for senior trade negotiators of the 11 member countries of the Arc of the Pacific</w:t>
      </w:r>
      <w:r w:rsidR="00CE746C">
        <w:rPr>
          <w:color w:val="0070C0"/>
        </w:rPr>
        <w:t xml:space="preserve"> (</w:t>
      </w:r>
      <w:r w:rsidR="00CE746C" w:rsidRPr="00CE746C">
        <w:rPr>
          <w:color w:val="0070C0"/>
        </w:rPr>
        <w:t>Colombia, Costa Rica, Chile, Ecuador, El Salvador, Guatemala, Honduras, Mexico, Nicaragua, Panama and Peru</w:t>
      </w:r>
      <w:r w:rsidR="00CE746C">
        <w:rPr>
          <w:color w:val="0070C0"/>
        </w:rPr>
        <w:t>)</w:t>
      </w:r>
      <w:r w:rsidRPr="00BA3F06">
        <w:rPr>
          <w:color w:val="0070C0"/>
        </w:rPr>
        <w:t xml:space="preserve">. The Department of Agriculture, Fisheries and Forestry (DAFF) is working with Chile, Peru and Central America to deliver Australian Fumigation Accreditation Scheme (AFAS) fumigation training. The Department of Resources, Energy and Tourism (DRET) will organise two workshops in Peru and Mexico for over 100 </w:t>
      </w:r>
      <w:r w:rsidRPr="00BA3F06">
        <w:rPr>
          <w:color w:val="0070C0"/>
        </w:rPr>
        <w:lastRenderedPageBreak/>
        <w:t xml:space="preserve">participants on Leading Practice Sustainable Development in mining. CSIRO is working with the Chilean Department of Water to share experiences of water management and analyse water rights, industrial usage and social requirements in Copiapo. The Commonwealth Ombudsman is partnering with the Defensoria </w:t>
      </w:r>
      <w:proofErr w:type="gramStart"/>
      <w:r w:rsidRPr="00BA3F06">
        <w:rPr>
          <w:color w:val="0070C0"/>
        </w:rPr>
        <w:t>del</w:t>
      </w:r>
      <w:proofErr w:type="gramEnd"/>
      <w:r w:rsidRPr="00BA3F06">
        <w:rPr>
          <w:color w:val="0070C0"/>
        </w:rPr>
        <w:t xml:space="preserve"> Pueblo in Peru to strengthen its capacity to conduct investigations and report on issues of indigenous rights, land use disputes and the resolution of social conflicts. The Department of Immigration and Citizenship (DIAC) is working with the governments in Argentina and Peru to improve their border management controls to combat human trafficking and transbo</w:t>
      </w:r>
      <w:r w:rsidR="00025407">
        <w:rPr>
          <w:color w:val="0070C0"/>
        </w:rPr>
        <w:t>un</w:t>
      </w:r>
      <w:r w:rsidRPr="00BA3F06">
        <w:rPr>
          <w:color w:val="0070C0"/>
        </w:rPr>
        <w:t>d</w:t>
      </w:r>
      <w:r w:rsidR="007E060E">
        <w:rPr>
          <w:color w:val="0070C0"/>
        </w:rPr>
        <w:t>a</w:t>
      </w:r>
      <w:r w:rsidRPr="00BA3F06">
        <w:rPr>
          <w:color w:val="0070C0"/>
        </w:rPr>
        <w:t>r</w:t>
      </w:r>
      <w:r w:rsidR="00025407">
        <w:rPr>
          <w:color w:val="0070C0"/>
        </w:rPr>
        <w:t>y</w:t>
      </w:r>
      <w:r w:rsidRPr="00BA3F06">
        <w:rPr>
          <w:color w:val="0070C0"/>
        </w:rPr>
        <w:t xml:space="preserve"> crime, which undermines security and development prospects.</w:t>
      </w:r>
    </w:p>
    <w:p w:rsidR="00111F1D" w:rsidRDefault="008F7A52" w:rsidP="00BA3F06">
      <w:pPr>
        <w:pStyle w:val="BodyText"/>
        <w:jc w:val="both"/>
        <w:rPr>
          <w:color w:val="0070C0"/>
        </w:rPr>
      </w:pPr>
      <w:r w:rsidRPr="00BA3F06">
        <w:rPr>
          <w:b/>
          <w:color w:val="0070C0"/>
        </w:rPr>
        <w:t>A</w:t>
      </w:r>
      <w:r w:rsidR="00E3738D" w:rsidRPr="00BA3F06">
        <w:rPr>
          <w:b/>
          <w:color w:val="0070C0"/>
        </w:rPr>
        <w:t xml:space="preserve">ustralian </w:t>
      </w:r>
      <w:r w:rsidRPr="00BA3F06">
        <w:rPr>
          <w:b/>
          <w:color w:val="0070C0"/>
        </w:rPr>
        <w:t>N</w:t>
      </w:r>
      <w:r w:rsidR="00E3738D" w:rsidRPr="00BA3F06">
        <w:rPr>
          <w:b/>
          <w:color w:val="0070C0"/>
        </w:rPr>
        <w:t xml:space="preserve">GO </w:t>
      </w:r>
      <w:r w:rsidRPr="00BA3F06">
        <w:rPr>
          <w:b/>
          <w:color w:val="0070C0"/>
        </w:rPr>
        <w:t>C</w:t>
      </w:r>
      <w:r w:rsidR="00E3738D" w:rsidRPr="00BA3F06">
        <w:rPr>
          <w:b/>
          <w:color w:val="0070C0"/>
        </w:rPr>
        <w:t xml:space="preserve">ooperation </w:t>
      </w:r>
      <w:r w:rsidR="00CB2B1C" w:rsidRPr="00BA3F06">
        <w:rPr>
          <w:b/>
          <w:color w:val="0070C0"/>
        </w:rPr>
        <w:t>P</w:t>
      </w:r>
      <w:r w:rsidR="00E3738D" w:rsidRPr="00BA3F06">
        <w:rPr>
          <w:b/>
          <w:color w:val="0070C0"/>
        </w:rPr>
        <w:t>rogram (ANCP)</w:t>
      </w:r>
      <w:r w:rsidR="009F10B9" w:rsidRPr="00BA3F06">
        <w:rPr>
          <w:b/>
          <w:color w:val="0070C0"/>
        </w:rPr>
        <w:t>:</w:t>
      </w:r>
      <w:r w:rsidR="009F10B9" w:rsidRPr="00BA3F06">
        <w:rPr>
          <w:color w:val="0070C0"/>
        </w:rPr>
        <w:t xml:space="preserve"> AusAID funds Australian NGOs to implement </w:t>
      </w:r>
      <w:r w:rsidR="003F79C6">
        <w:rPr>
          <w:color w:val="0070C0"/>
        </w:rPr>
        <w:t xml:space="preserve">their own </w:t>
      </w:r>
      <w:r w:rsidR="009F10B9" w:rsidRPr="00BA3F06">
        <w:rPr>
          <w:color w:val="0070C0"/>
        </w:rPr>
        <w:t>development projects on behalf of the Australian government</w:t>
      </w:r>
      <w:r w:rsidR="009706AA">
        <w:rPr>
          <w:color w:val="0070C0"/>
        </w:rPr>
        <w:t>.</w:t>
      </w:r>
      <w:r w:rsidR="00111F1D">
        <w:rPr>
          <w:color w:val="0070C0"/>
        </w:rPr>
        <w:t xml:space="preserve"> </w:t>
      </w:r>
      <w:r w:rsidR="009706AA">
        <w:rPr>
          <w:color w:val="0070C0"/>
        </w:rPr>
        <w:t>I</w:t>
      </w:r>
      <w:r w:rsidR="00111F1D">
        <w:rPr>
          <w:color w:val="0070C0"/>
        </w:rPr>
        <w:t>nitiatives</w:t>
      </w:r>
      <w:r w:rsidR="009706AA">
        <w:rPr>
          <w:color w:val="0070C0"/>
        </w:rPr>
        <w:t xml:space="preserve"> in Latin </w:t>
      </w:r>
      <w:r w:rsidR="00AC0956">
        <w:rPr>
          <w:color w:val="0070C0"/>
        </w:rPr>
        <w:t>America funded</w:t>
      </w:r>
      <w:r w:rsidR="009706AA">
        <w:rPr>
          <w:color w:val="0070C0"/>
        </w:rPr>
        <w:t xml:space="preserve"> through ANCP </w:t>
      </w:r>
      <w:r w:rsidR="00111F1D">
        <w:rPr>
          <w:color w:val="0070C0"/>
        </w:rPr>
        <w:t>are accounted for under the Program</w:t>
      </w:r>
      <w:r w:rsidR="009706AA">
        <w:rPr>
          <w:color w:val="0070C0"/>
        </w:rPr>
        <w:t xml:space="preserve"> funds</w:t>
      </w:r>
      <w:r w:rsidR="00111F1D">
        <w:rPr>
          <w:color w:val="0070C0"/>
        </w:rPr>
        <w:t>.</w:t>
      </w:r>
    </w:p>
    <w:p w:rsidR="009F10B9" w:rsidRPr="00BA3F06" w:rsidRDefault="009F10B9" w:rsidP="00BA3F06">
      <w:pPr>
        <w:pStyle w:val="BodyText"/>
        <w:jc w:val="both"/>
        <w:rPr>
          <w:color w:val="0070C0"/>
        </w:rPr>
      </w:pPr>
      <w:r w:rsidRPr="00BA3F06">
        <w:rPr>
          <w:color w:val="0070C0"/>
        </w:rPr>
        <w:t xml:space="preserve">To date, Australia has provided more than $4.5 million through </w:t>
      </w:r>
      <w:r w:rsidR="003F79C6">
        <w:rPr>
          <w:color w:val="0070C0"/>
        </w:rPr>
        <w:t>ANCP (</w:t>
      </w:r>
      <w:r w:rsidR="003F79C6" w:rsidRPr="00BA3F06">
        <w:rPr>
          <w:color w:val="0070C0"/>
        </w:rPr>
        <w:t>World Vision Australia, Caritas Australia and Reledev</w:t>
      </w:r>
      <w:r w:rsidR="003F79C6">
        <w:rPr>
          <w:color w:val="0070C0"/>
        </w:rPr>
        <w:t>)</w:t>
      </w:r>
      <w:r w:rsidR="003F79C6" w:rsidRPr="00BA3F06">
        <w:rPr>
          <w:color w:val="0070C0"/>
        </w:rPr>
        <w:t xml:space="preserve"> </w:t>
      </w:r>
      <w:r w:rsidRPr="00BA3F06">
        <w:rPr>
          <w:color w:val="0070C0"/>
        </w:rPr>
        <w:t xml:space="preserve">for 17 civil society projects in Latin America. In 2011 </w:t>
      </w:r>
      <w:r w:rsidR="00A21641" w:rsidRPr="00A21641">
        <w:rPr>
          <w:color w:val="0070C0"/>
        </w:rPr>
        <w:t>there were</w:t>
      </w:r>
      <w:r w:rsidR="008F7A52" w:rsidRPr="00BA3F06">
        <w:rPr>
          <w:color w:val="0070C0"/>
        </w:rPr>
        <w:t xml:space="preserve"> </w:t>
      </w:r>
      <w:r w:rsidR="00A21641">
        <w:rPr>
          <w:color w:val="0070C0"/>
        </w:rPr>
        <w:t xml:space="preserve">16 </w:t>
      </w:r>
      <w:r w:rsidR="008F7A52" w:rsidRPr="00BA3F06">
        <w:rPr>
          <w:color w:val="0070C0"/>
        </w:rPr>
        <w:t>activities implemented in Bolivia, Ecuador, El Salvador, Honduras and Peru</w:t>
      </w:r>
      <w:r w:rsidR="00DA2153" w:rsidRPr="00BA3F06">
        <w:rPr>
          <w:color w:val="0070C0"/>
        </w:rPr>
        <w:t>.</w:t>
      </w:r>
      <w:r w:rsidR="008F7A52" w:rsidRPr="00BA3F06">
        <w:rPr>
          <w:color w:val="0070C0"/>
        </w:rPr>
        <w:t xml:space="preserve"> </w:t>
      </w:r>
    </w:p>
    <w:p w:rsidR="009F10B9" w:rsidRPr="00BA3F06" w:rsidRDefault="009F10B9" w:rsidP="00BA3F06">
      <w:pPr>
        <w:pStyle w:val="BodyText"/>
        <w:jc w:val="both"/>
        <w:rPr>
          <w:color w:val="0070C0"/>
        </w:rPr>
      </w:pPr>
      <w:r w:rsidRPr="00BA3F06">
        <w:rPr>
          <w:color w:val="0070C0"/>
        </w:rPr>
        <w:t>In Peru, Caritas is partnering with the Sisters of Mercy to provide an intensive food program for 70 high risk children (50 per cent of which are malnourished), to conduct health promotion, to provide water and sanitation (including purchasing 150 toilets for first time users) and medical services to 18,000 people located in 3 poor slum areas near Lima.</w:t>
      </w:r>
    </w:p>
    <w:p w:rsidR="009F10B9" w:rsidRPr="00BA3F06" w:rsidRDefault="009F10B9" w:rsidP="00BA3F06">
      <w:pPr>
        <w:pStyle w:val="BodyText"/>
        <w:jc w:val="both"/>
        <w:rPr>
          <w:color w:val="0070C0"/>
        </w:rPr>
      </w:pPr>
      <w:r w:rsidRPr="00BA3F06">
        <w:rPr>
          <w:color w:val="0070C0"/>
        </w:rPr>
        <w:t xml:space="preserve">In Bolivia </w:t>
      </w:r>
      <w:r w:rsidR="00D04084">
        <w:rPr>
          <w:color w:val="0070C0"/>
        </w:rPr>
        <w:t>World Vision</w:t>
      </w:r>
      <w:r w:rsidRPr="00BA3F06">
        <w:rPr>
          <w:color w:val="0070C0"/>
        </w:rPr>
        <w:t xml:space="preserve"> supports the</w:t>
      </w:r>
      <w:r w:rsidR="008F7A52" w:rsidRPr="00BA3F06">
        <w:rPr>
          <w:color w:val="0070C0"/>
        </w:rPr>
        <w:t xml:space="preserve"> legal identification and registration of </w:t>
      </w:r>
      <w:r w:rsidRPr="00BA3F06">
        <w:rPr>
          <w:color w:val="0070C0"/>
        </w:rPr>
        <w:t>a large segment of the population</w:t>
      </w:r>
      <w:r w:rsidR="008F7A52" w:rsidRPr="00BA3F06">
        <w:rPr>
          <w:color w:val="0070C0"/>
        </w:rPr>
        <w:t xml:space="preserve">. The Project targeted the 20% </w:t>
      </w:r>
      <w:r w:rsidR="003F79C6">
        <w:rPr>
          <w:color w:val="0070C0"/>
        </w:rPr>
        <w:t xml:space="preserve">of the population </w:t>
      </w:r>
      <w:r w:rsidR="008F7A52" w:rsidRPr="00BA3F06">
        <w:rPr>
          <w:color w:val="0070C0"/>
        </w:rPr>
        <w:t>without identity documents (mostly indigenous people). Around 130,700 identification doc</w:t>
      </w:r>
      <w:r w:rsidRPr="00BA3F06">
        <w:rPr>
          <w:color w:val="0070C0"/>
        </w:rPr>
        <w:t xml:space="preserve">uments were issued through </w:t>
      </w:r>
      <w:r w:rsidR="008F7A52" w:rsidRPr="00BA3F06">
        <w:rPr>
          <w:color w:val="0070C0"/>
        </w:rPr>
        <w:t xml:space="preserve">over five years. During the final year (fully funded by AusAID) 32,517 identification documents were issued to 19,477 people including 6,500 birth certificates and 26,017 identity cards. Additionally, during the final year 7,380 people were trained in the Right to Identify and Citizenship. </w:t>
      </w:r>
    </w:p>
    <w:p w:rsidR="00B05049" w:rsidRDefault="00E3738D" w:rsidP="00BA3F06">
      <w:pPr>
        <w:pStyle w:val="BodyText"/>
        <w:jc w:val="both"/>
        <w:rPr>
          <w:color w:val="0070C0"/>
        </w:rPr>
      </w:pPr>
      <w:r w:rsidRPr="00BA3F06">
        <w:rPr>
          <w:b/>
          <w:color w:val="0070C0"/>
        </w:rPr>
        <w:t>H</w:t>
      </w:r>
      <w:r w:rsidR="009F10B9" w:rsidRPr="00BA3F06">
        <w:rPr>
          <w:b/>
          <w:color w:val="0070C0"/>
        </w:rPr>
        <w:t>uman Rights Grants Scheme</w:t>
      </w:r>
      <w:r w:rsidR="009F10B9" w:rsidRPr="00BA3F06">
        <w:rPr>
          <w:color w:val="0070C0"/>
        </w:rPr>
        <w:t xml:space="preserve">: </w:t>
      </w:r>
      <w:r w:rsidR="00977F0B" w:rsidRPr="00BA3F06">
        <w:rPr>
          <w:color w:val="0070C0"/>
        </w:rPr>
        <w:t xml:space="preserve">Since the program began in 2010, AusAID has provided over $1 million to 14 local human rights institutions and NGOs to enhance human rights in </w:t>
      </w:r>
      <w:r w:rsidR="009F10B9" w:rsidRPr="00BA3F06">
        <w:rPr>
          <w:color w:val="0070C0"/>
        </w:rPr>
        <w:t>nine countries in Latin America (Brazil, Bolivia, Colombia, Guatemala, Nicaragua and Paraguay)</w:t>
      </w:r>
      <w:r w:rsidR="00BA3F06">
        <w:rPr>
          <w:color w:val="0070C0"/>
        </w:rPr>
        <w:t>.</w:t>
      </w:r>
      <w:r w:rsidR="00B818CF">
        <w:rPr>
          <w:color w:val="0070C0"/>
        </w:rPr>
        <w:t xml:space="preserve"> </w:t>
      </w:r>
    </w:p>
    <w:p w:rsidR="00705385" w:rsidRPr="00BA3F06" w:rsidRDefault="00705385" w:rsidP="00705385">
      <w:pPr>
        <w:pStyle w:val="BodyText"/>
        <w:jc w:val="both"/>
        <w:rPr>
          <w:color w:val="0070C0"/>
        </w:rPr>
      </w:pPr>
      <w:r w:rsidRPr="00BA3F06">
        <w:rPr>
          <w:b/>
          <w:color w:val="0070C0"/>
        </w:rPr>
        <w:t>Paraguay for All</w:t>
      </w:r>
      <w:r w:rsidRPr="00BA3F06">
        <w:rPr>
          <w:color w:val="0070C0"/>
        </w:rPr>
        <w:t xml:space="preserve">: </w:t>
      </w:r>
      <w:r w:rsidR="006A50B6">
        <w:rPr>
          <w:color w:val="0070C0"/>
        </w:rPr>
        <w:t xml:space="preserve">In 2011, </w:t>
      </w:r>
      <w:r w:rsidRPr="00BA3F06">
        <w:rPr>
          <w:color w:val="0070C0"/>
        </w:rPr>
        <w:t xml:space="preserve">Australia </w:t>
      </w:r>
      <w:r w:rsidR="006A50B6">
        <w:rPr>
          <w:color w:val="0070C0"/>
        </w:rPr>
        <w:t>partnered</w:t>
      </w:r>
      <w:r w:rsidRPr="00BA3F06">
        <w:rPr>
          <w:color w:val="0070C0"/>
        </w:rPr>
        <w:t xml:space="preserve"> with Chile</w:t>
      </w:r>
      <w:r w:rsidR="006A50B6">
        <w:rPr>
          <w:color w:val="0070C0"/>
        </w:rPr>
        <w:t xml:space="preserve"> and Germany</w:t>
      </w:r>
      <w:r w:rsidRPr="00BA3F06">
        <w:rPr>
          <w:color w:val="0070C0"/>
        </w:rPr>
        <w:t xml:space="preserve"> in a trilateral cooperation initiative to improve the </w:t>
      </w:r>
      <w:r w:rsidR="006A50B6">
        <w:rPr>
          <w:color w:val="0070C0"/>
        </w:rPr>
        <w:t>Paraguayan government’s capacity to plan and deliver</w:t>
      </w:r>
      <w:r w:rsidRPr="00BA3F06">
        <w:rPr>
          <w:color w:val="0070C0"/>
        </w:rPr>
        <w:t xml:space="preserve"> </w:t>
      </w:r>
      <w:r w:rsidR="006A50B6">
        <w:rPr>
          <w:color w:val="0070C0"/>
        </w:rPr>
        <w:t>coordinated</w:t>
      </w:r>
      <w:r w:rsidRPr="00BA3F06">
        <w:rPr>
          <w:color w:val="0070C0"/>
        </w:rPr>
        <w:t xml:space="preserve"> social services in. With the support of the project, the government of Paraguay has recently launched its first National Housing and Habitat Plan. Paraguay suffers from a housing deficit of approximately 800,000 housing units, and this is projected to grow to over 1.5 million by 2020 based on current projections. This is the second highest rate in Latin America after Haiti.</w:t>
      </w:r>
      <w:r w:rsidR="006A50B6">
        <w:rPr>
          <w:color w:val="0070C0"/>
        </w:rPr>
        <w:t xml:space="preserve"> This is an </w:t>
      </w:r>
      <w:r>
        <w:rPr>
          <w:color w:val="0070C0"/>
        </w:rPr>
        <w:t xml:space="preserve">ambitious project and implementation has been </w:t>
      </w:r>
      <w:r w:rsidR="003F79C6">
        <w:rPr>
          <w:color w:val="0070C0"/>
        </w:rPr>
        <w:t xml:space="preserve">slower than expected due to a highly </w:t>
      </w:r>
      <w:r w:rsidR="006A50B6">
        <w:rPr>
          <w:color w:val="0070C0"/>
        </w:rPr>
        <w:t>complex</w:t>
      </w:r>
      <w:r w:rsidR="003F79C6">
        <w:rPr>
          <w:color w:val="0070C0"/>
        </w:rPr>
        <w:t xml:space="preserve"> operating environment.</w:t>
      </w:r>
      <w:r>
        <w:rPr>
          <w:color w:val="0070C0"/>
        </w:rPr>
        <w:t xml:space="preserve"> AusAID is working closely with all partners to </w:t>
      </w:r>
      <w:r w:rsidR="006A50B6">
        <w:rPr>
          <w:color w:val="0070C0"/>
        </w:rPr>
        <w:t>review progress and timeframes</w:t>
      </w:r>
      <w:r>
        <w:rPr>
          <w:color w:val="0070C0"/>
        </w:rPr>
        <w:t xml:space="preserve">. </w:t>
      </w:r>
    </w:p>
    <w:p w:rsidR="00BA3F06" w:rsidRPr="00BA3F06" w:rsidRDefault="00BA3F06" w:rsidP="00BA3F06">
      <w:pPr>
        <w:pStyle w:val="BodyText"/>
        <w:jc w:val="both"/>
        <w:rPr>
          <w:color w:val="0070C0"/>
        </w:rPr>
      </w:pPr>
    </w:p>
    <w:p w:rsidR="005C2DAC" w:rsidRPr="00C67023" w:rsidRDefault="006850A3" w:rsidP="00C67023">
      <w:pPr>
        <w:pStyle w:val="Heading2"/>
        <w:keepNext/>
        <w:numPr>
          <w:ilvl w:val="1"/>
          <w:numId w:val="7"/>
        </w:numPr>
        <w:tabs>
          <w:tab w:val="left" w:pos="1920"/>
        </w:tabs>
        <w:spacing w:before="0" w:after="120" w:line="320" w:lineRule="atLeast"/>
        <w:ind w:left="0"/>
        <w:jc w:val="both"/>
        <w:rPr>
          <w:b/>
        </w:rPr>
      </w:pPr>
      <w:r w:rsidRPr="00C67023">
        <w:rPr>
          <w:b/>
        </w:rPr>
        <w:lastRenderedPageBreak/>
        <w:t>Strategic Goal</w:t>
      </w:r>
      <w:r w:rsidR="00C67023">
        <w:rPr>
          <w:b/>
        </w:rPr>
        <w:t xml:space="preserve"> 3 </w:t>
      </w:r>
      <w:r w:rsidR="005C2DAC" w:rsidRPr="00C67023">
        <w:rPr>
          <w:b/>
        </w:rPr>
        <w:t>– Enhanced hum</w:t>
      </w:r>
      <w:r w:rsidR="00C67023">
        <w:rPr>
          <w:b/>
        </w:rPr>
        <w:t>anitarian and disaster response</w:t>
      </w:r>
    </w:p>
    <w:p w:rsidR="006850A3" w:rsidRPr="00974EBB" w:rsidRDefault="006850A3" w:rsidP="00C67023">
      <w:pPr>
        <w:pStyle w:val="Heading2"/>
        <w:keepNext/>
        <w:numPr>
          <w:ilvl w:val="1"/>
          <w:numId w:val="7"/>
        </w:numPr>
        <w:tabs>
          <w:tab w:val="left" w:pos="1920"/>
        </w:tabs>
        <w:spacing w:before="0" w:after="120" w:line="320" w:lineRule="atLeast"/>
        <w:ind w:left="0"/>
        <w:jc w:val="both"/>
        <w:rPr>
          <w:i/>
          <w:sz w:val="20"/>
          <w:szCs w:val="20"/>
        </w:rPr>
      </w:pPr>
      <w:r w:rsidRPr="00974EBB">
        <w:rPr>
          <w:i/>
          <w:sz w:val="20"/>
          <w:szCs w:val="20"/>
        </w:rPr>
        <w:t>More effective preparedness and responses to disasters and crises</w:t>
      </w:r>
    </w:p>
    <w:p w:rsidR="001B6F87" w:rsidRPr="00961238" w:rsidRDefault="001B6F87" w:rsidP="001B6F87">
      <w:pPr>
        <w:pStyle w:val="Heading2"/>
        <w:keepNext/>
        <w:tabs>
          <w:tab w:val="left" w:pos="1920"/>
        </w:tabs>
        <w:spacing w:before="0" w:after="120" w:line="320" w:lineRule="atLeast"/>
        <w:jc w:val="both"/>
        <w:rPr>
          <w:color w:val="auto"/>
          <w:sz w:val="20"/>
          <w:szCs w:val="20"/>
        </w:rPr>
      </w:pPr>
      <w:r w:rsidRPr="00961238">
        <w:rPr>
          <w:color w:val="auto"/>
          <w:sz w:val="20"/>
          <w:szCs w:val="20"/>
        </w:rPr>
        <w:t xml:space="preserve">Rating: </w:t>
      </w:r>
      <w:r w:rsidR="00F5446D">
        <w:rPr>
          <w:color w:val="FFC000"/>
          <w:highlight w:val="darkGreen"/>
        </w:rPr>
        <w:t xml:space="preserve">  </w:t>
      </w:r>
      <w:r w:rsidRPr="00F5446D">
        <w:rPr>
          <w:color w:val="auto"/>
          <w:sz w:val="20"/>
          <w:szCs w:val="20"/>
          <w:highlight w:val="darkGreen"/>
        </w:rPr>
        <w:t> </w:t>
      </w:r>
      <w:r w:rsidRPr="00961238">
        <w:rPr>
          <w:color w:val="auto"/>
          <w:sz w:val="20"/>
          <w:szCs w:val="20"/>
        </w:rPr>
        <w:t xml:space="preserve">The objective will be </w:t>
      </w:r>
      <w:r w:rsidR="00F5446D">
        <w:rPr>
          <w:color w:val="auto"/>
          <w:sz w:val="20"/>
          <w:szCs w:val="20"/>
        </w:rPr>
        <w:t>fully</w:t>
      </w:r>
      <w:r w:rsidR="003F79C6">
        <w:rPr>
          <w:color w:val="auto"/>
          <w:sz w:val="20"/>
          <w:szCs w:val="20"/>
        </w:rPr>
        <w:t xml:space="preserve"> </w:t>
      </w:r>
      <w:r w:rsidRPr="00961238">
        <w:rPr>
          <w:color w:val="auto"/>
          <w:sz w:val="20"/>
          <w:szCs w:val="20"/>
        </w:rPr>
        <w:t>achieved within the timeframe of the strategy.</w:t>
      </w:r>
    </w:p>
    <w:p w:rsidR="00271C68" w:rsidRPr="00BA3F06" w:rsidRDefault="00974EBB" w:rsidP="00BA3F06">
      <w:pPr>
        <w:pStyle w:val="BodyText"/>
        <w:jc w:val="both"/>
        <w:rPr>
          <w:color w:val="0070C0"/>
        </w:rPr>
      </w:pPr>
      <w:r>
        <w:rPr>
          <w:color w:val="0070C0"/>
        </w:rPr>
        <w:t>Less developed countr</w:t>
      </w:r>
      <w:r w:rsidR="006A50B6">
        <w:rPr>
          <w:color w:val="0070C0"/>
        </w:rPr>
        <w:t>ies and poor people</w:t>
      </w:r>
      <w:r w:rsidR="00271C68" w:rsidRPr="00BA3F06">
        <w:rPr>
          <w:color w:val="0070C0"/>
        </w:rPr>
        <w:t xml:space="preserve"> are particularly vulnerable and suffer disproportionately from natural disasters and environmental</w:t>
      </w:r>
      <w:r>
        <w:rPr>
          <w:color w:val="0070C0"/>
        </w:rPr>
        <w:t xml:space="preserve"> crises</w:t>
      </w:r>
      <w:r w:rsidR="00271C68" w:rsidRPr="00BA3F06">
        <w:rPr>
          <w:color w:val="0070C0"/>
        </w:rPr>
        <w:t>. Natural disasters in recent years in Chile, Colombia, Brazil and Central America, have placed significant pressure on poverty reduction efforts.</w:t>
      </w:r>
      <w:r w:rsidR="001C3652" w:rsidRPr="00BA3F06">
        <w:rPr>
          <w:color w:val="0070C0"/>
        </w:rPr>
        <w:t xml:space="preserve"> </w:t>
      </w:r>
      <w:r w:rsidR="00271C68" w:rsidRPr="00BA3F06">
        <w:rPr>
          <w:color w:val="0070C0"/>
        </w:rPr>
        <w:t xml:space="preserve">Guatemala, El Salvador, Honduras and Nicaragua are the poorest countries in Central America, and they are extremely vulnerable to frequent climatic changes </w:t>
      </w:r>
      <w:r w:rsidR="006A50B6">
        <w:rPr>
          <w:color w:val="0070C0"/>
        </w:rPr>
        <w:t>and natural disasters</w:t>
      </w:r>
      <w:r w:rsidR="000C5FAC">
        <w:rPr>
          <w:color w:val="0070C0"/>
        </w:rPr>
        <w:t xml:space="preserve"> (</w:t>
      </w:r>
      <w:r w:rsidR="00271C68" w:rsidRPr="00BA3F06">
        <w:rPr>
          <w:color w:val="0070C0"/>
        </w:rPr>
        <w:t>floods, droughts and storms</w:t>
      </w:r>
      <w:r w:rsidR="006A50B6">
        <w:rPr>
          <w:color w:val="0070C0"/>
        </w:rPr>
        <w:t xml:space="preserve">, </w:t>
      </w:r>
      <w:r w:rsidR="00271C68" w:rsidRPr="00BA3F06">
        <w:rPr>
          <w:color w:val="0070C0"/>
        </w:rPr>
        <w:t xml:space="preserve">earthquakes, and volcanos) which have </w:t>
      </w:r>
      <w:r w:rsidR="006A50B6">
        <w:rPr>
          <w:color w:val="0070C0"/>
        </w:rPr>
        <w:t>destroyed infrastructure, reduced food supplies and</w:t>
      </w:r>
      <w:r w:rsidR="00B818CF">
        <w:rPr>
          <w:color w:val="0070C0"/>
        </w:rPr>
        <w:t xml:space="preserve"> </w:t>
      </w:r>
      <w:r w:rsidR="00271C68" w:rsidRPr="00BA3F06">
        <w:rPr>
          <w:color w:val="0070C0"/>
        </w:rPr>
        <w:t>crop yields</w:t>
      </w:r>
      <w:r w:rsidR="006A50B6">
        <w:rPr>
          <w:color w:val="0070C0"/>
        </w:rPr>
        <w:t xml:space="preserve"> for domestic and export</w:t>
      </w:r>
      <w:r w:rsidR="00271C68" w:rsidRPr="00BA3F06">
        <w:rPr>
          <w:color w:val="0070C0"/>
        </w:rPr>
        <w:t xml:space="preserve">. </w:t>
      </w:r>
    </w:p>
    <w:p w:rsidR="001C311E" w:rsidRDefault="001C311E" w:rsidP="00BA3F06">
      <w:pPr>
        <w:pStyle w:val="BodyText"/>
        <w:jc w:val="both"/>
        <w:rPr>
          <w:color w:val="0070C0"/>
        </w:rPr>
      </w:pPr>
      <w:r>
        <w:rPr>
          <w:color w:val="0070C0"/>
        </w:rPr>
        <w:t xml:space="preserve">The Latin America program primarily supports </w:t>
      </w:r>
      <w:r w:rsidR="006A50B6">
        <w:rPr>
          <w:color w:val="0070C0"/>
        </w:rPr>
        <w:t>regional response</w:t>
      </w:r>
      <w:r>
        <w:rPr>
          <w:color w:val="0070C0"/>
        </w:rPr>
        <w:t>s</w:t>
      </w:r>
      <w:r w:rsidR="006A50B6">
        <w:rPr>
          <w:color w:val="0070C0"/>
        </w:rPr>
        <w:t xml:space="preserve"> to</w:t>
      </w:r>
      <w:r>
        <w:rPr>
          <w:color w:val="0070C0"/>
        </w:rPr>
        <w:t xml:space="preserve"> humanitarian and disaster responses by contributing to multilateral or regional programs such as the WFP, </w:t>
      </w:r>
      <w:r w:rsidR="00DE3556" w:rsidRPr="00BA3F06">
        <w:rPr>
          <w:color w:val="0070C0"/>
        </w:rPr>
        <w:t>World Bank Global Fund for Disaster Reduction</w:t>
      </w:r>
      <w:r>
        <w:rPr>
          <w:color w:val="0070C0"/>
        </w:rPr>
        <w:t xml:space="preserve"> (GFDRR)</w:t>
      </w:r>
      <w:r w:rsidR="00DE3556" w:rsidRPr="00BA3F06">
        <w:rPr>
          <w:color w:val="0070C0"/>
        </w:rPr>
        <w:t xml:space="preserve"> and the United Nations International Strategy for Disaster Reduction (UNISDR). </w:t>
      </w:r>
    </w:p>
    <w:p w:rsidR="001C311E" w:rsidRDefault="00510410" w:rsidP="00BA3F06">
      <w:pPr>
        <w:pStyle w:val="BodyText"/>
        <w:jc w:val="both"/>
        <w:rPr>
          <w:color w:val="0070C0"/>
        </w:rPr>
      </w:pPr>
      <w:r w:rsidRPr="00BA3F06">
        <w:rPr>
          <w:b/>
          <w:color w:val="0070C0"/>
        </w:rPr>
        <w:t>Food security in Central America (</w:t>
      </w:r>
      <w:r w:rsidR="00977F0B" w:rsidRPr="00BA3F06">
        <w:rPr>
          <w:b/>
          <w:color w:val="0070C0"/>
        </w:rPr>
        <w:t>W</w:t>
      </w:r>
      <w:r w:rsidR="00B05049" w:rsidRPr="00BA3F06">
        <w:rPr>
          <w:b/>
          <w:color w:val="0070C0"/>
        </w:rPr>
        <w:t>orld Food Program</w:t>
      </w:r>
      <w:r w:rsidR="00977F0B" w:rsidRPr="00BA3F06">
        <w:rPr>
          <w:b/>
          <w:color w:val="0070C0"/>
        </w:rPr>
        <w:t xml:space="preserve"> PRRO20043</w:t>
      </w:r>
      <w:r w:rsidRPr="00BA3F06">
        <w:rPr>
          <w:b/>
          <w:color w:val="0070C0"/>
        </w:rPr>
        <w:t>)</w:t>
      </w:r>
      <w:r w:rsidR="00B05049" w:rsidRPr="00BA3F06">
        <w:rPr>
          <w:b/>
          <w:color w:val="0070C0"/>
        </w:rPr>
        <w:t>:</w:t>
      </w:r>
      <w:r w:rsidR="00B05049" w:rsidRPr="00BA3F06">
        <w:rPr>
          <w:color w:val="0070C0"/>
        </w:rPr>
        <w:t xml:space="preserve"> </w:t>
      </w:r>
      <w:r w:rsidR="00977F0B" w:rsidRPr="00BA3F06">
        <w:rPr>
          <w:color w:val="0070C0"/>
        </w:rPr>
        <w:t xml:space="preserve">In 2011, Australia provided $2.5 million to the WFP to pre-position food donated by Brazil to regional distribution </w:t>
      </w:r>
      <w:r w:rsidR="00B05049" w:rsidRPr="00BA3F06">
        <w:rPr>
          <w:color w:val="0070C0"/>
        </w:rPr>
        <w:t>centres</w:t>
      </w:r>
      <w:r w:rsidR="00977F0B" w:rsidRPr="00BA3F06">
        <w:rPr>
          <w:color w:val="0070C0"/>
        </w:rPr>
        <w:t xml:space="preserve"> in El Salvador, Guatemala, Honduras and Nicaragua. Australia financed the transportation and distribution of over 6200 mt of food (corn, rice and beans) to more than 440,000 beneficiaries which were affected by natural disasters, in particular Tropical Depression 12E which affected 1.5 million people in the region. This was 118 per cent over planned figures. The pre-positioning of </w:t>
      </w:r>
      <w:r w:rsidR="00B05049" w:rsidRPr="00BA3F06">
        <w:rPr>
          <w:color w:val="0070C0"/>
        </w:rPr>
        <w:t>food stocks</w:t>
      </w:r>
      <w:r w:rsidR="00977F0B" w:rsidRPr="00BA3F06">
        <w:rPr>
          <w:color w:val="0070C0"/>
        </w:rPr>
        <w:t xml:space="preserve"> allowed WFP to respond rapidly to the onset of disasters and begin general food distribution, focused particularly on children under 2 and pregnant and lactating mothers. This eliminated the approximate 3 month lead time of purchasing, storing and distributing </w:t>
      </w:r>
      <w:r w:rsidR="00B05049" w:rsidRPr="00BA3F06">
        <w:rPr>
          <w:color w:val="0070C0"/>
        </w:rPr>
        <w:t>food stock</w:t>
      </w:r>
      <w:r w:rsidR="00977F0B" w:rsidRPr="00BA3F06">
        <w:rPr>
          <w:color w:val="0070C0"/>
        </w:rPr>
        <w:t xml:space="preserve"> and therefore avoided a deterioration of the nutritional status of the affected population and allowed an early recovery effort to begin. </w:t>
      </w:r>
    </w:p>
    <w:p w:rsidR="00977F0B" w:rsidRPr="00BA3F06" w:rsidRDefault="00977F0B" w:rsidP="00BA3F06">
      <w:pPr>
        <w:pStyle w:val="BodyText"/>
        <w:jc w:val="both"/>
        <w:rPr>
          <w:color w:val="0070C0"/>
        </w:rPr>
      </w:pPr>
      <w:r w:rsidRPr="00BA3F06">
        <w:rPr>
          <w:color w:val="0070C0"/>
        </w:rPr>
        <w:t xml:space="preserve">The four Central American countries account for approximately 96 per cent of undernourished individuals in Latin America, with 59 </w:t>
      </w:r>
      <w:r w:rsidR="00B05049" w:rsidRPr="00BA3F06">
        <w:rPr>
          <w:color w:val="0070C0"/>
        </w:rPr>
        <w:t>percent</w:t>
      </w:r>
      <w:r w:rsidRPr="00BA3F06">
        <w:rPr>
          <w:color w:val="0070C0"/>
        </w:rPr>
        <w:t xml:space="preserve"> of them in Guatemala (World Bank 2007, Demographic and Health Survey for Disease Control in El Salvador, Guatemala, Honduras and Nicaragua). It was also the first time Australian funds were 'twinned' with a country from Latin America and is a demonstration of an effective trilateral cooperation partnership in the region</w:t>
      </w:r>
      <w:r w:rsidR="00234EC6">
        <w:rPr>
          <w:color w:val="0070C0"/>
        </w:rPr>
        <w:t xml:space="preserve"> </w:t>
      </w:r>
      <w:r w:rsidR="00C31BFE">
        <w:rPr>
          <w:color w:val="0070C0"/>
        </w:rPr>
        <w:t xml:space="preserve">resulting </w:t>
      </w:r>
      <w:r w:rsidR="00C31BFE" w:rsidRPr="00BA3F06">
        <w:rPr>
          <w:color w:val="0070C0"/>
        </w:rPr>
        <w:t>in</w:t>
      </w:r>
      <w:r w:rsidRPr="00BA3F06">
        <w:rPr>
          <w:color w:val="0070C0"/>
        </w:rPr>
        <w:t xml:space="preserve"> the delivery of $2 worth of aid for every $1 contributed by Australia. </w:t>
      </w:r>
    </w:p>
    <w:p w:rsidR="00977F0B" w:rsidRPr="00BA3F06" w:rsidRDefault="00977F0B" w:rsidP="00BA3F06">
      <w:pPr>
        <w:pStyle w:val="BodyText"/>
        <w:jc w:val="both"/>
        <w:rPr>
          <w:color w:val="0070C0"/>
        </w:rPr>
      </w:pPr>
      <w:r w:rsidRPr="00BA3F06">
        <w:rPr>
          <w:b/>
          <w:color w:val="0070C0"/>
        </w:rPr>
        <w:t>Responding to natural disasters in Guatemala (WFP &amp; FAO)</w:t>
      </w:r>
      <w:r w:rsidR="00B05049" w:rsidRPr="00BA3F06">
        <w:rPr>
          <w:b/>
          <w:color w:val="0070C0"/>
        </w:rPr>
        <w:t>:</w:t>
      </w:r>
      <w:r w:rsidR="00B05049" w:rsidRPr="00BA3F06">
        <w:rPr>
          <w:color w:val="0070C0"/>
        </w:rPr>
        <w:t xml:space="preserve"> </w:t>
      </w:r>
      <w:r w:rsidRPr="00BA3F06">
        <w:rPr>
          <w:color w:val="0070C0"/>
        </w:rPr>
        <w:t xml:space="preserve">In 2010, Guatemala suffered a catastrophic year wrought by volcanic eruptions (Pacaya, May 2010), tropical storms (Agatha, May 2010), and torrential rains (Tropical Depression 11-E, September 2010). </w:t>
      </w:r>
      <w:r w:rsidR="00234EC6">
        <w:rPr>
          <w:color w:val="0070C0"/>
        </w:rPr>
        <w:t>The Latin America program</w:t>
      </w:r>
      <w:r w:rsidRPr="00BA3F06">
        <w:rPr>
          <w:color w:val="0070C0"/>
        </w:rPr>
        <w:t xml:space="preserve"> </w:t>
      </w:r>
      <w:r w:rsidR="00234EC6">
        <w:rPr>
          <w:color w:val="0070C0"/>
        </w:rPr>
        <w:t>provided</w:t>
      </w:r>
      <w:r w:rsidRPr="00BA3F06">
        <w:rPr>
          <w:color w:val="0070C0"/>
        </w:rPr>
        <w:t xml:space="preserve"> $500,000 through the WFP </w:t>
      </w:r>
      <w:r w:rsidR="00234EC6">
        <w:rPr>
          <w:color w:val="0070C0"/>
        </w:rPr>
        <w:t>to</w:t>
      </w:r>
      <w:r w:rsidRPr="00BA3F06">
        <w:rPr>
          <w:color w:val="0070C0"/>
        </w:rPr>
        <w:t xml:space="preserve"> </w:t>
      </w:r>
      <w:r w:rsidR="00234EC6">
        <w:rPr>
          <w:color w:val="0070C0"/>
        </w:rPr>
        <w:t>deliver</w:t>
      </w:r>
      <w:r w:rsidRPr="00BA3F06">
        <w:rPr>
          <w:color w:val="0070C0"/>
        </w:rPr>
        <w:t xml:space="preserve"> 394 metric tonnes of maize; 98 metric tonnes of corn soya blend; 20 metric tonnes of fortified vegetable oil; and, 39 metric tonnes of black beans to assist 22,261 people over a 6 month period.</w:t>
      </w:r>
      <w:r w:rsidR="00B818CF">
        <w:rPr>
          <w:color w:val="0070C0"/>
        </w:rPr>
        <w:t xml:space="preserve"> </w:t>
      </w:r>
      <w:r w:rsidR="00234EC6">
        <w:rPr>
          <w:color w:val="0070C0"/>
        </w:rPr>
        <w:t xml:space="preserve">AusAID also </w:t>
      </w:r>
      <w:r w:rsidRPr="00BA3F06">
        <w:rPr>
          <w:color w:val="0070C0"/>
        </w:rPr>
        <w:t>partner</w:t>
      </w:r>
      <w:r w:rsidR="00234EC6">
        <w:rPr>
          <w:color w:val="0070C0"/>
        </w:rPr>
        <w:t>ed</w:t>
      </w:r>
      <w:r w:rsidRPr="00BA3F06">
        <w:rPr>
          <w:color w:val="0070C0"/>
        </w:rPr>
        <w:t xml:space="preserve"> with the FAO to restore food production and the livelihoods of rural women in Guatemala. </w:t>
      </w:r>
      <w:r w:rsidR="00234EC6">
        <w:rPr>
          <w:color w:val="0070C0"/>
        </w:rPr>
        <w:t>A</w:t>
      </w:r>
      <w:r w:rsidRPr="00BA3F06">
        <w:rPr>
          <w:color w:val="0070C0"/>
        </w:rPr>
        <w:t xml:space="preserve"> $750,000 grant supported 5000 rural women (35,000 beneficiaries</w:t>
      </w:r>
      <w:r w:rsidR="00234EC6">
        <w:rPr>
          <w:color w:val="0070C0"/>
        </w:rPr>
        <w:t xml:space="preserve"> including their families</w:t>
      </w:r>
      <w:r w:rsidRPr="00BA3F06">
        <w:rPr>
          <w:color w:val="0070C0"/>
        </w:rPr>
        <w:t>)</w:t>
      </w:r>
      <w:r w:rsidR="00234EC6">
        <w:rPr>
          <w:color w:val="0070C0"/>
        </w:rPr>
        <w:t xml:space="preserve"> to</w:t>
      </w:r>
      <w:r w:rsidRPr="00BA3F06">
        <w:rPr>
          <w:color w:val="0070C0"/>
        </w:rPr>
        <w:t xml:space="preserve"> increase their food security </w:t>
      </w:r>
      <w:r w:rsidR="00234EC6">
        <w:rPr>
          <w:color w:val="0070C0"/>
        </w:rPr>
        <w:t>by</w:t>
      </w:r>
      <w:r w:rsidRPr="00BA3F06">
        <w:rPr>
          <w:color w:val="0070C0"/>
        </w:rPr>
        <w:t xml:space="preserve"> developing their backyard gardens and </w:t>
      </w:r>
      <w:r w:rsidR="00234EC6">
        <w:rPr>
          <w:color w:val="0070C0"/>
        </w:rPr>
        <w:t xml:space="preserve">building their </w:t>
      </w:r>
      <w:r w:rsidRPr="00BA3F06">
        <w:rPr>
          <w:color w:val="0070C0"/>
        </w:rPr>
        <w:t xml:space="preserve">resilience to future natural disasters. The project worked in 78 communities, in 8 municipalities across 3 departments in south-west </w:t>
      </w:r>
      <w:r w:rsidR="00234EC6">
        <w:rPr>
          <w:color w:val="0070C0"/>
        </w:rPr>
        <w:t>Guatemala.</w:t>
      </w:r>
      <w:r w:rsidRPr="00BA3F06">
        <w:rPr>
          <w:color w:val="0070C0"/>
        </w:rPr>
        <w:t xml:space="preserve"> </w:t>
      </w:r>
    </w:p>
    <w:p w:rsidR="00EA72B2" w:rsidRDefault="00EA72B2" w:rsidP="00BA3F06">
      <w:pPr>
        <w:pStyle w:val="BodyText"/>
        <w:jc w:val="both"/>
        <w:rPr>
          <w:color w:val="0070C0"/>
        </w:rPr>
      </w:pPr>
      <w:r w:rsidRPr="00BA3F06">
        <w:rPr>
          <w:b/>
          <w:color w:val="0070C0"/>
        </w:rPr>
        <w:t>Red Cross in Central America</w:t>
      </w:r>
      <w:r w:rsidR="00B05049" w:rsidRPr="00BA3F06">
        <w:rPr>
          <w:color w:val="0070C0"/>
        </w:rPr>
        <w:t xml:space="preserve">: </w:t>
      </w:r>
      <w:r w:rsidRPr="00BA3F06">
        <w:rPr>
          <w:color w:val="0070C0"/>
        </w:rPr>
        <w:t xml:space="preserve">In November 2011, Australia provided $1 million through the Red Cross to assist 5300 families (26,500 persons) in El Salvador, Guatemala, Honduras and Nicaragua, who were affected by floods. Activities include the distribution of food parcels </w:t>
      </w:r>
      <w:r w:rsidRPr="00BA3F06">
        <w:rPr>
          <w:color w:val="0070C0"/>
        </w:rPr>
        <w:lastRenderedPageBreak/>
        <w:t>and non-food items (blankets, kitchen sets, hygiene kits and jerry cans), access to safe water (through water filters and water treatment plants), essential shelter items, hygiene and health promotion, as well as psychosocial support.</w:t>
      </w:r>
    </w:p>
    <w:p w:rsidR="001C311E" w:rsidRPr="00BA3F06" w:rsidRDefault="001C311E" w:rsidP="001C311E">
      <w:pPr>
        <w:pStyle w:val="BodyText"/>
        <w:jc w:val="both"/>
        <w:rPr>
          <w:color w:val="0070C0"/>
        </w:rPr>
      </w:pPr>
      <w:r w:rsidRPr="00BA3F06">
        <w:rPr>
          <w:b/>
          <w:color w:val="0070C0"/>
        </w:rPr>
        <w:t>Chile earthquake and Fundacion Integra</w:t>
      </w:r>
      <w:r w:rsidRPr="00BA3F06">
        <w:rPr>
          <w:color w:val="0070C0"/>
        </w:rPr>
        <w:t xml:space="preserve">: </w:t>
      </w:r>
      <w:r>
        <w:rPr>
          <w:color w:val="0070C0"/>
        </w:rPr>
        <w:t>In 2010, f</w:t>
      </w:r>
      <w:r w:rsidRPr="00BA3F06">
        <w:rPr>
          <w:color w:val="0070C0"/>
        </w:rPr>
        <w:t>ollowing the 8.8 magnitude earthquake to hit Chile on 27 February 2010, Australia responded. First, by providing $2 million of immediate relief emergency supplies including generators, tents, stretcher beds and rain jackets, which were delivered to regional centres and disbursed to affected communities in Concepción, Talca, Rancagua, and the regions of Maule and Bío Bío. Second, following a request by the government, Australia entered into an agreement with Fundacion Integra to rebuild 32 child care centres for lower socio-economic and vulnerable populations that were most affected by the earthquake and tsunami. To date, all 32 child care centres have been rebuilt and are functioning. This has allowed 2728 girls and boys to return to full-time child care, free-of-charge, and receive quality education and nutrition in a safe environment. The project has achieved 100 per cent of its objectives.</w:t>
      </w:r>
    </w:p>
    <w:p w:rsidR="00111F1D" w:rsidRDefault="00111F1D" w:rsidP="002412F2">
      <w:pPr>
        <w:spacing w:before="80"/>
        <w:jc w:val="both"/>
        <w:rPr>
          <w:rFonts w:ascii="Franklin Gothic Demi" w:hAnsi="Franklin Gothic Demi"/>
          <w:color w:val="AD495D"/>
          <w:kern w:val="28"/>
          <w:sz w:val="28"/>
          <w:szCs w:val="28"/>
        </w:rPr>
      </w:pPr>
    </w:p>
    <w:p w:rsidR="002412F2" w:rsidRPr="0067772C" w:rsidRDefault="002412F2" w:rsidP="002412F2">
      <w:pPr>
        <w:spacing w:before="80"/>
        <w:jc w:val="both"/>
        <w:rPr>
          <w:rFonts w:ascii="Franklin Gothic Demi" w:hAnsi="Franklin Gothic Demi"/>
          <w:color w:val="AD495D"/>
          <w:kern w:val="28"/>
          <w:sz w:val="28"/>
          <w:szCs w:val="28"/>
        </w:rPr>
      </w:pPr>
      <w:r>
        <w:rPr>
          <w:rFonts w:ascii="Franklin Gothic Demi" w:hAnsi="Franklin Gothic Demi"/>
          <w:color w:val="AD495D"/>
          <w:kern w:val="28"/>
          <w:sz w:val="28"/>
          <w:szCs w:val="28"/>
        </w:rPr>
        <w:t>Program Quality</w:t>
      </w:r>
    </w:p>
    <w:p w:rsidR="002412F2" w:rsidRDefault="00034256" w:rsidP="002412F2">
      <w:pPr>
        <w:pStyle w:val="BodyText"/>
        <w:jc w:val="both"/>
        <w:rPr>
          <w:color w:val="0070C0"/>
        </w:rPr>
      </w:pPr>
      <w:r w:rsidRPr="00034256">
        <w:rPr>
          <w:b/>
          <w:color w:val="0070C0"/>
        </w:rPr>
        <w:t xml:space="preserve">Aid effectiveness </w:t>
      </w:r>
      <w:r w:rsidR="00111F1D" w:rsidRPr="00034256">
        <w:rPr>
          <w:b/>
          <w:color w:val="0070C0"/>
        </w:rPr>
        <w:t>principles</w:t>
      </w:r>
      <w:r w:rsidR="00111F1D">
        <w:rPr>
          <w:color w:val="0070C0"/>
        </w:rPr>
        <w:t xml:space="preserve">: </w:t>
      </w:r>
      <w:r w:rsidR="002412F2">
        <w:rPr>
          <w:color w:val="0070C0"/>
        </w:rPr>
        <w:t>Partners</w:t>
      </w:r>
      <w:r w:rsidR="00717340">
        <w:rPr>
          <w:color w:val="0070C0"/>
        </w:rPr>
        <w:t xml:space="preserve">hips with multilateral, </w:t>
      </w:r>
      <w:r w:rsidR="002412F2">
        <w:rPr>
          <w:color w:val="0070C0"/>
        </w:rPr>
        <w:t>bilateral</w:t>
      </w:r>
      <w:r w:rsidR="00717340">
        <w:rPr>
          <w:color w:val="0070C0"/>
        </w:rPr>
        <w:t xml:space="preserve"> and trilateral donors</w:t>
      </w:r>
      <w:r w:rsidR="002412F2">
        <w:rPr>
          <w:color w:val="0070C0"/>
        </w:rPr>
        <w:t xml:space="preserve"> in Latin Ame</w:t>
      </w:r>
      <w:r w:rsidR="00717340">
        <w:rPr>
          <w:color w:val="0070C0"/>
        </w:rPr>
        <w:t>rica</w:t>
      </w:r>
      <w:r w:rsidR="002412F2">
        <w:rPr>
          <w:color w:val="0070C0"/>
        </w:rPr>
        <w:t xml:space="preserve"> has </w:t>
      </w:r>
      <w:r w:rsidR="00234EC6">
        <w:rPr>
          <w:color w:val="0070C0"/>
        </w:rPr>
        <w:t>demonstrated Australia’s commitment to donor harmonisation</w:t>
      </w:r>
      <w:r w:rsidR="000C5FAC">
        <w:rPr>
          <w:color w:val="0070C0"/>
        </w:rPr>
        <w:t>:</w:t>
      </w:r>
      <w:r w:rsidR="00C31BFE">
        <w:rPr>
          <w:color w:val="0070C0"/>
        </w:rPr>
        <w:t xml:space="preserve"> building</w:t>
      </w:r>
      <w:r w:rsidR="002412F2">
        <w:rPr>
          <w:color w:val="0070C0"/>
        </w:rPr>
        <w:t xml:space="preserve"> </w:t>
      </w:r>
      <w:r w:rsidR="00717340">
        <w:rPr>
          <w:color w:val="0070C0"/>
        </w:rPr>
        <w:t>on existing programs or leveraging additional resources</w:t>
      </w:r>
      <w:r w:rsidR="002412F2">
        <w:rPr>
          <w:color w:val="0070C0"/>
        </w:rPr>
        <w:t xml:space="preserve"> </w:t>
      </w:r>
      <w:r w:rsidR="00717340">
        <w:rPr>
          <w:color w:val="0070C0"/>
        </w:rPr>
        <w:t>for programs of mutual interest; w</w:t>
      </w:r>
      <w:r w:rsidR="002412F2">
        <w:rPr>
          <w:color w:val="0070C0"/>
        </w:rPr>
        <w:t xml:space="preserve">orking through other donor systems </w:t>
      </w:r>
      <w:r w:rsidR="00717340">
        <w:rPr>
          <w:color w:val="0070C0"/>
        </w:rPr>
        <w:t>thereby reducing</w:t>
      </w:r>
      <w:r w:rsidR="002412F2">
        <w:rPr>
          <w:color w:val="0070C0"/>
        </w:rPr>
        <w:t xml:space="preserve"> our impact as a new donor on recipient country resources and our own transaction costs</w:t>
      </w:r>
      <w:r w:rsidR="000C5FAC">
        <w:rPr>
          <w:color w:val="0070C0"/>
        </w:rPr>
        <w:t>.</w:t>
      </w:r>
      <w:r w:rsidR="002412F2" w:rsidRPr="00BA3F06">
        <w:rPr>
          <w:color w:val="0070C0"/>
        </w:rPr>
        <w:t xml:space="preserve"> </w:t>
      </w:r>
      <w:r w:rsidR="002412F2">
        <w:rPr>
          <w:color w:val="0070C0"/>
        </w:rPr>
        <w:t>Joint cooperation with other partners such as WFP</w:t>
      </w:r>
      <w:r w:rsidR="00717340">
        <w:rPr>
          <w:color w:val="0070C0"/>
        </w:rPr>
        <w:t xml:space="preserve"> and UN Agencies also demonstrate this approach</w:t>
      </w:r>
      <w:r w:rsidR="000C5FAC">
        <w:rPr>
          <w:color w:val="0070C0"/>
        </w:rPr>
        <w:t>.</w:t>
      </w:r>
    </w:p>
    <w:p w:rsidR="002412F2" w:rsidRPr="00BA3F06" w:rsidRDefault="002412F2" w:rsidP="002412F2">
      <w:pPr>
        <w:pStyle w:val="BodyText"/>
        <w:jc w:val="both"/>
        <w:rPr>
          <w:color w:val="0070C0"/>
        </w:rPr>
      </w:pPr>
      <w:r>
        <w:rPr>
          <w:color w:val="0070C0"/>
        </w:rPr>
        <w:t xml:space="preserve">The Latin America program has been less successful in developing </w:t>
      </w:r>
      <w:r w:rsidR="008C79A0">
        <w:rPr>
          <w:color w:val="0070C0"/>
        </w:rPr>
        <w:t xml:space="preserve">larger, </w:t>
      </w:r>
      <w:r>
        <w:rPr>
          <w:color w:val="0070C0"/>
        </w:rPr>
        <w:t xml:space="preserve">comprehensive programs </w:t>
      </w:r>
      <w:r w:rsidR="008C79A0">
        <w:rPr>
          <w:color w:val="0070C0"/>
        </w:rPr>
        <w:t>with</w:t>
      </w:r>
      <w:r>
        <w:rPr>
          <w:color w:val="0070C0"/>
        </w:rPr>
        <w:t xml:space="preserve"> specific </w:t>
      </w:r>
      <w:r w:rsidR="008C79A0">
        <w:rPr>
          <w:color w:val="0070C0"/>
        </w:rPr>
        <w:t>measurable objectives</w:t>
      </w:r>
      <w:r>
        <w:rPr>
          <w:color w:val="0070C0"/>
        </w:rPr>
        <w:t>. This is attributed</w:t>
      </w:r>
      <w:r w:rsidR="008C79A0">
        <w:rPr>
          <w:color w:val="0070C0"/>
        </w:rPr>
        <w:t xml:space="preserve"> to a large extent</w:t>
      </w:r>
      <w:r>
        <w:rPr>
          <w:color w:val="0070C0"/>
        </w:rPr>
        <w:t xml:space="preserve"> to initial programming through global programs that are oriented to small projects</w:t>
      </w:r>
      <w:r w:rsidR="008C79A0">
        <w:rPr>
          <w:color w:val="0070C0"/>
        </w:rPr>
        <w:t>/grants and individual awards</w:t>
      </w:r>
      <w:r>
        <w:rPr>
          <w:color w:val="0070C0"/>
        </w:rPr>
        <w:t>; delays in com</w:t>
      </w:r>
      <w:r w:rsidR="00F5446D">
        <w:rPr>
          <w:color w:val="0070C0"/>
        </w:rPr>
        <w:t xml:space="preserve">pleting the Regional </w:t>
      </w:r>
      <w:r w:rsidR="002637F9">
        <w:rPr>
          <w:color w:val="0070C0"/>
        </w:rPr>
        <w:t>Program Strategy</w:t>
      </w:r>
      <w:r>
        <w:rPr>
          <w:color w:val="0070C0"/>
        </w:rPr>
        <w:t xml:space="preserve">; and </w:t>
      </w:r>
      <w:r w:rsidR="00717340">
        <w:rPr>
          <w:color w:val="0070C0"/>
        </w:rPr>
        <w:t>the complexity and scale of the regional approach v</w:t>
      </w:r>
      <w:r w:rsidR="000C5FAC">
        <w:rPr>
          <w:color w:val="0070C0"/>
        </w:rPr>
        <w:t>i</w:t>
      </w:r>
      <w:r w:rsidR="00717340">
        <w:rPr>
          <w:color w:val="0070C0"/>
        </w:rPr>
        <w:t>s a vis</w:t>
      </w:r>
      <w:r>
        <w:rPr>
          <w:color w:val="0070C0"/>
        </w:rPr>
        <w:t xml:space="preserve"> bilateral programming which enables v</w:t>
      </w:r>
      <w:r w:rsidR="002637F9">
        <w:rPr>
          <w:color w:val="0070C0"/>
        </w:rPr>
        <w:t>ery specific targeted programs.</w:t>
      </w:r>
    </w:p>
    <w:p w:rsidR="008C79A0" w:rsidRDefault="00034256" w:rsidP="002412F2">
      <w:pPr>
        <w:pStyle w:val="BodyText"/>
        <w:jc w:val="both"/>
        <w:rPr>
          <w:color w:val="0070C0"/>
        </w:rPr>
      </w:pPr>
      <w:r w:rsidRPr="00034256">
        <w:rPr>
          <w:b/>
          <w:color w:val="0070C0"/>
        </w:rPr>
        <w:t>Quality assurance</w:t>
      </w:r>
      <w:r>
        <w:rPr>
          <w:color w:val="0070C0"/>
        </w:rPr>
        <w:t xml:space="preserve">: </w:t>
      </w:r>
      <w:r w:rsidR="00974EBB">
        <w:rPr>
          <w:color w:val="0070C0"/>
        </w:rPr>
        <w:t>Notwithstanding the absence</w:t>
      </w:r>
      <w:r w:rsidR="00717340">
        <w:rPr>
          <w:color w:val="0070C0"/>
        </w:rPr>
        <w:t xml:space="preserve"> of </w:t>
      </w:r>
      <w:r w:rsidR="00974EBB">
        <w:rPr>
          <w:color w:val="0070C0"/>
        </w:rPr>
        <w:t xml:space="preserve">specific program objectives and </w:t>
      </w:r>
      <w:r w:rsidR="00717340">
        <w:rPr>
          <w:color w:val="0070C0"/>
        </w:rPr>
        <w:t xml:space="preserve">the Regional </w:t>
      </w:r>
      <w:r w:rsidR="008C79A0">
        <w:rPr>
          <w:color w:val="0070C0"/>
        </w:rPr>
        <w:t xml:space="preserve">Strategy, </w:t>
      </w:r>
      <w:r w:rsidR="002412F2">
        <w:rPr>
          <w:color w:val="0070C0"/>
        </w:rPr>
        <w:t xml:space="preserve">the </w:t>
      </w:r>
      <w:r w:rsidR="002412F2" w:rsidRPr="00BA3F06">
        <w:rPr>
          <w:color w:val="0070C0"/>
        </w:rPr>
        <w:t xml:space="preserve">Latin America program has complied with </w:t>
      </w:r>
      <w:r w:rsidR="002412F2">
        <w:rPr>
          <w:color w:val="0070C0"/>
        </w:rPr>
        <w:t xml:space="preserve">AusAID </w:t>
      </w:r>
      <w:r w:rsidR="002412F2" w:rsidRPr="00BA3F06">
        <w:rPr>
          <w:color w:val="0070C0"/>
        </w:rPr>
        <w:t xml:space="preserve">quality assurance </w:t>
      </w:r>
      <w:r w:rsidR="008C79A0">
        <w:rPr>
          <w:color w:val="0070C0"/>
        </w:rPr>
        <w:t>requirements</w:t>
      </w:r>
      <w:r w:rsidR="00974EBB">
        <w:rPr>
          <w:color w:val="0070C0"/>
        </w:rPr>
        <w:t xml:space="preserve"> and introduced modified systems where corporate processes do not apply.</w:t>
      </w:r>
      <w:r w:rsidR="00B818CF">
        <w:rPr>
          <w:color w:val="0070C0"/>
        </w:rPr>
        <w:t xml:space="preserve"> </w:t>
      </w:r>
      <w:r w:rsidR="00974EBB">
        <w:rPr>
          <w:color w:val="0070C0"/>
        </w:rPr>
        <w:t>In 2011, t</w:t>
      </w:r>
      <w:r w:rsidR="008C79A0">
        <w:rPr>
          <w:color w:val="0070C0"/>
        </w:rPr>
        <w:t>he program</w:t>
      </w:r>
      <w:r w:rsidR="002412F2">
        <w:rPr>
          <w:color w:val="0070C0"/>
        </w:rPr>
        <w:t xml:space="preserve"> completed a comprehensive design for </w:t>
      </w:r>
      <w:r w:rsidR="00F5446D">
        <w:rPr>
          <w:color w:val="0070C0"/>
        </w:rPr>
        <w:t xml:space="preserve">the scholarships program. </w:t>
      </w:r>
      <w:r w:rsidR="00974EBB">
        <w:rPr>
          <w:color w:val="0070C0"/>
        </w:rPr>
        <w:t xml:space="preserve">A QAI and external review have subsequently been undertaken also to verify effective implementation. </w:t>
      </w:r>
      <w:r w:rsidR="002412F2">
        <w:rPr>
          <w:color w:val="0070C0"/>
        </w:rPr>
        <w:t xml:space="preserve">Projects under $3 million </w:t>
      </w:r>
      <w:r w:rsidR="008C79A0">
        <w:rPr>
          <w:color w:val="0070C0"/>
        </w:rPr>
        <w:t>(</w:t>
      </w:r>
      <w:r w:rsidR="002412F2">
        <w:rPr>
          <w:color w:val="0070C0"/>
        </w:rPr>
        <w:t>which do not require full designs</w:t>
      </w:r>
      <w:r w:rsidR="002637F9">
        <w:rPr>
          <w:color w:val="0070C0"/>
        </w:rPr>
        <w:t>)</w:t>
      </w:r>
      <w:r w:rsidR="002412F2">
        <w:rPr>
          <w:color w:val="0070C0"/>
        </w:rPr>
        <w:t xml:space="preserve"> have undergone modified </w:t>
      </w:r>
      <w:r w:rsidR="008C79A0">
        <w:rPr>
          <w:color w:val="0070C0"/>
        </w:rPr>
        <w:t xml:space="preserve">design </w:t>
      </w:r>
      <w:r w:rsidR="002412F2">
        <w:rPr>
          <w:color w:val="0070C0"/>
        </w:rPr>
        <w:t>and assessment processes proportional to the scale of proposed projects.</w:t>
      </w:r>
    </w:p>
    <w:p w:rsidR="002412F2" w:rsidRDefault="008C79A0" w:rsidP="002412F2">
      <w:pPr>
        <w:pStyle w:val="BodyText"/>
        <w:jc w:val="both"/>
        <w:rPr>
          <w:color w:val="0070C0"/>
        </w:rPr>
      </w:pPr>
      <w:r>
        <w:rPr>
          <w:color w:val="0070C0"/>
        </w:rPr>
        <w:t xml:space="preserve">Where initiatives are implemented through partner agencies such as the IDB or GIZ, partner systems have been assessed for </w:t>
      </w:r>
      <w:r w:rsidR="00034256">
        <w:rPr>
          <w:color w:val="0070C0"/>
        </w:rPr>
        <w:t>compatibility</w:t>
      </w:r>
      <w:r>
        <w:rPr>
          <w:color w:val="0070C0"/>
        </w:rPr>
        <w:t xml:space="preserve"> with Australian standards.</w:t>
      </w:r>
      <w:r w:rsidR="002412F2">
        <w:rPr>
          <w:color w:val="0070C0"/>
        </w:rPr>
        <w:t xml:space="preserve"> </w:t>
      </w:r>
    </w:p>
    <w:p w:rsidR="002412F2" w:rsidRDefault="002412F2" w:rsidP="002412F2">
      <w:pPr>
        <w:pStyle w:val="BodyText"/>
        <w:jc w:val="both"/>
        <w:rPr>
          <w:color w:val="0070C0"/>
        </w:rPr>
      </w:pPr>
      <w:r w:rsidRPr="00170048">
        <w:rPr>
          <w:b/>
          <w:i/>
          <w:color w:val="0070C0"/>
        </w:rPr>
        <w:t>Monitoring and reporting:</w:t>
      </w:r>
      <w:r>
        <w:rPr>
          <w:color w:val="0070C0"/>
        </w:rPr>
        <w:t xml:space="preserve"> All funded projects are monitored and </w:t>
      </w:r>
      <w:r w:rsidR="00974EBB">
        <w:rPr>
          <w:color w:val="0070C0"/>
        </w:rPr>
        <w:t>reported</w:t>
      </w:r>
      <w:r w:rsidR="00717340">
        <w:rPr>
          <w:color w:val="0070C0"/>
        </w:rPr>
        <w:t xml:space="preserve"> against project objectives</w:t>
      </w:r>
      <w:r w:rsidR="00974EBB">
        <w:rPr>
          <w:color w:val="0070C0"/>
        </w:rPr>
        <w:t xml:space="preserve"> as part of contractual agreements with delivery partners</w:t>
      </w:r>
      <w:r w:rsidR="00717340">
        <w:rPr>
          <w:color w:val="0070C0"/>
        </w:rPr>
        <w:t xml:space="preserve">. </w:t>
      </w:r>
      <w:r w:rsidR="00974EBB">
        <w:rPr>
          <w:color w:val="0070C0"/>
        </w:rPr>
        <w:t>Corporate</w:t>
      </w:r>
      <w:r>
        <w:rPr>
          <w:color w:val="0070C0"/>
        </w:rPr>
        <w:t xml:space="preserve"> r</w:t>
      </w:r>
      <w:r w:rsidRPr="00BA3F06">
        <w:rPr>
          <w:color w:val="0070C0"/>
        </w:rPr>
        <w:t>eporting procedures are</w:t>
      </w:r>
      <w:r>
        <w:rPr>
          <w:color w:val="0070C0"/>
        </w:rPr>
        <w:t xml:space="preserve"> in place. In</w:t>
      </w:r>
      <w:r w:rsidRPr="00BA3F06">
        <w:rPr>
          <w:color w:val="0070C0"/>
        </w:rPr>
        <w:t xml:space="preserve"> 2011 </w:t>
      </w:r>
      <w:r>
        <w:rPr>
          <w:color w:val="0070C0"/>
        </w:rPr>
        <w:t xml:space="preserve">the first </w:t>
      </w:r>
      <w:r w:rsidRPr="00BA3F06">
        <w:rPr>
          <w:color w:val="0070C0"/>
        </w:rPr>
        <w:t>QAI’s were completed for both the I</w:t>
      </w:r>
      <w:r w:rsidR="00FA5DE8">
        <w:rPr>
          <w:color w:val="0070C0"/>
        </w:rPr>
        <w:t>DB Trust F</w:t>
      </w:r>
      <w:r>
        <w:rPr>
          <w:color w:val="0070C0"/>
        </w:rPr>
        <w:t xml:space="preserve">und and the scholarships program which will enable </w:t>
      </w:r>
      <w:r w:rsidR="00FA5DE8">
        <w:rPr>
          <w:color w:val="0070C0"/>
        </w:rPr>
        <w:t xml:space="preserve">performance and </w:t>
      </w:r>
      <w:r w:rsidRPr="00BA3F06">
        <w:rPr>
          <w:color w:val="0070C0"/>
        </w:rPr>
        <w:t xml:space="preserve">trends in </w:t>
      </w:r>
      <w:r w:rsidR="00FA5DE8">
        <w:rPr>
          <w:color w:val="0070C0"/>
        </w:rPr>
        <w:t>program</w:t>
      </w:r>
      <w:r w:rsidRPr="00BA3F06">
        <w:rPr>
          <w:color w:val="0070C0"/>
        </w:rPr>
        <w:t xml:space="preserve"> performance </w:t>
      </w:r>
      <w:r>
        <w:rPr>
          <w:color w:val="0070C0"/>
        </w:rPr>
        <w:t>to</w:t>
      </w:r>
      <w:r w:rsidRPr="00BA3F06">
        <w:rPr>
          <w:color w:val="0070C0"/>
        </w:rPr>
        <w:t xml:space="preserve"> be compared next year.</w:t>
      </w:r>
    </w:p>
    <w:p w:rsidR="002412F2" w:rsidRPr="00BA3F06" w:rsidRDefault="00FA5DE8" w:rsidP="002412F2">
      <w:pPr>
        <w:pStyle w:val="BodyText"/>
        <w:jc w:val="both"/>
        <w:rPr>
          <w:color w:val="0070C0"/>
        </w:rPr>
      </w:pPr>
      <w:r>
        <w:rPr>
          <w:b/>
          <w:i/>
          <w:color w:val="0070C0"/>
        </w:rPr>
        <w:t>Program</w:t>
      </w:r>
      <w:r w:rsidR="00034256" w:rsidRPr="00034256">
        <w:rPr>
          <w:b/>
          <w:i/>
          <w:color w:val="0070C0"/>
        </w:rPr>
        <w:t xml:space="preserve"> </w:t>
      </w:r>
      <w:r w:rsidR="00F5446D">
        <w:rPr>
          <w:b/>
          <w:i/>
          <w:color w:val="0070C0"/>
        </w:rPr>
        <w:t>planning and monitoring</w:t>
      </w:r>
      <w:r w:rsidR="00034256">
        <w:rPr>
          <w:color w:val="0070C0"/>
        </w:rPr>
        <w:t xml:space="preserve">: </w:t>
      </w:r>
      <w:r w:rsidR="002412F2" w:rsidRPr="00BA3F06">
        <w:rPr>
          <w:color w:val="0070C0"/>
        </w:rPr>
        <w:t>The Latin Americ</w:t>
      </w:r>
      <w:r>
        <w:rPr>
          <w:color w:val="0070C0"/>
        </w:rPr>
        <w:t xml:space="preserve">a program is still </w:t>
      </w:r>
      <w:r w:rsidR="00F5446D">
        <w:rPr>
          <w:color w:val="0070C0"/>
        </w:rPr>
        <w:t xml:space="preserve">developing </w:t>
      </w:r>
      <w:r w:rsidR="002412F2" w:rsidRPr="00BA3F06">
        <w:rPr>
          <w:color w:val="0070C0"/>
        </w:rPr>
        <w:t>a number of</w:t>
      </w:r>
      <w:r w:rsidR="002412F2">
        <w:rPr>
          <w:color w:val="0070C0"/>
        </w:rPr>
        <w:t xml:space="preserve"> </w:t>
      </w:r>
      <w:r>
        <w:rPr>
          <w:color w:val="0070C0"/>
        </w:rPr>
        <w:t xml:space="preserve">initiatives. </w:t>
      </w:r>
      <w:r w:rsidR="002412F2" w:rsidRPr="00BA3F06">
        <w:rPr>
          <w:color w:val="0070C0"/>
        </w:rPr>
        <w:t>In 2012</w:t>
      </w:r>
      <w:r w:rsidR="002412F2">
        <w:rPr>
          <w:color w:val="0070C0"/>
        </w:rPr>
        <w:t xml:space="preserve">-13 </w:t>
      </w:r>
      <w:r w:rsidR="002412F2" w:rsidRPr="00BA3F06">
        <w:rPr>
          <w:color w:val="0070C0"/>
        </w:rPr>
        <w:t xml:space="preserve">a Program Management Plan (PMP) will guide performance planning and the timely follow-up of reports. Post regularly liaises with other donors to </w:t>
      </w:r>
      <w:r w:rsidR="002412F2" w:rsidRPr="00BA3F06">
        <w:rPr>
          <w:color w:val="0070C0"/>
        </w:rPr>
        <w:lastRenderedPageBreak/>
        <w:t>determine the best way forward with joint monitoring and reporting. With respect to key regional organisations, AusAID assesses the adequacy of each organisation’s own reporting systems to determine if these are adequate for AusAID accountability and reporting processes.</w:t>
      </w:r>
    </w:p>
    <w:p w:rsidR="00A72572" w:rsidRPr="001E26B8" w:rsidRDefault="002412F2" w:rsidP="00A72572">
      <w:pPr>
        <w:pStyle w:val="BodyText"/>
        <w:jc w:val="both"/>
        <w:rPr>
          <w:i/>
          <w:color w:val="0070C0"/>
        </w:rPr>
      </w:pPr>
      <w:r w:rsidRPr="00170048">
        <w:rPr>
          <w:b/>
          <w:i/>
          <w:color w:val="0070C0"/>
        </w:rPr>
        <w:t>Performance of our partners:</w:t>
      </w:r>
      <w:r w:rsidR="00FA5DE8">
        <w:rPr>
          <w:color w:val="0070C0"/>
        </w:rPr>
        <w:t xml:space="preserve"> Selection</w:t>
      </w:r>
      <w:r w:rsidR="001E26B8">
        <w:rPr>
          <w:color w:val="0070C0"/>
        </w:rPr>
        <w:t xml:space="preserve"> of partners is</w:t>
      </w:r>
      <w:r w:rsidR="00FA5DE8">
        <w:rPr>
          <w:color w:val="0070C0"/>
        </w:rPr>
        <w:t xml:space="preserve"> guided primarily by the Australian Multilateral Assessment (AMA 2011) and AusAID experience</w:t>
      </w:r>
      <w:r w:rsidR="00981375">
        <w:rPr>
          <w:color w:val="0070C0"/>
        </w:rPr>
        <w:t xml:space="preserve"> in other regions</w:t>
      </w:r>
      <w:r w:rsidR="00FA5DE8">
        <w:rPr>
          <w:color w:val="0070C0"/>
        </w:rPr>
        <w:t xml:space="preserve">. Preference is for established donors with a clear track record of effectiveness and compatible systems with AusAID. Current multilateral partners </w:t>
      </w:r>
      <w:r w:rsidR="001E26B8">
        <w:rPr>
          <w:color w:val="0070C0"/>
        </w:rPr>
        <w:t>include the</w:t>
      </w:r>
      <w:r w:rsidR="00A72572" w:rsidRPr="00BA3F06">
        <w:rPr>
          <w:color w:val="0070C0"/>
        </w:rPr>
        <w:t xml:space="preserve"> IDB, International Committee of the Red Cross (ICRC), United Nations International Strategy for Disaster Reduction (UNISDR), World Bank (WB), United Nations Development Program (UNDP), World Food Program (WFP), and Food and Agriculture Organisation (FAO). </w:t>
      </w:r>
      <w:r w:rsidR="001E26B8">
        <w:rPr>
          <w:color w:val="0070C0"/>
        </w:rPr>
        <w:t xml:space="preserve">Performance of partners covered by the AMA is monitored annually by AusAID corporately and by the Latin America program in relation to specific </w:t>
      </w:r>
      <w:r w:rsidR="00981375">
        <w:rPr>
          <w:color w:val="0070C0"/>
        </w:rPr>
        <w:t xml:space="preserve">project </w:t>
      </w:r>
      <w:r w:rsidR="001E26B8">
        <w:rPr>
          <w:color w:val="0070C0"/>
        </w:rPr>
        <w:t xml:space="preserve">deliverables. </w:t>
      </w:r>
    </w:p>
    <w:p w:rsidR="002412F2" w:rsidRPr="008E7270" w:rsidRDefault="002412F2" w:rsidP="002412F2">
      <w:pPr>
        <w:pStyle w:val="GuidanceText"/>
        <w:jc w:val="both"/>
        <w:rPr>
          <w:rFonts w:ascii="Times New Roman" w:hAnsi="Times New Roman"/>
          <w:color w:val="0070C0"/>
          <w:sz w:val="24"/>
          <w:szCs w:val="24"/>
        </w:rPr>
      </w:pPr>
    </w:p>
    <w:p w:rsidR="002412F2" w:rsidRDefault="002412F2" w:rsidP="002412F2">
      <w:pPr>
        <w:keepNext/>
        <w:spacing w:after="100" w:line="320" w:lineRule="atLeast"/>
        <w:jc w:val="both"/>
        <w:outlineLvl w:val="0"/>
        <w:rPr>
          <w:rFonts w:ascii="Franklin Gothic Demi" w:hAnsi="Franklin Gothic Demi"/>
          <w:color w:val="AD495D"/>
          <w:kern w:val="28"/>
          <w:sz w:val="28"/>
          <w:szCs w:val="28"/>
        </w:rPr>
      </w:pPr>
      <w:r>
        <w:rPr>
          <w:rFonts w:ascii="Franklin Gothic Demi" w:hAnsi="Franklin Gothic Demi"/>
          <w:color w:val="AD495D"/>
          <w:kern w:val="28"/>
          <w:sz w:val="28"/>
          <w:szCs w:val="28"/>
        </w:rPr>
        <w:t>Management Consequences</w:t>
      </w:r>
    </w:p>
    <w:p w:rsidR="002412F2" w:rsidRDefault="002412F2" w:rsidP="002412F2">
      <w:pPr>
        <w:pStyle w:val="BodyText"/>
        <w:jc w:val="both"/>
        <w:rPr>
          <w:color w:val="0070C0"/>
        </w:rPr>
      </w:pPr>
      <w:r>
        <w:rPr>
          <w:color w:val="0070C0"/>
        </w:rPr>
        <w:t>AusAID has successfully delivered on the government’s commitment to rapidly develop and deliver</w:t>
      </w:r>
      <w:r w:rsidR="00034256">
        <w:rPr>
          <w:color w:val="0070C0"/>
        </w:rPr>
        <w:t xml:space="preserve"> </w:t>
      </w:r>
      <w:r w:rsidRPr="00BA3F06">
        <w:rPr>
          <w:color w:val="0070C0"/>
        </w:rPr>
        <w:t xml:space="preserve">a </w:t>
      </w:r>
      <w:r>
        <w:rPr>
          <w:color w:val="0070C0"/>
        </w:rPr>
        <w:t xml:space="preserve">four-year development assistance </w:t>
      </w:r>
      <w:r w:rsidRPr="00BA3F06">
        <w:rPr>
          <w:color w:val="0070C0"/>
        </w:rPr>
        <w:t xml:space="preserve">program </w:t>
      </w:r>
      <w:r>
        <w:rPr>
          <w:color w:val="0070C0"/>
        </w:rPr>
        <w:t>in Latin America.</w:t>
      </w:r>
      <w:r w:rsidR="00B818CF">
        <w:rPr>
          <w:color w:val="0070C0"/>
        </w:rPr>
        <w:t xml:space="preserve"> </w:t>
      </w:r>
      <w:r>
        <w:rPr>
          <w:color w:val="0070C0"/>
        </w:rPr>
        <w:t>The policy settings of working through partnerships, and targeting areas of Australia’s comparative advantage have proven to be relevant and well received</w:t>
      </w:r>
      <w:r w:rsidR="00F5446D">
        <w:rPr>
          <w:color w:val="0070C0"/>
        </w:rPr>
        <w:t xml:space="preserve"> in</w:t>
      </w:r>
      <w:r>
        <w:rPr>
          <w:color w:val="0070C0"/>
        </w:rPr>
        <w:t xml:space="preserve"> the region.</w:t>
      </w:r>
      <w:r w:rsidR="00B818CF">
        <w:rPr>
          <w:color w:val="0070C0"/>
        </w:rPr>
        <w:t xml:space="preserve"> </w:t>
      </w:r>
      <w:r>
        <w:rPr>
          <w:color w:val="0070C0"/>
        </w:rPr>
        <w:t xml:space="preserve">Strong relationships have been established and Australia has made a </w:t>
      </w:r>
      <w:r w:rsidR="00111F1D">
        <w:rPr>
          <w:color w:val="0070C0"/>
        </w:rPr>
        <w:t>measurable</w:t>
      </w:r>
      <w:r w:rsidR="00034256">
        <w:rPr>
          <w:color w:val="0070C0"/>
        </w:rPr>
        <w:t xml:space="preserve"> </w:t>
      </w:r>
      <w:r>
        <w:rPr>
          <w:color w:val="0070C0"/>
        </w:rPr>
        <w:t>contribution to development in the region in a short period of time.</w:t>
      </w:r>
      <w:r w:rsidR="00B818CF">
        <w:rPr>
          <w:color w:val="0070C0"/>
        </w:rPr>
        <w:t xml:space="preserve"> </w:t>
      </w:r>
      <w:r w:rsidR="002637F9">
        <w:rPr>
          <w:color w:val="0070C0"/>
        </w:rPr>
        <w:t>T</w:t>
      </w:r>
      <w:r w:rsidRPr="00BA3F06">
        <w:rPr>
          <w:color w:val="0070C0"/>
        </w:rPr>
        <w:t xml:space="preserve">he program </w:t>
      </w:r>
      <w:r w:rsidR="00C31BFE" w:rsidRPr="00BA3F06">
        <w:rPr>
          <w:color w:val="0070C0"/>
        </w:rPr>
        <w:t xml:space="preserve">has </w:t>
      </w:r>
      <w:r w:rsidR="00C31BFE">
        <w:rPr>
          <w:color w:val="0070C0"/>
        </w:rPr>
        <w:t>greater</w:t>
      </w:r>
      <w:r w:rsidR="001E26B8">
        <w:rPr>
          <w:color w:val="0070C0"/>
        </w:rPr>
        <w:t xml:space="preserve"> </w:t>
      </w:r>
      <w:r w:rsidRPr="00BA3F06">
        <w:rPr>
          <w:color w:val="0070C0"/>
        </w:rPr>
        <w:t xml:space="preserve">certainty </w:t>
      </w:r>
      <w:r w:rsidR="00F5446D">
        <w:rPr>
          <w:color w:val="0070C0"/>
        </w:rPr>
        <w:t xml:space="preserve">and clarity particularly </w:t>
      </w:r>
      <w:r w:rsidR="009E2656">
        <w:rPr>
          <w:color w:val="0070C0"/>
        </w:rPr>
        <w:t>through the establishment of clearly articulated Strategic Goals.</w:t>
      </w:r>
    </w:p>
    <w:p w:rsidR="002412F2" w:rsidRDefault="002412F2" w:rsidP="002412F2">
      <w:pPr>
        <w:pStyle w:val="BodyText"/>
        <w:jc w:val="both"/>
        <w:rPr>
          <w:color w:val="0070C0"/>
        </w:rPr>
      </w:pPr>
      <w:r>
        <w:rPr>
          <w:color w:val="0070C0"/>
        </w:rPr>
        <w:t>As a new program</w:t>
      </w:r>
      <w:r w:rsidR="00981375">
        <w:rPr>
          <w:color w:val="0070C0"/>
        </w:rPr>
        <w:t>,</w:t>
      </w:r>
      <w:r>
        <w:rPr>
          <w:color w:val="0070C0"/>
        </w:rPr>
        <w:t xml:space="preserve"> however</w:t>
      </w:r>
      <w:r w:rsidR="00981375">
        <w:rPr>
          <w:color w:val="0070C0"/>
        </w:rPr>
        <w:t>,</w:t>
      </w:r>
      <w:r>
        <w:rPr>
          <w:color w:val="0070C0"/>
        </w:rPr>
        <w:t xml:space="preserve"> there are on-going challenges:</w:t>
      </w:r>
    </w:p>
    <w:p w:rsidR="002412F2" w:rsidRDefault="00953C29" w:rsidP="002412F2">
      <w:pPr>
        <w:pStyle w:val="BodyText"/>
        <w:numPr>
          <w:ilvl w:val="0"/>
          <w:numId w:val="34"/>
        </w:numPr>
        <w:jc w:val="both"/>
        <w:rPr>
          <w:color w:val="0070C0"/>
        </w:rPr>
      </w:pPr>
      <w:r>
        <w:rPr>
          <w:color w:val="0070C0"/>
        </w:rPr>
        <w:t xml:space="preserve"> </w:t>
      </w:r>
      <w:r w:rsidR="00981375">
        <w:rPr>
          <w:color w:val="0070C0"/>
        </w:rPr>
        <w:t>The Latin America region is vast and the program requires greater clarity and definition of it role and priorities in achieving development results. The</w:t>
      </w:r>
      <w:r w:rsidR="002412F2">
        <w:rPr>
          <w:color w:val="0070C0"/>
        </w:rPr>
        <w:t xml:space="preserve"> Regional Strategy needs to be finalised to provide</w:t>
      </w:r>
      <w:r w:rsidR="00034256">
        <w:rPr>
          <w:color w:val="0070C0"/>
        </w:rPr>
        <w:t xml:space="preserve"> clear articulation of specific, </w:t>
      </w:r>
      <w:r w:rsidR="002412F2">
        <w:rPr>
          <w:color w:val="0070C0"/>
        </w:rPr>
        <w:t xml:space="preserve">measurable objectives aligned to the </w:t>
      </w:r>
      <w:r w:rsidR="002637F9">
        <w:rPr>
          <w:color w:val="0070C0"/>
        </w:rPr>
        <w:t>S</w:t>
      </w:r>
      <w:r w:rsidR="002412F2" w:rsidRPr="00BA3F06">
        <w:rPr>
          <w:color w:val="0070C0"/>
        </w:rPr>
        <w:t xml:space="preserve">trategic </w:t>
      </w:r>
      <w:r w:rsidR="002637F9">
        <w:rPr>
          <w:color w:val="0070C0"/>
        </w:rPr>
        <w:t>G</w:t>
      </w:r>
      <w:r w:rsidR="002412F2" w:rsidRPr="00BA3F06">
        <w:rPr>
          <w:color w:val="0070C0"/>
        </w:rPr>
        <w:t>oals</w:t>
      </w:r>
      <w:r w:rsidR="00034256">
        <w:rPr>
          <w:color w:val="0070C0"/>
        </w:rPr>
        <w:t>. Whilst a</w:t>
      </w:r>
      <w:r w:rsidR="002412F2" w:rsidRPr="00BA3F06">
        <w:rPr>
          <w:color w:val="0070C0"/>
        </w:rPr>
        <w:t>ll existing activities have</w:t>
      </w:r>
      <w:r w:rsidR="00034256">
        <w:rPr>
          <w:color w:val="0070C0"/>
        </w:rPr>
        <w:t xml:space="preserve"> been </w:t>
      </w:r>
      <w:r w:rsidR="002412F2">
        <w:rPr>
          <w:color w:val="0070C0"/>
        </w:rPr>
        <w:t>notionally</w:t>
      </w:r>
      <w:r w:rsidR="002412F2" w:rsidRPr="00BA3F06">
        <w:rPr>
          <w:color w:val="0070C0"/>
        </w:rPr>
        <w:t xml:space="preserve"> aligned</w:t>
      </w:r>
      <w:r w:rsidR="002412F2">
        <w:rPr>
          <w:color w:val="0070C0"/>
        </w:rPr>
        <w:t xml:space="preserve"> to these goals, specific objectives </w:t>
      </w:r>
      <w:r w:rsidR="00034256">
        <w:rPr>
          <w:color w:val="0070C0"/>
        </w:rPr>
        <w:t xml:space="preserve">that can demonstrate </w:t>
      </w:r>
      <w:r w:rsidR="009E2656">
        <w:rPr>
          <w:color w:val="0070C0"/>
        </w:rPr>
        <w:t xml:space="preserve">development </w:t>
      </w:r>
      <w:r w:rsidR="002412F2">
        <w:rPr>
          <w:color w:val="0070C0"/>
        </w:rPr>
        <w:t>results</w:t>
      </w:r>
      <w:r w:rsidR="00034256">
        <w:rPr>
          <w:color w:val="0070C0"/>
        </w:rPr>
        <w:t xml:space="preserve"> will significantly improve the quality of the program</w:t>
      </w:r>
      <w:r w:rsidR="001E26B8">
        <w:rPr>
          <w:color w:val="0070C0"/>
        </w:rPr>
        <w:t xml:space="preserve"> and </w:t>
      </w:r>
      <w:r w:rsidR="00034256">
        <w:rPr>
          <w:color w:val="0070C0"/>
        </w:rPr>
        <w:t>f</w:t>
      </w:r>
      <w:r w:rsidR="002412F2" w:rsidRPr="00BA3F06">
        <w:rPr>
          <w:color w:val="0070C0"/>
        </w:rPr>
        <w:t xml:space="preserve">uture programming. </w:t>
      </w:r>
    </w:p>
    <w:p w:rsidR="002412F2" w:rsidRPr="00BA3F06" w:rsidRDefault="002412F2" w:rsidP="002412F2">
      <w:pPr>
        <w:pStyle w:val="BodyText"/>
        <w:ind w:left="360"/>
        <w:jc w:val="both"/>
        <w:rPr>
          <w:color w:val="0070C0"/>
        </w:rPr>
      </w:pPr>
      <w:r w:rsidRPr="00043750">
        <w:rPr>
          <w:b/>
          <w:color w:val="0070C0"/>
        </w:rPr>
        <w:t>Management response:</w:t>
      </w:r>
      <w:r>
        <w:rPr>
          <w:color w:val="0070C0"/>
        </w:rPr>
        <w:t xml:space="preserve"> Complete Regional </w:t>
      </w:r>
      <w:r w:rsidR="002637F9">
        <w:rPr>
          <w:color w:val="0070C0"/>
        </w:rPr>
        <w:t>S</w:t>
      </w:r>
      <w:r>
        <w:rPr>
          <w:color w:val="0070C0"/>
        </w:rPr>
        <w:t>trategy; review monitoring and reporting of current activities to identify relevant data to attribute to strategy goals and objectives. Complet</w:t>
      </w:r>
      <w:r w:rsidR="00F5446D">
        <w:rPr>
          <w:color w:val="0070C0"/>
        </w:rPr>
        <w:t>e programming of program funds against clear objectives.</w:t>
      </w:r>
    </w:p>
    <w:p w:rsidR="002412F2" w:rsidRDefault="00953C29" w:rsidP="002412F2">
      <w:pPr>
        <w:pStyle w:val="BodyText"/>
        <w:numPr>
          <w:ilvl w:val="0"/>
          <w:numId w:val="34"/>
        </w:numPr>
        <w:jc w:val="both"/>
        <w:rPr>
          <w:color w:val="0070C0"/>
        </w:rPr>
      </w:pPr>
      <w:r>
        <w:rPr>
          <w:color w:val="0070C0"/>
        </w:rPr>
        <w:t xml:space="preserve"> </w:t>
      </w:r>
      <w:r w:rsidR="002412F2" w:rsidRPr="00BA3F06">
        <w:rPr>
          <w:color w:val="0070C0"/>
        </w:rPr>
        <w:t xml:space="preserve">AusAID has been able to </w:t>
      </w:r>
      <w:r w:rsidR="0068534C">
        <w:rPr>
          <w:color w:val="0070C0"/>
        </w:rPr>
        <w:t>establish</w:t>
      </w:r>
      <w:r w:rsidR="002412F2">
        <w:rPr>
          <w:color w:val="0070C0"/>
        </w:rPr>
        <w:t xml:space="preserve"> operations and </w:t>
      </w:r>
      <w:r w:rsidR="002412F2" w:rsidRPr="00BA3F06">
        <w:rPr>
          <w:color w:val="0070C0"/>
        </w:rPr>
        <w:t>deliver</w:t>
      </w:r>
      <w:r w:rsidR="0068534C">
        <w:rPr>
          <w:color w:val="0070C0"/>
        </w:rPr>
        <w:t xml:space="preserve"> </w:t>
      </w:r>
      <w:r w:rsidR="00552AD1">
        <w:rPr>
          <w:color w:val="0070C0"/>
        </w:rPr>
        <w:t xml:space="preserve">early </w:t>
      </w:r>
      <w:r w:rsidR="00552AD1" w:rsidRPr="00BA3F06">
        <w:rPr>
          <w:color w:val="0070C0"/>
        </w:rPr>
        <w:t>activities</w:t>
      </w:r>
      <w:r w:rsidR="002412F2">
        <w:rPr>
          <w:color w:val="0070C0"/>
        </w:rPr>
        <w:t xml:space="preserve"> efficiently in Latin America through its global programs and a </w:t>
      </w:r>
      <w:r w:rsidR="0068534C">
        <w:rPr>
          <w:color w:val="0070C0"/>
        </w:rPr>
        <w:t>few</w:t>
      </w:r>
      <w:r w:rsidR="002412F2">
        <w:rPr>
          <w:color w:val="0070C0"/>
        </w:rPr>
        <w:t xml:space="preserve"> relatively small projects</w:t>
      </w:r>
      <w:r w:rsidR="002412F2" w:rsidRPr="00BA3F06">
        <w:rPr>
          <w:color w:val="0070C0"/>
        </w:rPr>
        <w:t xml:space="preserve">. </w:t>
      </w:r>
      <w:r w:rsidR="0068534C">
        <w:rPr>
          <w:color w:val="0070C0"/>
        </w:rPr>
        <w:t>However, p</w:t>
      </w:r>
      <w:r w:rsidR="002412F2" w:rsidRPr="00BA3F06">
        <w:rPr>
          <w:color w:val="0070C0"/>
        </w:rPr>
        <w:t>roliferation of small and diverse project</w:t>
      </w:r>
      <w:r w:rsidR="002412F2">
        <w:rPr>
          <w:color w:val="0070C0"/>
        </w:rPr>
        <w:t>s/</w:t>
      </w:r>
      <w:r w:rsidR="002412F2" w:rsidRPr="00BA3F06">
        <w:rPr>
          <w:color w:val="0070C0"/>
        </w:rPr>
        <w:t>activities</w:t>
      </w:r>
      <w:r w:rsidR="0068534C">
        <w:rPr>
          <w:color w:val="0070C0"/>
        </w:rPr>
        <w:t xml:space="preserve"> reduces the impact and effectiveness of our investment</w:t>
      </w:r>
      <w:r w:rsidR="002412F2">
        <w:rPr>
          <w:color w:val="0070C0"/>
        </w:rPr>
        <w:t xml:space="preserve"> </w:t>
      </w:r>
      <w:r w:rsidR="00F5446D">
        <w:rPr>
          <w:color w:val="0070C0"/>
        </w:rPr>
        <w:t xml:space="preserve">and </w:t>
      </w:r>
      <w:r w:rsidR="002412F2">
        <w:rPr>
          <w:color w:val="0070C0"/>
        </w:rPr>
        <w:t xml:space="preserve">needs to be </w:t>
      </w:r>
      <w:r w:rsidR="0068534C">
        <w:rPr>
          <w:color w:val="0070C0"/>
        </w:rPr>
        <w:t>reduced</w:t>
      </w:r>
      <w:r w:rsidR="002412F2">
        <w:rPr>
          <w:color w:val="0070C0"/>
        </w:rPr>
        <w:t xml:space="preserve"> in favour</w:t>
      </w:r>
      <w:r w:rsidR="002412F2" w:rsidRPr="00BA3F06">
        <w:rPr>
          <w:color w:val="0070C0"/>
        </w:rPr>
        <w:t xml:space="preserve"> of </w:t>
      </w:r>
      <w:r w:rsidR="002412F2">
        <w:rPr>
          <w:color w:val="0070C0"/>
        </w:rPr>
        <w:t xml:space="preserve">larger, </w:t>
      </w:r>
      <w:r w:rsidR="002412F2" w:rsidRPr="00BA3F06">
        <w:rPr>
          <w:color w:val="0070C0"/>
        </w:rPr>
        <w:t>cohesive programmatic approache</w:t>
      </w:r>
      <w:r w:rsidR="002412F2">
        <w:rPr>
          <w:color w:val="0070C0"/>
        </w:rPr>
        <w:t>s</w:t>
      </w:r>
      <w:r w:rsidR="002412F2" w:rsidRPr="00BA3F06">
        <w:rPr>
          <w:color w:val="0070C0"/>
        </w:rPr>
        <w:t xml:space="preserve">. </w:t>
      </w:r>
      <w:r w:rsidR="002412F2">
        <w:rPr>
          <w:color w:val="0070C0"/>
        </w:rPr>
        <w:t xml:space="preserve">Similarly, the program needs to consolidate operations with a small number of </w:t>
      </w:r>
      <w:r w:rsidR="00552AD1">
        <w:rPr>
          <w:color w:val="0070C0"/>
        </w:rPr>
        <w:t>effective, major</w:t>
      </w:r>
      <w:r w:rsidR="002412F2">
        <w:rPr>
          <w:color w:val="0070C0"/>
        </w:rPr>
        <w:t xml:space="preserve"> partners and avoid small joint activities </w:t>
      </w:r>
      <w:r w:rsidR="0068534C">
        <w:rPr>
          <w:color w:val="0070C0"/>
        </w:rPr>
        <w:t xml:space="preserve">with minor players </w:t>
      </w:r>
      <w:r w:rsidR="002412F2">
        <w:rPr>
          <w:color w:val="0070C0"/>
        </w:rPr>
        <w:t xml:space="preserve">that are intensive to manage and limited </w:t>
      </w:r>
      <w:r w:rsidR="0068534C">
        <w:rPr>
          <w:color w:val="0070C0"/>
        </w:rPr>
        <w:t>in scope.</w:t>
      </w:r>
    </w:p>
    <w:p w:rsidR="002412F2" w:rsidRPr="00AE311F" w:rsidRDefault="002412F2" w:rsidP="002412F2">
      <w:pPr>
        <w:pStyle w:val="BodyText"/>
        <w:ind w:left="360"/>
        <w:jc w:val="both"/>
        <w:rPr>
          <w:b/>
          <w:color w:val="0070C0"/>
        </w:rPr>
      </w:pPr>
      <w:r w:rsidRPr="00AE311F">
        <w:rPr>
          <w:b/>
          <w:color w:val="0070C0"/>
        </w:rPr>
        <w:t>Management response:</w:t>
      </w:r>
      <w:r w:rsidR="00F5446D">
        <w:rPr>
          <w:b/>
          <w:color w:val="0070C0"/>
        </w:rPr>
        <w:t xml:space="preserve"> </w:t>
      </w:r>
      <w:r w:rsidR="00F5446D" w:rsidRPr="00B11EC2">
        <w:rPr>
          <w:color w:val="0070C0"/>
        </w:rPr>
        <w:t xml:space="preserve">Complete realignment of existing </w:t>
      </w:r>
      <w:r w:rsidR="00B11EC2" w:rsidRPr="00B11EC2">
        <w:rPr>
          <w:color w:val="0070C0"/>
        </w:rPr>
        <w:t xml:space="preserve">initiatives to the Strategic </w:t>
      </w:r>
      <w:r w:rsidR="002637F9">
        <w:rPr>
          <w:color w:val="0070C0"/>
        </w:rPr>
        <w:t>G</w:t>
      </w:r>
      <w:r w:rsidR="00B11EC2" w:rsidRPr="00B11EC2">
        <w:rPr>
          <w:color w:val="0070C0"/>
        </w:rPr>
        <w:t>oals. Establish clear priorities for future programming. Consolidate and build on existing activities/partnerships.</w:t>
      </w:r>
    </w:p>
    <w:p w:rsidR="00664DB4" w:rsidRDefault="00953C29" w:rsidP="002412F2">
      <w:pPr>
        <w:pStyle w:val="BodyText"/>
        <w:numPr>
          <w:ilvl w:val="0"/>
          <w:numId w:val="34"/>
        </w:numPr>
        <w:jc w:val="both"/>
        <w:rPr>
          <w:color w:val="0070C0"/>
        </w:rPr>
      </w:pPr>
      <w:r>
        <w:rPr>
          <w:b/>
          <w:color w:val="0070C0"/>
        </w:rPr>
        <w:t xml:space="preserve"> </w:t>
      </w:r>
      <w:r w:rsidR="00664DB4" w:rsidRPr="009E2656">
        <w:rPr>
          <w:b/>
          <w:color w:val="0070C0"/>
        </w:rPr>
        <w:t>Monitoring and reporting results</w:t>
      </w:r>
      <w:r w:rsidR="00664DB4">
        <w:rPr>
          <w:color w:val="0070C0"/>
        </w:rPr>
        <w:t xml:space="preserve">: </w:t>
      </w:r>
      <w:r w:rsidR="002412F2">
        <w:rPr>
          <w:color w:val="0070C0"/>
        </w:rPr>
        <w:t>The program is entering a new phase with m</w:t>
      </w:r>
      <w:r w:rsidR="0068534C">
        <w:rPr>
          <w:color w:val="0070C0"/>
        </w:rPr>
        <w:t xml:space="preserve">onitoring, </w:t>
      </w:r>
      <w:r w:rsidR="002412F2">
        <w:rPr>
          <w:color w:val="0070C0"/>
        </w:rPr>
        <w:t>evaluation and reporting results</w:t>
      </w:r>
      <w:r w:rsidR="002412F2" w:rsidRPr="00AE311F">
        <w:rPr>
          <w:color w:val="0070C0"/>
        </w:rPr>
        <w:t xml:space="preserve"> an increasing priority</w:t>
      </w:r>
      <w:r w:rsidR="002412F2">
        <w:rPr>
          <w:color w:val="0070C0"/>
        </w:rPr>
        <w:t xml:space="preserve">. As the program matures its alignment with corporate </w:t>
      </w:r>
      <w:r w:rsidR="001E26B8">
        <w:rPr>
          <w:color w:val="0070C0"/>
        </w:rPr>
        <w:t xml:space="preserve">reporting </w:t>
      </w:r>
      <w:r w:rsidR="00552AD1">
        <w:rPr>
          <w:color w:val="0070C0"/>
        </w:rPr>
        <w:t xml:space="preserve">also </w:t>
      </w:r>
      <w:r w:rsidR="002412F2">
        <w:rPr>
          <w:color w:val="0070C0"/>
        </w:rPr>
        <w:t>increase</w:t>
      </w:r>
      <w:r w:rsidR="00552AD1">
        <w:rPr>
          <w:color w:val="0070C0"/>
        </w:rPr>
        <w:t>s</w:t>
      </w:r>
      <w:r w:rsidR="002412F2">
        <w:rPr>
          <w:color w:val="0070C0"/>
        </w:rPr>
        <w:t>.</w:t>
      </w:r>
      <w:r w:rsidR="0068534C">
        <w:rPr>
          <w:color w:val="0070C0"/>
        </w:rPr>
        <w:t xml:space="preserve"> </w:t>
      </w:r>
      <w:r w:rsidR="00664DB4">
        <w:rPr>
          <w:color w:val="0070C0"/>
        </w:rPr>
        <w:t>Improved r</w:t>
      </w:r>
      <w:r w:rsidR="00552AD1" w:rsidRPr="00BA3F06">
        <w:rPr>
          <w:color w:val="0070C0"/>
        </w:rPr>
        <w:t xml:space="preserve">eporting procedures are being </w:t>
      </w:r>
      <w:r w:rsidR="001E26B8">
        <w:rPr>
          <w:color w:val="0070C0"/>
        </w:rPr>
        <w:t>implemented</w:t>
      </w:r>
      <w:r w:rsidR="00664DB4">
        <w:rPr>
          <w:color w:val="0070C0"/>
        </w:rPr>
        <w:t xml:space="preserve"> using existing program data and activity reports</w:t>
      </w:r>
      <w:r w:rsidR="00552AD1" w:rsidRPr="00BA3F06">
        <w:rPr>
          <w:color w:val="0070C0"/>
        </w:rPr>
        <w:t xml:space="preserve">. </w:t>
      </w:r>
    </w:p>
    <w:p w:rsidR="0068534C" w:rsidRPr="00BA3F06" w:rsidRDefault="00552AD1" w:rsidP="00664DB4">
      <w:pPr>
        <w:pStyle w:val="BodyText"/>
        <w:ind w:left="360"/>
        <w:jc w:val="both"/>
        <w:rPr>
          <w:color w:val="0070C0"/>
        </w:rPr>
      </w:pPr>
      <w:r w:rsidRPr="00BA3F06">
        <w:rPr>
          <w:color w:val="0070C0"/>
        </w:rPr>
        <w:lastRenderedPageBreak/>
        <w:t>The program’s capacity to generate and use effective performance information will b</w:t>
      </w:r>
      <w:r w:rsidR="002637F9">
        <w:rPr>
          <w:color w:val="0070C0"/>
        </w:rPr>
        <w:t>e strengthened when a Regional S</w:t>
      </w:r>
      <w:r w:rsidRPr="00BA3F06">
        <w:rPr>
          <w:color w:val="0070C0"/>
        </w:rPr>
        <w:t>trategy is finalised. A P</w:t>
      </w:r>
      <w:r w:rsidR="00664DB4">
        <w:rPr>
          <w:color w:val="0070C0"/>
        </w:rPr>
        <w:t xml:space="preserve">erformance Assessment </w:t>
      </w:r>
      <w:r w:rsidR="001E26B8">
        <w:rPr>
          <w:color w:val="0070C0"/>
        </w:rPr>
        <w:t>F</w:t>
      </w:r>
      <w:r w:rsidR="00664DB4">
        <w:rPr>
          <w:color w:val="0070C0"/>
        </w:rPr>
        <w:t>ramework (PAF</w:t>
      </w:r>
      <w:r w:rsidR="00C31BFE">
        <w:rPr>
          <w:color w:val="0070C0"/>
        </w:rPr>
        <w:t xml:space="preserve">) </w:t>
      </w:r>
      <w:r w:rsidR="00C31BFE" w:rsidRPr="00BA3F06">
        <w:rPr>
          <w:color w:val="0070C0"/>
        </w:rPr>
        <w:t>will</w:t>
      </w:r>
      <w:r w:rsidRPr="00BA3F06">
        <w:rPr>
          <w:color w:val="0070C0"/>
        </w:rPr>
        <w:t xml:space="preserve"> identify the qualitative and quantitative data required to </w:t>
      </w:r>
      <w:r w:rsidR="00664DB4">
        <w:rPr>
          <w:color w:val="0070C0"/>
        </w:rPr>
        <w:t>demonstrate results against measurable objectives.</w:t>
      </w:r>
      <w:r w:rsidRPr="00BA3F06">
        <w:rPr>
          <w:color w:val="0070C0"/>
        </w:rPr>
        <w:t xml:space="preserve"> Once the framework is complete, specialist monitoring and evaluation (M&amp;E) assistance will support AusAID staff to gather relevant data</w:t>
      </w:r>
      <w:r w:rsidR="00664DB4">
        <w:rPr>
          <w:color w:val="0070C0"/>
        </w:rPr>
        <w:t xml:space="preserve"> and report results.</w:t>
      </w:r>
      <w:r w:rsidRPr="00BA3F06">
        <w:rPr>
          <w:color w:val="0070C0"/>
        </w:rPr>
        <w:t xml:space="preserve"> </w:t>
      </w:r>
      <w:r w:rsidR="0068534C" w:rsidRPr="00BA3F06">
        <w:rPr>
          <w:color w:val="0070C0"/>
        </w:rPr>
        <w:t xml:space="preserve">The PAF will be a critical management response to ensure we can measure effectiveness over time. </w:t>
      </w:r>
    </w:p>
    <w:p w:rsidR="0068534C" w:rsidRPr="00BA3F06" w:rsidRDefault="00953C29" w:rsidP="00A72572">
      <w:pPr>
        <w:pStyle w:val="BodyText"/>
        <w:numPr>
          <w:ilvl w:val="0"/>
          <w:numId w:val="34"/>
        </w:numPr>
        <w:jc w:val="both"/>
        <w:rPr>
          <w:color w:val="0070C0"/>
        </w:rPr>
      </w:pPr>
      <w:r>
        <w:rPr>
          <w:b/>
          <w:color w:val="0070C0"/>
        </w:rPr>
        <w:t xml:space="preserve"> </w:t>
      </w:r>
      <w:r w:rsidR="009E2656" w:rsidRPr="009E2656">
        <w:rPr>
          <w:b/>
          <w:color w:val="0070C0"/>
        </w:rPr>
        <w:t>Working through partnerships</w:t>
      </w:r>
      <w:r w:rsidR="009E2656">
        <w:rPr>
          <w:color w:val="0070C0"/>
        </w:rPr>
        <w:t xml:space="preserve">: </w:t>
      </w:r>
      <w:r w:rsidR="00664DB4">
        <w:rPr>
          <w:color w:val="0070C0"/>
        </w:rPr>
        <w:t>W</w:t>
      </w:r>
      <w:r w:rsidR="00552AD1">
        <w:rPr>
          <w:color w:val="0070C0"/>
        </w:rPr>
        <w:t>ith</w:t>
      </w:r>
      <w:r w:rsidR="0068534C" w:rsidRPr="00BA3F06">
        <w:rPr>
          <w:color w:val="0070C0"/>
        </w:rPr>
        <w:t xml:space="preserve"> most initiatives delivered through partners a critical management challenge is to ensure that the delivery, quality and accountability for programs meet the rigorous standards of Australian aid. </w:t>
      </w:r>
    </w:p>
    <w:p w:rsidR="0068534C" w:rsidRPr="00BA3F06" w:rsidRDefault="0068534C" w:rsidP="00953C29">
      <w:pPr>
        <w:pStyle w:val="BodyText"/>
        <w:ind w:left="360"/>
        <w:jc w:val="both"/>
        <w:rPr>
          <w:color w:val="0070C0"/>
        </w:rPr>
      </w:pPr>
      <w:r w:rsidRPr="00BA3F06">
        <w:rPr>
          <w:color w:val="0070C0"/>
        </w:rPr>
        <w:t xml:space="preserve">The Latin America program will </w:t>
      </w:r>
      <w:r w:rsidR="00552AD1">
        <w:rPr>
          <w:color w:val="0070C0"/>
        </w:rPr>
        <w:t xml:space="preserve">consolidate </w:t>
      </w:r>
      <w:r w:rsidR="00552AD1" w:rsidRPr="00BA3F06">
        <w:rPr>
          <w:color w:val="0070C0"/>
        </w:rPr>
        <w:t>future</w:t>
      </w:r>
      <w:r w:rsidRPr="00BA3F06">
        <w:rPr>
          <w:color w:val="0070C0"/>
        </w:rPr>
        <w:t xml:space="preserve"> programming to credible partners known to have compatible systems to AusAID. AusAID will monitor and </w:t>
      </w:r>
      <w:r w:rsidR="001E26B8">
        <w:rPr>
          <w:color w:val="0070C0"/>
        </w:rPr>
        <w:t>manage</w:t>
      </w:r>
      <w:r w:rsidRPr="00BA3F06">
        <w:rPr>
          <w:color w:val="0070C0"/>
        </w:rPr>
        <w:t xml:space="preserve"> our relationships with these agencies focus</w:t>
      </w:r>
      <w:r w:rsidR="002637F9">
        <w:rPr>
          <w:color w:val="0070C0"/>
        </w:rPr>
        <w:t>sing</w:t>
      </w:r>
      <w:r w:rsidRPr="00BA3F06">
        <w:rPr>
          <w:color w:val="0070C0"/>
        </w:rPr>
        <w:t xml:space="preserve"> on </w:t>
      </w:r>
      <w:r w:rsidR="001E26B8">
        <w:rPr>
          <w:color w:val="0070C0"/>
        </w:rPr>
        <w:t xml:space="preserve">quality and </w:t>
      </w:r>
      <w:r w:rsidRPr="00BA3F06">
        <w:rPr>
          <w:color w:val="0070C0"/>
        </w:rPr>
        <w:t>outcomes.</w:t>
      </w:r>
    </w:p>
    <w:p w:rsidR="00552AD1" w:rsidRDefault="002412F2" w:rsidP="00A72572">
      <w:pPr>
        <w:pStyle w:val="BodyText"/>
        <w:ind w:left="360"/>
        <w:jc w:val="both"/>
        <w:rPr>
          <w:color w:val="0070C0"/>
        </w:rPr>
      </w:pPr>
      <w:r w:rsidRPr="00BA3F06">
        <w:rPr>
          <w:color w:val="0070C0"/>
        </w:rPr>
        <w:t xml:space="preserve">Trilateral cooperation has been successful in developing Australia’s relationship with significant regional </w:t>
      </w:r>
      <w:r w:rsidR="00552AD1">
        <w:rPr>
          <w:color w:val="0070C0"/>
        </w:rPr>
        <w:t xml:space="preserve">development actors. </w:t>
      </w:r>
      <w:r w:rsidRPr="00BA3F06">
        <w:rPr>
          <w:color w:val="0070C0"/>
        </w:rPr>
        <w:t xml:space="preserve">(Brazil and Chile) and opened opportunities </w:t>
      </w:r>
      <w:r w:rsidR="00552AD1">
        <w:rPr>
          <w:color w:val="0070C0"/>
        </w:rPr>
        <w:t>f</w:t>
      </w:r>
      <w:r w:rsidRPr="00BA3F06">
        <w:rPr>
          <w:color w:val="0070C0"/>
        </w:rPr>
        <w:t xml:space="preserve">or </w:t>
      </w:r>
      <w:r w:rsidR="00552AD1">
        <w:rPr>
          <w:color w:val="0070C0"/>
        </w:rPr>
        <w:t>new relationships with smaller actors</w:t>
      </w:r>
      <w:r w:rsidRPr="00BA3F06">
        <w:rPr>
          <w:color w:val="0070C0"/>
        </w:rPr>
        <w:t xml:space="preserve">. </w:t>
      </w:r>
      <w:r w:rsidR="00A72572">
        <w:rPr>
          <w:color w:val="0070C0"/>
        </w:rPr>
        <w:t>However, t</w:t>
      </w:r>
      <w:r w:rsidRPr="00BA3F06">
        <w:rPr>
          <w:color w:val="0070C0"/>
        </w:rPr>
        <w:t xml:space="preserve">rilateral </w:t>
      </w:r>
      <w:r w:rsidR="00A72572">
        <w:rPr>
          <w:color w:val="0070C0"/>
        </w:rPr>
        <w:t>cooperation</w:t>
      </w:r>
      <w:r w:rsidRPr="00BA3F06">
        <w:rPr>
          <w:color w:val="0070C0"/>
        </w:rPr>
        <w:t xml:space="preserve"> require</w:t>
      </w:r>
      <w:r w:rsidR="00A72572">
        <w:rPr>
          <w:color w:val="0070C0"/>
        </w:rPr>
        <w:t>s</w:t>
      </w:r>
      <w:r w:rsidRPr="00BA3F06">
        <w:rPr>
          <w:color w:val="0070C0"/>
        </w:rPr>
        <w:t xml:space="preserve"> significant investment of time and leadership</w:t>
      </w:r>
      <w:r w:rsidR="00552AD1">
        <w:rPr>
          <w:color w:val="0070C0"/>
        </w:rPr>
        <w:t xml:space="preserve">. </w:t>
      </w:r>
      <w:r w:rsidR="001E26B8">
        <w:rPr>
          <w:color w:val="0070C0"/>
        </w:rPr>
        <w:t>T</w:t>
      </w:r>
      <w:r w:rsidR="00552AD1">
        <w:rPr>
          <w:color w:val="0070C0"/>
        </w:rPr>
        <w:t xml:space="preserve">his is a significant investment </w:t>
      </w:r>
      <w:r w:rsidR="001E26B8">
        <w:rPr>
          <w:color w:val="0070C0"/>
        </w:rPr>
        <w:t xml:space="preserve">for a small program </w:t>
      </w:r>
      <w:r w:rsidR="00552AD1">
        <w:rPr>
          <w:color w:val="0070C0"/>
        </w:rPr>
        <w:t xml:space="preserve">that should be </w:t>
      </w:r>
      <w:r w:rsidR="001E26B8">
        <w:rPr>
          <w:color w:val="0070C0"/>
        </w:rPr>
        <w:t xml:space="preserve">strategically </w:t>
      </w:r>
      <w:r w:rsidR="00981375">
        <w:rPr>
          <w:color w:val="0070C0"/>
        </w:rPr>
        <w:t>targeted</w:t>
      </w:r>
      <w:r w:rsidR="00552AD1">
        <w:rPr>
          <w:color w:val="0070C0"/>
        </w:rPr>
        <w:t xml:space="preserve"> and closely managed.</w:t>
      </w:r>
    </w:p>
    <w:p w:rsidR="002412F2" w:rsidRPr="00953C29" w:rsidRDefault="00552AD1" w:rsidP="00953C29">
      <w:pPr>
        <w:pStyle w:val="BodyText"/>
        <w:ind w:left="360"/>
        <w:jc w:val="both"/>
        <w:rPr>
          <w:color w:val="0070C0"/>
        </w:rPr>
      </w:pPr>
      <w:r w:rsidRPr="00F34CA3">
        <w:rPr>
          <w:b/>
          <w:color w:val="0070C0"/>
        </w:rPr>
        <w:t>Management response:</w:t>
      </w:r>
      <w:r>
        <w:rPr>
          <w:color w:val="0070C0"/>
        </w:rPr>
        <w:t xml:space="preserve"> </w:t>
      </w:r>
      <w:r w:rsidR="001E26B8">
        <w:rPr>
          <w:color w:val="0070C0"/>
        </w:rPr>
        <w:t xml:space="preserve">The Latin America program will focus its trilateral efforts on </w:t>
      </w:r>
      <w:r w:rsidR="00953C29">
        <w:rPr>
          <w:color w:val="0070C0"/>
        </w:rPr>
        <w:t xml:space="preserve">  </w:t>
      </w:r>
      <w:r w:rsidR="001E26B8">
        <w:rPr>
          <w:color w:val="0070C0"/>
        </w:rPr>
        <w:t>strategic development partners (</w:t>
      </w:r>
      <w:r w:rsidR="002412F2" w:rsidRPr="00BA3F06">
        <w:rPr>
          <w:color w:val="0070C0"/>
        </w:rPr>
        <w:t>Brazil and Chile</w:t>
      </w:r>
      <w:r w:rsidR="001E26B8">
        <w:rPr>
          <w:color w:val="0070C0"/>
        </w:rPr>
        <w:t>) and focus cooperation with smaller South-South actors from the region on</w:t>
      </w:r>
      <w:r w:rsidR="002412F2" w:rsidRPr="00BA3F06">
        <w:rPr>
          <w:color w:val="0070C0"/>
        </w:rPr>
        <w:t xml:space="preserve"> regional capacity building activities where they align with AusAID’s strategic goals.</w:t>
      </w:r>
    </w:p>
    <w:p w:rsidR="00C31BFE" w:rsidRDefault="00953C29" w:rsidP="00664DB4">
      <w:pPr>
        <w:pStyle w:val="BodyText"/>
        <w:numPr>
          <w:ilvl w:val="0"/>
          <w:numId w:val="34"/>
        </w:numPr>
        <w:jc w:val="both"/>
        <w:rPr>
          <w:color w:val="0070C0"/>
        </w:rPr>
      </w:pPr>
      <w:r>
        <w:rPr>
          <w:b/>
          <w:color w:val="0070C0"/>
        </w:rPr>
        <w:t xml:space="preserve"> </w:t>
      </w:r>
      <w:r w:rsidR="00A72572" w:rsidRPr="00C31BFE">
        <w:rPr>
          <w:b/>
          <w:color w:val="0070C0"/>
        </w:rPr>
        <w:t>Resources:</w:t>
      </w:r>
      <w:r w:rsidR="00A72572" w:rsidRPr="00C31BFE">
        <w:rPr>
          <w:color w:val="0070C0"/>
        </w:rPr>
        <w:t xml:space="preserve"> </w:t>
      </w:r>
      <w:r w:rsidR="00664DB4" w:rsidRPr="00C31BFE">
        <w:rPr>
          <w:color w:val="0070C0"/>
        </w:rPr>
        <w:t xml:space="preserve">Establishing and managing a new regional program is more demanding than managing a single, established bilateral program of similar value and it requires higher levels of staff engagement and resources. </w:t>
      </w:r>
      <w:r w:rsidR="00C31BFE" w:rsidRPr="00C31BFE">
        <w:rPr>
          <w:color w:val="0070C0"/>
        </w:rPr>
        <w:t>Additionally, the impact of managing a program through multiple phases of development (strategic planning, program planning</w:t>
      </w:r>
      <w:r w:rsidR="005775A1">
        <w:rPr>
          <w:color w:val="0070C0"/>
        </w:rPr>
        <w:t xml:space="preserve"> and implementation</w:t>
      </w:r>
      <w:proofErr w:type="gramStart"/>
      <w:r w:rsidR="005775A1">
        <w:rPr>
          <w:color w:val="0070C0"/>
        </w:rPr>
        <w:t xml:space="preserve">, </w:t>
      </w:r>
      <w:r w:rsidR="00C31BFE" w:rsidRPr="00C31BFE">
        <w:rPr>
          <w:color w:val="0070C0"/>
        </w:rPr>
        <w:t xml:space="preserve"> and</w:t>
      </w:r>
      <w:proofErr w:type="gramEnd"/>
      <w:r w:rsidR="00C31BFE" w:rsidRPr="00C31BFE">
        <w:rPr>
          <w:color w:val="0070C0"/>
        </w:rPr>
        <w:t xml:space="preserve"> monitoring and evaluation) </w:t>
      </w:r>
      <w:r w:rsidR="005775A1">
        <w:rPr>
          <w:color w:val="0070C0"/>
        </w:rPr>
        <w:t xml:space="preserve"> </w:t>
      </w:r>
      <w:r w:rsidR="00C31BFE" w:rsidRPr="00C31BFE">
        <w:rPr>
          <w:color w:val="0070C0"/>
        </w:rPr>
        <w:t>concurrently within a four-year period mean that pressures will remain high throughout</w:t>
      </w:r>
      <w:r w:rsidR="005775A1">
        <w:rPr>
          <w:color w:val="0070C0"/>
        </w:rPr>
        <w:t xml:space="preserve"> the entire program</w:t>
      </w:r>
      <w:r w:rsidR="00C31BFE" w:rsidRPr="00C31BFE">
        <w:rPr>
          <w:color w:val="0070C0"/>
        </w:rPr>
        <w:t xml:space="preserve">. </w:t>
      </w:r>
    </w:p>
    <w:p w:rsidR="00C31BFE" w:rsidRDefault="00C31BFE" w:rsidP="00C31BFE">
      <w:pPr>
        <w:pStyle w:val="BodyText"/>
        <w:ind w:left="360"/>
        <w:jc w:val="both"/>
        <w:rPr>
          <w:color w:val="0070C0"/>
        </w:rPr>
      </w:pPr>
      <w:r>
        <w:rPr>
          <w:b/>
          <w:color w:val="0070C0"/>
        </w:rPr>
        <w:t>Management response:</w:t>
      </w:r>
      <w:r>
        <w:rPr>
          <w:color w:val="0070C0"/>
        </w:rPr>
        <w:t xml:space="preserve"> </w:t>
      </w:r>
      <w:r w:rsidR="00664DB4" w:rsidRPr="00C31BFE">
        <w:rPr>
          <w:color w:val="0070C0"/>
        </w:rPr>
        <w:t xml:space="preserve">Given the likelihood that program resources will remain static, </w:t>
      </w:r>
      <w:r w:rsidRPr="00C31BFE">
        <w:rPr>
          <w:color w:val="0070C0"/>
        </w:rPr>
        <w:t>the</w:t>
      </w:r>
      <w:r w:rsidR="00664DB4" w:rsidRPr="00C31BFE">
        <w:rPr>
          <w:color w:val="0070C0"/>
        </w:rPr>
        <w:t xml:space="preserve"> roles and responsibilities of staff in Canberra and at post will be reviewed to ensure existing resources are most effectively deployed and </w:t>
      </w:r>
      <w:r>
        <w:rPr>
          <w:color w:val="0070C0"/>
        </w:rPr>
        <w:t xml:space="preserve">that budgets </w:t>
      </w:r>
      <w:r w:rsidR="00664DB4" w:rsidRPr="00C31BFE">
        <w:rPr>
          <w:color w:val="0070C0"/>
        </w:rPr>
        <w:t xml:space="preserve">reflect </w:t>
      </w:r>
      <w:r w:rsidRPr="00C31BFE">
        <w:rPr>
          <w:color w:val="0070C0"/>
        </w:rPr>
        <w:t>requirements. A</w:t>
      </w:r>
      <w:r w:rsidR="00664DB4" w:rsidRPr="00C31BFE">
        <w:rPr>
          <w:color w:val="0070C0"/>
        </w:rPr>
        <w:t xml:space="preserve"> forward phase, multi-year work plan or PMP will be developed to ensure commitments during peak times are appropriately managed.</w:t>
      </w:r>
    </w:p>
    <w:p w:rsidR="00BA3F06" w:rsidRPr="00BA3F06" w:rsidRDefault="00BA3F06" w:rsidP="00C31BFE">
      <w:pPr>
        <w:pStyle w:val="Subtitle"/>
        <w:sectPr w:rsidR="00BA3F06" w:rsidRPr="00BA3F06" w:rsidSect="00E77D0C">
          <w:headerReference w:type="even" r:id="rId14"/>
          <w:footerReference w:type="even" r:id="rId15"/>
          <w:footerReference w:type="default" r:id="rId16"/>
          <w:footerReference w:type="first" r:id="rId17"/>
          <w:pgSz w:w="11907" w:h="16840" w:code="9"/>
          <w:pgMar w:top="2381" w:right="2155" w:bottom="851" w:left="1814" w:header="851" w:footer="340" w:gutter="0"/>
          <w:cols w:space="720"/>
          <w:titlePg/>
        </w:sectPr>
      </w:pPr>
    </w:p>
    <w:p w:rsidR="0048588B" w:rsidRDefault="0048588B" w:rsidP="0048588B">
      <w:pPr>
        <w:keepNext/>
        <w:spacing w:after="100" w:line="320" w:lineRule="atLeast"/>
        <w:ind w:left="284"/>
        <w:outlineLvl w:val="0"/>
        <w:rPr>
          <w:rFonts w:ascii="Franklin Gothic Demi" w:hAnsi="Franklin Gothic Demi"/>
          <w:color w:val="AD495D"/>
          <w:kern w:val="28"/>
          <w:sz w:val="28"/>
          <w:szCs w:val="28"/>
        </w:rPr>
      </w:pPr>
      <w:r>
        <w:rPr>
          <w:rFonts w:ascii="Franklin Gothic Demi" w:hAnsi="Franklin Gothic Demi"/>
          <w:color w:val="AD495D"/>
          <w:kern w:val="28"/>
          <w:sz w:val="28"/>
          <w:szCs w:val="28"/>
        </w:rPr>
        <w:lastRenderedPageBreak/>
        <w:t>Annex A:</w:t>
      </w:r>
    </w:p>
    <w:p w:rsidR="00257442" w:rsidRPr="00257442" w:rsidRDefault="008B5267" w:rsidP="00257442">
      <w:pPr>
        <w:pStyle w:val="BodyText"/>
        <w:ind w:left="284"/>
        <w:rPr>
          <w:b/>
        </w:rPr>
      </w:pPr>
      <w:r>
        <w:rPr>
          <w:b/>
          <w:noProof/>
        </w:rPr>
        <mc:AlternateContent>
          <mc:Choice Requires="wps">
            <w:drawing>
              <wp:anchor distT="36576" distB="36576" distL="36576" distR="36576" simplePos="0" relativeHeight="251658240" behindDoc="0" locked="0" layoutInCell="1" allowOverlap="1">
                <wp:simplePos x="0" y="0"/>
                <wp:positionH relativeFrom="column">
                  <wp:posOffset>692785</wp:posOffset>
                </wp:positionH>
                <wp:positionV relativeFrom="paragraph">
                  <wp:posOffset>1118870</wp:posOffset>
                </wp:positionV>
                <wp:extent cx="6203950" cy="7567295"/>
                <wp:effectExtent l="0" t="0" r="6350" b="14605"/>
                <wp:wrapNone/>
                <wp:docPr id="3" name="Control 5" title="Summary of progress against MDGs in Latin Americ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203950" cy="75672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5" o:spid="_x0000_s1026" alt="Title: Summary of progress against MDGs in Latin America" style="position:absolute;margin-left:54.55pt;margin-top:88.1pt;width:488.5pt;height:595.8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" filled="f" stroked="f" insetpen="t">
                <v:shadow color="#eeece1"/>
                <o:lock v:ext="edit" shapetype="t"/>
                <v:textbox inset="0,0,0,0"/>
              </v:rect>
            </w:pict>
          </mc:Fallback>
        </mc:AlternateContent>
      </w:r>
      <w:r w:rsidR="00257442" w:rsidRPr="00257442">
        <w:rPr>
          <w:b/>
        </w:rPr>
        <w:t>Summary of Progress against Millennium Development Goals in Latin America</w:t>
      </w:r>
    </w:p>
    <w:tbl>
      <w:tblPr>
        <w:tblW w:w="10173" w:type="dxa"/>
        <w:tblLayout w:type="fixed"/>
        <w:tblCellMar>
          <w:left w:w="0" w:type="dxa"/>
          <w:right w:w="0" w:type="dxa"/>
        </w:tblCellMar>
        <w:tblLook w:val="04A0" w:firstRow="1" w:lastRow="0" w:firstColumn="1" w:lastColumn="0" w:noHBand="0" w:noVBand="1"/>
        <w:tblCaption w:val="summary of MDGs in Latin America"/>
      </w:tblPr>
      <w:tblGrid>
        <w:gridCol w:w="1030"/>
        <w:gridCol w:w="1063"/>
        <w:gridCol w:w="1134"/>
        <w:gridCol w:w="1276"/>
        <w:gridCol w:w="1134"/>
        <w:gridCol w:w="1134"/>
        <w:gridCol w:w="1134"/>
        <w:gridCol w:w="1134"/>
        <w:gridCol w:w="1134"/>
      </w:tblGrid>
      <w:tr w:rsidR="00257442" w:rsidRPr="00257442" w:rsidTr="00271F5A">
        <w:trPr>
          <w:trHeight w:val="1714"/>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57442" w:rsidRPr="00257442" w:rsidRDefault="00257442" w:rsidP="00257442">
            <w:pPr>
              <w:spacing w:line="273" w:lineRule="auto"/>
              <w:jc w:val="center"/>
              <w:rPr>
                <w:rFonts w:ascii="Arial" w:hAnsi="Arial" w:cs="Arial"/>
                <w:b/>
                <w:bCs/>
                <w:color w:val="000000"/>
                <w:kern w:val="28"/>
                <w:sz w:val="14"/>
                <w:szCs w:val="14"/>
              </w:rPr>
            </w:pPr>
            <w:r w:rsidRPr="00257442">
              <w:rPr>
                <w:rFonts w:ascii="Arial" w:hAnsi="Arial" w:cs="Arial"/>
                <w:b/>
                <w:bCs/>
                <w:color w:val="000000"/>
                <w:kern w:val="28"/>
                <w:sz w:val="14"/>
                <w:szCs w:val="14"/>
              </w:rPr>
              <w:t xml:space="preserve">Latin </w:t>
            </w:r>
          </w:p>
          <w:p w:rsidR="00257442" w:rsidRPr="00257442" w:rsidRDefault="00257442" w:rsidP="00257442">
            <w:pPr>
              <w:spacing w:line="273" w:lineRule="auto"/>
              <w:jc w:val="center"/>
              <w:rPr>
                <w:color w:val="000000"/>
                <w:kern w:val="28"/>
                <w:sz w:val="24"/>
              </w:rPr>
            </w:pPr>
            <w:r w:rsidRPr="00257442">
              <w:rPr>
                <w:rFonts w:ascii="Arial" w:hAnsi="Arial" w:cs="Arial"/>
                <w:b/>
                <w:bCs/>
                <w:color w:val="000000"/>
                <w:kern w:val="28"/>
                <w:sz w:val="14"/>
                <w:szCs w:val="14"/>
              </w:rPr>
              <w:t>America</w:t>
            </w:r>
          </w:p>
        </w:tc>
        <w:tc>
          <w:tcPr>
            <w:tcW w:w="10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b/>
                <w:bCs/>
                <w:color w:val="000000"/>
                <w:kern w:val="28"/>
                <w:sz w:val="14"/>
                <w:szCs w:val="14"/>
              </w:rPr>
              <w:t>MDG 1</w:t>
            </w:r>
          </w:p>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Eliminate Extreme Poverty and Hunger</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b/>
                <w:bCs/>
                <w:color w:val="000000"/>
                <w:kern w:val="28"/>
                <w:sz w:val="14"/>
                <w:szCs w:val="14"/>
              </w:rPr>
              <w:t>MDG 2</w:t>
            </w:r>
          </w:p>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Achieve Universal Primary Education</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b/>
                <w:bCs/>
                <w:color w:val="000000"/>
                <w:kern w:val="28"/>
                <w:sz w:val="14"/>
                <w:szCs w:val="14"/>
              </w:rPr>
              <w:t>MDG 3</w:t>
            </w:r>
          </w:p>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Promote Gender Equality and Empower Women</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b/>
                <w:bCs/>
                <w:color w:val="000000"/>
                <w:kern w:val="28"/>
                <w:sz w:val="14"/>
                <w:szCs w:val="14"/>
              </w:rPr>
              <w:t>MDG 4</w:t>
            </w:r>
          </w:p>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Reduce Child Mortality</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b/>
                <w:bCs/>
                <w:color w:val="000000"/>
                <w:kern w:val="28"/>
                <w:sz w:val="14"/>
                <w:szCs w:val="14"/>
              </w:rPr>
              <w:t>MDG 5</w:t>
            </w:r>
          </w:p>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Improve Maternal Health</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b/>
                <w:bCs/>
                <w:color w:val="000000"/>
                <w:kern w:val="28"/>
                <w:sz w:val="14"/>
                <w:szCs w:val="14"/>
              </w:rPr>
              <w:t>MDG 6</w:t>
            </w:r>
          </w:p>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Combat HIV/AIDS and Other Diseases</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b/>
                <w:bCs/>
                <w:color w:val="000000"/>
                <w:kern w:val="28"/>
                <w:sz w:val="14"/>
                <w:szCs w:val="14"/>
              </w:rPr>
              <w:t>MDG 7</w:t>
            </w:r>
          </w:p>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Ensure Environment-al Sustainability</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b/>
                <w:bCs/>
                <w:color w:val="000000"/>
                <w:kern w:val="28"/>
                <w:sz w:val="14"/>
                <w:szCs w:val="14"/>
              </w:rPr>
              <w:t>MDG 8</w:t>
            </w:r>
          </w:p>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Develop a Global Partnership for Development</w:t>
            </w:r>
          </w:p>
        </w:tc>
      </w:tr>
      <w:tr w:rsidR="00257442" w:rsidRPr="00257442" w:rsidTr="00271F5A">
        <w:trPr>
          <w:trHeight w:val="621"/>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b/>
                <w:bCs/>
                <w:color w:val="000000"/>
                <w:kern w:val="28"/>
                <w:sz w:val="14"/>
                <w:szCs w:val="14"/>
              </w:rPr>
              <w:t>Argentina</w:t>
            </w:r>
          </w:p>
        </w:tc>
        <w:tc>
          <w:tcPr>
            <w:tcW w:w="106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Achieved</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Achieved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r>
      <w:tr w:rsidR="00257442" w:rsidRPr="00257442" w:rsidTr="00271F5A">
        <w:trPr>
          <w:trHeight w:val="582"/>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b/>
                <w:bCs/>
                <w:color w:val="000000"/>
                <w:kern w:val="28"/>
                <w:sz w:val="14"/>
                <w:szCs w:val="14"/>
              </w:rPr>
              <w:t>Bolivia</w:t>
            </w:r>
          </w:p>
        </w:tc>
        <w:tc>
          <w:tcPr>
            <w:tcW w:w="1063"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Off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27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Off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Off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r>
      <w:tr w:rsidR="00257442" w:rsidRPr="00257442" w:rsidTr="00271F5A">
        <w:trPr>
          <w:trHeight w:val="540"/>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7442" w:rsidRPr="00257442" w:rsidRDefault="00257442" w:rsidP="00257442">
            <w:pPr>
              <w:spacing w:before="120" w:line="360" w:lineRule="auto"/>
              <w:jc w:val="center"/>
              <w:rPr>
                <w:b/>
                <w:bCs/>
                <w:color w:val="000000"/>
                <w:kern w:val="28"/>
                <w:sz w:val="24"/>
              </w:rPr>
            </w:pPr>
            <w:r w:rsidRPr="00257442">
              <w:rPr>
                <w:rFonts w:ascii="Arial" w:hAnsi="Arial" w:cs="Arial"/>
                <w:b/>
                <w:bCs/>
                <w:color w:val="000000"/>
                <w:kern w:val="28"/>
                <w:sz w:val="14"/>
                <w:szCs w:val="14"/>
              </w:rPr>
              <w:t>Brazil</w:t>
            </w:r>
          </w:p>
        </w:tc>
        <w:tc>
          <w:tcPr>
            <w:tcW w:w="1063"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Achieved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Achieved</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Achieved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Achieved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r>
      <w:tr w:rsidR="00257442" w:rsidRPr="00257442" w:rsidTr="00271F5A">
        <w:trPr>
          <w:trHeight w:val="582"/>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7442" w:rsidRPr="00257442" w:rsidRDefault="00257442" w:rsidP="00257442">
            <w:pPr>
              <w:spacing w:before="120" w:line="360" w:lineRule="auto"/>
              <w:jc w:val="center"/>
              <w:rPr>
                <w:rFonts w:ascii="Arial" w:hAnsi="Arial" w:cs="Arial"/>
                <w:b/>
                <w:bCs/>
                <w:color w:val="000000"/>
                <w:kern w:val="28"/>
                <w:sz w:val="14"/>
                <w:szCs w:val="14"/>
              </w:rPr>
            </w:pPr>
            <w:r w:rsidRPr="00257442">
              <w:rPr>
                <w:rFonts w:ascii="Arial" w:hAnsi="Arial" w:cs="Arial"/>
                <w:b/>
                <w:bCs/>
                <w:color w:val="000000"/>
                <w:kern w:val="28"/>
                <w:sz w:val="14"/>
                <w:szCs w:val="14"/>
              </w:rPr>
              <w:t>Chile</w:t>
            </w:r>
          </w:p>
        </w:tc>
        <w:tc>
          <w:tcPr>
            <w:tcW w:w="1063"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Achieved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r>
      <w:tr w:rsidR="00257442" w:rsidRPr="00257442" w:rsidTr="00271F5A">
        <w:trPr>
          <w:trHeight w:val="582"/>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7442" w:rsidRPr="00257442" w:rsidRDefault="00257442" w:rsidP="00257442">
            <w:pPr>
              <w:spacing w:before="120" w:line="360" w:lineRule="auto"/>
              <w:jc w:val="center"/>
              <w:rPr>
                <w:rFonts w:ascii="Arial" w:hAnsi="Arial" w:cs="Arial"/>
                <w:b/>
                <w:bCs/>
                <w:color w:val="000000"/>
                <w:kern w:val="28"/>
                <w:sz w:val="14"/>
                <w:szCs w:val="14"/>
              </w:rPr>
            </w:pPr>
            <w:r w:rsidRPr="00257442">
              <w:rPr>
                <w:rFonts w:ascii="Arial" w:hAnsi="Arial" w:cs="Arial"/>
                <w:b/>
                <w:bCs/>
                <w:color w:val="000000"/>
                <w:kern w:val="28"/>
                <w:sz w:val="14"/>
                <w:szCs w:val="14"/>
              </w:rPr>
              <w:t>Colombia</w:t>
            </w:r>
          </w:p>
        </w:tc>
        <w:tc>
          <w:tcPr>
            <w:tcW w:w="106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Achieved</w:t>
            </w:r>
          </w:p>
        </w:tc>
        <w:tc>
          <w:tcPr>
            <w:tcW w:w="127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r>
      <w:tr w:rsidR="00257442" w:rsidRPr="00257442" w:rsidTr="00271F5A">
        <w:trPr>
          <w:trHeight w:val="582"/>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7442" w:rsidRPr="00257442" w:rsidRDefault="00257442" w:rsidP="00257442">
            <w:pPr>
              <w:spacing w:before="120" w:line="360" w:lineRule="auto"/>
              <w:jc w:val="center"/>
              <w:rPr>
                <w:rFonts w:ascii="Arial" w:hAnsi="Arial" w:cs="Arial"/>
                <w:b/>
                <w:bCs/>
                <w:color w:val="000000"/>
                <w:kern w:val="28"/>
                <w:sz w:val="14"/>
                <w:szCs w:val="14"/>
              </w:rPr>
            </w:pPr>
            <w:r w:rsidRPr="00257442">
              <w:rPr>
                <w:rFonts w:ascii="Arial" w:hAnsi="Arial" w:cs="Arial"/>
                <w:b/>
                <w:bCs/>
                <w:color w:val="000000"/>
                <w:kern w:val="28"/>
                <w:sz w:val="14"/>
                <w:szCs w:val="14"/>
              </w:rPr>
              <w:t>Costa Rica</w:t>
            </w:r>
          </w:p>
        </w:tc>
        <w:tc>
          <w:tcPr>
            <w:tcW w:w="106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27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r>
      <w:tr w:rsidR="00257442" w:rsidRPr="00257442" w:rsidTr="00271F5A">
        <w:trPr>
          <w:trHeight w:val="582"/>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7442" w:rsidRPr="00257442" w:rsidRDefault="00257442" w:rsidP="00257442">
            <w:pPr>
              <w:spacing w:before="120" w:line="360" w:lineRule="auto"/>
              <w:jc w:val="center"/>
              <w:rPr>
                <w:rFonts w:ascii="Arial" w:hAnsi="Arial" w:cs="Arial"/>
                <w:b/>
                <w:bCs/>
                <w:color w:val="000000"/>
                <w:kern w:val="28"/>
                <w:sz w:val="14"/>
                <w:szCs w:val="14"/>
              </w:rPr>
            </w:pPr>
            <w:r w:rsidRPr="00257442">
              <w:rPr>
                <w:rFonts w:ascii="Arial" w:hAnsi="Arial" w:cs="Arial"/>
                <w:b/>
                <w:bCs/>
                <w:color w:val="000000"/>
                <w:kern w:val="28"/>
                <w:sz w:val="14"/>
                <w:szCs w:val="14"/>
              </w:rPr>
              <w:t>Ecuador</w:t>
            </w:r>
          </w:p>
        </w:tc>
        <w:tc>
          <w:tcPr>
            <w:tcW w:w="106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27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r>
      <w:tr w:rsidR="00257442" w:rsidRPr="00257442" w:rsidTr="00271F5A">
        <w:trPr>
          <w:trHeight w:val="582"/>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7442" w:rsidRPr="00257442" w:rsidRDefault="00257442" w:rsidP="00257442">
            <w:pPr>
              <w:spacing w:before="120" w:line="360" w:lineRule="auto"/>
              <w:jc w:val="center"/>
              <w:rPr>
                <w:rFonts w:ascii="Arial" w:hAnsi="Arial" w:cs="Arial"/>
                <w:b/>
                <w:bCs/>
                <w:color w:val="000000"/>
                <w:kern w:val="28"/>
                <w:sz w:val="14"/>
                <w:szCs w:val="14"/>
              </w:rPr>
            </w:pPr>
            <w:r w:rsidRPr="00257442">
              <w:rPr>
                <w:rFonts w:ascii="Arial" w:hAnsi="Arial" w:cs="Arial"/>
                <w:b/>
                <w:bCs/>
                <w:color w:val="000000"/>
                <w:kern w:val="28"/>
                <w:sz w:val="14"/>
                <w:szCs w:val="14"/>
              </w:rPr>
              <w:t>El Salvador</w:t>
            </w:r>
          </w:p>
        </w:tc>
        <w:tc>
          <w:tcPr>
            <w:tcW w:w="10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r>
      <w:tr w:rsidR="00257442" w:rsidRPr="00257442" w:rsidTr="00271F5A">
        <w:trPr>
          <w:trHeight w:val="582"/>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7442" w:rsidRPr="00257442" w:rsidRDefault="00257442" w:rsidP="00257442">
            <w:pPr>
              <w:spacing w:before="120" w:line="360" w:lineRule="auto"/>
              <w:jc w:val="center"/>
              <w:rPr>
                <w:rFonts w:ascii="Arial" w:hAnsi="Arial" w:cs="Arial"/>
                <w:b/>
                <w:bCs/>
                <w:color w:val="000000"/>
                <w:kern w:val="28"/>
                <w:sz w:val="14"/>
                <w:szCs w:val="14"/>
              </w:rPr>
            </w:pPr>
            <w:r w:rsidRPr="00257442">
              <w:rPr>
                <w:rFonts w:ascii="Arial" w:hAnsi="Arial" w:cs="Arial"/>
                <w:b/>
                <w:bCs/>
                <w:color w:val="000000"/>
                <w:kern w:val="28"/>
                <w:sz w:val="14"/>
                <w:szCs w:val="14"/>
              </w:rPr>
              <w:t>Guatemala</w:t>
            </w:r>
          </w:p>
        </w:tc>
        <w:tc>
          <w:tcPr>
            <w:tcW w:w="106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Off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r>
      <w:tr w:rsidR="00257442" w:rsidRPr="00257442" w:rsidTr="00271F5A">
        <w:trPr>
          <w:trHeight w:val="582"/>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7442" w:rsidRPr="00257442" w:rsidRDefault="00257442" w:rsidP="00257442">
            <w:pPr>
              <w:spacing w:before="120" w:line="360" w:lineRule="auto"/>
              <w:jc w:val="center"/>
              <w:rPr>
                <w:rFonts w:ascii="Arial" w:hAnsi="Arial" w:cs="Arial"/>
                <w:b/>
                <w:bCs/>
                <w:color w:val="000000"/>
                <w:kern w:val="28"/>
                <w:sz w:val="14"/>
                <w:szCs w:val="14"/>
              </w:rPr>
            </w:pPr>
            <w:r w:rsidRPr="00257442">
              <w:rPr>
                <w:rFonts w:ascii="Arial" w:hAnsi="Arial" w:cs="Arial"/>
                <w:b/>
                <w:bCs/>
                <w:color w:val="000000"/>
                <w:kern w:val="28"/>
                <w:sz w:val="14"/>
                <w:szCs w:val="14"/>
              </w:rPr>
              <w:t>Honduras</w:t>
            </w:r>
          </w:p>
        </w:tc>
        <w:tc>
          <w:tcPr>
            <w:tcW w:w="10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27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r>
      <w:tr w:rsidR="00257442" w:rsidRPr="00257442" w:rsidTr="00271F5A">
        <w:trPr>
          <w:trHeight w:val="582"/>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7442" w:rsidRPr="00257442" w:rsidRDefault="00257442" w:rsidP="00257442">
            <w:pPr>
              <w:spacing w:before="120" w:line="360" w:lineRule="auto"/>
              <w:jc w:val="center"/>
              <w:rPr>
                <w:rFonts w:ascii="Arial" w:hAnsi="Arial" w:cs="Arial"/>
                <w:b/>
                <w:bCs/>
                <w:color w:val="000000"/>
                <w:kern w:val="28"/>
                <w:sz w:val="14"/>
                <w:szCs w:val="14"/>
              </w:rPr>
            </w:pPr>
            <w:r w:rsidRPr="00257442">
              <w:rPr>
                <w:rFonts w:ascii="Arial" w:hAnsi="Arial" w:cs="Arial"/>
                <w:b/>
                <w:bCs/>
                <w:color w:val="000000"/>
                <w:kern w:val="28"/>
                <w:sz w:val="14"/>
                <w:szCs w:val="14"/>
              </w:rPr>
              <w:t>Mexico</w:t>
            </w:r>
          </w:p>
        </w:tc>
        <w:tc>
          <w:tcPr>
            <w:tcW w:w="1063"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Achieved</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Achieved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r>
      <w:tr w:rsidR="00257442" w:rsidRPr="00257442" w:rsidTr="00271F5A">
        <w:trPr>
          <w:trHeight w:val="582"/>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7442" w:rsidRPr="00257442" w:rsidRDefault="00257442" w:rsidP="00257442">
            <w:pPr>
              <w:spacing w:before="120" w:line="360" w:lineRule="auto"/>
              <w:jc w:val="center"/>
              <w:rPr>
                <w:rFonts w:ascii="Arial" w:hAnsi="Arial" w:cs="Arial"/>
                <w:b/>
                <w:bCs/>
                <w:color w:val="000000"/>
                <w:kern w:val="28"/>
                <w:sz w:val="14"/>
                <w:szCs w:val="14"/>
              </w:rPr>
            </w:pPr>
            <w:r w:rsidRPr="00257442">
              <w:rPr>
                <w:rFonts w:ascii="Arial" w:hAnsi="Arial" w:cs="Arial"/>
                <w:b/>
                <w:bCs/>
                <w:color w:val="000000"/>
                <w:kern w:val="28"/>
                <w:sz w:val="14"/>
                <w:szCs w:val="14"/>
              </w:rPr>
              <w:t>Nicaragua</w:t>
            </w:r>
          </w:p>
        </w:tc>
        <w:tc>
          <w:tcPr>
            <w:tcW w:w="10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Achieved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Off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r>
      <w:tr w:rsidR="00257442" w:rsidRPr="00257442" w:rsidTr="00271F5A">
        <w:trPr>
          <w:trHeight w:val="582"/>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7442" w:rsidRPr="00257442" w:rsidRDefault="00257442" w:rsidP="00257442">
            <w:pPr>
              <w:spacing w:before="120" w:line="360" w:lineRule="auto"/>
              <w:jc w:val="center"/>
              <w:rPr>
                <w:rFonts w:ascii="Arial" w:hAnsi="Arial" w:cs="Arial"/>
                <w:b/>
                <w:bCs/>
                <w:color w:val="000000"/>
                <w:kern w:val="28"/>
                <w:sz w:val="14"/>
                <w:szCs w:val="14"/>
              </w:rPr>
            </w:pPr>
            <w:r w:rsidRPr="00257442">
              <w:rPr>
                <w:rFonts w:ascii="Arial" w:hAnsi="Arial" w:cs="Arial"/>
                <w:b/>
                <w:bCs/>
                <w:color w:val="000000"/>
                <w:kern w:val="28"/>
                <w:sz w:val="14"/>
                <w:szCs w:val="14"/>
              </w:rPr>
              <w:t>Panama</w:t>
            </w:r>
          </w:p>
        </w:tc>
        <w:tc>
          <w:tcPr>
            <w:tcW w:w="106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Off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r>
      <w:tr w:rsidR="00257442" w:rsidRPr="00257442" w:rsidTr="00271F5A">
        <w:trPr>
          <w:trHeight w:val="582"/>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7442" w:rsidRPr="00257442" w:rsidRDefault="00257442" w:rsidP="00257442">
            <w:pPr>
              <w:spacing w:before="120" w:line="360" w:lineRule="auto"/>
              <w:jc w:val="center"/>
              <w:rPr>
                <w:rFonts w:ascii="Arial" w:hAnsi="Arial" w:cs="Arial"/>
                <w:b/>
                <w:bCs/>
                <w:color w:val="000000"/>
                <w:kern w:val="28"/>
                <w:sz w:val="14"/>
                <w:szCs w:val="14"/>
              </w:rPr>
            </w:pPr>
            <w:r w:rsidRPr="00257442">
              <w:rPr>
                <w:rFonts w:ascii="Arial" w:hAnsi="Arial" w:cs="Arial"/>
                <w:b/>
                <w:bCs/>
                <w:color w:val="000000"/>
                <w:kern w:val="28"/>
                <w:sz w:val="14"/>
                <w:szCs w:val="14"/>
              </w:rPr>
              <w:t>Paraguay</w:t>
            </w:r>
          </w:p>
        </w:tc>
        <w:tc>
          <w:tcPr>
            <w:tcW w:w="1063"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Off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27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Off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Off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Off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Off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r>
      <w:tr w:rsidR="00257442" w:rsidRPr="00257442" w:rsidTr="00271F5A">
        <w:trPr>
          <w:trHeight w:val="582"/>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7442" w:rsidRPr="00257442" w:rsidRDefault="00257442" w:rsidP="00257442">
            <w:pPr>
              <w:spacing w:before="120" w:line="360" w:lineRule="auto"/>
              <w:jc w:val="center"/>
              <w:rPr>
                <w:rFonts w:ascii="Arial" w:hAnsi="Arial" w:cs="Arial"/>
                <w:b/>
                <w:bCs/>
                <w:color w:val="000000"/>
                <w:kern w:val="28"/>
                <w:sz w:val="14"/>
                <w:szCs w:val="14"/>
              </w:rPr>
            </w:pPr>
            <w:r w:rsidRPr="00257442">
              <w:rPr>
                <w:rFonts w:ascii="Arial" w:hAnsi="Arial" w:cs="Arial"/>
                <w:b/>
                <w:bCs/>
                <w:color w:val="000000"/>
                <w:kern w:val="28"/>
                <w:sz w:val="14"/>
                <w:szCs w:val="14"/>
              </w:rPr>
              <w:t>Peru</w:t>
            </w:r>
          </w:p>
        </w:tc>
        <w:tc>
          <w:tcPr>
            <w:tcW w:w="106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Off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Off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r>
      <w:tr w:rsidR="00257442" w:rsidRPr="00257442" w:rsidTr="00271F5A">
        <w:trPr>
          <w:trHeight w:val="614"/>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7442" w:rsidRPr="00257442" w:rsidRDefault="00257442" w:rsidP="00257442">
            <w:pPr>
              <w:spacing w:before="120" w:line="360" w:lineRule="auto"/>
              <w:jc w:val="center"/>
              <w:rPr>
                <w:rFonts w:ascii="Arial" w:hAnsi="Arial" w:cs="Arial"/>
                <w:b/>
                <w:bCs/>
                <w:color w:val="000000"/>
                <w:kern w:val="28"/>
                <w:sz w:val="14"/>
                <w:szCs w:val="14"/>
              </w:rPr>
            </w:pPr>
            <w:r w:rsidRPr="00257442">
              <w:rPr>
                <w:rFonts w:ascii="Arial" w:hAnsi="Arial" w:cs="Arial"/>
                <w:b/>
                <w:bCs/>
                <w:color w:val="000000"/>
                <w:kern w:val="28"/>
                <w:sz w:val="14"/>
                <w:szCs w:val="14"/>
              </w:rPr>
              <w:t>Uruguay</w:t>
            </w:r>
          </w:p>
        </w:tc>
        <w:tc>
          <w:tcPr>
            <w:tcW w:w="1063"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Achieved</w:t>
            </w:r>
          </w:p>
        </w:tc>
        <w:tc>
          <w:tcPr>
            <w:tcW w:w="127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r>
      <w:tr w:rsidR="00257442" w:rsidRPr="00257442" w:rsidTr="00271F5A">
        <w:trPr>
          <w:trHeight w:val="638"/>
        </w:trPr>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7442" w:rsidRPr="00257442" w:rsidRDefault="00257442" w:rsidP="00257442">
            <w:pPr>
              <w:spacing w:before="120" w:line="360" w:lineRule="auto"/>
              <w:jc w:val="center"/>
              <w:rPr>
                <w:rFonts w:ascii="Arial" w:hAnsi="Arial" w:cs="Arial"/>
                <w:b/>
                <w:bCs/>
                <w:color w:val="000000"/>
                <w:kern w:val="28"/>
                <w:sz w:val="14"/>
                <w:szCs w:val="14"/>
              </w:rPr>
            </w:pPr>
            <w:r w:rsidRPr="00257442">
              <w:rPr>
                <w:rFonts w:ascii="Arial" w:hAnsi="Arial" w:cs="Arial"/>
                <w:b/>
                <w:bCs/>
                <w:color w:val="000000"/>
                <w:kern w:val="28"/>
                <w:sz w:val="14"/>
                <w:szCs w:val="14"/>
              </w:rPr>
              <w:t>Venezuela</w:t>
            </w:r>
          </w:p>
        </w:tc>
        <w:tc>
          <w:tcPr>
            <w:tcW w:w="106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Mixed</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257442" w:rsidRPr="00257442" w:rsidRDefault="00257442" w:rsidP="00257442">
            <w:pPr>
              <w:spacing w:before="120" w:line="360" w:lineRule="auto"/>
              <w:jc w:val="center"/>
              <w:rPr>
                <w:color w:val="000000"/>
                <w:kern w:val="28"/>
                <w:sz w:val="24"/>
              </w:rPr>
            </w:pPr>
            <w:r w:rsidRPr="00257442">
              <w:rPr>
                <w:rFonts w:ascii="Arial" w:hAnsi="Arial" w:cs="Arial"/>
                <w:color w:val="000000"/>
                <w:kern w:val="28"/>
                <w:sz w:val="14"/>
                <w:szCs w:val="14"/>
              </w:rPr>
              <w:t xml:space="preserve">On track </w:t>
            </w:r>
            <w:r w:rsidRPr="00257442">
              <w:rPr>
                <w:rFonts w:ascii="Wingdings" w:hAnsi="Wingdings"/>
                <w:color w:val="000000"/>
                <w:kern w:val="28"/>
                <w:sz w:val="14"/>
                <w:szCs w:val="1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257442" w:rsidRPr="00257442" w:rsidRDefault="00257442" w:rsidP="00257442">
            <w:pPr>
              <w:spacing w:before="120" w:line="273" w:lineRule="auto"/>
              <w:jc w:val="center"/>
              <w:rPr>
                <w:rFonts w:ascii="Arial" w:hAnsi="Arial" w:cs="Arial"/>
                <w:color w:val="000000"/>
                <w:kern w:val="28"/>
                <w:sz w:val="14"/>
                <w:szCs w:val="14"/>
              </w:rPr>
            </w:pPr>
            <w:r w:rsidRPr="00257442">
              <w:rPr>
                <w:rFonts w:ascii="Arial" w:hAnsi="Arial" w:cs="Arial"/>
                <w:color w:val="000000"/>
                <w:kern w:val="28"/>
                <w:sz w:val="14"/>
                <w:szCs w:val="14"/>
              </w:rPr>
              <w:t xml:space="preserve">Insufficient </w:t>
            </w:r>
          </w:p>
          <w:p w:rsidR="00257442" w:rsidRPr="00257442" w:rsidRDefault="00257442" w:rsidP="00257442">
            <w:pPr>
              <w:spacing w:before="120" w:line="273" w:lineRule="auto"/>
              <w:jc w:val="center"/>
              <w:rPr>
                <w:rFonts w:ascii="Arial" w:hAnsi="Arial" w:cs="Arial"/>
                <w:color w:val="000000"/>
                <w:kern w:val="28"/>
                <w:sz w:val="24"/>
              </w:rPr>
            </w:pPr>
            <w:r w:rsidRPr="00257442">
              <w:rPr>
                <w:rFonts w:ascii="Arial" w:hAnsi="Arial" w:cs="Arial"/>
                <w:color w:val="000000"/>
                <w:kern w:val="28"/>
                <w:sz w:val="14"/>
                <w:szCs w:val="14"/>
              </w:rPr>
              <w:t>Information</w:t>
            </w:r>
          </w:p>
        </w:tc>
      </w:tr>
    </w:tbl>
    <w:p w:rsidR="00257442" w:rsidRDefault="00257442" w:rsidP="00B46DDB">
      <w:pPr>
        <w:keepNext/>
        <w:spacing w:after="100" w:line="320" w:lineRule="atLeast"/>
        <w:ind w:left="284"/>
        <w:outlineLvl w:val="0"/>
        <w:rPr>
          <w:rFonts w:ascii="Franklin Gothic Demi" w:hAnsi="Franklin Gothic Demi"/>
          <w:color w:val="AD495D"/>
          <w:kern w:val="28"/>
          <w:sz w:val="28"/>
          <w:szCs w:val="28"/>
        </w:rPr>
        <w:sectPr w:rsidR="00257442" w:rsidSect="00257442">
          <w:pgSz w:w="11907" w:h="16840" w:code="9"/>
          <w:pgMar w:top="2381" w:right="2155" w:bottom="851" w:left="992" w:header="851" w:footer="340" w:gutter="0"/>
          <w:cols w:space="720"/>
          <w:titlePg/>
          <w:docGrid w:linePitch="272"/>
        </w:sectPr>
      </w:pPr>
    </w:p>
    <w:p w:rsidR="006F3973" w:rsidRDefault="006F3973" w:rsidP="00B46DDB">
      <w:pPr>
        <w:keepNext/>
        <w:spacing w:after="100" w:line="320" w:lineRule="atLeast"/>
        <w:ind w:left="284"/>
        <w:outlineLvl w:val="0"/>
        <w:rPr>
          <w:rFonts w:ascii="Franklin Gothic Demi" w:hAnsi="Franklin Gothic Demi"/>
          <w:color w:val="AD495D"/>
          <w:kern w:val="28"/>
          <w:sz w:val="28"/>
          <w:szCs w:val="28"/>
        </w:rPr>
      </w:pPr>
      <w:r>
        <w:rPr>
          <w:rFonts w:ascii="Franklin Gothic Demi" w:hAnsi="Franklin Gothic Demi"/>
          <w:color w:val="AD495D"/>
          <w:kern w:val="28"/>
          <w:sz w:val="28"/>
          <w:szCs w:val="28"/>
        </w:rPr>
        <w:lastRenderedPageBreak/>
        <w:t>A</w:t>
      </w:r>
      <w:r w:rsidR="002C012E">
        <w:rPr>
          <w:rFonts w:ascii="Franklin Gothic Demi" w:hAnsi="Franklin Gothic Demi"/>
          <w:color w:val="AD495D"/>
          <w:kern w:val="28"/>
          <w:sz w:val="28"/>
          <w:szCs w:val="28"/>
        </w:rPr>
        <w:t>nnex</w:t>
      </w:r>
      <w:r>
        <w:rPr>
          <w:rFonts w:ascii="Franklin Gothic Demi" w:hAnsi="Franklin Gothic Demi"/>
          <w:color w:val="AD495D"/>
          <w:kern w:val="28"/>
          <w:sz w:val="28"/>
          <w:szCs w:val="28"/>
        </w:rPr>
        <w:t xml:space="preserve"> </w:t>
      </w:r>
      <w:r w:rsidR="0048588B">
        <w:rPr>
          <w:rFonts w:ascii="Franklin Gothic Demi" w:hAnsi="Franklin Gothic Demi"/>
          <w:color w:val="AD495D"/>
          <w:kern w:val="28"/>
          <w:sz w:val="28"/>
          <w:szCs w:val="28"/>
        </w:rPr>
        <w:t>B</w:t>
      </w:r>
      <w:r>
        <w:rPr>
          <w:rFonts w:ascii="Franklin Gothic Demi" w:hAnsi="Franklin Gothic Demi"/>
          <w:color w:val="AD495D"/>
          <w:kern w:val="28"/>
          <w:sz w:val="28"/>
          <w:szCs w:val="28"/>
        </w:rPr>
        <w:t>:</w:t>
      </w:r>
    </w:p>
    <w:p w:rsidR="006F3973" w:rsidRDefault="00B46DDB" w:rsidP="00B46DDB">
      <w:pPr>
        <w:pStyle w:val="BodyText"/>
        <w:ind w:left="284"/>
        <w:rPr>
          <w:b/>
        </w:rPr>
      </w:pPr>
      <w:r>
        <w:rPr>
          <w:b/>
        </w:rPr>
        <w:t>H</w:t>
      </w:r>
      <w:r w:rsidR="006F3973">
        <w:rPr>
          <w:b/>
        </w:rPr>
        <w:t xml:space="preserve">eadline </w:t>
      </w:r>
      <w:r>
        <w:rPr>
          <w:b/>
        </w:rPr>
        <w:t>R</w:t>
      </w:r>
      <w:r w:rsidR="006F3973">
        <w:rPr>
          <w:b/>
        </w:rPr>
        <w:t>esults</w:t>
      </w:r>
      <w:r>
        <w:rPr>
          <w:b/>
        </w:rPr>
        <w:t xml:space="preserve"> Summary: </w:t>
      </w:r>
      <w:r w:rsidR="00C815D3">
        <w:rPr>
          <w:b/>
        </w:rPr>
        <w:t xml:space="preserve">Latin America </w:t>
      </w:r>
      <w:r>
        <w:rPr>
          <w:b/>
        </w:rPr>
        <w:t>Regional Program</w:t>
      </w:r>
    </w:p>
    <w:p w:rsidR="00B11EC2" w:rsidRPr="00B11EC2" w:rsidRDefault="00B11EC2" w:rsidP="00B46DDB">
      <w:pPr>
        <w:pStyle w:val="BodyText"/>
        <w:ind w:left="284"/>
      </w:pPr>
      <w:r w:rsidRPr="00B11EC2">
        <w:t>Headline results are reported against specified corporate indicators</w:t>
      </w:r>
      <w:r>
        <w:t xml:space="preserve"> in 2011</w:t>
      </w:r>
      <w:r w:rsidRPr="00B11EC2">
        <w:t xml:space="preserve">.  This does not </w:t>
      </w:r>
      <w:r>
        <w:t>reflect</w:t>
      </w:r>
      <w:r w:rsidRPr="00B11EC2">
        <w:t xml:space="preserve"> all results achieved by the Latin America program</w:t>
      </w:r>
      <w:r>
        <w:t xml:space="preserve"> to date.</w:t>
      </w:r>
    </w:p>
    <w:p w:rsidR="00B46DDB" w:rsidRPr="00B46DDB" w:rsidRDefault="00B46DDB" w:rsidP="00B46DDB">
      <w:pPr>
        <w:ind w:left="852"/>
        <w:rPr>
          <w:b/>
          <w:sz w:val="24"/>
        </w:rPr>
      </w:pPr>
    </w:p>
    <w:tbl>
      <w:tblPr>
        <w:tblW w:w="1442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9"/>
        <w:gridCol w:w="2578"/>
        <w:gridCol w:w="2883"/>
        <w:gridCol w:w="2677"/>
        <w:gridCol w:w="2388"/>
      </w:tblGrid>
      <w:tr w:rsidR="00B46DDB" w:rsidTr="00F90DF9">
        <w:tc>
          <w:tcPr>
            <w:tcW w:w="3899" w:type="dxa"/>
            <w:shd w:val="clear" w:color="auto" w:fill="4BACC6"/>
          </w:tcPr>
          <w:p w:rsidR="00B46DDB" w:rsidRPr="00F90DF9" w:rsidRDefault="00B46DDB" w:rsidP="00F90DF9">
            <w:pPr>
              <w:rPr>
                <w:b/>
                <w:sz w:val="24"/>
              </w:rPr>
            </w:pPr>
            <w:r w:rsidRPr="00F90DF9">
              <w:rPr>
                <w:b/>
                <w:sz w:val="24"/>
              </w:rPr>
              <w:t>Headline Result Indicator</w:t>
            </w:r>
          </w:p>
        </w:tc>
        <w:tc>
          <w:tcPr>
            <w:tcW w:w="2578" w:type="dxa"/>
            <w:shd w:val="clear" w:color="auto" w:fill="4BACC6"/>
          </w:tcPr>
          <w:p w:rsidR="00B46DDB" w:rsidRPr="00F90DF9" w:rsidRDefault="00B46DDB" w:rsidP="00F90DF9">
            <w:pPr>
              <w:rPr>
                <w:b/>
                <w:sz w:val="24"/>
              </w:rPr>
            </w:pPr>
            <w:r w:rsidRPr="00F90DF9">
              <w:rPr>
                <w:b/>
                <w:sz w:val="24"/>
              </w:rPr>
              <w:t>2011 Result</w:t>
            </w:r>
          </w:p>
        </w:tc>
        <w:tc>
          <w:tcPr>
            <w:tcW w:w="2883" w:type="dxa"/>
            <w:shd w:val="clear" w:color="auto" w:fill="4BACC6"/>
          </w:tcPr>
          <w:p w:rsidR="00B46DDB" w:rsidRPr="00F90DF9" w:rsidRDefault="00B46DDB" w:rsidP="00F90DF9">
            <w:pPr>
              <w:rPr>
                <w:b/>
                <w:sz w:val="24"/>
              </w:rPr>
            </w:pPr>
            <w:r w:rsidRPr="00F90DF9">
              <w:rPr>
                <w:b/>
                <w:sz w:val="24"/>
              </w:rPr>
              <w:t xml:space="preserve">How Australia contributes </w:t>
            </w:r>
            <w:r w:rsidRPr="00F90DF9">
              <w:rPr>
                <w:b/>
                <w:sz w:val="24"/>
              </w:rPr>
              <w:br/>
              <w:t>(type of aid)</w:t>
            </w:r>
          </w:p>
        </w:tc>
        <w:tc>
          <w:tcPr>
            <w:tcW w:w="2677" w:type="dxa"/>
            <w:shd w:val="clear" w:color="auto" w:fill="4BACC6"/>
          </w:tcPr>
          <w:p w:rsidR="00B46DDB" w:rsidRPr="00F90DF9" w:rsidRDefault="00B46DDB" w:rsidP="00F90DF9">
            <w:pPr>
              <w:rPr>
                <w:b/>
                <w:sz w:val="24"/>
              </w:rPr>
            </w:pPr>
            <w:r w:rsidRPr="00F90DF9">
              <w:rPr>
                <w:b/>
                <w:sz w:val="24"/>
              </w:rPr>
              <w:t>Method of calculation</w:t>
            </w:r>
          </w:p>
        </w:tc>
        <w:tc>
          <w:tcPr>
            <w:tcW w:w="2388" w:type="dxa"/>
            <w:shd w:val="clear" w:color="auto" w:fill="4BACC6"/>
          </w:tcPr>
          <w:p w:rsidR="00B46DDB" w:rsidRPr="00F90DF9" w:rsidRDefault="00B46DDB" w:rsidP="00F90DF9">
            <w:pPr>
              <w:rPr>
                <w:b/>
                <w:sz w:val="24"/>
              </w:rPr>
            </w:pPr>
            <w:r w:rsidRPr="00F90DF9">
              <w:rPr>
                <w:b/>
                <w:sz w:val="24"/>
              </w:rPr>
              <w:t>Data source</w:t>
            </w:r>
          </w:p>
        </w:tc>
      </w:tr>
      <w:tr w:rsidR="00CB6A1F" w:rsidTr="00F90DF9">
        <w:tc>
          <w:tcPr>
            <w:tcW w:w="3899" w:type="dxa"/>
            <w:shd w:val="clear" w:color="auto" w:fill="auto"/>
          </w:tcPr>
          <w:p w:rsidR="00CB6A1F" w:rsidRPr="001C1404" w:rsidRDefault="00CB6A1F" w:rsidP="00F90DF9">
            <w:r>
              <w:t>8. Number of classrooms built or upgraded</w:t>
            </w:r>
          </w:p>
        </w:tc>
        <w:tc>
          <w:tcPr>
            <w:tcW w:w="2578" w:type="dxa"/>
            <w:shd w:val="clear" w:color="auto" w:fill="auto"/>
          </w:tcPr>
          <w:p w:rsidR="00CB6A1F" w:rsidRPr="001C1404" w:rsidRDefault="00CB6A1F" w:rsidP="00F90DF9">
            <w:r>
              <w:t>32</w:t>
            </w:r>
          </w:p>
        </w:tc>
        <w:tc>
          <w:tcPr>
            <w:tcW w:w="2883" w:type="dxa"/>
            <w:shd w:val="clear" w:color="auto" w:fill="auto"/>
          </w:tcPr>
          <w:p w:rsidR="00CB6A1F" w:rsidRPr="001C1404" w:rsidRDefault="00CB6A1F" w:rsidP="00F90DF9">
            <w:r>
              <w:t>Projects</w:t>
            </w:r>
          </w:p>
        </w:tc>
        <w:tc>
          <w:tcPr>
            <w:tcW w:w="2677" w:type="dxa"/>
            <w:shd w:val="clear" w:color="auto" w:fill="auto"/>
          </w:tcPr>
          <w:p w:rsidR="00CB6A1F" w:rsidRDefault="00CB6A1F" w:rsidP="00F90DF9">
            <w:r>
              <w:t>Full result attributed to AusAID</w:t>
            </w:r>
          </w:p>
        </w:tc>
        <w:tc>
          <w:tcPr>
            <w:tcW w:w="2388" w:type="dxa"/>
            <w:shd w:val="clear" w:color="auto" w:fill="auto"/>
          </w:tcPr>
          <w:p w:rsidR="00CB6A1F" w:rsidRDefault="00C815D3" w:rsidP="00FF3EC4">
            <w:r w:rsidRPr="00C815D3">
              <w:t>Delivery partner monitoring system/reporting (Confidence – High)</w:t>
            </w:r>
            <w:r>
              <w:t xml:space="preserve"> </w:t>
            </w:r>
          </w:p>
        </w:tc>
      </w:tr>
      <w:tr w:rsidR="00B46DDB" w:rsidTr="00F90DF9">
        <w:tc>
          <w:tcPr>
            <w:tcW w:w="3899" w:type="dxa"/>
            <w:shd w:val="clear" w:color="auto" w:fill="auto"/>
          </w:tcPr>
          <w:p w:rsidR="00B46DDB" w:rsidRPr="001C1404" w:rsidRDefault="001C1404" w:rsidP="00F90DF9">
            <w:r w:rsidRPr="001C1404">
              <w:t>16. Number of people awarded tertiary scholarships</w:t>
            </w:r>
          </w:p>
        </w:tc>
        <w:tc>
          <w:tcPr>
            <w:tcW w:w="2578" w:type="dxa"/>
            <w:shd w:val="clear" w:color="auto" w:fill="auto"/>
          </w:tcPr>
          <w:p w:rsidR="00B46DDB" w:rsidRPr="001C1404" w:rsidRDefault="001C1404" w:rsidP="00F90DF9">
            <w:r w:rsidRPr="001C1404">
              <w:t>22</w:t>
            </w:r>
          </w:p>
          <w:p w:rsidR="00B46DDB" w:rsidRPr="001C1404" w:rsidRDefault="00B46DDB" w:rsidP="00F90DF9"/>
        </w:tc>
        <w:tc>
          <w:tcPr>
            <w:tcW w:w="2883" w:type="dxa"/>
            <w:shd w:val="clear" w:color="auto" w:fill="auto"/>
          </w:tcPr>
          <w:p w:rsidR="00B46DDB" w:rsidRPr="001C1404" w:rsidRDefault="00C815D3" w:rsidP="00F90DF9">
            <w:r>
              <w:t>Scholarships</w:t>
            </w:r>
          </w:p>
          <w:p w:rsidR="00B46DDB" w:rsidRPr="001C1404" w:rsidRDefault="00B46DDB" w:rsidP="00F90DF9"/>
        </w:tc>
        <w:tc>
          <w:tcPr>
            <w:tcW w:w="2677" w:type="dxa"/>
            <w:shd w:val="clear" w:color="auto" w:fill="auto"/>
          </w:tcPr>
          <w:p w:rsidR="00B46DDB" w:rsidRPr="001C1404" w:rsidRDefault="001C1404" w:rsidP="00F90DF9">
            <w:r>
              <w:t>Full result attributed to AusAID</w:t>
            </w:r>
          </w:p>
        </w:tc>
        <w:tc>
          <w:tcPr>
            <w:tcW w:w="2388" w:type="dxa"/>
            <w:shd w:val="clear" w:color="auto" w:fill="auto"/>
          </w:tcPr>
          <w:p w:rsidR="00B46DDB" w:rsidRPr="001C1404" w:rsidRDefault="00C815D3" w:rsidP="00FF3EC4">
            <w:r w:rsidRPr="00C815D3">
              <w:t>Delivery partner monitori</w:t>
            </w:r>
            <w:r>
              <w:t xml:space="preserve">ng system/reporting </w:t>
            </w:r>
            <w:r w:rsidR="001C1404">
              <w:t>and AusAID records (Confidence – high)</w:t>
            </w:r>
          </w:p>
        </w:tc>
      </w:tr>
      <w:tr w:rsidR="00B46DDB" w:rsidTr="00F90DF9">
        <w:tc>
          <w:tcPr>
            <w:tcW w:w="3899" w:type="dxa"/>
            <w:shd w:val="clear" w:color="auto" w:fill="auto"/>
          </w:tcPr>
          <w:p w:rsidR="00B46DDB" w:rsidRPr="001C1404" w:rsidRDefault="001C1404" w:rsidP="00F90DF9">
            <w:r>
              <w:t>20. Number of poor women and men who increase their access to financial services</w:t>
            </w:r>
          </w:p>
        </w:tc>
        <w:tc>
          <w:tcPr>
            <w:tcW w:w="2578" w:type="dxa"/>
            <w:shd w:val="clear" w:color="auto" w:fill="auto"/>
          </w:tcPr>
          <w:p w:rsidR="00B46DDB" w:rsidRPr="001C1404" w:rsidRDefault="00B56BEB" w:rsidP="00B56BEB">
            <w:r>
              <w:t>27,500</w:t>
            </w:r>
          </w:p>
        </w:tc>
        <w:tc>
          <w:tcPr>
            <w:tcW w:w="2883" w:type="dxa"/>
            <w:shd w:val="clear" w:color="auto" w:fill="auto"/>
          </w:tcPr>
          <w:p w:rsidR="00B46DDB" w:rsidRPr="001C1404" w:rsidRDefault="005D4EED" w:rsidP="00F90DF9">
            <w:r>
              <w:t>Projects</w:t>
            </w:r>
          </w:p>
        </w:tc>
        <w:tc>
          <w:tcPr>
            <w:tcW w:w="2677" w:type="dxa"/>
            <w:shd w:val="clear" w:color="auto" w:fill="auto"/>
          </w:tcPr>
          <w:p w:rsidR="00B46DDB" w:rsidRPr="001C1404" w:rsidRDefault="00C815D3" w:rsidP="00F90DF9">
            <w:r w:rsidRPr="00C815D3">
              <w:t>Full result attributed to AusAID</w:t>
            </w:r>
          </w:p>
        </w:tc>
        <w:tc>
          <w:tcPr>
            <w:tcW w:w="2388" w:type="dxa"/>
            <w:shd w:val="clear" w:color="auto" w:fill="auto"/>
          </w:tcPr>
          <w:p w:rsidR="00304700" w:rsidRPr="001C1404" w:rsidRDefault="00C815D3" w:rsidP="00FF3EC4">
            <w:r w:rsidRPr="00C815D3">
              <w:t>Delivery partner monitoring system/reporting (Confidence – High)</w:t>
            </w:r>
          </w:p>
        </w:tc>
      </w:tr>
      <w:tr w:rsidR="001C1404" w:rsidTr="00F90DF9">
        <w:tc>
          <w:tcPr>
            <w:tcW w:w="3899" w:type="dxa"/>
            <w:shd w:val="clear" w:color="auto" w:fill="auto"/>
          </w:tcPr>
          <w:p w:rsidR="001C1404" w:rsidRPr="001C1404" w:rsidRDefault="001C1404" w:rsidP="00F90DF9">
            <w:r>
              <w:t>27. Number of public servants trained</w:t>
            </w:r>
          </w:p>
        </w:tc>
        <w:tc>
          <w:tcPr>
            <w:tcW w:w="2578" w:type="dxa"/>
            <w:shd w:val="clear" w:color="auto" w:fill="auto"/>
          </w:tcPr>
          <w:p w:rsidR="001C1404" w:rsidRPr="001C1404" w:rsidRDefault="001C1404" w:rsidP="00F90DF9">
            <w:r>
              <w:t>71</w:t>
            </w:r>
          </w:p>
        </w:tc>
        <w:tc>
          <w:tcPr>
            <w:tcW w:w="2883" w:type="dxa"/>
            <w:shd w:val="clear" w:color="auto" w:fill="auto"/>
          </w:tcPr>
          <w:p w:rsidR="001C1404" w:rsidRPr="001C1404" w:rsidRDefault="00C815D3" w:rsidP="00F90DF9">
            <w:r>
              <w:t>Scholarships</w:t>
            </w:r>
          </w:p>
        </w:tc>
        <w:tc>
          <w:tcPr>
            <w:tcW w:w="2677" w:type="dxa"/>
            <w:shd w:val="clear" w:color="auto" w:fill="auto"/>
          </w:tcPr>
          <w:p w:rsidR="001C1404" w:rsidRPr="001C1404" w:rsidRDefault="001C1404" w:rsidP="001C1404">
            <w:r>
              <w:t>Full result attributed to AusAID</w:t>
            </w:r>
          </w:p>
        </w:tc>
        <w:tc>
          <w:tcPr>
            <w:tcW w:w="2388" w:type="dxa"/>
            <w:shd w:val="clear" w:color="auto" w:fill="auto"/>
          </w:tcPr>
          <w:p w:rsidR="001C1404" w:rsidRPr="001C1404" w:rsidRDefault="00304700" w:rsidP="00FF3EC4">
            <w:r w:rsidRPr="00304700">
              <w:t xml:space="preserve">Delivery partner monitoring system/reporting </w:t>
            </w:r>
            <w:r w:rsidR="001C1404">
              <w:t>and AusAID records (Confidence – high)</w:t>
            </w:r>
          </w:p>
        </w:tc>
      </w:tr>
      <w:tr w:rsidR="00B46DDB" w:rsidTr="00F90DF9">
        <w:tc>
          <w:tcPr>
            <w:tcW w:w="3899" w:type="dxa"/>
            <w:shd w:val="clear" w:color="auto" w:fill="auto"/>
          </w:tcPr>
          <w:p w:rsidR="00B46DDB" w:rsidRDefault="001C1404" w:rsidP="00F90DF9">
            <w:r>
              <w:t>28. Number of civil society organisations supported to track service provision</w:t>
            </w:r>
          </w:p>
          <w:p w:rsidR="00304700" w:rsidRPr="001C1404" w:rsidRDefault="00304700" w:rsidP="00F90DF9"/>
        </w:tc>
        <w:tc>
          <w:tcPr>
            <w:tcW w:w="2578" w:type="dxa"/>
            <w:shd w:val="clear" w:color="auto" w:fill="auto"/>
          </w:tcPr>
          <w:p w:rsidR="002637F9" w:rsidRDefault="0034257C" w:rsidP="00F90DF9">
            <w:r>
              <w:t>80</w:t>
            </w:r>
          </w:p>
          <w:p w:rsidR="00B46DDB" w:rsidRPr="002637F9" w:rsidRDefault="00B46DDB" w:rsidP="002637F9">
            <w:pPr>
              <w:pStyle w:val="BodyText"/>
              <w:jc w:val="center"/>
            </w:pPr>
          </w:p>
        </w:tc>
        <w:tc>
          <w:tcPr>
            <w:tcW w:w="2883" w:type="dxa"/>
            <w:shd w:val="clear" w:color="auto" w:fill="auto"/>
          </w:tcPr>
          <w:p w:rsidR="00B46DDB" w:rsidRPr="001C1404" w:rsidRDefault="0034257C" w:rsidP="00F90DF9">
            <w:r>
              <w:t>Australian Leadership Award Fellowships, Human Rights Grants Scheme, Australian Volunteers International, &amp; Public Sector Linkages Program</w:t>
            </w:r>
          </w:p>
        </w:tc>
        <w:tc>
          <w:tcPr>
            <w:tcW w:w="2677" w:type="dxa"/>
            <w:shd w:val="clear" w:color="auto" w:fill="auto"/>
          </w:tcPr>
          <w:p w:rsidR="00B46DDB" w:rsidRPr="001C1404" w:rsidRDefault="0034257C" w:rsidP="00F90DF9">
            <w:r w:rsidRPr="0034257C">
              <w:t>Full result attributed to AusAID</w:t>
            </w:r>
          </w:p>
        </w:tc>
        <w:tc>
          <w:tcPr>
            <w:tcW w:w="2388" w:type="dxa"/>
            <w:shd w:val="clear" w:color="auto" w:fill="auto"/>
          </w:tcPr>
          <w:p w:rsidR="00B46DDB" w:rsidRPr="001C1404" w:rsidRDefault="0034257C" w:rsidP="00F90DF9">
            <w:r w:rsidRPr="0034257C">
              <w:t>Delivery partner monitoring system/reporting and AusAID records (Confidence – high)</w:t>
            </w:r>
          </w:p>
        </w:tc>
      </w:tr>
      <w:tr w:rsidR="001C1404" w:rsidTr="00F90DF9">
        <w:tc>
          <w:tcPr>
            <w:tcW w:w="3899" w:type="dxa"/>
            <w:shd w:val="clear" w:color="auto" w:fill="auto"/>
          </w:tcPr>
          <w:p w:rsidR="001C1404" w:rsidRDefault="001C1404" w:rsidP="00F90DF9">
            <w:r>
              <w:t>29. Number of vulnerable women, men, girls and boys provided with life-saving assistance in conflict and crisis situations</w:t>
            </w:r>
          </w:p>
        </w:tc>
        <w:tc>
          <w:tcPr>
            <w:tcW w:w="2578" w:type="dxa"/>
            <w:shd w:val="clear" w:color="auto" w:fill="auto"/>
          </w:tcPr>
          <w:p w:rsidR="001C1404" w:rsidRPr="001C1404" w:rsidRDefault="00C815D3" w:rsidP="00F90DF9">
            <w:r w:rsidRPr="00C815D3">
              <w:t>469,500</w:t>
            </w:r>
          </w:p>
        </w:tc>
        <w:tc>
          <w:tcPr>
            <w:tcW w:w="2883" w:type="dxa"/>
            <w:shd w:val="clear" w:color="auto" w:fill="auto"/>
          </w:tcPr>
          <w:p w:rsidR="001C1404" w:rsidRPr="001C1404" w:rsidRDefault="00C815D3" w:rsidP="00F90DF9">
            <w:r>
              <w:t>Specific-purpose program or fund</w:t>
            </w:r>
          </w:p>
        </w:tc>
        <w:tc>
          <w:tcPr>
            <w:tcW w:w="2677" w:type="dxa"/>
            <w:shd w:val="clear" w:color="auto" w:fill="auto"/>
          </w:tcPr>
          <w:p w:rsidR="001C1404" w:rsidRPr="001C1404" w:rsidRDefault="00C815D3" w:rsidP="00F90DF9">
            <w:r>
              <w:t>Pro-rata based on program specific spending</w:t>
            </w:r>
          </w:p>
        </w:tc>
        <w:tc>
          <w:tcPr>
            <w:tcW w:w="2388" w:type="dxa"/>
            <w:shd w:val="clear" w:color="auto" w:fill="auto"/>
          </w:tcPr>
          <w:p w:rsidR="00304700" w:rsidRPr="001C1404" w:rsidRDefault="00C815D3" w:rsidP="00FF3EC4">
            <w:r>
              <w:t>Delivery partner monitoring system/reporting (Confidence – High)</w:t>
            </w:r>
          </w:p>
        </w:tc>
      </w:tr>
    </w:tbl>
    <w:p w:rsidR="006F3973" w:rsidRPr="006F3973" w:rsidRDefault="006F3973" w:rsidP="002637F9">
      <w:pPr>
        <w:pStyle w:val="Subtitle"/>
      </w:pPr>
    </w:p>
    <w:sectPr w:rsidR="006F3973" w:rsidRPr="006F3973" w:rsidSect="002637F9">
      <w:pgSz w:w="16840" w:h="11907" w:orient="landscape" w:code="9"/>
      <w:pgMar w:top="991" w:right="2381" w:bottom="1702" w:left="851" w:header="851" w:footer="3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759" w:rsidRDefault="000F3759">
      <w:r>
        <w:separator/>
      </w:r>
    </w:p>
    <w:p w:rsidR="000F3759" w:rsidRDefault="000F3759"/>
  </w:endnote>
  <w:endnote w:type="continuationSeparator" w:id="0">
    <w:p w:rsidR="000F3759" w:rsidRDefault="000F3759">
      <w:r>
        <w:continuationSeparator/>
      </w:r>
    </w:p>
    <w:p w:rsidR="000F3759" w:rsidRDefault="000F3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A3" w:rsidRPr="00AD612A" w:rsidRDefault="008B5267">
    <w:pPr>
      <w:pStyle w:val="Footer"/>
    </w:pPr>
    <w:r>
      <w:rPr>
        <w:noProof/>
        <w:color w:val="54534A"/>
      </w:rPr>
      <w:drawing>
        <wp:anchor distT="0" distB="0" distL="114300" distR="114300" simplePos="0" relativeHeight="251656704" behindDoc="1" locked="0" layoutInCell="0" allowOverlap="1">
          <wp:simplePos x="0" y="0"/>
          <wp:positionH relativeFrom="page">
            <wp:posOffset>0</wp:posOffset>
          </wp:positionH>
          <wp:positionV relativeFrom="page">
            <wp:posOffset>8821420</wp:posOffset>
          </wp:positionV>
          <wp:extent cx="396240" cy="1508125"/>
          <wp:effectExtent l="0" t="0" r="3810" b="0"/>
          <wp:wrapNone/>
          <wp:docPr id="256" name="Picture 256"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34CA3" w:rsidRPr="007C1ECE">
      <w:tab/>
    </w:r>
    <w:r w:rsidR="00F34CA3">
      <w:tab/>
    </w:r>
    <w:r w:rsidR="00F34CA3">
      <w:tab/>
    </w:r>
    <w:r w:rsidR="00F34CA3">
      <w:rPr>
        <w:rStyle w:val="PageNumber"/>
      </w:rPr>
      <w:fldChar w:fldCharType="begin"/>
    </w:r>
    <w:r w:rsidR="00F34CA3">
      <w:rPr>
        <w:rStyle w:val="PageNumber"/>
      </w:rPr>
      <w:instrText xml:space="preserve"> PAGE </w:instrText>
    </w:r>
    <w:r w:rsidR="00F34CA3">
      <w:rPr>
        <w:rStyle w:val="PageNumber"/>
      </w:rPr>
      <w:fldChar w:fldCharType="separate"/>
    </w:r>
    <w:r w:rsidR="00F34CA3">
      <w:rPr>
        <w:rStyle w:val="PageNumber"/>
        <w:noProof/>
      </w:rPr>
      <w:t>15</w:t>
    </w:r>
    <w:r w:rsidR="00F34CA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A3" w:rsidRPr="004A4B6B" w:rsidRDefault="008B5267" w:rsidP="001260C2">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60310" cy="10694035"/>
          <wp:effectExtent l="0" t="0" r="2540" b="0"/>
          <wp:wrapNone/>
          <wp:docPr id="274" name="Picture 274"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F34CA3">
      <w:tab/>
    </w:r>
    <w:r w:rsidR="00F34CA3">
      <w:fldChar w:fldCharType="begin"/>
    </w:r>
    <w:r w:rsidR="00F34CA3">
      <w:instrText xml:space="preserve"> STYLEREF  Title </w:instrText>
    </w:r>
    <w:r w:rsidR="00F34CA3">
      <w:fldChar w:fldCharType="separate"/>
    </w:r>
    <w:r w:rsidR="00056B59">
      <w:rPr>
        <w:noProof/>
      </w:rPr>
      <w:t>Latin America Annual Program Performance Report 2011</w:t>
    </w:r>
    <w:r w:rsidR="00F34CA3">
      <w:fldChar w:fldCharType="end"/>
    </w:r>
    <w:r w:rsidR="00F34CA3">
      <w:rPr>
        <w:rStyle w:val="PageNumber"/>
      </w:rPr>
      <w:tab/>
    </w:r>
    <w:r w:rsidR="00F34CA3">
      <w:rPr>
        <w:rStyle w:val="PageNumber"/>
      </w:rPr>
      <w:tab/>
    </w:r>
    <w:r w:rsidR="00F34CA3" w:rsidRPr="004A26C9">
      <w:rPr>
        <w:rStyle w:val="PageNumber"/>
      </w:rPr>
      <w:fldChar w:fldCharType="begin"/>
    </w:r>
    <w:r w:rsidR="00F34CA3" w:rsidRPr="004A26C9">
      <w:rPr>
        <w:rStyle w:val="PageNumber"/>
      </w:rPr>
      <w:instrText xml:space="preserve"> PAGE </w:instrText>
    </w:r>
    <w:r w:rsidR="00F34CA3" w:rsidRPr="004A26C9">
      <w:rPr>
        <w:rStyle w:val="PageNumber"/>
      </w:rPr>
      <w:fldChar w:fldCharType="separate"/>
    </w:r>
    <w:r w:rsidR="00056B59">
      <w:rPr>
        <w:rStyle w:val="PageNumber"/>
        <w:noProof/>
      </w:rPr>
      <w:t>5</w:t>
    </w:r>
    <w:r w:rsidR="00F34CA3" w:rsidRPr="004A26C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A3" w:rsidRDefault="00F34CA3">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056B5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759" w:rsidRDefault="000F3759" w:rsidP="00D62AA4">
      <w:pPr>
        <w:spacing w:before="60" w:after="40" w:line="180" w:lineRule="exact"/>
      </w:pPr>
      <w:r>
        <w:continuationSeparator/>
      </w:r>
    </w:p>
  </w:footnote>
  <w:footnote w:type="continuationSeparator" w:id="0">
    <w:p w:rsidR="000F3759" w:rsidRDefault="000F3759">
      <w:r>
        <w:continuationSeparator/>
      </w:r>
    </w:p>
    <w:p w:rsidR="000F3759" w:rsidRDefault="000F3759"/>
  </w:footnote>
  <w:footnote w:type="continuationNotice" w:id="1">
    <w:p w:rsidR="000F3759" w:rsidRDefault="000F3759"/>
    <w:p w:rsidR="000F3759" w:rsidRDefault="000F3759"/>
  </w:footnote>
  <w:footnote w:id="2">
    <w:p w:rsidR="00F34CA3" w:rsidRDefault="00F34CA3" w:rsidP="001C767C">
      <w:pPr>
        <w:pStyle w:val="FootnoteText"/>
        <w:ind w:left="0" w:firstLine="0"/>
      </w:pPr>
      <w:r>
        <w:rPr>
          <w:rStyle w:val="FootnoteReference"/>
        </w:rPr>
        <w:footnoteRef/>
      </w:r>
      <w:r>
        <w:t xml:space="preserve"> For the purposes of Australia’s aid program engagement, Latin America is defined as the following 17 countries, Argentina, Bolivia, Brazil, Chile, Colombia, Costa Rica, Ecuador, El Salvador, Guatemala, Honduras, Mexico, Nicaragua, Panama, Paraguay, Peru, Uruguay and Venezuela.</w:t>
      </w:r>
    </w:p>
  </w:footnote>
  <w:footnote w:id="3">
    <w:p w:rsidR="00F34CA3" w:rsidRDefault="00F34CA3" w:rsidP="00BF3944">
      <w:pPr>
        <w:pStyle w:val="FootnoteText"/>
        <w:ind w:left="0" w:firstLine="0"/>
      </w:pPr>
      <w:r>
        <w:rPr>
          <w:rStyle w:val="FootnoteReference"/>
        </w:rPr>
        <w:footnoteRef/>
      </w:r>
      <w:r>
        <w:t xml:space="preserve"> United Nations Development Program 2010, “Regional Human Development Report for Latin America and the Caribbean 2010”, </w:t>
      </w:r>
      <w:r w:rsidRPr="00BF3944">
        <w:t>United Nations Development Program</w:t>
      </w:r>
      <w:r>
        <w:t>, New York, p.37</w:t>
      </w:r>
    </w:p>
  </w:footnote>
  <w:footnote w:id="4">
    <w:p w:rsidR="00F34CA3" w:rsidRDefault="00F34CA3" w:rsidP="003C5627">
      <w:pPr>
        <w:pStyle w:val="FootnoteText"/>
        <w:ind w:left="0" w:firstLine="0"/>
      </w:pPr>
      <w:r w:rsidRPr="003C5627">
        <w:footnoteRef/>
      </w:r>
      <w:r>
        <w:t xml:space="preserve"> </w:t>
      </w:r>
      <w:r w:rsidRPr="003C5627">
        <w:t>The top most unequal countries, as measured by the Gini coefficient, are Colombia, Bolivia, Brazil, Honduras and Panama. Source: World Bank, World Development Indicators 2009</w:t>
      </w:r>
    </w:p>
  </w:footnote>
  <w:footnote w:id="5">
    <w:p w:rsidR="00F34CA3" w:rsidRDefault="00F34CA3" w:rsidP="006010A8">
      <w:pPr>
        <w:pStyle w:val="FootnoteText"/>
        <w:ind w:left="0" w:firstLine="0"/>
      </w:pPr>
      <w:r>
        <w:rPr>
          <w:rStyle w:val="FootnoteReference"/>
        </w:rPr>
        <w:footnoteRef/>
      </w:r>
      <w:r>
        <w:t xml:space="preserve"> </w:t>
      </w:r>
      <w:r w:rsidRPr="001B3182">
        <w:t>In 2009 the top 10 country donors were the United States, Spain, Germany, Canada, France, the Netherlands, Japan, Sweden Norway and Switzerland.</w:t>
      </w:r>
    </w:p>
  </w:footnote>
  <w:footnote w:id="6">
    <w:p w:rsidR="00F34CA3" w:rsidRDefault="00F34CA3" w:rsidP="006010A8">
      <w:pPr>
        <w:pStyle w:val="FootnoteText"/>
        <w:ind w:left="0" w:firstLine="0"/>
      </w:pPr>
      <w:r w:rsidRPr="001B3182">
        <w:footnoteRef/>
      </w:r>
      <w:r w:rsidRPr="001B3182">
        <w:t xml:space="preserve"> All ODA statistics are from the OECD Development Assistance Committee: Development Aid </w:t>
      </w:r>
      <w:proofErr w:type="gramStart"/>
      <w:r w:rsidRPr="001B3182">
        <w:t>At A Glance Statistics By</w:t>
      </w:r>
      <w:proofErr w:type="gramEnd"/>
      <w:r w:rsidRPr="001B3182">
        <w:t xml:space="preserve"> Region America 2010 edition</w:t>
      </w:r>
      <w:r>
        <w:t>.</w:t>
      </w:r>
    </w:p>
    <w:p w:rsidR="00F34CA3" w:rsidRDefault="00F34CA3" w:rsidP="006010A8">
      <w:pPr>
        <w:pStyle w:val="FootnoteText"/>
        <w:ind w:left="0" w:firstLine="0"/>
      </w:pPr>
      <w:r>
        <w:t>The upper middle income countries include: Argentina, Brazil, Chile, Colombia, Costa Rica, Ecuador, Mexico, Panama, Peru, Uruguay and Venezuela. The lower middle income countries include: Bolivia, El Salvador, Guatemala, Honduras, Nicaragua and Paraguay.</w:t>
      </w:r>
    </w:p>
  </w:footnote>
  <w:footnote w:id="7">
    <w:p w:rsidR="00F34CA3" w:rsidRDefault="00F34CA3" w:rsidP="006010A8">
      <w:pPr>
        <w:pStyle w:val="FootnoteText"/>
        <w:ind w:left="0" w:firstLine="0"/>
      </w:pPr>
      <w:r>
        <w:rPr>
          <w:rStyle w:val="FootnoteReference"/>
        </w:rPr>
        <w:footnoteRef/>
      </w:r>
      <w:r>
        <w:t xml:space="preserve"> T</w:t>
      </w:r>
      <w:r w:rsidRPr="001B3182">
        <w:t>here was an increase to US$8.7 billion in 2008, particularly in response to the impact of rising food prices.</w:t>
      </w:r>
    </w:p>
  </w:footnote>
  <w:footnote w:id="8">
    <w:p w:rsidR="00F34CA3" w:rsidRDefault="00F34CA3" w:rsidP="004318C3">
      <w:pPr>
        <w:pStyle w:val="FootnoteText"/>
        <w:ind w:left="0" w:firstLine="0"/>
      </w:pPr>
      <w:r>
        <w:rPr>
          <w:rStyle w:val="FootnoteReference"/>
        </w:rPr>
        <w:footnoteRef/>
      </w:r>
      <w:r>
        <w:t xml:space="preserve"> Organisation for Economic Cooperation and Development (OECD) 2012, “Development Aid at a Glance: Statistics by Region – America”, OECD, p.4, accessed 7 August 2012, </w:t>
      </w:r>
      <w:hyperlink r:id="rId1" w:history="1">
        <w:r w:rsidRPr="00304C39">
          <w:rPr>
            <w:rStyle w:val="Hyperlink"/>
            <w:sz w:val="14"/>
            <w:szCs w:val="14"/>
          </w:rPr>
          <w:t>http://www.oecd.org/investment/aidstatistics/42139289.pdf</w:t>
        </w:r>
      </w:hyperlink>
    </w:p>
  </w:footnote>
  <w:footnote w:id="9">
    <w:p w:rsidR="00F34CA3" w:rsidRDefault="00F34CA3" w:rsidP="004318C3">
      <w:pPr>
        <w:pStyle w:val="FootnoteText"/>
        <w:ind w:left="0" w:firstLine="0"/>
      </w:pPr>
      <w:r>
        <w:rPr>
          <w:rStyle w:val="FootnoteReference"/>
        </w:rPr>
        <w:footnoteRef/>
      </w:r>
      <w:r>
        <w:t xml:space="preserve"> Organisation for Economic Cooperation and Development (OECD) 2012, “Development Aid at a Glance: Statistics by Region – America”, OECD, p.6, accessed 7 August 2012, </w:t>
      </w:r>
      <w:hyperlink r:id="rId2" w:history="1">
        <w:r w:rsidRPr="00304C39">
          <w:rPr>
            <w:rStyle w:val="Hyperlink"/>
            <w:sz w:val="14"/>
            <w:szCs w:val="14"/>
          </w:rPr>
          <w:t>http://www.oecd.org/investment/aidstatistics/42139289.pdf</w:t>
        </w:r>
      </w:hyperlink>
    </w:p>
  </w:footnote>
  <w:footnote w:id="10">
    <w:p w:rsidR="00F34CA3" w:rsidRDefault="00F34CA3" w:rsidP="00A46F96">
      <w:pPr>
        <w:pStyle w:val="FootnoteText"/>
        <w:ind w:left="0" w:firstLine="0"/>
      </w:pPr>
      <w:r>
        <w:rPr>
          <w:rStyle w:val="FootnoteReference"/>
        </w:rPr>
        <w:footnoteRef/>
      </w:r>
      <w:r>
        <w:t xml:space="preserve"> This is supported by anecdotal evidence provided during high level consultation between Brazil’s development cooperation agency and AusAID in March 2012.</w:t>
      </w:r>
    </w:p>
  </w:footnote>
  <w:footnote w:id="11">
    <w:p w:rsidR="00F34CA3" w:rsidRDefault="00F34CA3" w:rsidP="004A3D2A">
      <w:pPr>
        <w:pStyle w:val="FootnoteText"/>
        <w:ind w:left="0" w:firstLine="0"/>
      </w:pPr>
      <w:r>
        <w:rPr>
          <w:rStyle w:val="FootnoteReference"/>
        </w:rPr>
        <w:footnoteRef/>
      </w:r>
      <w:r>
        <w:t xml:space="preserve"> A Quality </w:t>
      </w:r>
      <w:proofErr w:type="gramStart"/>
      <w:r>
        <w:t>At</w:t>
      </w:r>
      <w:proofErr w:type="gramEnd"/>
      <w:r>
        <w:t xml:space="preserve"> Implementation report on the performance of the IDB trust fund showed that the initiative is on track at this early stage of implementation.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A3" w:rsidRDefault="008B5267" w:rsidP="00B7603F">
    <w:pPr>
      <w:pStyle w:val="Header"/>
      <w:jc w:val="left"/>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4035"/>
          <wp:effectExtent l="0" t="0" r="2540" b="0"/>
          <wp:wrapNone/>
          <wp:docPr id="262" name="Picture 26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43E1"/>
    <w:multiLevelType w:val="hybridMultilevel"/>
    <w:tmpl w:val="8FFAD0BE"/>
    <w:lvl w:ilvl="0" w:tplc="D06084B4">
      <w:start w:val="1"/>
      <w:numFmt w:val="lowerLetter"/>
      <w:lvlText w:val="%1)"/>
      <w:lvlJc w:val="left"/>
      <w:pPr>
        <w:ind w:left="689" w:hanging="360"/>
      </w:pPr>
      <w:rPr>
        <w:rFonts w:hint="default"/>
      </w:rPr>
    </w:lvl>
    <w:lvl w:ilvl="1" w:tplc="0C090019" w:tentative="1">
      <w:start w:val="1"/>
      <w:numFmt w:val="lowerLetter"/>
      <w:lvlText w:val="%2."/>
      <w:lvlJc w:val="left"/>
      <w:pPr>
        <w:ind w:left="1409" w:hanging="360"/>
      </w:pPr>
    </w:lvl>
    <w:lvl w:ilvl="2" w:tplc="0C09001B" w:tentative="1">
      <w:start w:val="1"/>
      <w:numFmt w:val="lowerRoman"/>
      <w:lvlText w:val="%3."/>
      <w:lvlJc w:val="right"/>
      <w:pPr>
        <w:ind w:left="2129" w:hanging="180"/>
      </w:pPr>
    </w:lvl>
    <w:lvl w:ilvl="3" w:tplc="0C09000F" w:tentative="1">
      <w:start w:val="1"/>
      <w:numFmt w:val="decimal"/>
      <w:lvlText w:val="%4."/>
      <w:lvlJc w:val="left"/>
      <w:pPr>
        <w:ind w:left="2849" w:hanging="360"/>
      </w:pPr>
    </w:lvl>
    <w:lvl w:ilvl="4" w:tplc="0C090019" w:tentative="1">
      <w:start w:val="1"/>
      <w:numFmt w:val="lowerLetter"/>
      <w:lvlText w:val="%5."/>
      <w:lvlJc w:val="left"/>
      <w:pPr>
        <w:ind w:left="3569" w:hanging="360"/>
      </w:pPr>
    </w:lvl>
    <w:lvl w:ilvl="5" w:tplc="0C09001B" w:tentative="1">
      <w:start w:val="1"/>
      <w:numFmt w:val="lowerRoman"/>
      <w:lvlText w:val="%6."/>
      <w:lvlJc w:val="right"/>
      <w:pPr>
        <w:ind w:left="4289" w:hanging="180"/>
      </w:pPr>
    </w:lvl>
    <w:lvl w:ilvl="6" w:tplc="0C09000F" w:tentative="1">
      <w:start w:val="1"/>
      <w:numFmt w:val="decimal"/>
      <w:lvlText w:val="%7."/>
      <w:lvlJc w:val="left"/>
      <w:pPr>
        <w:ind w:left="5009" w:hanging="360"/>
      </w:pPr>
    </w:lvl>
    <w:lvl w:ilvl="7" w:tplc="0C090019" w:tentative="1">
      <w:start w:val="1"/>
      <w:numFmt w:val="lowerLetter"/>
      <w:lvlText w:val="%8."/>
      <w:lvlJc w:val="left"/>
      <w:pPr>
        <w:ind w:left="5729" w:hanging="360"/>
      </w:pPr>
    </w:lvl>
    <w:lvl w:ilvl="8" w:tplc="0C09001B" w:tentative="1">
      <w:start w:val="1"/>
      <w:numFmt w:val="lowerRoman"/>
      <w:lvlText w:val="%9."/>
      <w:lvlJc w:val="right"/>
      <w:pPr>
        <w:ind w:left="6449" w:hanging="180"/>
      </w:pPr>
    </w:lvl>
  </w:abstractNum>
  <w:abstractNum w:abstractNumId="1">
    <w:nsid w:val="0796268C"/>
    <w:multiLevelType w:val="hybridMultilevel"/>
    <w:tmpl w:val="8904ED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DD01F3D"/>
    <w:multiLevelType w:val="hybridMultilevel"/>
    <w:tmpl w:val="3B7C8442"/>
    <w:lvl w:ilvl="0" w:tplc="1AFA62AE">
      <w:start w:val="1"/>
      <w:numFmt w:val="bullet"/>
      <w:lvlText w:val=""/>
      <w:lvlJc w:val="left"/>
      <w:pPr>
        <w:tabs>
          <w:tab w:val="num" w:pos="360"/>
        </w:tabs>
        <w:ind w:left="360" w:hanging="360"/>
      </w:pPr>
      <w:rPr>
        <w:rFonts w:ascii="Symbol" w:hAnsi="Symbol" w:hint="default"/>
        <w:color w:val="auto"/>
        <w:sz w:val="16"/>
      </w:rPr>
    </w:lvl>
    <w:lvl w:ilvl="1" w:tplc="0C090003">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3">
    <w:nsid w:val="0EC12367"/>
    <w:multiLevelType w:val="hybridMultilevel"/>
    <w:tmpl w:val="9F62D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9707B2"/>
    <w:multiLevelType w:val="hybridMultilevel"/>
    <w:tmpl w:val="E2AC7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7B7DD8"/>
    <w:multiLevelType w:val="hybridMultilevel"/>
    <w:tmpl w:val="3EA6F6DE"/>
    <w:lvl w:ilvl="0">
      <w:start w:val="1"/>
      <w:numFmt w:val="lowerLetter"/>
      <w:pStyle w:val="TableListNumber2"/>
      <w:lvlText w:val="%1."/>
      <w:lvlJc w:val="left"/>
      <w:pPr>
        <w:tabs>
          <w:tab w:val="num" w:pos="454"/>
        </w:tabs>
        <w:ind w:left="454" w:hanging="22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9">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233F6B"/>
    <w:multiLevelType w:val="hybridMultilevel"/>
    <w:tmpl w:val="53929CB2"/>
    <w:lvl w:ilvl="0">
      <w:start w:val="1"/>
      <w:numFmt w:val="lowerLetter"/>
      <w:pStyle w:val="BoxListNumber2"/>
      <w:lvlText w:val="%1."/>
      <w:lvlJc w:val="left"/>
      <w:pPr>
        <w:tabs>
          <w:tab w:val="num" w:pos="567"/>
        </w:tabs>
        <w:ind w:left="56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6CD579B"/>
    <w:multiLevelType w:val="hybridMultilevel"/>
    <w:tmpl w:val="36F2514A"/>
    <w:lvl w:ilvl="0">
      <w:start w:val="1"/>
      <w:numFmt w:val="bullet"/>
      <w:pStyle w:val="BoxListBullet"/>
      <w:lvlText w:val="&gt;"/>
      <w:lvlJc w:val="left"/>
      <w:pPr>
        <w:tabs>
          <w:tab w:val="num" w:pos="284"/>
        </w:tabs>
        <w:ind w:left="284" w:hanging="284"/>
      </w:pPr>
      <w:rPr>
        <w:rFonts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BFB22D2"/>
    <w:multiLevelType w:val="hybridMultilevel"/>
    <w:tmpl w:val="0EF053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E625600"/>
    <w:multiLevelType w:val="hybridMultilevel"/>
    <w:tmpl w:val="BC7EE30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4EA01271"/>
    <w:multiLevelType w:val="hybridMultilevel"/>
    <w:tmpl w:val="CF0A2E3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98A5214"/>
    <w:multiLevelType w:val="hybridMultilevel"/>
    <w:tmpl w:val="0B5AC610"/>
    <w:lvl w:ilvl="0">
      <w:start w:val="1"/>
      <w:numFmt w:val="decimal"/>
      <w:pStyle w:val="TableListNumber"/>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F57D92"/>
    <w:multiLevelType w:val="hybridMultilevel"/>
    <w:tmpl w:val="AF04B064"/>
    <w:lvl w:ilvl="0" w:tplc="6A2A5D3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nsid w:val="64F264CF"/>
    <w:multiLevelType w:val="multilevel"/>
    <w:tmpl w:val="DD5A44F4"/>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9A367DB"/>
    <w:multiLevelType w:val="hybridMultilevel"/>
    <w:tmpl w:val="FE8620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4">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9E1124E"/>
    <w:multiLevelType w:val="hybridMultilevel"/>
    <w:tmpl w:val="6D42E656"/>
    <w:lvl w:ilvl="0">
      <w:start w:val="1"/>
      <w:numFmt w:val="lowerLetter"/>
      <w:pStyle w:val="ListNumber2"/>
      <w:lvlText w:val="%1."/>
      <w:lvlJc w:val="left"/>
      <w:pPr>
        <w:tabs>
          <w:tab w:val="num" w:pos="567"/>
        </w:tabs>
        <w:ind w:left="56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F7A528B"/>
    <w:multiLevelType w:val="hybridMultilevel"/>
    <w:tmpl w:val="4ADC517C"/>
    <w:lvl w:ilvl="0">
      <w:start w:val="1"/>
      <w:numFmt w:val="bullet"/>
      <w:pStyle w:val="ListBullet"/>
      <w:lvlText w:val="&gt;"/>
      <w:lvlJc w:val="left"/>
      <w:pPr>
        <w:tabs>
          <w:tab w:val="num" w:pos="284"/>
        </w:tabs>
        <w:ind w:left="284" w:hanging="284"/>
      </w:pPr>
      <w:rPr>
        <w:rFonts w:hint="default"/>
        <w:color w:val="auto"/>
        <w:position w:val="3"/>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10"/>
  </w:num>
  <w:num w:numId="4">
    <w:abstractNumId w:val="16"/>
  </w:num>
  <w:num w:numId="5">
    <w:abstractNumId w:val="11"/>
  </w:num>
  <w:num w:numId="6">
    <w:abstractNumId w:val="9"/>
  </w:num>
  <w:num w:numId="7">
    <w:abstractNumId w:val="20"/>
  </w:num>
  <w:num w:numId="8">
    <w:abstractNumId w:val="21"/>
  </w:num>
  <w:num w:numId="9">
    <w:abstractNumId w:val="4"/>
  </w:num>
  <w:num w:numId="10">
    <w:abstractNumId w:val="15"/>
  </w:num>
  <w:num w:numId="11">
    <w:abstractNumId w:val="24"/>
  </w:num>
  <w:num w:numId="12">
    <w:abstractNumId w:val="8"/>
  </w:num>
  <w:num w:numId="13">
    <w:abstractNumId w:val="7"/>
  </w:num>
  <w:num w:numId="14">
    <w:abstractNumId w:val="25"/>
  </w:num>
  <w:num w:numId="15">
    <w:abstractNumId w:val="26"/>
  </w:num>
  <w:num w:numId="16">
    <w:abstractNumId w:val="23"/>
  </w:num>
  <w:num w:numId="17">
    <w:abstractNumId w:val="18"/>
  </w:num>
  <w:num w:numId="18">
    <w:abstractNumId w:val="1"/>
  </w:num>
  <w:num w:numId="19">
    <w:abstractNumId w:val="12"/>
  </w:num>
  <w:num w:numId="20">
    <w:abstractNumId w:val="3"/>
  </w:num>
  <w:num w:numId="21">
    <w:abstractNumId w:val="2"/>
  </w:num>
  <w:num w:numId="22">
    <w:abstractNumId w:val="20"/>
  </w:num>
  <w:num w:numId="23">
    <w:abstractNumId w:val="22"/>
  </w:num>
  <w:num w:numId="24">
    <w:abstractNumId w:val="14"/>
  </w:num>
  <w:num w:numId="25">
    <w:abstractNumId w:val="5"/>
  </w:num>
  <w:num w:numId="26">
    <w:abstractNumId w:val="0"/>
  </w:num>
  <w:num w:numId="27">
    <w:abstractNumId w:val="19"/>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4098">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7E"/>
    <w:rsid w:val="00002252"/>
    <w:rsid w:val="000028E6"/>
    <w:rsid w:val="00002939"/>
    <w:rsid w:val="00004368"/>
    <w:rsid w:val="00011550"/>
    <w:rsid w:val="0001170C"/>
    <w:rsid w:val="000129D7"/>
    <w:rsid w:val="0001356A"/>
    <w:rsid w:val="00014038"/>
    <w:rsid w:val="0001508D"/>
    <w:rsid w:val="00015DBC"/>
    <w:rsid w:val="000165CC"/>
    <w:rsid w:val="00016771"/>
    <w:rsid w:val="00016CBA"/>
    <w:rsid w:val="00017D33"/>
    <w:rsid w:val="00017E33"/>
    <w:rsid w:val="000211DA"/>
    <w:rsid w:val="0002235F"/>
    <w:rsid w:val="00022D41"/>
    <w:rsid w:val="00025407"/>
    <w:rsid w:val="000257E7"/>
    <w:rsid w:val="00030588"/>
    <w:rsid w:val="0003385B"/>
    <w:rsid w:val="00034256"/>
    <w:rsid w:val="00034B41"/>
    <w:rsid w:val="00034E45"/>
    <w:rsid w:val="00035E2A"/>
    <w:rsid w:val="000368A2"/>
    <w:rsid w:val="00037673"/>
    <w:rsid w:val="000433AB"/>
    <w:rsid w:val="00044EDD"/>
    <w:rsid w:val="000452A6"/>
    <w:rsid w:val="0004636D"/>
    <w:rsid w:val="00046974"/>
    <w:rsid w:val="000513B2"/>
    <w:rsid w:val="00053BB3"/>
    <w:rsid w:val="00053D8A"/>
    <w:rsid w:val="00056B59"/>
    <w:rsid w:val="00060A32"/>
    <w:rsid w:val="00061222"/>
    <w:rsid w:val="00061389"/>
    <w:rsid w:val="00063C90"/>
    <w:rsid w:val="000655EB"/>
    <w:rsid w:val="00065B0D"/>
    <w:rsid w:val="00065C12"/>
    <w:rsid w:val="00067F6E"/>
    <w:rsid w:val="00070BAE"/>
    <w:rsid w:val="00070F05"/>
    <w:rsid w:val="000722A1"/>
    <w:rsid w:val="000727CA"/>
    <w:rsid w:val="00074C9B"/>
    <w:rsid w:val="00075C1B"/>
    <w:rsid w:val="00075E37"/>
    <w:rsid w:val="00075F52"/>
    <w:rsid w:val="000765D3"/>
    <w:rsid w:val="000766F0"/>
    <w:rsid w:val="00076703"/>
    <w:rsid w:val="00080267"/>
    <w:rsid w:val="000805B2"/>
    <w:rsid w:val="0008120D"/>
    <w:rsid w:val="00082E97"/>
    <w:rsid w:val="000833A0"/>
    <w:rsid w:val="00085585"/>
    <w:rsid w:val="00085E50"/>
    <w:rsid w:val="00086164"/>
    <w:rsid w:val="000863C3"/>
    <w:rsid w:val="00090C8C"/>
    <w:rsid w:val="00092F37"/>
    <w:rsid w:val="00093380"/>
    <w:rsid w:val="00097A76"/>
    <w:rsid w:val="000A0794"/>
    <w:rsid w:val="000A3437"/>
    <w:rsid w:val="000A4433"/>
    <w:rsid w:val="000A5BCC"/>
    <w:rsid w:val="000A7400"/>
    <w:rsid w:val="000A7708"/>
    <w:rsid w:val="000A7AD4"/>
    <w:rsid w:val="000B0232"/>
    <w:rsid w:val="000B0BCD"/>
    <w:rsid w:val="000B108C"/>
    <w:rsid w:val="000B13AB"/>
    <w:rsid w:val="000B146D"/>
    <w:rsid w:val="000B4054"/>
    <w:rsid w:val="000B4271"/>
    <w:rsid w:val="000B56CF"/>
    <w:rsid w:val="000B5B55"/>
    <w:rsid w:val="000B6330"/>
    <w:rsid w:val="000B7FF7"/>
    <w:rsid w:val="000C0125"/>
    <w:rsid w:val="000C0807"/>
    <w:rsid w:val="000C0D83"/>
    <w:rsid w:val="000C45A2"/>
    <w:rsid w:val="000C4E9F"/>
    <w:rsid w:val="000C53FC"/>
    <w:rsid w:val="000C5FAC"/>
    <w:rsid w:val="000C6046"/>
    <w:rsid w:val="000D042A"/>
    <w:rsid w:val="000D0442"/>
    <w:rsid w:val="000D074E"/>
    <w:rsid w:val="000D32D5"/>
    <w:rsid w:val="000D3CE9"/>
    <w:rsid w:val="000D444F"/>
    <w:rsid w:val="000D47A5"/>
    <w:rsid w:val="000E0333"/>
    <w:rsid w:val="000E0D16"/>
    <w:rsid w:val="000E2E8A"/>
    <w:rsid w:val="000E595E"/>
    <w:rsid w:val="000E5C21"/>
    <w:rsid w:val="000E77AD"/>
    <w:rsid w:val="000F3759"/>
    <w:rsid w:val="000F5F51"/>
    <w:rsid w:val="000F706A"/>
    <w:rsid w:val="000F7C3E"/>
    <w:rsid w:val="000F7DB9"/>
    <w:rsid w:val="000F7E2E"/>
    <w:rsid w:val="000F7EBB"/>
    <w:rsid w:val="0010001A"/>
    <w:rsid w:val="001020A5"/>
    <w:rsid w:val="00104CCC"/>
    <w:rsid w:val="001104EF"/>
    <w:rsid w:val="00111F1D"/>
    <w:rsid w:val="001154DA"/>
    <w:rsid w:val="00115A8C"/>
    <w:rsid w:val="00115D91"/>
    <w:rsid w:val="00115F2A"/>
    <w:rsid w:val="001204E2"/>
    <w:rsid w:val="00124647"/>
    <w:rsid w:val="001250BF"/>
    <w:rsid w:val="001260C2"/>
    <w:rsid w:val="001262B4"/>
    <w:rsid w:val="00126B7A"/>
    <w:rsid w:val="00127B7F"/>
    <w:rsid w:val="00130109"/>
    <w:rsid w:val="00131688"/>
    <w:rsid w:val="00131DB9"/>
    <w:rsid w:val="00132E41"/>
    <w:rsid w:val="00135A4C"/>
    <w:rsid w:val="001360A4"/>
    <w:rsid w:val="00136E47"/>
    <w:rsid w:val="00136FF9"/>
    <w:rsid w:val="00137BA1"/>
    <w:rsid w:val="0014049B"/>
    <w:rsid w:val="00141210"/>
    <w:rsid w:val="00141818"/>
    <w:rsid w:val="0014252B"/>
    <w:rsid w:val="0014282B"/>
    <w:rsid w:val="00142A4D"/>
    <w:rsid w:val="00142E47"/>
    <w:rsid w:val="00143525"/>
    <w:rsid w:val="001436A7"/>
    <w:rsid w:val="00144611"/>
    <w:rsid w:val="00144B1B"/>
    <w:rsid w:val="0014787F"/>
    <w:rsid w:val="001529E0"/>
    <w:rsid w:val="00152D98"/>
    <w:rsid w:val="00153F18"/>
    <w:rsid w:val="0015577D"/>
    <w:rsid w:val="001564B4"/>
    <w:rsid w:val="00156521"/>
    <w:rsid w:val="00156A18"/>
    <w:rsid w:val="0016217F"/>
    <w:rsid w:val="001644AA"/>
    <w:rsid w:val="00165C4D"/>
    <w:rsid w:val="00166492"/>
    <w:rsid w:val="00166BE1"/>
    <w:rsid w:val="001702D7"/>
    <w:rsid w:val="001707ED"/>
    <w:rsid w:val="00170B04"/>
    <w:rsid w:val="00172093"/>
    <w:rsid w:val="0017313D"/>
    <w:rsid w:val="00174585"/>
    <w:rsid w:val="001756DD"/>
    <w:rsid w:val="00175CFE"/>
    <w:rsid w:val="00176289"/>
    <w:rsid w:val="00176846"/>
    <w:rsid w:val="001772C7"/>
    <w:rsid w:val="00177AE1"/>
    <w:rsid w:val="00180E63"/>
    <w:rsid w:val="00180EC6"/>
    <w:rsid w:val="00182E7D"/>
    <w:rsid w:val="001840DC"/>
    <w:rsid w:val="00184C6E"/>
    <w:rsid w:val="00184C6F"/>
    <w:rsid w:val="001853F5"/>
    <w:rsid w:val="00187D56"/>
    <w:rsid w:val="001902FF"/>
    <w:rsid w:val="00190901"/>
    <w:rsid w:val="00190A25"/>
    <w:rsid w:val="00193384"/>
    <w:rsid w:val="001957F2"/>
    <w:rsid w:val="0019627A"/>
    <w:rsid w:val="00197485"/>
    <w:rsid w:val="001A0653"/>
    <w:rsid w:val="001A157D"/>
    <w:rsid w:val="001A36FD"/>
    <w:rsid w:val="001A4314"/>
    <w:rsid w:val="001A4CB0"/>
    <w:rsid w:val="001A4F3D"/>
    <w:rsid w:val="001A5704"/>
    <w:rsid w:val="001A64D6"/>
    <w:rsid w:val="001A676A"/>
    <w:rsid w:val="001A76CD"/>
    <w:rsid w:val="001A7A00"/>
    <w:rsid w:val="001B0BC3"/>
    <w:rsid w:val="001B11EB"/>
    <w:rsid w:val="001B1559"/>
    <w:rsid w:val="001B1949"/>
    <w:rsid w:val="001B3182"/>
    <w:rsid w:val="001B35CF"/>
    <w:rsid w:val="001B3A25"/>
    <w:rsid w:val="001B40B6"/>
    <w:rsid w:val="001B6F87"/>
    <w:rsid w:val="001B7287"/>
    <w:rsid w:val="001B7441"/>
    <w:rsid w:val="001B7D36"/>
    <w:rsid w:val="001C1404"/>
    <w:rsid w:val="001C1650"/>
    <w:rsid w:val="001C18A5"/>
    <w:rsid w:val="001C27DD"/>
    <w:rsid w:val="001C311E"/>
    <w:rsid w:val="001C3652"/>
    <w:rsid w:val="001C37EE"/>
    <w:rsid w:val="001C49C9"/>
    <w:rsid w:val="001C54D5"/>
    <w:rsid w:val="001C557B"/>
    <w:rsid w:val="001C68A6"/>
    <w:rsid w:val="001C6E03"/>
    <w:rsid w:val="001C6E25"/>
    <w:rsid w:val="001C767C"/>
    <w:rsid w:val="001C7FAB"/>
    <w:rsid w:val="001D0D54"/>
    <w:rsid w:val="001D0D75"/>
    <w:rsid w:val="001D21D0"/>
    <w:rsid w:val="001D24B1"/>
    <w:rsid w:val="001D2D04"/>
    <w:rsid w:val="001D494C"/>
    <w:rsid w:val="001D5233"/>
    <w:rsid w:val="001D5666"/>
    <w:rsid w:val="001D5EBB"/>
    <w:rsid w:val="001D65A4"/>
    <w:rsid w:val="001D69E3"/>
    <w:rsid w:val="001E0DD5"/>
    <w:rsid w:val="001E26B8"/>
    <w:rsid w:val="001E521E"/>
    <w:rsid w:val="001E5458"/>
    <w:rsid w:val="001E61C0"/>
    <w:rsid w:val="001E77A7"/>
    <w:rsid w:val="001E7C2A"/>
    <w:rsid w:val="001F0E53"/>
    <w:rsid w:val="001F0E62"/>
    <w:rsid w:val="001F1365"/>
    <w:rsid w:val="001F1931"/>
    <w:rsid w:val="001F248B"/>
    <w:rsid w:val="001F353B"/>
    <w:rsid w:val="001F39C9"/>
    <w:rsid w:val="001F4CD3"/>
    <w:rsid w:val="001F4E51"/>
    <w:rsid w:val="001F5AA9"/>
    <w:rsid w:val="001F67C9"/>
    <w:rsid w:val="00201C82"/>
    <w:rsid w:val="0020245F"/>
    <w:rsid w:val="00202738"/>
    <w:rsid w:val="002028B6"/>
    <w:rsid w:val="00203160"/>
    <w:rsid w:val="0020410B"/>
    <w:rsid w:val="00205552"/>
    <w:rsid w:val="00205AA6"/>
    <w:rsid w:val="0021017E"/>
    <w:rsid w:val="00210F50"/>
    <w:rsid w:val="00212975"/>
    <w:rsid w:val="00213176"/>
    <w:rsid w:val="00213873"/>
    <w:rsid w:val="00214C9D"/>
    <w:rsid w:val="002178C9"/>
    <w:rsid w:val="00222F3B"/>
    <w:rsid w:val="0022332C"/>
    <w:rsid w:val="00224E68"/>
    <w:rsid w:val="00225556"/>
    <w:rsid w:val="00225C9D"/>
    <w:rsid w:val="00226029"/>
    <w:rsid w:val="00226880"/>
    <w:rsid w:val="0022688E"/>
    <w:rsid w:val="00226CC8"/>
    <w:rsid w:val="002274D0"/>
    <w:rsid w:val="00227783"/>
    <w:rsid w:val="00227D6B"/>
    <w:rsid w:val="0023026A"/>
    <w:rsid w:val="00230BD1"/>
    <w:rsid w:val="00230DB7"/>
    <w:rsid w:val="00230F10"/>
    <w:rsid w:val="00231CB6"/>
    <w:rsid w:val="00232097"/>
    <w:rsid w:val="00233570"/>
    <w:rsid w:val="00233D7A"/>
    <w:rsid w:val="00234583"/>
    <w:rsid w:val="00234775"/>
    <w:rsid w:val="00234D37"/>
    <w:rsid w:val="00234EC6"/>
    <w:rsid w:val="00235784"/>
    <w:rsid w:val="00236C53"/>
    <w:rsid w:val="00237451"/>
    <w:rsid w:val="0024071E"/>
    <w:rsid w:val="00240A07"/>
    <w:rsid w:val="002412F2"/>
    <w:rsid w:val="00241C11"/>
    <w:rsid w:val="00243468"/>
    <w:rsid w:val="0024348E"/>
    <w:rsid w:val="00243C11"/>
    <w:rsid w:val="00244F96"/>
    <w:rsid w:val="002452D0"/>
    <w:rsid w:val="0024542D"/>
    <w:rsid w:val="0024630C"/>
    <w:rsid w:val="00247D70"/>
    <w:rsid w:val="00247F6A"/>
    <w:rsid w:val="0025020D"/>
    <w:rsid w:val="002505BE"/>
    <w:rsid w:val="00250D70"/>
    <w:rsid w:val="002515F6"/>
    <w:rsid w:val="0025173D"/>
    <w:rsid w:val="00253146"/>
    <w:rsid w:val="00253B3E"/>
    <w:rsid w:val="00253C95"/>
    <w:rsid w:val="00254E43"/>
    <w:rsid w:val="00254E51"/>
    <w:rsid w:val="00256373"/>
    <w:rsid w:val="00257199"/>
    <w:rsid w:val="00257288"/>
    <w:rsid w:val="00257442"/>
    <w:rsid w:val="00257983"/>
    <w:rsid w:val="002600C7"/>
    <w:rsid w:val="00260CE2"/>
    <w:rsid w:val="00262975"/>
    <w:rsid w:val="0026347A"/>
    <w:rsid w:val="002637F9"/>
    <w:rsid w:val="00263B78"/>
    <w:rsid w:val="00266A89"/>
    <w:rsid w:val="00266B56"/>
    <w:rsid w:val="00266C05"/>
    <w:rsid w:val="002702DD"/>
    <w:rsid w:val="00271C68"/>
    <w:rsid w:val="00271F5A"/>
    <w:rsid w:val="002725B4"/>
    <w:rsid w:val="00272699"/>
    <w:rsid w:val="0027351E"/>
    <w:rsid w:val="0027441E"/>
    <w:rsid w:val="0027483C"/>
    <w:rsid w:val="00281D52"/>
    <w:rsid w:val="002820D7"/>
    <w:rsid w:val="002837C1"/>
    <w:rsid w:val="00283D6E"/>
    <w:rsid w:val="00285871"/>
    <w:rsid w:val="00286E03"/>
    <w:rsid w:val="00287F57"/>
    <w:rsid w:val="00290560"/>
    <w:rsid w:val="00291164"/>
    <w:rsid w:val="00291B3A"/>
    <w:rsid w:val="00292656"/>
    <w:rsid w:val="00292C3C"/>
    <w:rsid w:val="00294AA6"/>
    <w:rsid w:val="00294D4C"/>
    <w:rsid w:val="00296270"/>
    <w:rsid w:val="00297DF9"/>
    <w:rsid w:val="002A1D2F"/>
    <w:rsid w:val="002A1DE3"/>
    <w:rsid w:val="002A2305"/>
    <w:rsid w:val="002A477C"/>
    <w:rsid w:val="002A4BB1"/>
    <w:rsid w:val="002A561C"/>
    <w:rsid w:val="002A6CE4"/>
    <w:rsid w:val="002B02EA"/>
    <w:rsid w:val="002B1624"/>
    <w:rsid w:val="002B1C3F"/>
    <w:rsid w:val="002B1D0E"/>
    <w:rsid w:val="002B2514"/>
    <w:rsid w:val="002B3053"/>
    <w:rsid w:val="002B33AD"/>
    <w:rsid w:val="002B3E15"/>
    <w:rsid w:val="002B4651"/>
    <w:rsid w:val="002B7D4C"/>
    <w:rsid w:val="002C012E"/>
    <w:rsid w:val="002C018F"/>
    <w:rsid w:val="002C0F44"/>
    <w:rsid w:val="002C159E"/>
    <w:rsid w:val="002C1967"/>
    <w:rsid w:val="002C23D1"/>
    <w:rsid w:val="002C257C"/>
    <w:rsid w:val="002C5AF0"/>
    <w:rsid w:val="002C65CE"/>
    <w:rsid w:val="002C7822"/>
    <w:rsid w:val="002C79E4"/>
    <w:rsid w:val="002D0510"/>
    <w:rsid w:val="002D11B5"/>
    <w:rsid w:val="002D1829"/>
    <w:rsid w:val="002D468F"/>
    <w:rsid w:val="002D5DED"/>
    <w:rsid w:val="002D638C"/>
    <w:rsid w:val="002D657C"/>
    <w:rsid w:val="002D6E19"/>
    <w:rsid w:val="002D7A0A"/>
    <w:rsid w:val="002E000E"/>
    <w:rsid w:val="002E0115"/>
    <w:rsid w:val="002E1AC2"/>
    <w:rsid w:val="002E2CDD"/>
    <w:rsid w:val="002E499B"/>
    <w:rsid w:val="002E626C"/>
    <w:rsid w:val="002E683F"/>
    <w:rsid w:val="002E7F6A"/>
    <w:rsid w:val="002F056E"/>
    <w:rsid w:val="002F1AB4"/>
    <w:rsid w:val="002F3393"/>
    <w:rsid w:val="002F36D2"/>
    <w:rsid w:val="002F3C1A"/>
    <w:rsid w:val="002F3E97"/>
    <w:rsid w:val="002F4300"/>
    <w:rsid w:val="002F489A"/>
    <w:rsid w:val="003023FD"/>
    <w:rsid w:val="003029DA"/>
    <w:rsid w:val="0030414F"/>
    <w:rsid w:val="00304700"/>
    <w:rsid w:val="003048C1"/>
    <w:rsid w:val="00305213"/>
    <w:rsid w:val="00305565"/>
    <w:rsid w:val="0030623D"/>
    <w:rsid w:val="00310AB8"/>
    <w:rsid w:val="00310C02"/>
    <w:rsid w:val="00310CED"/>
    <w:rsid w:val="0031131B"/>
    <w:rsid w:val="00312B95"/>
    <w:rsid w:val="00312E50"/>
    <w:rsid w:val="0031478E"/>
    <w:rsid w:val="003147DD"/>
    <w:rsid w:val="00315D84"/>
    <w:rsid w:val="00316AAC"/>
    <w:rsid w:val="00321C81"/>
    <w:rsid w:val="00322444"/>
    <w:rsid w:val="003225AB"/>
    <w:rsid w:val="00323965"/>
    <w:rsid w:val="00330300"/>
    <w:rsid w:val="00330A76"/>
    <w:rsid w:val="00330D74"/>
    <w:rsid w:val="00331AEC"/>
    <w:rsid w:val="00332945"/>
    <w:rsid w:val="00333127"/>
    <w:rsid w:val="003341A9"/>
    <w:rsid w:val="00334B60"/>
    <w:rsid w:val="003360B5"/>
    <w:rsid w:val="003368B5"/>
    <w:rsid w:val="003369D5"/>
    <w:rsid w:val="00336FAC"/>
    <w:rsid w:val="003379F3"/>
    <w:rsid w:val="00337AAE"/>
    <w:rsid w:val="003405D1"/>
    <w:rsid w:val="00341566"/>
    <w:rsid w:val="0034257C"/>
    <w:rsid w:val="00342A5A"/>
    <w:rsid w:val="00343207"/>
    <w:rsid w:val="00345C2F"/>
    <w:rsid w:val="0034794C"/>
    <w:rsid w:val="00347D10"/>
    <w:rsid w:val="00347E04"/>
    <w:rsid w:val="0035026E"/>
    <w:rsid w:val="0035098F"/>
    <w:rsid w:val="0035177E"/>
    <w:rsid w:val="003522B0"/>
    <w:rsid w:val="00352A66"/>
    <w:rsid w:val="00353B7B"/>
    <w:rsid w:val="00354CF6"/>
    <w:rsid w:val="003557A9"/>
    <w:rsid w:val="00355C9E"/>
    <w:rsid w:val="0035655A"/>
    <w:rsid w:val="00357879"/>
    <w:rsid w:val="00360C27"/>
    <w:rsid w:val="0036152B"/>
    <w:rsid w:val="00361A07"/>
    <w:rsid w:val="00362300"/>
    <w:rsid w:val="00362945"/>
    <w:rsid w:val="00363DA6"/>
    <w:rsid w:val="003643A3"/>
    <w:rsid w:val="00364555"/>
    <w:rsid w:val="0036493C"/>
    <w:rsid w:val="00365BED"/>
    <w:rsid w:val="00365ECE"/>
    <w:rsid w:val="00366135"/>
    <w:rsid w:val="00366EAE"/>
    <w:rsid w:val="0037000D"/>
    <w:rsid w:val="00372980"/>
    <w:rsid w:val="00372C90"/>
    <w:rsid w:val="00373509"/>
    <w:rsid w:val="00373545"/>
    <w:rsid w:val="00373D61"/>
    <w:rsid w:val="003747A8"/>
    <w:rsid w:val="00374FE4"/>
    <w:rsid w:val="00375C3C"/>
    <w:rsid w:val="00375E4E"/>
    <w:rsid w:val="0037744F"/>
    <w:rsid w:val="003813B0"/>
    <w:rsid w:val="00381894"/>
    <w:rsid w:val="00382BC2"/>
    <w:rsid w:val="003852FD"/>
    <w:rsid w:val="003864C0"/>
    <w:rsid w:val="00386714"/>
    <w:rsid w:val="00386BBA"/>
    <w:rsid w:val="00386D59"/>
    <w:rsid w:val="003870E2"/>
    <w:rsid w:val="003908F2"/>
    <w:rsid w:val="0039171C"/>
    <w:rsid w:val="0039191D"/>
    <w:rsid w:val="00393C49"/>
    <w:rsid w:val="00395037"/>
    <w:rsid w:val="003950F3"/>
    <w:rsid w:val="00396AAB"/>
    <w:rsid w:val="00396E51"/>
    <w:rsid w:val="00396FEE"/>
    <w:rsid w:val="00397842"/>
    <w:rsid w:val="00397D09"/>
    <w:rsid w:val="003A12E4"/>
    <w:rsid w:val="003A1A4E"/>
    <w:rsid w:val="003A2AFB"/>
    <w:rsid w:val="003A3E3B"/>
    <w:rsid w:val="003A437D"/>
    <w:rsid w:val="003A5F6E"/>
    <w:rsid w:val="003B01D4"/>
    <w:rsid w:val="003B0602"/>
    <w:rsid w:val="003B08FF"/>
    <w:rsid w:val="003B3833"/>
    <w:rsid w:val="003B585B"/>
    <w:rsid w:val="003B5B3A"/>
    <w:rsid w:val="003B669E"/>
    <w:rsid w:val="003B6AF8"/>
    <w:rsid w:val="003C4418"/>
    <w:rsid w:val="003C5627"/>
    <w:rsid w:val="003C6F51"/>
    <w:rsid w:val="003C7488"/>
    <w:rsid w:val="003D1F69"/>
    <w:rsid w:val="003D277A"/>
    <w:rsid w:val="003D3401"/>
    <w:rsid w:val="003D3DC5"/>
    <w:rsid w:val="003D41D9"/>
    <w:rsid w:val="003D7C66"/>
    <w:rsid w:val="003E0D99"/>
    <w:rsid w:val="003E15BE"/>
    <w:rsid w:val="003E1EBE"/>
    <w:rsid w:val="003E4703"/>
    <w:rsid w:val="003E4C57"/>
    <w:rsid w:val="003E4E42"/>
    <w:rsid w:val="003E6A24"/>
    <w:rsid w:val="003E74A4"/>
    <w:rsid w:val="003F0648"/>
    <w:rsid w:val="003F159A"/>
    <w:rsid w:val="003F23B0"/>
    <w:rsid w:val="003F291D"/>
    <w:rsid w:val="003F2F80"/>
    <w:rsid w:val="003F4406"/>
    <w:rsid w:val="003F4998"/>
    <w:rsid w:val="003F6535"/>
    <w:rsid w:val="003F79C6"/>
    <w:rsid w:val="003F7A36"/>
    <w:rsid w:val="003F7DFD"/>
    <w:rsid w:val="004030F5"/>
    <w:rsid w:val="00403EC1"/>
    <w:rsid w:val="00404378"/>
    <w:rsid w:val="00404981"/>
    <w:rsid w:val="00404EA8"/>
    <w:rsid w:val="004069E3"/>
    <w:rsid w:val="00407CFC"/>
    <w:rsid w:val="00410D4E"/>
    <w:rsid w:val="00411191"/>
    <w:rsid w:val="00412989"/>
    <w:rsid w:val="004131F2"/>
    <w:rsid w:val="00414418"/>
    <w:rsid w:val="004146C9"/>
    <w:rsid w:val="00415DC2"/>
    <w:rsid w:val="00416765"/>
    <w:rsid w:val="004174E5"/>
    <w:rsid w:val="00420072"/>
    <w:rsid w:val="004202ED"/>
    <w:rsid w:val="0042107B"/>
    <w:rsid w:val="0042222F"/>
    <w:rsid w:val="00422524"/>
    <w:rsid w:val="00422662"/>
    <w:rsid w:val="004226D0"/>
    <w:rsid w:val="004229B0"/>
    <w:rsid w:val="00425388"/>
    <w:rsid w:val="004253F7"/>
    <w:rsid w:val="004255BC"/>
    <w:rsid w:val="00427DB3"/>
    <w:rsid w:val="00427F0E"/>
    <w:rsid w:val="0043018B"/>
    <w:rsid w:val="004318C3"/>
    <w:rsid w:val="004323E1"/>
    <w:rsid w:val="00433FEB"/>
    <w:rsid w:val="00434922"/>
    <w:rsid w:val="00435DAE"/>
    <w:rsid w:val="0043622D"/>
    <w:rsid w:val="00441D9B"/>
    <w:rsid w:val="00442BE6"/>
    <w:rsid w:val="0044452B"/>
    <w:rsid w:val="00445370"/>
    <w:rsid w:val="00445908"/>
    <w:rsid w:val="00446744"/>
    <w:rsid w:val="00446BFE"/>
    <w:rsid w:val="00447F42"/>
    <w:rsid w:val="0045116A"/>
    <w:rsid w:val="00451CA4"/>
    <w:rsid w:val="00451E60"/>
    <w:rsid w:val="00451FB2"/>
    <w:rsid w:val="00452C48"/>
    <w:rsid w:val="00452E9D"/>
    <w:rsid w:val="0045304C"/>
    <w:rsid w:val="004530AC"/>
    <w:rsid w:val="00453226"/>
    <w:rsid w:val="00453EB3"/>
    <w:rsid w:val="00454368"/>
    <w:rsid w:val="004547C0"/>
    <w:rsid w:val="00454AE8"/>
    <w:rsid w:val="004559D3"/>
    <w:rsid w:val="004561F5"/>
    <w:rsid w:val="00456D32"/>
    <w:rsid w:val="0045720E"/>
    <w:rsid w:val="0045762D"/>
    <w:rsid w:val="00457853"/>
    <w:rsid w:val="00457902"/>
    <w:rsid w:val="00460B25"/>
    <w:rsid w:val="00461AD2"/>
    <w:rsid w:val="00462194"/>
    <w:rsid w:val="00462797"/>
    <w:rsid w:val="00464228"/>
    <w:rsid w:val="00464640"/>
    <w:rsid w:val="00467537"/>
    <w:rsid w:val="0047058E"/>
    <w:rsid w:val="00470EAF"/>
    <w:rsid w:val="00471026"/>
    <w:rsid w:val="004732C0"/>
    <w:rsid w:val="00473A93"/>
    <w:rsid w:val="00474394"/>
    <w:rsid w:val="004744D3"/>
    <w:rsid w:val="00475EFF"/>
    <w:rsid w:val="00476144"/>
    <w:rsid w:val="0047786B"/>
    <w:rsid w:val="0048197F"/>
    <w:rsid w:val="004822A1"/>
    <w:rsid w:val="00482EF4"/>
    <w:rsid w:val="0048343C"/>
    <w:rsid w:val="00483A17"/>
    <w:rsid w:val="00483DD5"/>
    <w:rsid w:val="004845F1"/>
    <w:rsid w:val="00484BC2"/>
    <w:rsid w:val="0048588B"/>
    <w:rsid w:val="00486E8C"/>
    <w:rsid w:val="004872E3"/>
    <w:rsid w:val="00487630"/>
    <w:rsid w:val="004900C1"/>
    <w:rsid w:val="00490743"/>
    <w:rsid w:val="00491178"/>
    <w:rsid w:val="004914D1"/>
    <w:rsid w:val="00492FC4"/>
    <w:rsid w:val="00493037"/>
    <w:rsid w:val="00494CD3"/>
    <w:rsid w:val="00494FB3"/>
    <w:rsid w:val="004955A5"/>
    <w:rsid w:val="00495EF4"/>
    <w:rsid w:val="00496D19"/>
    <w:rsid w:val="00496DF9"/>
    <w:rsid w:val="00497240"/>
    <w:rsid w:val="004A154E"/>
    <w:rsid w:val="004A15DE"/>
    <w:rsid w:val="004A2EFC"/>
    <w:rsid w:val="004A31C3"/>
    <w:rsid w:val="004A3D2A"/>
    <w:rsid w:val="004A472E"/>
    <w:rsid w:val="004A4B6B"/>
    <w:rsid w:val="004A7FA7"/>
    <w:rsid w:val="004B0361"/>
    <w:rsid w:val="004B0F8C"/>
    <w:rsid w:val="004B3904"/>
    <w:rsid w:val="004B3FEF"/>
    <w:rsid w:val="004B42F1"/>
    <w:rsid w:val="004B6157"/>
    <w:rsid w:val="004B7492"/>
    <w:rsid w:val="004B7C61"/>
    <w:rsid w:val="004C0E63"/>
    <w:rsid w:val="004C3546"/>
    <w:rsid w:val="004C3568"/>
    <w:rsid w:val="004C4638"/>
    <w:rsid w:val="004C60B8"/>
    <w:rsid w:val="004C7DD7"/>
    <w:rsid w:val="004D18D0"/>
    <w:rsid w:val="004D27D6"/>
    <w:rsid w:val="004D2F5D"/>
    <w:rsid w:val="004D47C5"/>
    <w:rsid w:val="004D5771"/>
    <w:rsid w:val="004D79AD"/>
    <w:rsid w:val="004E0C8E"/>
    <w:rsid w:val="004E493E"/>
    <w:rsid w:val="004E6274"/>
    <w:rsid w:val="004E63CC"/>
    <w:rsid w:val="004F03F1"/>
    <w:rsid w:val="004F096E"/>
    <w:rsid w:val="004F0BE2"/>
    <w:rsid w:val="004F256B"/>
    <w:rsid w:val="004F32A0"/>
    <w:rsid w:val="004F72C7"/>
    <w:rsid w:val="004F75A1"/>
    <w:rsid w:val="004F79BD"/>
    <w:rsid w:val="00500054"/>
    <w:rsid w:val="00502E98"/>
    <w:rsid w:val="005031B6"/>
    <w:rsid w:val="00506BC4"/>
    <w:rsid w:val="00507A63"/>
    <w:rsid w:val="00507D05"/>
    <w:rsid w:val="00507D24"/>
    <w:rsid w:val="00510410"/>
    <w:rsid w:val="00510FCB"/>
    <w:rsid w:val="00513602"/>
    <w:rsid w:val="005157A6"/>
    <w:rsid w:val="0052067C"/>
    <w:rsid w:val="00522F30"/>
    <w:rsid w:val="005265E4"/>
    <w:rsid w:val="00527ED3"/>
    <w:rsid w:val="00531479"/>
    <w:rsid w:val="0053234B"/>
    <w:rsid w:val="005335EE"/>
    <w:rsid w:val="005343DE"/>
    <w:rsid w:val="005348EF"/>
    <w:rsid w:val="005351E9"/>
    <w:rsid w:val="005353FE"/>
    <w:rsid w:val="005363D4"/>
    <w:rsid w:val="005374AC"/>
    <w:rsid w:val="00537F37"/>
    <w:rsid w:val="005445D6"/>
    <w:rsid w:val="005447E1"/>
    <w:rsid w:val="00545090"/>
    <w:rsid w:val="00546364"/>
    <w:rsid w:val="00546C44"/>
    <w:rsid w:val="005510FE"/>
    <w:rsid w:val="00552AD1"/>
    <w:rsid w:val="005536F4"/>
    <w:rsid w:val="00556B35"/>
    <w:rsid w:val="00561EE2"/>
    <w:rsid w:val="0056297D"/>
    <w:rsid w:val="005631AD"/>
    <w:rsid w:val="005639EA"/>
    <w:rsid w:val="00564BCE"/>
    <w:rsid w:val="005667D5"/>
    <w:rsid w:val="005675FC"/>
    <w:rsid w:val="005722A1"/>
    <w:rsid w:val="00572319"/>
    <w:rsid w:val="00572841"/>
    <w:rsid w:val="00573B43"/>
    <w:rsid w:val="00574314"/>
    <w:rsid w:val="00574E74"/>
    <w:rsid w:val="00575350"/>
    <w:rsid w:val="00575D08"/>
    <w:rsid w:val="00577298"/>
    <w:rsid w:val="00577478"/>
    <w:rsid w:val="005775A1"/>
    <w:rsid w:val="00580DC4"/>
    <w:rsid w:val="00582A19"/>
    <w:rsid w:val="0058536F"/>
    <w:rsid w:val="00585433"/>
    <w:rsid w:val="0058729F"/>
    <w:rsid w:val="005879C7"/>
    <w:rsid w:val="005909B5"/>
    <w:rsid w:val="0059107D"/>
    <w:rsid w:val="005910A3"/>
    <w:rsid w:val="00591DD6"/>
    <w:rsid w:val="005925E4"/>
    <w:rsid w:val="00592A83"/>
    <w:rsid w:val="00593B07"/>
    <w:rsid w:val="00593E3E"/>
    <w:rsid w:val="005942EA"/>
    <w:rsid w:val="005943A7"/>
    <w:rsid w:val="00596832"/>
    <w:rsid w:val="00597C4A"/>
    <w:rsid w:val="005A1052"/>
    <w:rsid w:val="005A1434"/>
    <w:rsid w:val="005A341D"/>
    <w:rsid w:val="005A3AA3"/>
    <w:rsid w:val="005A3FE0"/>
    <w:rsid w:val="005B0C9B"/>
    <w:rsid w:val="005B13EE"/>
    <w:rsid w:val="005B2981"/>
    <w:rsid w:val="005B522F"/>
    <w:rsid w:val="005B595D"/>
    <w:rsid w:val="005B7710"/>
    <w:rsid w:val="005C10C7"/>
    <w:rsid w:val="005C206D"/>
    <w:rsid w:val="005C26C4"/>
    <w:rsid w:val="005C2C17"/>
    <w:rsid w:val="005C2DAC"/>
    <w:rsid w:val="005C3128"/>
    <w:rsid w:val="005C349D"/>
    <w:rsid w:val="005C4005"/>
    <w:rsid w:val="005C4BD3"/>
    <w:rsid w:val="005C5E72"/>
    <w:rsid w:val="005C6FD6"/>
    <w:rsid w:val="005C7A9F"/>
    <w:rsid w:val="005D0AF9"/>
    <w:rsid w:val="005D1E18"/>
    <w:rsid w:val="005D244B"/>
    <w:rsid w:val="005D2B37"/>
    <w:rsid w:val="005D4715"/>
    <w:rsid w:val="005D4EED"/>
    <w:rsid w:val="005D6F2C"/>
    <w:rsid w:val="005D7BB7"/>
    <w:rsid w:val="005E0A0B"/>
    <w:rsid w:val="005E1812"/>
    <w:rsid w:val="005E1AF2"/>
    <w:rsid w:val="005E1D7A"/>
    <w:rsid w:val="005E2411"/>
    <w:rsid w:val="005E344F"/>
    <w:rsid w:val="005E3CEF"/>
    <w:rsid w:val="005E51D2"/>
    <w:rsid w:val="005E6A91"/>
    <w:rsid w:val="005E725C"/>
    <w:rsid w:val="005F168A"/>
    <w:rsid w:val="005F177B"/>
    <w:rsid w:val="005F1840"/>
    <w:rsid w:val="005F218A"/>
    <w:rsid w:val="005F251E"/>
    <w:rsid w:val="005F2846"/>
    <w:rsid w:val="005F2F06"/>
    <w:rsid w:val="005F356A"/>
    <w:rsid w:val="005F5193"/>
    <w:rsid w:val="005F5C10"/>
    <w:rsid w:val="005F5C2F"/>
    <w:rsid w:val="005F6911"/>
    <w:rsid w:val="005F710E"/>
    <w:rsid w:val="005F74D0"/>
    <w:rsid w:val="005F7879"/>
    <w:rsid w:val="006007F6"/>
    <w:rsid w:val="00600A18"/>
    <w:rsid w:val="00600B0F"/>
    <w:rsid w:val="006010A8"/>
    <w:rsid w:val="00601D94"/>
    <w:rsid w:val="00602D21"/>
    <w:rsid w:val="00604147"/>
    <w:rsid w:val="006051CE"/>
    <w:rsid w:val="00605815"/>
    <w:rsid w:val="00605C82"/>
    <w:rsid w:val="0060617B"/>
    <w:rsid w:val="00607978"/>
    <w:rsid w:val="00607E92"/>
    <w:rsid w:val="00614A27"/>
    <w:rsid w:val="00615135"/>
    <w:rsid w:val="00615247"/>
    <w:rsid w:val="006155FC"/>
    <w:rsid w:val="00615695"/>
    <w:rsid w:val="0061714E"/>
    <w:rsid w:val="006203BD"/>
    <w:rsid w:val="0062059B"/>
    <w:rsid w:val="006207C0"/>
    <w:rsid w:val="006247BA"/>
    <w:rsid w:val="00624C5C"/>
    <w:rsid w:val="00627E76"/>
    <w:rsid w:val="0063085F"/>
    <w:rsid w:val="006317C0"/>
    <w:rsid w:val="006323A6"/>
    <w:rsid w:val="00632B1F"/>
    <w:rsid w:val="00633336"/>
    <w:rsid w:val="00635541"/>
    <w:rsid w:val="00635A77"/>
    <w:rsid w:val="00635A99"/>
    <w:rsid w:val="00636A86"/>
    <w:rsid w:val="006409FF"/>
    <w:rsid w:val="006437BE"/>
    <w:rsid w:val="00645987"/>
    <w:rsid w:val="00646894"/>
    <w:rsid w:val="0065046E"/>
    <w:rsid w:val="006504EE"/>
    <w:rsid w:val="00650B00"/>
    <w:rsid w:val="006515B1"/>
    <w:rsid w:val="00651811"/>
    <w:rsid w:val="0065259E"/>
    <w:rsid w:val="0065282A"/>
    <w:rsid w:val="00652F48"/>
    <w:rsid w:val="0065305B"/>
    <w:rsid w:val="006536A9"/>
    <w:rsid w:val="006541BC"/>
    <w:rsid w:val="006563BB"/>
    <w:rsid w:val="0065733C"/>
    <w:rsid w:val="00657C61"/>
    <w:rsid w:val="00657CB6"/>
    <w:rsid w:val="00657E00"/>
    <w:rsid w:val="00660628"/>
    <w:rsid w:val="006613A9"/>
    <w:rsid w:val="006625B4"/>
    <w:rsid w:val="006640FE"/>
    <w:rsid w:val="00664DB4"/>
    <w:rsid w:val="006650D3"/>
    <w:rsid w:val="00671255"/>
    <w:rsid w:val="00672BEE"/>
    <w:rsid w:val="00674467"/>
    <w:rsid w:val="0067448D"/>
    <w:rsid w:val="006762E5"/>
    <w:rsid w:val="006764C8"/>
    <w:rsid w:val="0067746B"/>
    <w:rsid w:val="0067772C"/>
    <w:rsid w:val="006777A0"/>
    <w:rsid w:val="00677CD4"/>
    <w:rsid w:val="006813C8"/>
    <w:rsid w:val="00681A3E"/>
    <w:rsid w:val="006820C3"/>
    <w:rsid w:val="00682A07"/>
    <w:rsid w:val="00683B97"/>
    <w:rsid w:val="00683CCF"/>
    <w:rsid w:val="00683DC7"/>
    <w:rsid w:val="00683E06"/>
    <w:rsid w:val="006846ED"/>
    <w:rsid w:val="006850A3"/>
    <w:rsid w:val="0068534C"/>
    <w:rsid w:val="0068568E"/>
    <w:rsid w:val="00685B51"/>
    <w:rsid w:val="00685E07"/>
    <w:rsid w:val="0069068B"/>
    <w:rsid w:val="006931D5"/>
    <w:rsid w:val="00694103"/>
    <w:rsid w:val="006974FC"/>
    <w:rsid w:val="006A0482"/>
    <w:rsid w:val="006A0CE5"/>
    <w:rsid w:val="006A13BF"/>
    <w:rsid w:val="006A2855"/>
    <w:rsid w:val="006A4046"/>
    <w:rsid w:val="006A50B6"/>
    <w:rsid w:val="006A53F6"/>
    <w:rsid w:val="006A5585"/>
    <w:rsid w:val="006B0490"/>
    <w:rsid w:val="006B2AD2"/>
    <w:rsid w:val="006B432F"/>
    <w:rsid w:val="006B7C24"/>
    <w:rsid w:val="006B7CF9"/>
    <w:rsid w:val="006B7D89"/>
    <w:rsid w:val="006C0139"/>
    <w:rsid w:val="006C111C"/>
    <w:rsid w:val="006C1AEE"/>
    <w:rsid w:val="006C27E2"/>
    <w:rsid w:val="006C3927"/>
    <w:rsid w:val="006C51F7"/>
    <w:rsid w:val="006C5261"/>
    <w:rsid w:val="006C6452"/>
    <w:rsid w:val="006C6761"/>
    <w:rsid w:val="006D0368"/>
    <w:rsid w:val="006D2333"/>
    <w:rsid w:val="006D2DEC"/>
    <w:rsid w:val="006D3DBE"/>
    <w:rsid w:val="006D571E"/>
    <w:rsid w:val="006D6CC7"/>
    <w:rsid w:val="006D70CD"/>
    <w:rsid w:val="006D7C85"/>
    <w:rsid w:val="006E1CA2"/>
    <w:rsid w:val="006E2C81"/>
    <w:rsid w:val="006E343F"/>
    <w:rsid w:val="006E42F5"/>
    <w:rsid w:val="006E4AA9"/>
    <w:rsid w:val="006E53D1"/>
    <w:rsid w:val="006E67D0"/>
    <w:rsid w:val="006E6DB3"/>
    <w:rsid w:val="006E7CC1"/>
    <w:rsid w:val="006F0B6B"/>
    <w:rsid w:val="006F1E01"/>
    <w:rsid w:val="006F3973"/>
    <w:rsid w:val="006F469E"/>
    <w:rsid w:val="006F47C8"/>
    <w:rsid w:val="006F4AF5"/>
    <w:rsid w:val="006F51F9"/>
    <w:rsid w:val="006F6071"/>
    <w:rsid w:val="006F715C"/>
    <w:rsid w:val="006F7A23"/>
    <w:rsid w:val="0070010D"/>
    <w:rsid w:val="007004DA"/>
    <w:rsid w:val="00701726"/>
    <w:rsid w:val="007031E2"/>
    <w:rsid w:val="00703733"/>
    <w:rsid w:val="00705385"/>
    <w:rsid w:val="007067A3"/>
    <w:rsid w:val="00711B43"/>
    <w:rsid w:val="007122CC"/>
    <w:rsid w:val="00716799"/>
    <w:rsid w:val="00717340"/>
    <w:rsid w:val="0072229D"/>
    <w:rsid w:val="00725C5A"/>
    <w:rsid w:val="007339FC"/>
    <w:rsid w:val="00733A81"/>
    <w:rsid w:val="0073548A"/>
    <w:rsid w:val="007375CF"/>
    <w:rsid w:val="00737F14"/>
    <w:rsid w:val="00740BD4"/>
    <w:rsid w:val="00741107"/>
    <w:rsid w:val="00742F5B"/>
    <w:rsid w:val="0074328B"/>
    <w:rsid w:val="007461F7"/>
    <w:rsid w:val="0074644C"/>
    <w:rsid w:val="007500A2"/>
    <w:rsid w:val="00751A18"/>
    <w:rsid w:val="0075426C"/>
    <w:rsid w:val="00754B6C"/>
    <w:rsid w:val="00755D52"/>
    <w:rsid w:val="007609DE"/>
    <w:rsid w:val="00760D7B"/>
    <w:rsid w:val="00761CFE"/>
    <w:rsid w:val="00762176"/>
    <w:rsid w:val="0076664B"/>
    <w:rsid w:val="00766D48"/>
    <w:rsid w:val="007712B8"/>
    <w:rsid w:val="00773ADD"/>
    <w:rsid w:val="00774132"/>
    <w:rsid w:val="007742EF"/>
    <w:rsid w:val="00774FA0"/>
    <w:rsid w:val="00777A11"/>
    <w:rsid w:val="00780026"/>
    <w:rsid w:val="0078013B"/>
    <w:rsid w:val="00780E9B"/>
    <w:rsid w:val="00784027"/>
    <w:rsid w:val="007848F3"/>
    <w:rsid w:val="00784C7B"/>
    <w:rsid w:val="007857B4"/>
    <w:rsid w:val="0078623D"/>
    <w:rsid w:val="007864C1"/>
    <w:rsid w:val="00786718"/>
    <w:rsid w:val="00791CE4"/>
    <w:rsid w:val="0079410E"/>
    <w:rsid w:val="00794312"/>
    <w:rsid w:val="0079518B"/>
    <w:rsid w:val="00797D46"/>
    <w:rsid w:val="007A01CC"/>
    <w:rsid w:val="007A0524"/>
    <w:rsid w:val="007A120B"/>
    <w:rsid w:val="007A191F"/>
    <w:rsid w:val="007A20A1"/>
    <w:rsid w:val="007A2365"/>
    <w:rsid w:val="007A2597"/>
    <w:rsid w:val="007A25C9"/>
    <w:rsid w:val="007A2CC5"/>
    <w:rsid w:val="007A2D4A"/>
    <w:rsid w:val="007A32BB"/>
    <w:rsid w:val="007A4679"/>
    <w:rsid w:val="007A4C9D"/>
    <w:rsid w:val="007A5DFF"/>
    <w:rsid w:val="007B0500"/>
    <w:rsid w:val="007B149E"/>
    <w:rsid w:val="007B19B1"/>
    <w:rsid w:val="007B19D9"/>
    <w:rsid w:val="007B1D16"/>
    <w:rsid w:val="007B2DB4"/>
    <w:rsid w:val="007B3B56"/>
    <w:rsid w:val="007B403A"/>
    <w:rsid w:val="007B4213"/>
    <w:rsid w:val="007B4677"/>
    <w:rsid w:val="007B497F"/>
    <w:rsid w:val="007B4ED1"/>
    <w:rsid w:val="007B794B"/>
    <w:rsid w:val="007B7C11"/>
    <w:rsid w:val="007C0DEC"/>
    <w:rsid w:val="007C1ECE"/>
    <w:rsid w:val="007C3820"/>
    <w:rsid w:val="007C4C18"/>
    <w:rsid w:val="007C574F"/>
    <w:rsid w:val="007C613A"/>
    <w:rsid w:val="007D0FA2"/>
    <w:rsid w:val="007D1A32"/>
    <w:rsid w:val="007D3A07"/>
    <w:rsid w:val="007D3FA4"/>
    <w:rsid w:val="007D5153"/>
    <w:rsid w:val="007D620F"/>
    <w:rsid w:val="007E060E"/>
    <w:rsid w:val="007E14BD"/>
    <w:rsid w:val="007E31EA"/>
    <w:rsid w:val="007E3B25"/>
    <w:rsid w:val="007E3B7D"/>
    <w:rsid w:val="007E5A22"/>
    <w:rsid w:val="007E75E3"/>
    <w:rsid w:val="007E7710"/>
    <w:rsid w:val="007F2008"/>
    <w:rsid w:val="007F22AC"/>
    <w:rsid w:val="007F29E1"/>
    <w:rsid w:val="007F42E3"/>
    <w:rsid w:val="007F4388"/>
    <w:rsid w:val="007F4788"/>
    <w:rsid w:val="007F5335"/>
    <w:rsid w:val="007F618A"/>
    <w:rsid w:val="00801104"/>
    <w:rsid w:val="00801432"/>
    <w:rsid w:val="00802290"/>
    <w:rsid w:val="00803305"/>
    <w:rsid w:val="0080375B"/>
    <w:rsid w:val="00803FCC"/>
    <w:rsid w:val="008041F5"/>
    <w:rsid w:val="00804200"/>
    <w:rsid w:val="00804F53"/>
    <w:rsid w:val="0081042F"/>
    <w:rsid w:val="008120AF"/>
    <w:rsid w:val="008125B6"/>
    <w:rsid w:val="00812625"/>
    <w:rsid w:val="00814692"/>
    <w:rsid w:val="00814DBF"/>
    <w:rsid w:val="00815B8A"/>
    <w:rsid w:val="00815D78"/>
    <w:rsid w:val="00817759"/>
    <w:rsid w:val="00817C8F"/>
    <w:rsid w:val="00820982"/>
    <w:rsid w:val="008213C2"/>
    <w:rsid w:val="0082170D"/>
    <w:rsid w:val="0082187A"/>
    <w:rsid w:val="00822223"/>
    <w:rsid w:val="00822802"/>
    <w:rsid w:val="00823434"/>
    <w:rsid w:val="00823B4D"/>
    <w:rsid w:val="00825521"/>
    <w:rsid w:val="0082784E"/>
    <w:rsid w:val="00831989"/>
    <w:rsid w:val="00831EBD"/>
    <w:rsid w:val="00836BE4"/>
    <w:rsid w:val="008378B4"/>
    <w:rsid w:val="00840A1A"/>
    <w:rsid w:val="00840D02"/>
    <w:rsid w:val="00842196"/>
    <w:rsid w:val="008431E0"/>
    <w:rsid w:val="00843A16"/>
    <w:rsid w:val="00844665"/>
    <w:rsid w:val="00845E4B"/>
    <w:rsid w:val="00846735"/>
    <w:rsid w:val="00846837"/>
    <w:rsid w:val="00846E42"/>
    <w:rsid w:val="00850601"/>
    <w:rsid w:val="00850CDE"/>
    <w:rsid w:val="00852698"/>
    <w:rsid w:val="008527C1"/>
    <w:rsid w:val="00852948"/>
    <w:rsid w:val="00853065"/>
    <w:rsid w:val="008535CE"/>
    <w:rsid w:val="00854598"/>
    <w:rsid w:val="00856BDC"/>
    <w:rsid w:val="00857CBA"/>
    <w:rsid w:val="00861C4F"/>
    <w:rsid w:val="00862D0B"/>
    <w:rsid w:val="00863D30"/>
    <w:rsid w:val="008642DF"/>
    <w:rsid w:val="0086434F"/>
    <w:rsid w:val="00864FC3"/>
    <w:rsid w:val="00865AD8"/>
    <w:rsid w:val="00865EE6"/>
    <w:rsid w:val="00866CE0"/>
    <w:rsid w:val="00866FE2"/>
    <w:rsid w:val="008721CC"/>
    <w:rsid w:val="00872226"/>
    <w:rsid w:val="0087239F"/>
    <w:rsid w:val="00872695"/>
    <w:rsid w:val="00872B3E"/>
    <w:rsid w:val="00872B47"/>
    <w:rsid w:val="00872DBA"/>
    <w:rsid w:val="00873208"/>
    <w:rsid w:val="00874730"/>
    <w:rsid w:val="008751CE"/>
    <w:rsid w:val="00875F84"/>
    <w:rsid w:val="00877382"/>
    <w:rsid w:val="008773C3"/>
    <w:rsid w:val="00877623"/>
    <w:rsid w:val="008824EE"/>
    <w:rsid w:val="00882B7E"/>
    <w:rsid w:val="00882D96"/>
    <w:rsid w:val="00883EFA"/>
    <w:rsid w:val="00885A80"/>
    <w:rsid w:val="008867F6"/>
    <w:rsid w:val="00887818"/>
    <w:rsid w:val="00887D70"/>
    <w:rsid w:val="008906FE"/>
    <w:rsid w:val="00892C54"/>
    <w:rsid w:val="00893260"/>
    <w:rsid w:val="008952E6"/>
    <w:rsid w:val="0089533A"/>
    <w:rsid w:val="00896227"/>
    <w:rsid w:val="008A063A"/>
    <w:rsid w:val="008A0CAF"/>
    <w:rsid w:val="008A146D"/>
    <w:rsid w:val="008A32F3"/>
    <w:rsid w:val="008A37E3"/>
    <w:rsid w:val="008A5138"/>
    <w:rsid w:val="008A5294"/>
    <w:rsid w:val="008A5850"/>
    <w:rsid w:val="008A6398"/>
    <w:rsid w:val="008A73CB"/>
    <w:rsid w:val="008A79AF"/>
    <w:rsid w:val="008A7FE6"/>
    <w:rsid w:val="008B02D1"/>
    <w:rsid w:val="008B14A2"/>
    <w:rsid w:val="008B1A8D"/>
    <w:rsid w:val="008B1C28"/>
    <w:rsid w:val="008B31F8"/>
    <w:rsid w:val="008B486E"/>
    <w:rsid w:val="008B4D58"/>
    <w:rsid w:val="008B5267"/>
    <w:rsid w:val="008B7A52"/>
    <w:rsid w:val="008B7F12"/>
    <w:rsid w:val="008C00EC"/>
    <w:rsid w:val="008C0773"/>
    <w:rsid w:val="008C0CE5"/>
    <w:rsid w:val="008C179C"/>
    <w:rsid w:val="008C1F78"/>
    <w:rsid w:val="008C435C"/>
    <w:rsid w:val="008C5ABC"/>
    <w:rsid w:val="008C5C88"/>
    <w:rsid w:val="008C79A0"/>
    <w:rsid w:val="008D095A"/>
    <w:rsid w:val="008D1FCD"/>
    <w:rsid w:val="008D5CE0"/>
    <w:rsid w:val="008D75EB"/>
    <w:rsid w:val="008E080C"/>
    <w:rsid w:val="008E0A3D"/>
    <w:rsid w:val="008E0A75"/>
    <w:rsid w:val="008E0EAF"/>
    <w:rsid w:val="008E0EB8"/>
    <w:rsid w:val="008E1805"/>
    <w:rsid w:val="008E6453"/>
    <w:rsid w:val="008E7270"/>
    <w:rsid w:val="008F2B5D"/>
    <w:rsid w:val="008F36BB"/>
    <w:rsid w:val="008F3B24"/>
    <w:rsid w:val="008F5BCA"/>
    <w:rsid w:val="008F6A8E"/>
    <w:rsid w:val="008F7A52"/>
    <w:rsid w:val="009007E5"/>
    <w:rsid w:val="009027ED"/>
    <w:rsid w:val="009029E1"/>
    <w:rsid w:val="00903409"/>
    <w:rsid w:val="00903846"/>
    <w:rsid w:val="0090525F"/>
    <w:rsid w:val="00905577"/>
    <w:rsid w:val="00907502"/>
    <w:rsid w:val="00911B9C"/>
    <w:rsid w:val="00914FFE"/>
    <w:rsid w:val="00915D0C"/>
    <w:rsid w:val="00917927"/>
    <w:rsid w:val="009201BE"/>
    <w:rsid w:val="00920B05"/>
    <w:rsid w:val="00924453"/>
    <w:rsid w:val="009254FA"/>
    <w:rsid w:val="00925BAC"/>
    <w:rsid w:val="00927A4E"/>
    <w:rsid w:val="00932EB4"/>
    <w:rsid w:val="009340B2"/>
    <w:rsid w:val="00934C7F"/>
    <w:rsid w:val="009369AB"/>
    <w:rsid w:val="00936BC3"/>
    <w:rsid w:val="009374CE"/>
    <w:rsid w:val="00940371"/>
    <w:rsid w:val="00940671"/>
    <w:rsid w:val="0094076F"/>
    <w:rsid w:val="00940ECD"/>
    <w:rsid w:val="00941A6A"/>
    <w:rsid w:val="00941C25"/>
    <w:rsid w:val="00942B42"/>
    <w:rsid w:val="0094326B"/>
    <w:rsid w:val="0094365B"/>
    <w:rsid w:val="00943718"/>
    <w:rsid w:val="0094415E"/>
    <w:rsid w:val="0094416B"/>
    <w:rsid w:val="00944913"/>
    <w:rsid w:val="00945F37"/>
    <w:rsid w:val="00946625"/>
    <w:rsid w:val="0094736E"/>
    <w:rsid w:val="00951733"/>
    <w:rsid w:val="009519FC"/>
    <w:rsid w:val="00952317"/>
    <w:rsid w:val="00953865"/>
    <w:rsid w:val="00953A8D"/>
    <w:rsid w:val="00953C29"/>
    <w:rsid w:val="00954FA9"/>
    <w:rsid w:val="0095692A"/>
    <w:rsid w:val="00957D8E"/>
    <w:rsid w:val="0096040D"/>
    <w:rsid w:val="009606C6"/>
    <w:rsid w:val="00960AA9"/>
    <w:rsid w:val="00960D9D"/>
    <w:rsid w:val="00961238"/>
    <w:rsid w:val="00961811"/>
    <w:rsid w:val="009622C7"/>
    <w:rsid w:val="00963CE3"/>
    <w:rsid w:val="009663D4"/>
    <w:rsid w:val="009706AA"/>
    <w:rsid w:val="00970F6A"/>
    <w:rsid w:val="009712C8"/>
    <w:rsid w:val="0097190C"/>
    <w:rsid w:val="00973AA9"/>
    <w:rsid w:val="00974EBB"/>
    <w:rsid w:val="0097562C"/>
    <w:rsid w:val="009765DD"/>
    <w:rsid w:val="009775E7"/>
    <w:rsid w:val="00977F0B"/>
    <w:rsid w:val="0098097B"/>
    <w:rsid w:val="00981375"/>
    <w:rsid w:val="00981906"/>
    <w:rsid w:val="00982E10"/>
    <w:rsid w:val="00983391"/>
    <w:rsid w:val="009846FC"/>
    <w:rsid w:val="00985129"/>
    <w:rsid w:val="00985BC6"/>
    <w:rsid w:val="00990CCF"/>
    <w:rsid w:val="009918D7"/>
    <w:rsid w:val="009919C7"/>
    <w:rsid w:val="009932CC"/>
    <w:rsid w:val="0099432E"/>
    <w:rsid w:val="0099453D"/>
    <w:rsid w:val="009951C5"/>
    <w:rsid w:val="0099543A"/>
    <w:rsid w:val="00996D23"/>
    <w:rsid w:val="00997A92"/>
    <w:rsid w:val="009A0A11"/>
    <w:rsid w:val="009A1504"/>
    <w:rsid w:val="009A1864"/>
    <w:rsid w:val="009A1C69"/>
    <w:rsid w:val="009A28D5"/>
    <w:rsid w:val="009A3393"/>
    <w:rsid w:val="009A43A3"/>
    <w:rsid w:val="009A5FEB"/>
    <w:rsid w:val="009A7683"/>
    <w:rsid w:val="009A7A34"/>
    <w:rsid w:val="009B0288"/>
    <w:rsid w:val="009B077D"/>
    <w:rsid w:val="009B0D53"/>
    <w:rsid w:val="009B0FA0"/>
    <w:rsid w:val="009B21BB"/>
    <w:rsid w:val="009B5599"/>
    <w:rsid w:val="009B5BD8"/>
    <w:rsid w:val="009B6B4F"/>
    <w:rsid w:val="009B786F"/>
    <w:rsid w:val="009C0FD7"/>
    <w:rsid w:val="009C1323"/>
    <w:rsid w:val="009C3C8C"/>
    <w:rsid w:val="009C4B4C"/>
    <w:rsid w:val="009C4C54"/>
    <w:rsid w:val="009C4FD2"/>
    <w:rsid w:val="009C688F"/>
    <w:rsid w:val="009C7161"/>
    <w:rsid w:val="009C76C1"/>
    <w:rsid w:val="009D05EC"/>
    <w:rsid w:val="009D11D6"/>
    <w:rsid w:val="009D1AF8"/>
    <w:rsid w:val="009D3AF6"/>
    <w:rsid w:val="009D3F08"/>
    <w:rsid w:val="009D4019"/>
    <w:rsid w:val="009D628C"/>
    <w:rsid w:val="009E11BA"/>
    <w:rsid w:val="009E141B"/>
    <w:rsid w:val="009E2656"/>
    <w:rsid w:val="009E2D6C"/>
    <w:rsid w:val="009E3EF0"/>
    <w:rsid w:val="009E4C23"/>
    <w:rsid w:val="009E660D"/>
    <w:rsid w:val="009F10B9"/>
    <w:rsid w:val="009F50D8"/>
    <w:rsid w:val="009F7E80"/>
    <w:rsid w:val="00A01FC8"/>
    <w:rsid w:val="00A0210B"/>
    <w:rsid w:val="00A03535"/>
    <w:rsid w:val="00A045A2"/>
    <w:rsid w:val="00A04B6D"/>
    <w:rsid w:val="00A06900"/>
    <w:rsid w:val="00A06DD7"/>
    <w:rsid w:val="00A07B47"/>
    <w:rsid w:val="00A12BCC"/>
    <w:rsid w:val="00A14318"/>
    <w:rsid w:val="00A14F4E"/>
    <w:rsid w:val="00A167FB"/>
    <w:rsid w:val="00A174F5"/>
    <w:rsid w:val="00A20E1D"/>
    <w:rsid w:val="00A21641"/>
    <w:rsid w:val="00A21FB6"/>
    <w:rsid w:val="00A241E3"/>
    <w:rsid w:val="00A27F6B"/>
    <w:rsid w:val="00A32095"/>
    <w:rsid w:val="00A32C7A"/>
    <w:rsid w:val="00A32E70"/>
    <w:rsid w:val="00A33E33"/>
    <w:rsid w:val="00A34D08"/>
    <w:rsid w:val="00A43557"/>
    <w:rsid w:val="00A44D85"/>
    <w:rsid w:val="00A45025"/>
    <w:rsid w:val="00A45844"/>
    <w:rsid w:val="00A4614E"/>
    <w:rsid w:val="00A46F96"/>
    <w:rsid w:val="00A51077"/>
    <w:rsid w:val="00A51224"/>
    <w:rsid w:val="00A53A6B"/>
    <w:rsid w:val="00A5433B"/>
    <w:rsid w:val="00A54C60"/>
    <w:rsid w:val="00A54E1A"/>
    <w:rsid w:val="00A55441"/>
    <w:rsid w:val="00A56A48"/>
    <w:rsid w:val="00A56DEC"/>
    <w:rsid w:val="00A57585"/>
    <w:rsid w:val="00A57987"/>
    <w:rsid w:val="00A60B48"/>
    <w:rsid w:val="00A60DE4"/>
    <w:rsid w:val="00A612FF"/>
    <w:rsid w:val="00A614D0"/>
    <w:rsid w:val="00A62BFB"/>
    <w:rsid w:val="00A6462A"/>
    <w:rsid w:val="00A65FDE"/>
    <w:rsid w:val="00A6602B"/>
    <w:rsid w:val="00A66E8A"/>
    <w:rsid w:val="00A71943"/>
    <w:rsid w:val="00A72572"/>
    <w:rsid w:val="00A730EF"/>
    <w:rsid w:val="00A7361D"/>
    <w:rsid w:val="00A7456C"/>
    <w:rsid w:val="00A7476F"/>
    <w:rsid w:val="00A75588"/>
    <w:rsid w:val="00A75FF3"/>
    <w:rsid w:val="00A772B5"/>
    <w:rsid w:val="00A778FF"/>
    <w:rsid w:val="00A77D5D"/>
    <w:rsid w:val="00A80635"/>
    <w:rsid w:val="00A82118"/>
    <w:rsid w:val="00A82EA9"/>
    <w:rsid w:val="00A85B1A"/>
    <w:rsid w:val="00A87BD4"/>
    <w:rsid w:val="00A91E7F"/>
    <w:rsid w:val="00A95C14"/>
    <w:rsid w:val="00A95FAA"/>
    <w:rsid w:val="00A9666F"/>
    <w:rsid w:val="00A9729F"/>
    <w:rsid w:val="00A97BA6"/>
    <w:rsid w:val="00A97C92"/>
    <w:rsid w:val="00AA029E"/>
    <w:rsid w:val="00AA0797"/>
    <w:rsid w:val="00AA2F4F"/>
    <w:rsid w:val="00AA4BFF"/>
    <w:rsid w:val="00AB0069"/>
    <w:rsid w:val="00AB155A"/>
    <w:rsid w:val="00AB18A3"/>
    <w:rsid w:val="00AB24E1"/>
    <w:rsid w:val="00AB2AB3"/>
    <w:rsid w:val="00AB3D71"/>
    <w:rsid w:val="00AB4CC8"/>
    <w:rsid w:val="00AB6EAC"/>
    <w:rsid w:val="00AB7C07"/>
    <w:rsid w:val="00AC07A4"/>
    <w:rsid w:val="00AC0956"/>
    <w:rsid w:val="00AC1A59"/>
    <w:rsid w:val="00AC271E"/>
    <w:rsid w:val="00AC37C5"/>
    <w:rsid w:val="00AC67A5"/>
    <w:rsid w:val="00AC6D82"/>
    <w:rsid w:val="00AD0EF9"/>
    <w:rsid w:val="00AD1F3F"/>
    <w:rsid w:val="00AD2944"/>
    <w:rsid w:val="00AD35EF"/>
    <w:rsid w:val="00AD4A4D"/>
    <w:rsid w:val="00AD57B1"/>
    <w:rsid w:val="00AD612A"/>
    <w:rsid w:val="00AD7A2D"/>
    <w:rsid w:val="00AE2F42"/>
    <w:rsid w:val="00AE33A9"/>
    <w:rsid w:val="00AE4335"/>
    <w:rsid w:val="00AE4666"/>
    <w:rsid w:val="00AE48EA"/>
    <w:rsid w:val="00AE5255"/>
    <w:rsid w:val="00AE7661"/>
    <w:rsid w:val="00AF0A50"/>
    <w:rsid w:val="00AF0C56"/>
    <w:rsid w:val="00AF140A"/>
    <w:rsid w:val="00AF1F7E"/>
    <w:rsid w:val="00AF2CDB"/>
    <w:rsid w:val="00AF4251"/>
    <w:rsid w:val="00AF4AEB"/>
    <w:rsid w:val="00AF539D"/>
    <w:rsid w:val="00AF59B9"/>
    <w:rsid w:val="00AF5A5E"/>
    <w:rsid w:val="00AF7241"/>
    <w:rsid w:val="00AF7DA3"/>
    <w:rsid w:val="00B001E4"/>
    <w:rsid w:val="00B0153A"/>
    <w:rsid w:val="00B0169A"/>
    <w:rsid w:val="00B02913"/>
    <w:rsid w:val="00B03CE1"/>
    <w:rsid w:val="00B045F0"/>
    <w:rsid w:val="00B04889"/>
    <w:rsid w:val="00B04DC4"/>
    <w:rsid w:val="00B05049"/>
    <w:rsid w:val="00B05CA8"/>
    <w:rsid w:val="00B06013"/>
    <w:rsid w:val="00B06CAC"/>
    <w:rsid w:val="00B07049"/>
    <w:rsid w:val="00B11ACF"/>
    <w:rsid w:val="00B11EC2"/>
    <w:rsid w:val="00B13099"/>
    <w:rsid w:val="00B1380A"/>
    <w:rsid w:val="00B13902"/>
    <w:rsid w:val="00B13FA7"/>
    <w:rsid w:val="00B14244"/>
    <w:rsid w:val="00B1506B"/>
    <w:rsid w:val="00B15D62"/>
    <w:rsid w:val="00B21B51"/>
    <w:rsid w:val="00B229E8"/>
    <w:rsid w:val="00B238AA"/>
    <w:rsid w:val="00B24B2E"/>
    <w:rsid w:val="00B24DB2"/>
    <w:rsid w:val="00B251E2"/>
    <w:rsid w:val="00B25570"/>
    <w:rsid w:val="00B2579E"/>
    <w:rsid w:val="00B25DA5"/>
    <w:rsid w:val="00B260DF"/>
    <w:rsid w:val="00B30977"/>
    <w:rsid w:val="00B31183"/>
    <w:rsid w:val="00B31660"/>
    <w:rsid w:val="00B3394C"/>
    <w:rsid w:val="00B33AC0"/>
    <w:rsid w:val="00B34081"/>
    <w:rsid w:val="00B35386"/>
    <w:rsid w:val="00B356C3"/>
    <w:rsid w:val="00B35BF4"/>
    <w:rsid w:val="00B362C6"/>
    <w:rsid w:val="00B36A3C"/>
    <w:rsid w:val="00B379C0"/>
    <w:rsid w:val="00B37E3B"/>
    <w:rsid w:val="00B4089D"/>
    <w:rsid w:val="00B40BE8"/>
    <w:rsid w:val="00B41994"/>
    <w:rsid w:val="00B42655"/>
    <w:rsid w:val="00B432DE"/>
    <w:rsid w:val="00B4450F"/>
    <w:rsid w:val="00B44BDA"/>
    <w:rsid w:val="00B4503B"/>
    <w:rsid w:val="00B453F2"/>
    <w:rsid w:val="00B462E6"/>
    <w:rsid w:val="00B46DDB"/>
    <w:rsid w:val="00B46EBD"/>
    <w:rsid w:val="00B51489"/>
    <w:rsid w:val="00B5163B"/>
    <w:rsid w:val="00B51651"/>
    <w:rsid w:val="00B525EE"/>
    <w:rsid w:val="00B52754"/>
    <w:rsid w:val="00B55021"/>
    <w:rsid w:val="00B562C4"/>
    <w:rsid w:val="00B56BEB"/>
    <w:rsid w:val="00B571D5"/>
    <w:rsid w:val="00B57273"/>
    <w:rsid w:val="00B6012E"/>
    <w:rsid w:val="00B61037"/>
    <w:rsid w:val="00B6112C"/>
    <w:rsid w:val="00B61C6C"/>
    <w:rsid w:val="00B622C2"/>
    <w:rsid w:val="00B622E7"/>
    <w:rsid w:val="00B62B99"/>
    <w:rsid w:val="00B62C96"/>
    <w:rsid w:val="00B6380C"/>
    <w:rsid w:val="00B63F64"/>
    <w:rsid w:val="00B641A3"/>
    <w:rsid w:val="00B647BA"/>
    <w:rsid w:val="00B6545B"/>
    <w:rsid w:val="00B6556C"/>
    <w:rsid w:val="00B6734D"/>
    <w:rsid w:val="00B67AA9"/>
    <w:rsid w:val="00B72B76"/>
    <w:rsid w:val="00B72F4B"/>
    <w:rsid w:val="00B73DAC"/>
    <w:rsid w:val="00B744B2"/>
    <w:rsid w:val="00B7597A"/>
    <w:rsid w:val="00B75E8C"/>
    <w:rsid w:val="00B7603F"/>
    <w:rsid w:val="00B76E5E"/>
    <w:rsid w:val="00B77EF4"/>
    <w:rsid w:val="00B815E2"/>
    <w:rsid w:val="00B818CF"/>
    <w:rsid w:val="00B82865"/>
    <w:rsid w:val="00B846D4"/>
    <w:rsid w:val="00B849A6"/>
    <w:rsid w:val="00B84A71"/>
    <w:rsid w:val="00B8544D"/>
    <w:rsid w:val="00B85887"/>
    <w:rsid w:val="00B871A9"/>
    <w:rsid w:val="00B874EA"/>
    <w:rsid w:val="00B878CE"/>
    <w:rsid w:val="00B87B22"/>
    <w:rsid w:val="00B87F9C"/>
    <w:rsid w:val="00B906FF"/>
    <w:rsid w:val="00B9211C"/>
    <w:rsid w:val="00B92EEC"/>
    <w:rsid w:val="00B9430E"/>
    <w:rsid w:val="00B950A5"/>
    <w:rsid w:val="00B95C83"/>
    <w:rsid w:val="00B967D8"/>
    <w:rsid w:val="00B97541"/>
    <w:rsid w:val="00B97E80"/>
    <w:rsid w:val="00BA1CA0"/>
    <w:rsid w:val="00BA3990"/>
    <w:rsid w:val="00BA3F06"/>
    <w:rsid w:val="00BA455A"/>
    <w:rsid w:val="00BA5528"/>
    <w:rsid w:val="00BA688E"/>
    <w:rsid w:val="00BB0742"/>
    <w:rsid w:val="00BB0D7F"/>
    <w:rsid w:val="00BB1B0D"/>
    <w:rsid w:val="00BB1DFD"/>
    <w:rsid w:val="00BB6818"/>
    <w:rsid w:val="00BB7BC3"/>
    <w:rsid w:val="00BC013C"/>
    <w:rsid w:val="00BC0541"/>
    <w:rsid w:val="00BC0C96"/>
    <w:rsid w:val="00BC2A94"/>
    <w:rsid w:val="00BC328D"/>
    <w:rsid w:val="00BC36DE"/>
    <w:rsid w:val="00BC395B"/>
    <w:rsid w:val="00BC3F67"/>
    <w:rsid w:val="00BC45BA"/>
    <w:rsid w:val="00BC5F4E"/>
    <w:rsid w:val="00BC5FDE"/>
    <w:rsid w:val="00BC7297"/>
    <w:rsid w:val="00BC72EA"/>
    <w:rsid w:val="00BD0240"/>
    <w:rsid w:val="00BD0822"/>
    <w:rsid w:val="00BD1E79"/>
    <w:rsid w:val="00BD2C19"/>
    <w:rsid w:val="00BD5E01"/>
    <w:rsid w:val="00BD5F92"/>
    <w:rsid w:val="00BD799F"/>
    <w:rsid w:val="00BD7F7B"/>
    <w:rsid w:val="00BE0125"/>
    <w:rsid w:val="00BE0A98"/>
    <w:rsid w:val="00BE13D4"/>
    <w:rsid w:val="00BE1867"/>
    <w:rsid w:val="00BE2E34"/>
    <w:rsid w:val="00BE5FB6"/>
    <w:rsid w:val="00BE79DB"/>
    <w:rsid w:val="00BF11D7"/>
    <w:rsid w:val="00BF3944"/>
    <w:rsid w:val="00BF467C"/>
    <w:rsid w:val="00BF59B0"/>
    <w:rsid w:val="00BF7D62"/>
    <w:rsid w:val="00C007A6"/>
    <w:rsid w:val="00C0130E"/>
    <w:rsid w:val="00C01949"/>
    <w:rsid w:val="00C0272E"/>
    <w:rsid w:val="00C02B41"/>
    <w:rsid w:val="00C047E5"/>
    <w:rsid w:val="00C04D36"/>
    <w:rsid w:val="00C04DB4"/>
    <w:rsid w:val="00C05EB3"/>
    <w:rsid w:val="00C06FCE"/>
    <w:rsid w:val="00C07C03"/>
    <w:rsid w:val="00C10747"/>
    <w:rsid w:val="00C10EB5"/>
    <w:rsid w:val="00C12025"/>
    <w:rsid w:val="00C133C8"/>
    <w:rsid w:val="00C142C8"/>
    <w:rsid w:val="00C1447E"/>
    <w:rsid w:val="00C1589C"/>
    <w:rsid w:val="00C15F7E"/>
    <w:rsid w:val="00C21159"/>
    <w:rsid w:val="00C21650"/>
    <w:rsid w:val="00C265C0"/>
    <w:rsid w:val="00C2722E"/>
    <w:rsid w:val="00C27482"/>
    <w:rsid w:val="00C27872"/>
    <w:rsid w:val="00C30595"/>
    <w:rsid w:val="00C30AAD"/>
    <w:rsid w:val="00C30BDE"/>
    <w:rsid w:val="00C311B3"/>
    <w:rsid w:val="00C3196E"/>
    <w:rsid w:val="00C31BFE"/>
    <w:rsid w:val="00C33D9D"/>
    <w:rsid w:val="00C35637"/>
    <w:rsid w:val="00C3576B"/>
    <w:rsid w:val="00C36AC4"/>
    <w:rsid w:val="00C418FA"/>
    <w:rsid w:val="00C44424"/>
    <w:rsid w:val="00C44FA7"/>
    <w:rsid w:val="00C472A4"/>
    <w:rsid w:val="00C5163E"/>
    <w:rsid w:val="00C537EB"/>
    <w:rsid w:val="00C61A21"/>
    <w:rsid w:val="00C62EDF"/>
    <w:rsid w:val="00C630B4"/>
    <w:rsid w:val="00C654F4"/>
    <w:rsid w:val="00C66654"/>
    <w:rsid w:val="00C67023"/>
    <w:rsid w:val="00C706EC"/>
    <w:rsid w:val="00C7185F"/>
    <w:rsid w:val="00C71F95"/>
    <w:rsid w:val="00C72164"/>
    <w:rsid w:val="00C72C64"/>
    <w:rsid w:val="00C73585"/>
    <w:rsid w:val="00C73C0D"/>
    <w:rsid w:val="00C7436B"/>
    <w:rsid w:val="00C7586A"/>
    <w:rsid w:val="00C76480"/>
    <w:rsid w:val="00C76A37"/>
    <w:rsid w:val="00C77547"/>
    <w:rsid w:val="00C778E6"/>
    <w:rsid w:val="00C815D3"/>
    <w:rsid w:val="00C81B64"/>
    <w:rsid w:val="00C81E07"/>
    <w:rsid w:val="00C8229B"/>
    <w:rsid w:val="00C8388D"/>
    <w:rsid w:val="00C839A9"/>
    <w:rsid w:val="00C83FB4"/>
    <w:rsid w:val="00C849C6"/>
    <w:rsid w:val="00C85D6A"/>
    <w:rsid w:val="00C86D42"/>
    <w:rsid w:val="00C87066"/>
    <w:rsid w:val="00C874E9"/>
    <w:rsid w:val="00C9040A"/>
    <w:rsid w:val="00C90AFC"/>
    <w:rsid w:val="00C9360E"/>
    <w:rsid w:val="00C94693"/>
    <w:rsid w:val="00C94898"/>
    <w:rsid w:val="00CA2D32"/>
    <w:rsid w:val="00CA3FE6"/>
    <w:rsid w:val="00CA6414"/>
    <w:rsid w:val="00CA70A4"/>
    <w:rsid w:val="00CA74DC"/>
    <w:rsid w:val="00CB29A2"/>
    <w:rsid w:val="00CB2AB7"/>
    <w:rsid w:val="00CB2B1C"/>
    <w:rsid w:val="00CB6A1F"/>
    <w:rsid w:val="00CC0083"/>
    <w:rsid w:val="00CC27F3"/>
    <w:rsid w:val="00CC3194"/>
    <w:rsid w:val="00CC3562"/>
    <w:rsid w:val="00CC3656"/>
    <w:rsid w:val="00CC4D63"/>
    <w:rsid w:val="00CC5E5B"/>
    <w:rsid w:val="00CC61A5"/>
    <w:rsid w:val="00CC772A"/>
    <w:rsid w:val="00CC7E08"/>
    <w:rsid w:val="00CD14DB"/>
    <w:rsid w:val="00CD2C15"/>
    <w:rsid w:val="00CD4F8F"/>
    <w:rsid w:val="00CD6D72"/>
    <w:rsid w:val="00CD7B93"/>
    <w:rsid w:val="00CE0348"/>
    <w:rsid w:val="00CE2E0F"/>
    <w:rsid w:val="00CE543B"/>
    <w:rsid w:val="00CE546B"/>
    <w:rsid w:val="00CE5728"/>
    <w:rsid w:val="00CE5FE4"/>
    <w:rsid w:val="00CE6283"/>
    <w:rsid w:val="00CE67AA"/>
    <w:rsid w:val="00CE6F33"/>
    <w:rsid w:val="00CE73B5"/>
    <w:rsid w:val="00CE746C"/>
    <w:rsid w:val="00CE791D"/>
    <w:rsid w:val="00CE79D7"/>
    <w:rsid w:val="00CE7CE3"/>
    <w:rsid w:val="00CF1C7E"/>
    <w:rsid w:val="00CF2071"/>
    <w:rsid w:val="00CF244E"/>
    <w:rsid w:val="00CF278D"/>
    <w:rsid w:val="00CF2FE9"/>
    <w:rsid w:val="00CF37C7"/>
    <w:rsid w:val="00CF3CF8"/>
    <w:rsid w:val="00CF474D"/>
    <w:rsid w:val="00CF5A64"/>
    <w:rsid w:val="00CF6622"/>
    <w:rsid w:val="00CF749A"/>
    <w:rsid w:val="00D00586"/>
    <w:rsid w:val="00D0089A"/>
    <w:rsid w:val="00D014C7"/>
    <w:rsid w:val="00D01548"/>
    <w:rsid w:val="00D03639"/>
    <w:rsid w:val="00D04084"/>
    <w:rsid w:val="00D04D5F"/>
    <w:rsid w:val="00D04DD6"/>
    <w:rsid w:val="00D04DFA"/>
    <w:rsid w:val="00D0597F"/>
    <w:rsid w:val="00D05F35"/>
    <w:rsid w:val="00D06393"/>
    <w:rsid w:val="00D06E5E"/>
    <w:rsid w:val="00D06F79"/>
    <w:rsid w:val="00D10597"/>
    <w:rsid w:val="00D10EFE"/>
    <w:rsid w:val="00D120A3"/>
    <w:rsid w:val="00D13288"/>
    <w:rsid w:val="00D13AF8"/>
    <w:rsid w:val="00D1584B"/>
    <w:rsid w:val="00D20601"/>
    <w:rsid w:val="00D2077A"/>
    <w:rsid w:val="00D219E9"/>
    <w:rsid w:val="00D2205B"/>
    <w:rsid w:val="00D23418"/>
    <w:rsid w:val="00D23A1A"/>
    <w:rsid w:val="00D24606"/>
    <w:rsid w:val="00D2620A"/>
    <w:rsid w:val="00D3056A"/>
    <w:rsid w:val="00D3064D"/>
    <w:rsid w:val="00D30AED"/>
    <w:rsid w:val="00D30F84"/>
    <w:rsid w:val="00D31091"/>
    <w:rsid w:val="00D33CFE"/>
    <w:rsid w:val="00D33DDE"/>
    <w:rsid w:val="00D34DA4"/>
    <w:rsid w:val="00D35C1D"/>
    <w:rsid w:val="00D3752F"/>
    <w:rsid w:val="00D40DDE"/>
    <w:rsid w:val="00D42D78"/>
    <w:rsid w:val="00D43970"/>
    <w:rsid w:val="00D43CA5"/>
    <w:rsid w:val="00D44769"/>
    <w:rsid w:val="00D44CA5"/>
    <w:rsid w:val="00D46E12"/>
    <w:rsid w:val="00D50734"/>
    <w:rsid w:val="00D507C0"/>
    <w:rsid w:val="00D513CC"/>
    <w:rsid w:val="00D5172A"/>
    <w:rsid w:val="00D56435"/>
    <w:rsid w:val="00D57DF2"/>
    <w:rsid w:val="00D61376"/>
    <w:rsid w:val="00D62755"/>
    <w:rsid w:val="00D62AA4"/>
    <w:rsid w:val="00D6318F"/>
    <w:rsid w:val="00D650BB"/>
    <w:rsid w:val="00D6517F"/>
    <w:rsid w:val="00D6540A"/>
    <w:rsid w:val="00D66652"/>
    <w:rsid w:val="00D674AF"/>
    <w:rsid w:val="00D70107"/>
    <w:rsid w:val="00D70438"/>
    <w:rsid w:val="00D717AD"/>
    <w:rsid w:val="00D720AD"/>
    <w:rsid w:val="00D72D1D"/>
    <w:rsid w:val="00D74A18"/>
    <w:rsid w:val="00D74D3E"/>
    <w:rsid w:val="00D7527F"/>
    <w:rsid w:val="00D757C6"/>
    <w:rsid w:val="00D75C41"/>
    <w:rsid w:val="00D80529"/>
    <w:rsid w:val="00D80F78"/>
    <w:rsid w:val="00D81AC3"/>
    <w:rsid w:val="00D81C59"/>
    <w:rsid w:val="00D82A5B"/>
    <w:rsid w:val="00D84637"/>
    <w:rsid w:val="00D8473B"/>
    <w:rsid w:val="00D85780"/>
    <w:rsid w:val="00D85EF5"/>
    <w:rsid w:val="00D91B8F"/>
    <w:rsid w:val="00D925AA"/>
    <w:rsid w:val="00D9283D"/>
    <w:rsid w:val="00D930DD"/>
    <w:rsid w:val="00D9341C"/>
    <w:rsid w:val="00D94874"/>
    <w:rsid w:val="00D94B7D"/>
    <w:rsid w:val="00D96BF1"/>
    <w:rsid w:val="00DA0B1A"/>
    <w:rsid w:val="00DA1560"/>
    <w:rsid w:val="00DA20C5"/>
    <w:rsid w:val="00DA2153"/>
    <w:rsid w:val="00DA3176"/>
    <w:rsid w:val="00DA4C44"/>
    <w:rsid w:val="00DA4C48"/>
    <w:rsid w:val="00DA4E21"/>
    <w:rsid w:val="00DA552E"/>
    <w:rsid w:val="00DA71EF"/>
    <w:rsid w:val="00DA761D"/>
    <w:rsid w:val="00DA7A18"/>
    <w:rsid w:val="00DB1347"/>
    <w:rsid w:val="00DB28CE"/>
    <w:rsid w:val="00DB29BC"/>
    <w:rsid w:val="00DB2A2A"/>
    <w:rsid w:val="00DB3DCC"/>
    <w:rsid w:val="00DB479F"/>
    <w:rsid w:val="00DB55B6"/>
    <w:rsid w:val="00DB5EA7"/>
    <w:rsid w:val="00DB5F21"/>
    <w:rsid w:val="00DB677A"/>
    <w:rsid w:val="00DB6D7C"/>
    <w:rsid w:val="00DB7183"/>
    <w:rsid w:val="00DC090A"/>
    <w:rsid w:val="00DC09CC"/>
    <w:rsid w:val="00DC0E7E"/>
    <w:rsid w:val="00DC1DB5"/>
    <w:rsid w:val="00DC2D72"/>
    <w:rsid w:val="00DC30EA"/>
    <w:rsid w:val="00DC4FE9"/>
    <w:rsid w:val="00DC5918"/>
    <w:rsid w:val="00DC6C8D"/>
    <w:rsid w:val="00DC73A5"/>
    <w:rsid w:val="00DD0236"/>
    <w:rsid w:val="00DD1922"/>
    <w:rsid w:val="00DD4100"/>
    <w:rsid w:val="00DD6214"/>
    <w:rsid w:val="00DD76A4"/>
    <w:rsid w:val="00DD7C65"/>
    <w:rsid w:val="00DE03E4"/>
    <w:rsid w:val="00DE1134"/>
    <w:rsid w:val="00DE1AEB"/>
    <w:rsid w:val="00DE2247"/>
    <w:rsid w:val="00DE2A34"/>
    <w:rsid w:val="00DE3556"/>
    <w:rsid w:val="00DE37AE"/>
    <w:rsid w:val="00DE4732"/>
    <w:rsid w:val="00DE6668"/>
    <w:rsid w:val="00DE6987"/>
    <w:rsid w:val="00DE7339"/>
    <w:rsid w:val="00DF1246"/>
    <w:rsid w:val="00DF20BB"/>
    <w:rsid w:val="00DF2103"/>
    <w:rsid w:val="00DF24E0"/>
    <w:rsid w:val="00DF2E5E"/>
    <w:rsid w:val="00DF30C0"/>
    <w:rsid w:val="00DF4971"/>
    <w:rsid w:val="00DF6C24"/>
    <w:rsid w:val="00DF7C1E"/>
    <w:rsid w:val="00E0080A"/>
    <w:rsid w:val="00E00F31"/>
    <w:rsid w:val="00E02242"/>
    <w:rsid w:val="00E02AF8"/>
    <w:rsid w:val="00E0300E"/>
    <w:rsid w:val="00E04783"/>
    <w:rsid w:val="00E04AE0"/>
    <w:rsid w:val="00E04C83"/>
    <w:rsid w:val="00E062F0"/>
    <w:rsid w:val="00E070D0"/>
    <w:rsid w:val="00E11517"/>
    <w:rsid w:val="00E1231D"/>
    <w:rsid w:val="00E12834"/>
    <w:rsid w:val="00E13727"/>
    <w:rsid w:val="00E15630"/>
    <w:rsid w:val="00E16823"/>
    <w:rsid w:val="00E1708E"/>
    <w:rsid w:val="00E17AB3"/>
    <w:rsid w:val="00E20254"/>
    <w:rsid w:val="00E209F0"/>
    <w:rsid w:val="00E219EB"/>
    <w:rsid w:val="00E22C13"/>
    <w:rsid w:val="00E23129"/>
    <w:rsid w:val="00E23492"/>
    <w:rsid w:val="00E24C23"/>
    <w:rsid w:val="00E25045"/>
    <w:rsid w:val="00E2677C"/>
    <w:rsid w:val="00E26D83"/>
    <w:rsid w:val="00E271CD"/>
    <w:rsid w:val="00E27A1E"/>
    <w:rsid w:val="00E303B4"/>
    <w:rsid w:val="00E306E9"/>
    <w:rsid w:val="00E307DC"/>
    <w:rsid w:val="00E323CF"/>
    <w:rsid w:val="00E334B9"/>
    <w:rsid w:val="00E33905"/>
    <w:rsid w:val="00E342D1"/>
    <w:rsid w:val="00E34B96"/>
    <w:rsid w:val="00E35F7D"/>
    <w:rsid w:val="00E3738D"/>
    <w:rsid w:val="00E37502"/>
    <w:rsid w:val="00E40127"/>
    <w:rsid w:val="00E43074"/>
    <w:rsid w:val="00E431C8"/>
    <w:rsid w:val="00E44926"/>
    <w:rsid w:val="00E44E09"/>
    <w:rsid w:val="00E45D53"/>
    <w:rsid w:val="00E46514"/>
    <w:rsid w:val="00E46541"/>
    <w:rsid w:val="00E46DBD"/>
    <w:rsid w:val="00E51708"/>
    <w:rsid w:val="00E51729"/>
    <w:rsid w:val="00E51D0A"/>
    <w:rsid w:val="00E53139"/>
    <w:rsid w:val="00E53A8F"/>
    <w:rsid w:val="00E5435E"/>
    <w:rsid w:val="00E55A81"/>
    <w:rsid w:val="00E55D6F"/>
    <w:rsid w:val="00E56450"/>
    <w:rsid w:val="00E56DA8"/>
    <w:rsid w:val="00E60ACC"/>
    <w:rsid w:val="00E60C4B"/>
    <w:rsid w:val="00E60E21"/>
    <w:rsid w:val="00E6570E"/>
    <w:rsid w:val="00E66638"/>
    <w:rsid w:val="00E6706E"/>
    <w:rsid w:val="00E71FDD"/>
    <w:rsid w:val="00E7211D"/>
    <w:rsid w:val="00E754C2"/>
    <w:rsid w:val="00E7567E"/>
    <w:rsid w:val="00E757CA"/>
    <w:rsid w:val="00E75D48"/>
    <w:rsid w:val="00E76750"/>
    <w:rsid w:val="00E773CD"/>
    <w:rsid w:val="00E774C9"/>
    <w:rsid w:val="00E77D0C"/>
    <w:rsid w:val="00E80964"/>
    <w:rsid w:val="00E8309D"/>
    <w:rsid w:val="00E83D43"/>
    <w:rsid w:val="00E84159"/>
    <w:rsid w:val="00E841A6"/>
    <w:rsid w:val="00E84BCB"/>
    <w:rsid w:val="00E85905"/>
    <w:rsid w:val="00E85D20"/>
    <w:rsid w:val="00E87C0D"/>
    <w:rsid w:val="00E90DC4"/>
    <w:rsid w:val="00E9163F"/>
    <w:rsid w:val="00E91CB7"/>
    <w:rsid w:val="00E955B0"/>
    <w:rsid w:val="00E956E8"/>
    <w:rsid w:val="00EA022D"/>
    <w:rsid w:val="00EA0D10"/>
    <w:rsid w:val="00EA0F2C"/>
    <w:rsid w:val="00EA19CB"/>
    <w:rsid w:val="00EA2C8F"/>
    <w:rsid w:val="00EA345E"/>
    <w:rsid w:val="00EA3741"/>
    <w:rsid w:val="00EA5045"/>
    <w:rsid w:val="00EA5D64"/>
    <w:rsid w:val="00EA613A"/>
    <w:rsid w:val="00EA6A8C"/>
    <w:rsid w:val="00EA72B2"/>
    <w:rsid w:val="00EB2AD1"/>
    <w:rsid w:val="00EB2F9F"/>
    <w:rsid w:val="00EB3067"/>
    <w:rsid w:val="00EB353E"/>
    <w:rsid w:val="00EB3AA1"/>
    <w:rsid w:val="00EB56E0"/>
    <w:rsid w:val="00EB5DDF"/>
    <w:rsid w:val="00EB6390"/>
    <w:rsid w:val="00EB6E66"/>
    <w:rsid w:val="00EC0129"/>
    <w:rsid w:val="00EC3156"/>
    <w:rsid w:val="00EC3CEC"/>
    <w:rsid w:val="00EC4625"/>
    <w:rsid w:val="00ED139E"/>
    <w:rsid w:val="00ED1759"/>
    <w:rsid w:val="00ED2003"/>
    <w:rsid w:val="00ED27A5"/>
    <w:rsid w:val="00ED3ECB"/>
    <w:rsid w:val="00ED445D"/>
    <w:rsid w:val="00ED461C"/>
    <w:rsid w:val="00ED5E2B"/>
    <w:rsid w:val="00ED780E"/>
    <w:rsid w:val="00EE01C2"/>
    <w:rsid w:val="00EE2FEA"/>
    <w:rsid w:val="00EE37A2"/>
    <w:rsid w:val="00EE3B12"/>
    <w:rsid w:val="00EE4B94"/>
    <w:rsid w:val="00EE5AF3"/>
    <w:rsid w:val="00EE5E91"/>
    <w:rsid w:val="00EE5F8C"/>
    <w:rsid w:val="00EE73BC"/>
    <w:rsid w:val="00EE7AC8"/>
    <w:rsid w:val="00EF00AA"/>
    <w:rsid w:val="00EF1AA2"/>
    <w:rsid w:val="00EF1FC9"/>
    <w:rsid w:val="00EF3996"/>
    <w:rsid w:val="00F0026A"/>
    <w:rsid w:val="00F01234"/>
    <w:rsid w:val="00F021E7"/>
    <w:rsid w:val="00F026C1"/>
    <w:rsid w:val="00F039D1"/>
    <w:rsid w:val="00F0458D"/>
    <w:rsid w:val="00F0463B"/>
    <w:rsid w:val="00F04969"/>
    <w:rsid w:val="00F04CF0"/>
    <w:rsid w:val="00F05BEC"/>
    <w:rsid w:val="00F05D0F"/>
    <w:rsid w:val="00F05DB4"/>
    <w:rsid w:val="00F0663C"/>
    <w:rsid w:val="00F13358"/>
    <w:rsid w:val="00F1456D"/>
    <w:rsid w:val="00F14DA0"/>
    <w:rsid w:val="00F15387"/>
    <w:rsid w:val="00F15D8B"/>
    <w:rsid w:val="00F15F46"/>
    <w:rsid w:val="00F178B9"/>
    <w:rsid w:val="00F17D58"/>
    <w:rsid w:val="00F228F5"/>
    <w:rsid w:val="00F23FD4"/>
    <w:rsid w:val="00F24143"/>
    <w:rsid w:val="00F241BE"/>
    <w:rsid w:val="00F24962"/>
    <w:rsid w:val="00F25038"/>
    <w:rsid w:val="00F263D9"/>
    <w:rsid w:val="00F26A01"/>
    <w:rsid w:val="00F2735C"/>
    <w:rsid w:val="00F27507"/>
    <w:rsid w:val="00F3124A"/>
    <w:rsid w:val="00F31D41"/>
    <w:rsid w:val="00F34539"/>
    <w:rsid w:val="00F34CA3"/>
    <w:rsid w:val="00F35005"/>
    <w:rsid w:val="00F3566F"/>
    <w:rsid w:val="00F359FB"/>
    <w:rsid w:val="00F364CB"/>
    <w:rsid w:val="00F36E13"/>
    <w:rsid w:val="00F37601"/>
    <w:rsid w:val="00F4058E"/>
    <w:rsid w:val="00F4220F"/>
    <w:rsid w:val="00F423B8"/>
    <w:rsid w:val="00F43F58"/>
    <w:rsid w:val="00F45507"/>
    <w:rsid w:val="00F46014"/>
    <w:rsid w:val="00F467CF"/>
    <w:rsid w:val="00F47670"/>
    <w:rsid w:val="00F51371"/>
    <w:rsid w:val="00F519F8"/>
    <w:rsid w:val="00F51AF6"/>
    <w:rsid w:val="00F5446D"/>
    <w:rsid w:val="00F551E9"/>
    <w:rsid w:val="00F5573B"/>
    <w:rsid w:val="00F55A95"/>
    <w:rsid w:val="00F55DE0"/>
    <w:rsid w:val="00F56113"/>
    <w:rsid w:val="00F5640F"/>
    <w:rsid w:val="00F56735"/>
    <w:rsid w:val="00F56B3A"/>
    <w:rsid w:val="00F576C3"/>
    <w:rsid w:val="00F60F94"/>
    <w:rsid w:val="00F61408"/>
    <w:rsid w:val="00F615F9"/>
    <w:rsid w:val="00F62055"/>
    <w:rsid w:val="00F620BE"/>
    <w:rsid w:val="00F64DC5"/>
    <w:rsid w:val="00F7079F"/>
    <w:rsid w:val="00F73938"/>
    <w:rsid w:val="00F73E87"/>
    <w:rsid w:val="00F74224"/>
    <w:rsid w:val="00F747A9"/>
    <w:rsid w:val="00F74843"/>
    <w:rsid w:val="00F76696"/>
    <w:rsid w:val="00F77295"/>
    <w:rsid w:val="00F77A84"/>
    <w:rsid w:val="00F8031A"/>
    <w:rsid w:val="00F80438"/>
    <w:rsid w:val="00F82F4C"/>
    <w:rsid w:val="00F87905"/>
    <w:rsid w:val="00F90AF9"/>
    <w:rsid w:val="00F90DF9"/>
    <w:rsid w:val="00F91A0D"/>
    <w:rsid w:val="00F9220B"/>
    <w:rsid w:val="00F9229E"/>
    <w:rsid w:val="00F92724"/>
    <w:rsid w:val="00F92A12"/>
    <w:rsid w:val="00F942E2"/>
    <w:rsid w:val="00F9523B"/>
    <w:rsid w:val="00F9546E"/>
    <w:rsid w:val="00F9560B"/>
    <w:rsid w:val="00F95755"/>
    <w:rsid w:val="00F96E67"/>
    <w:rsid w:val="00F96E92"/>
    <w:rsid w:val="00FA0700"/>
    <w:rsid w:val="00FA13CB"/>
    <w:rsid w:val="00FA2BE9"/>
    <w:rsid w:val="00FA31AE"/>
    <w:rsid w:val="00FA4FCD"/>
    <w:rsid w:val="00FA5DE8"/>
    <w:rsid w:val="00FA7534"/>
    <w:rsid w:val="00FB15B9"/>
    <w:rsid w:val="00FB1753"/>
    <w:rsid w:val="00FB1DA4"/>
    <w:rsid w:val="00FB2973"/>
    <w:rsid w:val="00FB382E"/>
    <w:rsid w:val="00FB42CF"/>
    <w:rsid w:val="00FB457F"/>
    <w:rsid w:val="00FB511E"/>
    <w:rsid w:val="00FB7B5E"/>
    <w:rsid w:val="00FC07DD"/>
    <w:rsid w:val="00FC2B86"/>
    <w:rsid w:val="00FC48B5"/>
    <w:rsid w:val="00FC4A0E"/>
    <w:rsid w:val="00FC4CA2"/>
    <w:rsid w:val="00FC6FF3"/>
    <w:rsid w:val="00FC7629"/>
    <w:rsid w:val="00FC7B2A"/>
    <w:rsid w:val="00FD3D67"/>
    <w:rsid w:val="00FD4F56"/>
    <w:rsid w:val="00FD536A"/>
    <w:rsid w:val="00FD74FF"/>
    <w:rsid w:val="00FE002A"/>
    <w:rsid w:val="00FE0A79"/>
    <w:rsid w:val="00FE3CEC"/>
    <w:rsid w:val="00FE4145"/>
    <w:rsid w:val="00FE5F2D"/>
    <w:rsid w:val="00FE607C"/>
    <w:rsid w:val="00FE6A1F"/>
    <w:rsid w:val="00FE743E"/>
    <w:rsid w:val="00FF04FB"/>
    <w:rsid w:val="00FF0810"/>
    <w:rsid w:val="00FF0B2A"/>
    <w:rsid w:val="00FF11E6"/>
    <w:rsid w:val="00FF19D8"/>
    <w:rsid w:val="00FF2E85"/>
    <w:rsid w:val="00FF32F3"/>
    <w:rsid w:val="00FF3EC4"/>
    <w:rsid w:val="00FF5B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5a9a98,#ddcf56,#ad495d,#ab9c8f,#b5d3d2,#7e6d5f,#f26631,#54534a"/>
    </o:shapedefaults>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rPr>
  </w:style>
  <w:style w:type="paragraph" w:styleId="Heading1">
    <w:name w:val="heading 1"/>
    <w:basedOn w:val="BodyText"/>
    <w:next w:val="BodyText"/>
    <w:link w:val="Heading1Char"/>
    <w:qFormat/>
    <w:rsid w:val="00BC36DE"/>
    <w:pPr>
      <w:outlineLvl w:val="0"/>
    </w:pPr>
  </w:style>
  <w:style w:type="paragraph" w:styleId="Heading2">
    <w:name w:val="heading 2"/>
    <w:basedOn w:val="Heading1"/>
    <w:next w:val="BodyText"/>
    <w:link w:val="Heading2Char"/>
    <w:qFormat/>
    <w:rsid w:val="00A66E8A"/>
    <w:pPr>
      <w:spacing w:before="380" w:after="0"/>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spacing w:before="300" w:line="260" w:lineRule="atLeast"/>
      <w:outlineLvl w:val="2"/>
    </w:pPr>
    <w:rPr>
      <w:color w:val="54534A"/>
      <w:sz w:val="22"/>
      <w:szCs w:val="22"/>
    </w:rPr>
  </w:style>
  <w:style w:type="paragraph" w:styleId="Heading4">
    <w:name w:val="heading 4"/>
    <w:basedOn w:val="BodyText"/>
    <w:next w:val="BodyText"/>
    <w:qFormat/>
    <w:rsid w:val="00222F3B"/>
    <w:pPr>
      <w:spacing w:before="320" w:after="0"/>
      <w:outlineLvl w:val="3"/>
    </w:pPr>
    <w:rPr>
      <w:b/>
      <w:color w:val="54534A"/>
      <w:sz w:val="22"/>
      <w:szCs w:val="22"/>
    </w:rPr>
  </w:style>
  <w:style w:type="paragraph" w:styleId="Heading5">
    <w:name w:val="heading 5"/>
    <w:basedOn w:val="BodyText"/>
    <w:next w:val="BodyText"/>
    <w:qFormat/>
    <w:rsid w:val="00B525EE"/>
    <w:pPr>
      <w:keepNext/>
      <w:spacing w:before="320" w:after="0"/>
      <w:outlineLvl w:val="4"/>
    </w:pPr>
    <w:rPr>
      <w:b/>
      <w:color w:val="54534A"/>
    </w:rPr>
  </w:style>
  <w:style w:type="paragraph" w:styleId="Heading6">
    <w:name w:val="heading 6"/>
    <w:basedOn w:val="Heading1"/>
    <w:next w:val="BodyText"/>
    <w:qFormat/>
    <w:rsid w:val="00B525EE"/>
    <w:pPr>
      <w:outlineLvl w:val="5"/>
    </w:pPr>
    <w:rPr>
      <w:bCs/>
    </w:rPr>
  </w:style>
  <w:style w:type="paragraph" w:styleId="Heading7">
    <w:name w:val="heading 7"/>
    <w:basedOn w:val="Heading2"/>
    <w:next w:val="BodyText"/>
    <w:qFormat/>
    <w:rsid w:val="00B525EE"/>
    <w:pPr>
      <w:outlineLvl w:val="6"/>
    </w:pPr>
    <w:rPr>
      <w:rFonts w:ascii="Franklin Gothic Demi" w:hAnsi="Franklin Gothic Demi"/>
      <w:sz w:val="28"/>
      <w:szCs w:val="28"/>
    </w:rPr>
  </w:style>
  <w:style w:type="paragraph" w:styleId="Heading8">
    <w:name w:val="heading 8"/>
    <w:basedOn w:val="Heading3"/>
    <w:next w:val="BodyText"/>
    <w:qFormat/>
    <w:rsid w:val="00B525EE"/>
    <w:pPr>
      <w:outlineLvl w:val="7"/>
    </w:pPr>
  </w:style>
  <w:style w:type="paragraph" w:styleId="Heading9">
    <w:name w:val="heading 9"/>
    <w:basedOn w:val="Heading4"/>
    <w:next w:val="BodyText"/>
    <w:qFormat/>
    <w:rsid w:val="00B525EE"/>
    <w:pPr>
      <w:outlineLvl w:val="8"/>
    </w:pPr>
  </w:style>
  <w:style w:type="character" w:default="1" w:styleId="DefaultParagraphFont">
    <w:name w:val="Default Paragraph Font"/>
    <w:link w:val="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uiPriority w:val="99"/>
    <w:rsid w:val="0001356A"/>
    <w:pPr>
      <w:spacing w:before="80" w:after="80" w:line="280" w:lineRule="atLeast"/>
    </w:pPr>
    <w:rPr>
      <w:rFonts w:ascii="Georgia" w:hAnsi="Georgia"/>
      <w:sz w:val="19"/>
      <w:szCs w:val="19"/>
    </w:rPr>
  </w:style>
  <w:style w:type="character" w:customStyle="1" w:styleId="BodyTextChar">
    <w:name w:val="Body Text Char"/>
    <w:link w:val="BodyText"/>
    <w:uiPriority w:val="99"/>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semiHidden/>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semiHidden/>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semiHidden/>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0">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eastAsia="en-US"/>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eastAsia="en-US"/>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
    <w:name w:val=" Char Char"/>
    <w:basedOn w:val="Normal"/>
    <w:link w:val="DefaultParagraphFont"/>
    <w:semiHidden/>
    <w:rsid w:val="00953A8D"/>
    <w:pPr>
      <w:spacing w:before="180" w:line="280" w:lineRule="atLeast"/>
    </w:pPr>
    <w:rPr>
      <w:rFonts w:ascii="Arial" w:hAnsi="Arial"/>
      <w:sz w:val="22"/>
      <w:szCs w:val="20"/>
      <w:lang w:eastAsia="en-US"/>
    </w:rPr>
  </w:style>
  <w:style w:type="table" w:styleId="TableGrid">
    <w:name w:val="Table Grid"/>
    <w:basedOn w:val="TableNormal"/>
    <w:uiPriority w:val="59"/>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rsid w:val="001B11EB"/>
    <w:pPr>
      <w:spacing w:before="60" w:after="60" w:line="240" w:lineRule="atLeast"/>
    </w:pPr>
    <w:rPr>
      <w:rFonts w:ascii="Calibri" w:hAnsi="Calibri"/>
      <w:color w:val="0000FF"/>
      <w:sz w:val="20"/>
      <w:szCs w:val="20"/>
    </w:rPr>
  </w:style>
  <w:style w:type="character" w:customStyle="1" w:styleId="CharChar4">
    <w:name w:val=" Char Char4"/>
    <w:rsid w:val="0035177E"/>
    <w:rPr>
      <w:rFonts w:ascii="Georgia" w:hAnsi="Georgia"/>
      <w:sz w:val="19"/>
      <w:szCs w:val="19"/>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Heading1Char">
    <w:name w:val="Heading 1 Char"/>
    <w:link w:val="Heading1"/>
    <w:rsid w:val="00BC36DE"/>
    <w:rPr>
      <w:rFonts w:ascii="Georgia" w:hAnsi="Georgia"/>
      <w:sz w:val="19"/>
      <w:szCs w:val="19"/>
      <w:lang w:val="en-AU" w:eastAsia="en-AU" w:bidi="ar-SA"/>
    </w:rPr>
  </w:style>
  <w:style w:type="character" w:customStyle="1" w:styleId="Heading2Char">
    <w:name w:val="Heading 2 Char"/>
    <w:link w:val="Heading2"/>
    <w:rsid w:val="00BC36DE"/>
    <w:rPr>
      <w:rFonts w:ascii="Franklin Gothic Medium" w:hAnsi="Franklin Gothic Medium"/>
      <w:color w:val="5A9A98"/>
      <w:sz w:val="24"/>
      <w:szCs w:val="24"/>
    </w:rPr>
  </w:style>
  <w:style w:type="character" w:customStyle="1" w:styleId="CharChar1">
    <w:name w:val="Char Char1"/>
    <w:locked/>
    <w:rsid w:val="00F263D9"/>
    <w:rPr>
      <w:rFonts w:ascii="Georgia" w:hAnsi="Georgia"/>
      <w:sz w:val="19"/>
      <w:szCs w:val="19"/>
      <w:lang w:val="en-AU" w:eastAsia="en-AU" w:bidi="ar-SA"/>
    </w:rPr>
  </w:style>
  <w:style w:type="character" w:customStyle="1" w:styleId="CharChar40">
    <w:name w:val="Char Char4"/>
    <w:locked/>
    <w:rsid w:val="00F263D9"/>
    <w:rPr>
      <w:rFonts w:ascii="Georgia" w:hAnsi="Georgia"/>
      <w:sz w:val="19"/>
      <w:szCs w:val="19"/>
      <w:lang w:val="en-AU" w:eastAsia="en-AU" w:bidi="ar-SA"/>
    </w:rPr>
  </w:style>
  <w:style w:type="paragraph" w:styleId="ListParagraph">
    <w:name w:val="List Paragraph"/>
    <w:basedOn w:val="Normal"/>
    <w:uiPriority w:val="34"/>
    <w:qFormat/>
    <w:rsid w:val="002C012E"/>
    <w:pPr>
      <w:ind w:left="720"/>
    </w:pPr>
    <w:rPr>
      <w:rFonts w:ascii="Calibri" w:eastAsia="Calibri" w:hAnsi="Calibri" w:cs="Calibri"/>
      <w:sz w:val="22"/>
      <w:szCs w:val="22"/>
      <w:lang w:eastAsia="en-US"/>
    </w:rPr>
  </w:style>
  <w:style w:type="paragraph" w:customStyle="1" w:styleId="List-bullet-1">
    <w:name w:val="List-bullet-1"/>
    <w:basedOn w:val="Normal"/>
    <w:link w:val="List-bullet-1Char"/>
    <w:rsid w:val="009E3EF0"/>
    <w:pPr>
      <w:spacing w:before="120"/>
    </w:pPr>
    <w:rPr>
      <w:rFonts w:ascii="Arial" w:hAnsi="Arial" w:cs="Arial"/>
      <w:szCs w:val="22"/>
      <w:lang w:eastAsia="en-US"/>
    </w:rPr>
  </w:style>
  <w:style w:type="character" w:customStyle="1" w:styleId="List-bullet-1Char">
    <w:name w:val="List-bullet-1 Char"/>
    <w:link w:val="List-bullet-1"/>
    <w:rsid w:val="009E3EF0"/>
    <w:rPr>
      <w:rFonts w:ascii="Arial" w:hAnsi="Arial" w:cs="Arial"/>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rPr>
  </w:style>
  <w:style w:type="paragraph" w:styleId="Heading1">
    <w:name w:val="heading 1"/>
    <w:basedOn w:val="BodyText"/>
    <w:next w:val="BodyText"/>
    <w:link w:val="Heading1Char"/>
    <w:qFormat/>
    <w:rsid w:val="00BC36DE"/>
    <w:pPr>
      <w:outlineLvl w:val="0"/>
    </w:pPr>
  </w:style>
  <w:style w:type="paragraph" w:styleId="Heading2">
    <w:name w:val="heading 2"/>
    <w:basedOn w:val="Heading1"/>
    <w:next w:val="BodyText"/>
    <w:link w:val="Heading2Char"/>
    <w:qFormat/>
    <w:rsid w:val="00A66E8A"/>
    <w:pPr>
      <w:spacing w:before="380" w:after="0"/>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spacing w:before="300" w:line="260" w:lineRule="atLeast"/>
      <w:outlineLvl w:val="2"/>
    </w:pPr>
    <w:rPr>
      <w:color w:val="54534A"/>
      <w:sz w:val="22"/>
      <w:szCs w:val="22"/>
    </w:rPr>
  </w:style>
  <w:style w:type="paragraph" w:styleId="Heading4">
    <w:name w:val="heading 4"/>
    <w:basedOn w:val="BodyText"/>
    <w:next w:val="BodyText"/>
    <w:qFormat/>
    <w:rsid w:val="00222F3B"/>
    <w:pPr>
      <w:spacing w:before="320" w:after="0"/>
      <w:outlineLvl w:val="3"/>
    </w:pPr>
    <w:rPr>
      <w:b/>
      <w:color w:val="54534A"/>
      <w:sz w:val="22"/>
      <w:szCs w:val="22"/>
    </w:rPr>
  </w:style>
  <w:style w:type="paragraph" w:styleId="Heading5">
    <w:name w:val="heading 5"/>
    <w:basedOn w:val="BodyText"/>
    <w:next w:val="BodyText"/>
    <w:qFormat/>
    <w:rsid w:val="00B525EE"/>
    <w:pPr>
      <w:keepNext/>
      <w:spacing w:before="320" w:after="0"/>
      <w:outlineLvl w:val="4"/>
    </w:pPr>
    <w:rPr>
      <w:b/>
      <w:color w:val="54534A"/>
    </w:rPr>
  </w:style>
  <w:style w:type="paragraph" w:styleId="Heading6">
    <w:name w:val="heading 6"/>
    <w:basedOn w:val="Heading1"/>
    <w:next w:val="BodyText"/>
    <w:qFormat/>
    <w:rsid w:val="00B525EE"/>
    <w:pPr>
      <w:outlineLvl w:val="5"/>
    </w:pPr>
    <w:rPr>
      <w:bCs/>
    </w:rPr>
  </w:style>
  <w:style w:type="paragraph" w:styleId="Heading7">
    <w:name w:val="heading 7"/>
    <w:basedOn w:val="Heading2"/>
    <w:next w:val="BodyText"/>
    <w:qFormat/>
    <w:rsid w:val="00B525EE"/>
    <w:pPr>
      <w:outlineLvl w:val="6"/>
    </w:pPr>
    <w:rPr>
      <w:rFonts w:ascii="Franklin Gothic Demi" w:hAnsi="Franklin Gothic Demi"/>
      <w:sz w:val="28"/>
      <w:szCs w:val="28"/>
    </w:rPr>
  </w:style>
  <w:style w:type="paragraph" w:styleId="Heading8">
    <w:name w:val="heading 8"/>
    <w:basedOn w:val="Heading3"/>
    <w:next w:val="BodyText"/>
    <w:qFormat/>
    <w:rsid w:val="00B525EE"/>
    <w:pPr>
      <w:outlineLvl w:val="7"/>
    </w:pPr>
  </w:style>
  <w:style w:type="paragraph" w:styleId="Heading9">
    <w:name w:val="heading 9"/>
    <w:basedOn w:val="Heading4"/>
    <w:next w:val="BodyText"/>
    <w:qFormat/>
    <w:rsid w:val="00B525EE"/>
    <w:pPr>
      <w:outlineLvl w:val="8"/>
    </w:pPr>
  </w:style>
  <w:style w:type="character" w:default="1" w:styleId="DefaultParagraphFont">
    <w:name w:val="Default Paragraph Font"/>
    <w:link w:val="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uiPriority w:val="99"/>
    <w:rsid w:val="0001356A"/>
    <w:pPr>
      <w:spacing w:before="80" w:after="80" w:line="280" w:lineRule="atLeast"/>
    </w:pPr>
    <w:rPr>
      <w:rFonts w:ascii="Georgia" w:hAnsi="Georgia"/>
      <w:sz w:val="19"/>
      <w:szCs w:val="19"/>
    </w:rPr>
  </w:style>
  <w:style w:type="character" w:customStyle="1" w:styleId="BodyTextChar">
    <w:name w:val="Body Text Char"/>
    <w:link w:val="BodyText"/>
    <w:uiPriority w:val="99"/>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semiHidden/>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semiHidden/>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semiHidden/>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0">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eastAsia="en-US"/>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eastAsia="en-US"/>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
    <w:name w:val=" Char Char"/>
    <w:basedOn w:val="Normal"/>
    <w:link w:val="DefaultParagraphFont"/>
    <w:semiHidden/>
    <w:rsid w:val="00953A8D"/>
    <w:pPr>
      <w:spacing w:before="180" w:line="280" w:lineRule="atLeast"/>
    </w:pPr>
    <w:rPr>
      <w:rFonts w:ascii="Arial" w:hAnsi="Arial"/>
      <w:sz w:val="22"/>
      <w:szCs w:val="20"/>
      <w:lang w:eastAsia="en-US"/>
    </w:rPr>
  </w:style>
  <w:style w:type="table" w:styleId="TableGrid">
    <w:name w:val="Table Grid"/>
    <w:basedOn w:val="TableNormal"/>
    <w:uiPriority w:val="59"/>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rsid w:val="001B11EB"/>
    <w:pPr>
      <w:spacing w:before="60" w:after="60" w:line="240" w:lineRule="atLeast"/>
    </w:pPr>
    <w:rPr>
      <w:rFonts w:ascii="Calibri" w:hAnsi="Calibri"/>
      <w:color w:val="0000FF"/>
      <w:sz w:val="20"/>
      <w:szCs w:val="20"/>
    </w:rPr>
  </w:style>
  <w:style w:type="character" w:customStyle="1" w:styleId="CharChar4">
    <w:name w:val=" Char Char4"/>
    <w:rsid w:val="0035177E"/>
    <w:rPr>
      <w:rFonts w:ascii="Georgia" w:hAnsi="Georgia"/>
      <w:sz w:val="19"/>
      <w:szCs w:val="19"/>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Heading1Char">
    <w:name w:val="Heading 1 Char"/>
    <w:link w:val="Heading1"/>
    <w:rsid w:val="00BC36DE"/>
    <w:rPr>
      <w:rFonts w:ascii="Georgia" w:hAnsi="Georgia"/>
      <w:sz w:val="19"/>
      <w:szCs w:val="19"/>
      <w:lang w:val="en-AU" w:eastAsia="en-AU" w:bidi="ar-SA"/>
    </w:rPr>
  </w:style>
  <w:style w:type="character" w:customStyle="1" w:styleId="Heading2Char">
    <w:name w:val="Heading 2 Char"/>
    <w:link w:val="Heading2"/>
    <w:rsid w:val="00BC36DE"/>
    <w:rPr>
      <w:rFonts w:ascii="Franklin Gothic Medium" w:hAnsi="Franklin Gothic Medium"/>
      <w:color w:val="5A9A98"/>
      <w:sz w:val="24"/>
      <w:szCs w:val="24"/>
    </w:rPr>
  </w:style>
  <w:style w:type="character" w:customStyle="1" w:styleId="CharChar1">
    <w:name w:val="Char Char1"/>
    <w:locked/>
    <w:rsid w:val="00F263D9"/>
    <w:rPr>
      <w:rFonts w:ascii="Georgia" w:hAnsi="Georgia"/>
      <w:sz w:val="19"/>
      <w:szCs w:val="19"/>
      <w:lang w:val="en-AU" w:eastAsia="en-AU" w:bidi="ar-SA"/>
    </w:rPr>
  </w:style>
  <w:style w:type="character" w:customStyle="1" w:styleId="CharChar40">
    <w:name w:val="Char Char4"/>
    <w:locked/>
    <w:rsid w:val="00F263D9"/>
    <w:rPr>
      <w:rFonts w:ascii="Georgia" w:hAnsi="Georgia"/>
      <w:sz w:val="19"/>
      <w:szCs w:val="19"/>
      <w:lang w:val="en-AU" w:eastAsia="en-AU" w:bidi="ar-SA"/>
    </w:rPr>
  </w:style>
  <w:style w:type="paragraph" w:styleId="ListParagraph">
    <w:name w:val="List Paragraph"/>
    <w:basedOn w:val="Normal"/>
    <w:uiPriority w:val="34"/>
    <w:qFormat/>
    <w:rsid w:val="002C012E"/>
    <w:pPr>
      <w:ind w:left="720"/>
    </w:pPr>
    <w:rPr>
      <w:rFonts w:ascii="Calibri" w:eastAsia="Calibri" w:hAnsi="Calibri" w:cs="Calibri"/>
      <w:sz w:val="22"/>
      <w:szCs w:val="22"/>
      <w:lang w:eastAsia="en-US"/>
    </w:rPr>
  </w:style>
  <w:style w:type="paragraph" w:customStyle="1" w:styleId="List-bullet-1">
    <w:name w:val="List-bullet-1"/>
    <w:basedOn w:val="Normal"/>
    <w:link w:val="List-bullet-1Char"/>
    <w:rsid w:val="009E3EF0"/>
    <w:pPr>
      <w:spacing w:before="120"/>
    </w:pPr>
    <w:rPr>
      <w:rFonts w:ascii="Arial" w:hAnsi="Arial" w:cs="Arial"/>
      <w:szCs w:val="22"/>
      <w:lang w:eastAsia="en-US"/>
    </w:rPr>
  </w:style>
  <w:style w:type="character" w:customStyle="1" w:styleId="List-bullet-1Char">
    <w:name w:val="List-bullet-1 Char"/>
    <w:link w:val="List-bullet-1"/>
    <w:rsid w:val="009E3EF0"/>
    <w:rPr>
      <w:rFonts w:ascii="Arial"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083">
      <w:bodyDiv w:val="1"/>
      <w:marLeft w:val="0"/>
      <w:marRight w:val="0"/>
      <w:marTop w:val="0"/>
      <w:marBottom w:val="0"/>
      <w:divBdr>
        <w:top w:val="none" w:sz="0" w:space="0" w:color="auto"/>
        <w:left w:val="none" w:sz="0" w:space="0" w:color="auto"/>
        <w:bottom w:val="none" w:sz="0" w:space="0" w:color="auto"/>
        <w:right w:val="none" w:sz="0" w:space="0" w:color="auto"/>
      </w:divBdr>
    </w:div>
    <w:div w:id="62265797">
      <w:bodyDiv w:val="1"/>
      <w:marLeft w:val="0"/>
      <w:marRight w:val="0"/>
      <w:marTop w:val="0"/>
      <w:marBottom w:val="0"/>
      <w:divBdr>
        <w:top w:val="none" w:sz="0" w:space="0" w:color="auto"/>
        <w:left w:val="none" w:sz="0" w:space="0" w:color="auto"/>
        <w:bottom w:val="none" w:sz="0" w:space="0" w:color="auto"/>
        <w:right w:val="none" w:sz="0" w:space="0" w:color="auto"/>
      </w:divBdr>
    </w:div>
    <w:div w:id="264196946">
      <w:bodyDiv w:val="1"/>
      <w:marLeft w:val="0"/>
      <w:marRight w:val="0"/>
      <w:marTop w:val="0"/>
      <w:marBottom w:val="0"/>
      <w:divBdr>
        <w:top w:val="none" w:sz="0" w:space="0" w:color="auto"/>
        <w:left w:val="none" w:sz="0" w:space="0" w:color="auto"/>
        <w:bottom w:val="none" w:sz="0" w:space="0" w:color="auto"/>
        <w:right w:val="none" w:sz="0" w:space="0" w:color="auto"/>
      </w:divBdr>
    </w:div>
    <w:div w:id="291593840">
      <w:bodyDiv w:val="1"/>
      <w:marLeft w:val="0"/>
      <w:marRight w:val="0"/>
      <w:marTop w:val="0"/>
      <w:marBottom w:val="0"/>
      <w:divBdr>
        <w:top w:val="none" w:sz="0" w:space="0" w:color="auto"/>
        <w:left w:val="none" w:sz="0" w:space="0" w:color="auto"/>
        <w:bottom w:val="none" w:sz="0" w:space="0" w:color="auto"/>
        <w:right w:val="none" w:sz="0" w:space="0" w:color="auto"/>
      </w:divBdr>
    </w:div>
    <w:div w:id="355934845">
      <w:bodyDiv w:val="1"/>
      <w:marLeft w:val="0"/>
      <w:marRight w:val="0"/>
      <w:marTop w:val="0"/>
      <w:marBottom w:val="0"/>
      <w:divBdr>
        <w:top w:val="none" w:sz="0" w:space="0" w:color="auto"/>
        <w:left w:val="none" w:sz="0" w:space="0" w:color="auto"/>
        <w:bottom w:val="none" w:sz="0" w:space="0" w:color="auto"/>
        <w:right w:val="none" w:sz="0" w:space="0" w:color="auto"/>
      </w:divBdr>
    </w:div>
    <w:div w:id="377051932">
      <w:bodyDiv w:val="1"/>
      <w:marLeft w:val="0"/>
      <w:marRight w:val="0"/>
      <w:marTop w:val="0"/>
      <w:marBottom w:val="0"/>
      <w:divBdr>
        <w:top w:val="none" w:sz="0" w:space="0" w:color="auto"/>
        <w:left w:val="none" w:sz="0" w:space="0" w:color="auto"/>
        <w:bottom w:val="none" w:sz="0" w:space="0" w:color="auto"/>
        <w:right w:val="none" w:sz="0" w:space="0" w:color="auto"/>
      </w:divBdr>
    </w:div>
    <w:div w:id="378364197">
      <w:bodyDiv w:val="1"/>
      <w:marLeft w:val="0"/>
      <w:marRight w:val="0"/>
      <w:marTop w:val="0"/>
      <w:marBottom w:val="0"/>
      <w:divBdr>
        <w:top w:val="none" w:sz="0" w:space="0" w:color="auto"/>
        <w:left w:val="none" w:sz="0" w:space="0" w:color="auto"/>
        <w:bottom w:val="none" w:sz="0" w:space="0" w:color="auto"/>
        <w:right w:val="none" w:sz="0" w:space="0" w:color="auto"/>
      </w:divBdr>
    </w:div>
    <w:div w:id="466047702">
      <w:bodyDiv w:val="1"/>
      <w:marLeft w:val="0"/>
      <w:marRight w:val="0"/>
      <w:marTop w:val="0"/>
      <w:marBottom w:val="0"/>
      <w:divBdr>
        <w:top w:val="none" w:sz="0" w:space="0" w:color="auto"/>
        <w:left w:val="none" w:sz="0" w:space="0" w:color="auto"/>
        <w:bottom w:val="none" w:sz="0" w:space="0" w:color="auto"/>
        <w:right w:val="none" w:sz="0" w:space="0" w:color="auto"/>
      </w:divBdr>
    </w:div>
    <w:div w:id="483543232">
      <w:bodyDiv w:val="1"/>
      <w:marLeft w:val="0"/>
      <w:marRight w:val="0"/>
      <w:marTop w:val="0"/>
      <w:marBottom w:val="0"/>
      <w:divBdr>
        <w:top w:val="none" w:sz="0" w:space="0" w:color="auto"/>
        <w:left w:val="none" w:sz="0" w:space="0" w:color="auto"/>
        <w:bottom w:val="none" w:sz="0" w:space="0" w:color="auto"/>
        <w:right w:val="none" w:sz="0" w:space="0" w:color="auto"/>
      </w:divBdr>
    </w:div>
    <w:div w:id="521632396">
      <w:bodyDiv w:val="1"/>
      <w:marLeft w:val="0"/>
      <w:marRight w:val="0"/>
      <w:marTop w:val="0"/>
      <w:marBottom w:val="0"/>
      <w:divBdr>
        <w:top w:val="none" w:sz="0" w:space="0" w:color="auto"/>
        <w:left w:val="none" w:sz="0" w:space="0" w:color="auto"/>
        <w:bottom w:val="none" w:sz="0" w:space="0" w:color="auto"/>
        <w:right w:val="none" w:sz="0" w:space="0" w:color="auto"/>
      </w:divBdr>
    </w:div>
    <w:div w:id="552082174">
      <w:bodyDiv w:val="1"/>
      <w:marLeft w:val="0"/>
      <w:marRight w:val="0"/>
      <w:marTop w:val="0"/>
      <w:marBottom w:val="0"/>
      <w:divBdr>
        <w:top w:val="none" w:sz="0" w:space="0" w:color="auto"/>
        <w:left w:val="none" w:sz="0" w:space="0" w:color="auto"/>
        <w:bottom w:val="none" w:sz="0" w:space="0" w:color="auto"/>
        <w:right w:val="none" w:sz="0" w:space="0" w:color="auto"/>
      </w:divBdr>
    </w:div>
    <w:div w:id="560215215">
      <w:bodyDiv w:val="1"/>
      <w:marLeft w:val="0"/>
      <w:marRight w:val="0"/>
      <w:marTop w:val="0"/>
      <w:marBottom w:val="0"/>
      <w:divBdr>
        <w:top w:val="none" w:sz="0" w:space="0" w:color="auto"/>
        <w:left w:val="none" w:sz="0" w:space="0" w:color="auto"/>
        <w:bottom w:val="none" w:sz="0" w:space="0" w:color="auto"/>
        <w:right w:val="none" w:sz="0" w:space="0" w:color="auto"/>
      </w:divBdr>
    </w:div>
    <w:div w:id="565797914">
      <w:bodyDiv w:val="1"/>
      <w:marLeft w:val="0"/>
      <w:marRight w:val="0"/>
      <w:marTop w:val="0"/>
      <w:marBottom w:val="0"/>
      <w:divBdr>
        <w:top w:val="none" w:sz="0" w:space="0" w:color="auto"/>
        <w:left w:val="none" w:sz="0" w:space="0" w:color="auto"/>
        <w:bottom w:val="none" w:sz="0" w:space="0" w:color="auto"/>
        <w:right w:val="none" w:sz="0" w:space="0" w:color="auto"/>
      </w:divBdr>
    </w:div>
    <w:div w:id="583608175">
      <w:bodyDiv w:val="1"/>
      <w:marLeft w:val="0"/>
      <w:marRight w:val="0"/>
      <w:marTop w:val="0"/>
      <w:marBottom w:val="0"/>
      <w:divBdr>
        <w:top w:val="none" w:sz="0" w:space="0" w:color="auto"/>
        <w:left w:val="none" w:sz="0" w:space="0" w:color="auto"/>
        <w:bottom w:val="none" w:sz="0" w:space="0" w:color="auto"/>
        <w:right w:val="none" w:sz="0" w:space="0" w:color="auto"/>
      </w:divBdr>
    </w:div>
    <w:div w:id="685056218">
      <w:bodyDiv w:val="1"/>
      <w:marLeft w:val="0"/>
      <w:marRight w:val="0"/>
      <w:marTop w:val="0"/>
      <w:marBottom w:val="0"/>
      <w:divBdr>
        <w:top w:val="none" w:sz="0" w:space="0" w:color="auto"/>
        <w:left w:val="none" w:sz="0" w:space="0" w:color="auto"/>
        <w:bottom w:val="none" w:sz="0" w:space="0" w:color="auto"/>
        <w:right w:val="none" w:sz="0" w:space="0" w:color="auto"/>
      </w:divBdr>
    </w:div>
    <w:div w:id="750854806">
      <w:bodyDiv w:val="1"/>
      <w:marLeft w:val="0"/>
      <w:marRight w:val="0"/>
      <w:marTop w:val="0"/>
      <w:marBottom w:val="0"/>
      <w:divBdr>
        <w:top w:val="none" w:sz="0" w:space="0" w:color="auto"/>
        <w:left w:val="none" w:sz="0" w:space="0" w:color="auto"/>
        <w:bottom w:val="none" w:sz="0" w:space="0" w:color="auto"/>
        <w:right w:val="none" w:sz="0" w:space="0" w:color="auto"/>
      </w:divBdr>
    </w:div>
    <w:div w:id="818116789">
      <w:bodyDiv w:val="1"/>
      <w:marLeft w:val="0"/>
      <w:marRight w:val="0"/>
      <w:marTop w:val="0"/>
      <w:marBottom w:val="0"/>
      <w:divBdr>
        <w:top w:val="none" w:sz="0" w:space="0" w:color="auto"/>
        <w:left w:val="none" w:sz="0" w:space="0" w:color="auto"/>
        <w:bottom w:val="none" w:sz="0" w:space="0" w:color="auto"/>
        <w:right w:val="none" w:sz="0" w:space="0" w:color="auto"/>
      </w:divBdr>
    </w:div>
    <w:div w:id="869804593">
      <w:bodyDiv w:val="1"/>
      <w:marLeft w:val="0"/>
      <w:marRight w:val="0"/>
      <w:marTop w:val="0"/>
      <w:marBottom w:val="0"/>
      <w:divBdr>
        <w:top w:val="none" w:sz="0" w:space="0" w:color="auto"/>
        <w:left w:val="none" w:sz="0" w:space="0" w:color="auto"/>
        <w:bottom w:val="none" w:sz="0" w:space="0" w:color="auto"/>
        <w:right w:val="none" w:sz="0" w:space="0" w:color="auto"/>
      </w:divBdr>
    </w:div>
    <w:div w:id="903099310">
      <w:bodyDiv w:val="1"/>
      <w:marLeft w:val="0"/>
      <w:marRight w:val="0"/>
      <w:marTop w:val="0"/>
      <w:marBottom w:val="0"/>
      <w:divBdr>
        <w:top w:val="none" w:sz="0" w:space="0" w:color="auto"/>
        <w:left w:val="none" w:sz="0" w:space="0" w:color="auto"/>
        <w:bottom w:val="none" w:sz="0" w:space="0" w:color="auto"/>
        <w:right w:val="none" w:sz="0" w:space="0" w:color="auto"/>
      </w:divBdr>
    </w:div>
    <w:div w:id="989091631">
      <w:bodyDiv w:val="1"/>
      <w:marLeft w:val="0"/>
      <w:marRight w:val="0"/>
      <w:marTop w:val="0"/>
      <w:marBottom w:val="0"/>
      <w:divBdr>
        <w:top w:val="none" w:sz="0" w:space="0" w:color="auto"/>
        <w:left w:val="none" w:sz="0" w:space="0" w:color="auto"/>
        <w:bottom w:val="none" w:sz="0" w:space="0" w:color="auto"/>
        <w:right w:val="none" w:sz="0" w:space="0" w:color="auto"/>
      </w:divBdr>
    </w:div>
    <w:div w:id="1048799523">
      <w:bodyDiv w:val="1"/>
      <w:marLeft w:val="0"/>
      <w:marRight w:val="0"/>
      <w:marTop w:val="0"/>
      <w:marBottom w:val="0"/>
      <w:divBdr>
        <w:top w:val="none" w:sz="0" w:space="0" w:color="auto"/>
        <w:left w:val="none" w:sz="0" w:space="0" w:color="auto"/>
        <w:bottom w:val="none" w:sz="0" w:space="0" w:color="auto"/>
        <w:right w:val="none" w:sz="0" w:space="0" w:color="auto"/>
      </w:divBdr>
    </w:div>
    <w:div w:id="1091703294">
      <w:bodyDiv w:val="1"/>
      <w:marLeft w:val="0"/>
      <w:marRight w:val="0"/>
      <w:marTop w:val="0"/>
      <w:marBottom w:val="0"/>
      <w:divBdr>
        <w:top w:val="none" w:sz="0" w:space="0" w:color="auto"/>
        <w:left w:val="none" w:sz="0" w:space="0" w:color="auto"/>
        <w:bottom w:val="none" w:sz="0" w:space="0" w:color="auto"/>
        <w:right w:val="none" w:sz="0" w:space="0" w:color="auto"/>
      </w:divBdr>
    </w:div>
    <w:div w:id="1188327524">
      <w:bodyDiv w:val="1"/>
      <w:marLeft w:val="0"/>
      <w:marRight w:val="0"/>
      <w:marTop w:val="0"/>
      <w:marBottom w:val="0"/>
      <w:divBdr>
        <w:top w:val="none" w:sz="0" w:space="0" w:color="auto"/>
        <w:left w:val="none" w:sz="0" w:space="0" w:color="auto"/>
        <w:bottom w:val="none" w:sz="0" w:space="0" w:color="auto"/>
        <w:right w:val="none" w:sz="0" w:space="0" w:color="auto"/>
      </w:divBdr>
    </w:div>
    <w:div w:id="1189026679">
      <w:bodyDiv w:val="1"/>
      <w:marLeft w:val="0"/>
      <w:marRight w:val="0"/>
      <w:marTop w:val="0"/>
      <w:marBottom w:val="0"/>
      <w:divBdr>
        <w:top w:val="none" w:sz="0" w:space="0" w:color="auto"/>
        <w:left w:val="none" w:sz="0" w:space="0" w:color="auto"/>
        <w:bottom w:val="none" w:sz="0" w:space="0" w:color="auto"/>
        <w:right w:val="none" w:sz="0" w:space="0" w:color="auto"/>
      </w:divBdr>
    </w:div>
    <w:div w:id="1216818753">
      <w:bodyDiv w:val="1"/>
      <w:marLeft w:val="0"/>
      <w:marRight w:val="0"/>
      <w:marTop w:val="0"/>
      <w:marBottom w:val="0"/>
      <w:divBdr>
        <w:top w:val="none" w:sz="0" w:space="0" w:color="auto"/>
        <w:left w:val="none" w:sz="0" w:space="0" w:color="auto"/>
        <w:bottom w:val="none" w:sz="0" w:space="0" w:color="auto"/>
        <w:right w:val="none" w:sz="0" w:space="0" w:color="auto"/>
      </w:divBdr>
    </w:div>
    <w:div w:id="1219978370">
      <w:bodyDiv w:val="1"/>
      <w:marLeft w:val="0"/>
      <w:marRight w:val="0"/>
      <w:marTop w:val="0"/>
      <w:marBottom w:val="0"/>
      <w:divBdr>
        <w:top w:val="none" w:sz="0" w:space="0" w:color="auto"/>
        <w:left w:val="none" w:sz="0" w:space="0" w:color="auto"/>
        <w:bottom w:val="none" w:sz="0" w:space="0" w:color="auto"/>
        <w:right w:val="none" w:sz="0" w:space="0" w:color="auto"/>
      </w:divBdr>
    </w:div>
    <w:div w:id="1223755353">
      <w:bodyDiv w:val="1"/>
      <w:marLeft w:val="0"/>
      <w:marRight w:val="0"/>
      <w:marTop w:val="0"/>
      <w:marBottom w:val="0"/>
      <w:divBdr>
        <w:top w:val="none" w:sz="0" w:space="0" w:color="auto"/>
        <w:left w:val="none" w:sz="0" w:space="0" w:color="auto"/>
        <w:bottom w:val="none" w:sz="0" w:space="0" w:color="auto"/>
        <w:right w:val="none" w:sz="0" w:space="0" w:color="auto"/>
      </w:divBdr>
    </w:div>
    <w:div w:id="1257785965">
      <w:bodyDiv w:val="1"/>
      <w:marLeft w:val="0"/>
      <w:marRight w:val="0"/>
      <w:marTop w:val="0"/>
      <w:marBottom w:val="0"/>
      <w:divBdr>
        <w:top w:val="none" w:sz="0" w:space="0" w:color="auto"/>
        <w:left w:val="none" w:sz="0" w:space="0" w:color="auto"/>
        <w:bottom w:val="none" w:sz="0" w:space="0" w:color="auto"/>
        <w:right w:val="none" w:sz="0" w:space="0" w:color="auto"/>
      </w:divBdr>
    </w:div>
    <w:div w:id="1301306478">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490823488">
      <w:bodyDiv w:val="1"/>
      <w:marLeft w:val="0"/>
      <w:marRight w:val="0"/>
      <w:marTop w:val="0"/>
      <w:marBottom w:val="0"/>
      <w:divBdr>
        <w:top w:val="none" w:sz="0" w:space="0" w:color="auto"/>
        <w:left w:val="none" w:sz="0" w:space="0" w:color="auto"/>
        <w:bottom w:val="none" w:sz="0" w:space="0" w:color="auto"/>
        <w:right w:val="none" w:sz="0" w:space="0" w:color="auto"/>
      </w:divBdr>
    </w:div>
    <w:div w:id="1523320344">
      <w:bodyDiv w:val="1"/>
      <w:marLeft w:val="0"/>
      <w:marRight w:val="0"/>
      <w:marTop w:val="0"/>
      <w:marBottom w:val="0"/>
      <w:divBdr>
        <w:top w:val="none" w:sz="0" w:space="0" w:color="auto"/>
        <w:left w:val="none" w:sz="0" w:space="0" w:color="auto"/>
        <w:bottom w:val="none" w:sz="0" w:space="0" w:color="auto"/>
        <w:right w:val="none" w:sz="0" w:space="0" w:color="auto"/>
      </w:divBdr>
    </w:div>
    <w:div w:id="1556427383">
      <w:bodyDiv w:val="1"/>
      <w:marLeft w:val="0"/>
      <w:marRight w:val="0"/>
      <w:marTop w:val="0"/>
      <w:marBottom w:val="0"/>
      <w:divBdr>
        <w:top w:val="none" w:sz="0" w:space="0" w:color="auto"/>
        <w:left w:val="none" w:sz="0" w:space="0" w:color="auto"/>
        <w:bottom w:val="none" w:sz="0" w:space="0" w:color="auto"/>
        <w:right w:val="none" w:sz="0" w:space="0" w:color="auto"/>
      </w:divBdr>
    </w:div>
    <w:div w:id="1571040680">
      <w:bodyDiv w:val="1"/>
      <w:marLeft w:val="0"/>
      <w:marRight w:val="0"/>
      <w:marTop w:val="0"/>
      <w:marBottom w:val="0"/>
      <w:divBdr>
        <w:top w:val="none" w:sz="0" w:space="0" w:color="auto"/>
        <w:left w:val="none" w:sz="0" w:space="0" w:color="auto"/>
        <w:bottom w:val="none" w:sz="0" w:space="0" w:color="auto"/>
        <w:right w:val="none" w:sz="0" w:space="0" w:color="auto"/>
      </w:divBdr>
    </w:div>
    <w:div w:id="1576474156">
      <w:bodyDiv w:val="1"/>
      <w:marLeft w:val="0"/>
      <w:marRight w:val="0"/>
      <w:marTop w:val="0"/>
      <w:marBottom w:val="0"/>
      <w:divBdr>
        <w:top w:val="none" w:sz="0" w:space="0" w:color="auto"/>
        <w:left w:val="none" w:sz="0" w:space="0" w:color="auto"/>
        <w:bottom w:val="none" w:sz="0" w:space="0" w:color="auto"/>
        <w:right w:val="none" w:sz="0" w:space="0" w:color="auto"/>
      </w:divBdr>
    </w:div>
    <w:div w:id="1633050328">
      <w:bodyDiv w:val="1"/>
      <w:marLeft w:val="0"/>
      <w:marRight w:val="0"/>
      <w:marTop w:val="0"/>
      <w:marBottom w:val="0"/>
      <w:divBdr>
        <w:top w:val="none" w:sz="0" w:space="0" w:color="auto"/>
        <w:left w:val="none" w:sz="0" w:space="0" w:color="auto"/>
        <w:bottom w:val="none" w:sz="0" w:space="0" w:color="auto"/>
        <w:right w:val="none" w:sz="0" w:space="0" w:color="auto"/>
      </w:divBdr>
    </w:div>
    <w:div w:id="1660767104">
      <w:bodyDiv w:val="1"/>
      <w:marLeft w:val="0"/>
      <w:marRight w:val="0"/>
      <w:marTop w:val="0"/>
      <w:marBottom w:val="0"/>
      <w:divBdr>
        <w:top w:val="none" w:sz="0" w:space="0" w:color="auto"/>
        <w:left w:val="none" w:sz="0" w:space="0" w:color="auto"/>
        <w:bottom w:val="none" w:sz="0" w:space="0" w:color="auto"/>
        <w:right w:val="none" w:sz="0" w:space="0" w:color="auto"/>
      </w:divBdr>
    </w:div>
    <w:div w:id="1784030778">
      <w:bodyDiv w:val="1"/>
      <w:marLeft w:val="0"/>
      <w:marRight w:val="0"/>
      <w:marTop w:val="0"/>
      <w:marBottom w:val="0"/>
      <w:divBdr>
        <w:top w:val="none" w:sz="0" w:space="0" w:color="auto"/>
        <w:left w:val="none" w:sz="0" w:space="0" w:color="auto"/>
        <w:bottom w:val="none" w:sz="0" w:space="0" w:color="auto"/>
        <w:right w:val="none" w:sz="0" w:space="0" w:color="auto"/>
      </w:divBdr>
    </w:div>
    <w:div w:id="1880779853">
      <w:bodyDiv w:val="1"/>
      <w:marLeft w:val="0"/>
      <w:marRight w:val="0"/>
      <w:marTop w:val="0"/>
      <w:marBottom w:val="0"/>
      <w:divBdr>
        <w:top w:val="none" w:sz="0" w:space="0" w:color="auto"/>
        <w:left w:val="none" w:sz="0" w:space="0" w:color="auto"/>
        <w:bottom w:val="none" w:sz="0" w:space="0" w:color="auto"/>
        <w:right w:val="none" w:sz="0" w:space="0" w:color="auto"/>
      </w:divBdr>
    </w:div>
    <w:div w:id="196708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oecd.org/investment/aidstatistics/42139289.pdf" TargetMode="External"/><Relationship Id="rId1" Type="http://schemas.openxmlformats.org/officeDocument/2006/relationships/hyperlink" Target="http://www.oecd.org/investment/aidstatistics/4213928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roc\Local%20Settings\Temporary%20Internet%20Files\OLK5\APPR%20Public%20Report%20Template-1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51BB58-E1BD-4EA2-ABFE-0317977640E9}"/>
</file>

<file path=customXml/itemProps2.xml><?xml version="1.0" encoding="utf-8"?>
<ds:datastoreItem xmlns:ds="http://schemas.openxmlformats.org/officeDocument/2006/customXml" ds:itemID="{990387B8-FB77-4822-A2B2-E8CDF4D8CCF6}"/>
</file>

<file path=customXml/itemProps3.xml><?xml version="1.0" encoding="utf-8"?>
<ds:datastoreItem xmlns:ds="http://schemas.openxmlformats.org/officeDocument/2006/customXml" ds:itemID="{8508DEF4-CDF4-47D5-A98C-07FC9BE0983F}"/>
</file>

<file path=customXml/itemProps4.xml><?xml version="1.0" encoding="utf-8"?>
<ds:datastoreItem xmlns:ds="http://schemas.openxmlformats.org/officeDocument/2006/customXml" ds:itemID="{54741A53-90F2-4F9D-84C0-E588E7721680}"/>
</file>

<file path=customXml/itemProps5.xml><?xml version="1.0" encoding="utf-8"?>
<ds:datastoreItem xmlns:ds="http://schemas.openxmlformats.org/officeDocument/2006/customXml" ds:itemID="{F3A68A58-EA3E-41B5-88C8-F94E9E609FA7}"/>
</file>

<file path=docProps/app.xml><?xml version="1.0" encoding="utf-8"?>
<Properties xmlns="http://schemas.openxmlformats.org/officeDocument/2006/extended-properties" xmlns:vt="http://schemas.openxmlformats.org/officeDocument/2006/docPropsVTypes">
  <Template>APPR Public Report Template-123.dot</Template>
  <TotalTime>3</TotalTime>
  <Pages>14</Pages>
  <Words>5849</Words>
  <Characters>35198</Characters>
  <Application>Microsoft Office Word</Application>
  <DocSecurity>0</DocSecurity>
  <Lines>293</Lines>
  <Paragraphs>81</Paragraphs>
  <ScaleCrop>false</ScaleCrop>
  <HeadingPairs>
    <vt:vector size="2" baseType="variant">
      <vt:variant>
        <vt:lpstr>Title</vt:lpstr>
      </vt:variant>
      <vt:variant>
        <vt:i4>1</vt:i4>
      </vt:variant>
    </vt:vector>
  </HeadingPairs>
  <TitlesOfParts>
    <vt:vector size="1" baseType="lpstr">
      <vt:lpstr>TEMPLATE</vt:lpstr>
    </vt:vector>
  </TitlesOfParts>
  <Manager>AusAID ADG OPS</Manager>
  <Company>AusAID</Company>
  <LinksUpToDate>false</LinksUpToDate>
  <CharactersWithSpaces>40966</CharactersWithSpaces>
  <SharedDoc>false</SharedDoc>
  <HLinks>
    <vt:vector size="12" baseType="variant">
      <vt:variant>
        <vt:i4>1572937</vt:i4>
      </vt:variant>
      <vt:variant>
        <vt:i4>3</vt:i4>
      </vt:variant>
      <vt:variant>
        <vt:i4>0</vt:i4>
      </vt:variant>
      <vt:variant>
        <vt:i4>5</vt:i4>
      </vt:variant>
      <vt:variant>
        <vt:lpwstr>http://www.oecd.org/investment/aidstatistics/42139289.pdf</vt:lpwstr>
      </vt:variant>
      <vt:variant>
        <vt:lpwstr/>
      </vt:variant>
      <vt:variant>
        <vt:i4>1572937</vt:i4>
      </vt:variant>
      <vt:variant>
        <vt:i4>0</vt:i4>
      </vt:variant>
      <vt:variant>
        <vt:i4>0</vt:i4>
      </vt:variant>
      <vt:variant>
        <vt:i4>5</vt:i4>
      </vt:variant>
      <vt:variant>
        <vt:lpwstr>http://www.oecd.org/investment/aidstatistics/42139289.pdf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Catherine Herron</dc:creator>
  <cp:keywords>APPR</cp:keywords>
  <dc:description>Current to August 2011</dc:description>
  <cp:lastModifiedBy>Tom Ffrench</cp:lastModifiedBy>
  <cp:revision>3</cp:revision>
  <cp:lastPrinted>2012-10-21T23:10:00Z</cp:lastPrinted>
  <dcterms:created xsi:type="dcterms:W3CDTF">2013-03-25T04:58:00Z</dcterms:created>
  <dcterms:modified xsi:type="dcterms:W3CDTF">2013-03-25T05:00:00Z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0x01010050F19AC2165D2E47A5E6B7F563E4CF00</vt:lpwstr>
  </property>
  <property fmtid="{D5CDD505-2E9C-101B-9397-08002B2CF9AE}" pid="4" name="Order">
    <vt:r8>4800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